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27, 2004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240" w:type="dxa"/>
            <w:vAlign w:val="bottom"/>
          </w:tcPr>
          <w:p>
            <w:pPr>
              <w:jc w:val="center"/>
              <w:ind w:left="466"/>
              <w:spacing w:after="0"/>
              <w:rPr>
                <w:sz w:val="20"/>
                <w:szCs w:val="20"/>
                <w:color w:val="auto"/>
              </w:rPr>
            </w:pPr>
            <w:r>
              <w:rPr>
                <w:rFonts w:ascii="Arial" w:cs="Arial" w:eastAsia="Arial" w:hAnsi="Arial"/>
                <w:sz w:val="18"/>
                <w:szCs w:val="18"/>
                <w:b w:val="1"/>
                <w:bCs w:val="1"/>
                <w:color w:val="auto"/>
                <w:w w:val="87"/>
              </w:rPr>
              <w:t>Washington</w:t>
            </w:r>
          </w:p>
        </w:tc>
        <w:tc>
          <w:tcPr>
            <w:tcW w:w="5100" w:type="dxa"/>
            <w:vAlign w:val="bottom"/>
          </w:tcPr>
          <w:p>
            <w:pPr>
              <w:jc w:val="right"/>
              <w:ind w:right="2102"/>
              <w:spacing w:after="0"/>
              <w:rPr>
                <w:sz w:val="20"/>
                <w:szCs w:val="20"/>
                <w:color w:val="auto"/>
              </w:rPr>
            </w:pPr>
            <w:r>
              <w:rPr>
                <w:rFonts w:ascii="Arial" w:cs="Arial" w:eastAsia="Arial" w:hAnsi="Arial"/>
                <w:sz w:val="18"/>
                <w:szCs w:val="18"/>
                <w:b w:val="1"/>
                <w:bCs w:val="1"/>
                <w:color w:val="auto"/>
              </w:rPr>
              <w:t>000-22418</w:t>
            </w:r>
          </w:p>
        </w:tc>
        <w:tc>
          <w:tcPr>
            <w:tcW w:w="3080" w:type="dxa"/>
            <w:vAlign w:val="bottom"/>
          </w:tcPr>
          <w:p>
            <w:pPr>
              <w:jc w:val="center"/>
              <w:ind w:right="486"/>
              <w:spacing w:after="0"/>
              <w:rPr>
                <w:sz w:val="20"/>
                <w:szCs w:val="20"/>
                <w:color w:val="auto"/>
              </w:rPr>
            </w:pPr>
            <w:r>
              <w:rPr>
                <w:rFonts w:ascii="Arial" w:cs="Arial" w:eastAsia="Arial" w:hAnsi="Arial"/>
                <w:sz w:val="18"/>
                <w:szCs w:val="18"/>
                <w:b w:val="1"/>
                <w:bCs w:val="1"/>
                <w:color w:val="auto"/>
                <w:w w:val="87"/>
              </w:rPr>
              <w:t>91-1011792</w:t>
            </w:r>
          </w:p>
        </w:tc>
      </w:tr>
      <w:tr>
        <w:trPr>
          <w:trHeight w:val="149"/>
        </w:trPr>
        <w:tc>
          <w:tcPr>
            <w:tcW w:w="3240" w:type="dxa"/>
            <w:vAlign w:val="bottom"/>
          </w:tcPr>
          <w:p>
            <w:pPr>
              <w:jc w:val="center"/>
              <w:ind w:left="486"/>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5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(Commission File No.)</w:t>
            </w:r>
          </w:p>
        </w:tc>
        <w:tc>
          <w:tcPr>
            <w:tcW w:w="3080" w:type="dxa"/>
            <w:vAlign w:val="bottom"/>
          </w:tcPr>
          <w:p>
            <w:pPr>
              <w:jc w:val="center"/>
              <w:ind w:right="48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240" w:type="dxa"/>
            <w:vAlign w:val="bottom"/>
          </w:tcPr>
          <w:p>
            <w:pPr>
              <w:jc w:val="center"/>
              <w:ind w:left="486"/>
              <w:spacing w:after="0"/>
              <w:rPr>
                <w:sz w:val="20"/>
                <w:szCs w:val="20"/>
                <w:color w:val="auto"/>
              </w:rPr>
            </w:pPr>
            <w:r>
              <w:rPr>
                <w:rFonts w:ascii="Arial" w:cs="Arial" w:eastAsia="Arial" w:hAnsi="Arial"/>
                <w:sz w:val="14"/>
                <w:szCs w:val="14"/>
                <w:b w:val="1"/>
                <w:bCs w:val="1"/>
                <w:color w:val="auto"/>
                <w:w w:val="89"/>
              </w:rPr>
              <w:t>of Incorporation)</w:t>
            </w:r>
          </w:p>
        </w:tc>
        <w:tc>
          <w:tcPr>
            <w:tcW w:w="5100" w:type="dxa"/>
            <w:vAlign w:val="bottom"/>
          </w:tcPr>
          <w:p>
            <w:pPr>
              <w:spacing w:after="0"/>
              <w:rPr>
                <w:sz w:val="15"/>
                <w:szCs w:val="15"/>
                <w:color w:val="auto"/>
              </w:rPr>
            </w:pPr>
          </w:p>
        </w:tc>
        <w:tc>
          <w:tcPr>
            <w:tcW w:w="3080" w:type="dxa"/>
            <w:vAlign w:val="bottom"/>
          </w:tcPr>
          <w:p>
            <w:pPr>
              <w:jc w:val="center"/>
              <w:ind w:right="506"/>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3240" w:type="dxa"/>
            <w:vAlign w:val="bottom"/>
          </w:tcPr>
          <w:p>
            <w:pPr>
              <w:spacing w:after="0"/>
              <w:rPr>
                <w:sz w:val="24"/>
                <w:szCs w:val="24"/>
                <w:color w:val="auto"/>
              </w:rPr>
            </w:pPr>
          </w:p>
        </w:tc>
        <w:tc>
          <w:tcPr>
            <w:tcW w:w="5100" w:type="dxa"/>
            <w:vAlign w:val="bottom"/>
          </w:tcPr>
          <w:p>
            <w:pPr>
              <w:jc w:val="center"/>
              <w:ind w:right="82"/>
              <w:spacing w:after="0"/>
              <w:rPr>
                <w:sz w:val="20"/>
                <w:szCs w:val="20"/>
                <w:color w:val="auto"/>
              </w:rPr>
            </w:pPr>
            <w:r>
              <w:rPr>
                <w:rFonts w:ascii="Arial" w:cs="Arial" w:eastAsia="Arial" w:hAnsi="Arial"/>
                <w:sz w:val="18"/>
                <w:szCs w:val="18"/>
                <w:b w:val="1"/>
                <w:bCs w:val="1"/>
                <w:color w:val="auto"/>
                <w:w w:val="88"/>
              </w:rPr>
              <w:t>2818 N. Sullivan Road, Spokane, WA 99216</w:t>
            </w:r>
          </w:p>
        </w:tc>
        <w:tc>
          <w:tcPr>
            <w:tcW w:w="3080" w:type="dxa"/>
            <w:vAlign w:val="bottom"/>
          </w:tcPr>
          <w:p>
            <w:pPr>
              <w:spacing w:after="0"/>
              <w:rPr>
                <w:sz w:val="24"/>
                <w:szCs w:val="24"/>
                <w:color w:val="auto"/>
              </w:rPr>
            </w:pPr>
          </w:p>
        </w:tc>
      </w:tr>
      <w:tr>
        <w:trPr>
          <w:trHeight w:val="174"/>
        </w:trPr>
        <w:tc>
          <w:tcPr>
            <w:tcW w:w="3240" w:type="dxa"/>
            <w:vAlign w:val="bottom"/>
          </w:tcPr>
          <w:p>
            <w:pPr>
              <w:spacing w:after="0"/>
              <w:rPr>
                <w:sz w:val="15"/>
                <w:szCs w:val="15"/>
                <w:color w:val="auto"/>
              </w:rPr>
            </w:pPr>
          </w:p>
        </w:tc>
        <w:tc>
          <w:tcPr>
            <w:tcW w:w="5100" w:type="dxa"/>
            <w:vAlign w:val="bottom"/>
          </w:tcPr>
          <w:p>
            <w:pPr>
              <w:jc w:val="center"/>
              <w:ind w:right="62"/>
              <w:spacing w:after="0"/>
              <w:rPr>
                <w:sz w:val="20"/>
                <w:szCs w:val="20"/>
                <w:color w:val="auto"/>
              </w:rPr>
            </w:pPr>
            <w:r>
              <w:rPr>
                <w:rFonts w:ascii="Arial" w:cs="Arial" w:eastAsia="Arial" w:hAnsi="Arial"/>
                <w:sz w:val="14"/>
                <w:szCs w:val="14"/>
                <w:b w:val="1"/>
                <w:bCs w:val="1"/>
                <w:color w:val="auto"/>
                <w:w w:val="87"/>
              </w:rPr>
              <w:t>(Address of Principal Executive Offices, including Zip Code)</w:t>
            </w:r>
          </w:p>
        </w:tc>
        <w:tc>
          <w:tcPr>
            <w:tcW w:w="3080" w:type="dxa"/>
            <w:vAlign w:val="bottom"/>
          </w:tcPr>
          <w:p>
            <w:pPr>
              <w:spacing w:after="0"/>
              <w:rPr>
                <w:sz w:val="15"/>
                <w:szCs w:val="15"/>
                <w:color w:val="auto"/>
              </w:rPr>
            </w:pPr>
          </w:p>
        </w:tc>
      </w:tr>
      <w:tr>
        <w:trPr>
          <w:trHeight w:val="339"/>
        </w:trPr>
        <w:tc>
          <w:tcPr>
            <w:tcW w:w="3240" w:type="dxa"/>
            <w:vAlign w:val="bottom"/>
          </w:tcPr>
          <w:p>
            <w:pPr>
              <w:spacing w:after="0"/>
              <w:rPr>
                <w:sz w:val="24"/>
                <w:szCs w:val="24"/>
                <w:color w:val="auto"/>
              </w:rPr>
            </w:pPr>
          </w:p>
        </w:tc>
        <w:tc>
          <w:tcPr>
            <w:tcW w:w="5100" w:type="dxa"/>
            <w:vAlign w:val="bottom"/>
          </w:tcPr>
          <w:p>
            <w:pPr>
              <w:jc w:val="center"/>
              <w:ind w:right="82"/>
              <w:spacing w:after="0"/>
              <w:rPr>
                <w:sz w:val="20"/>
                <w:szCs w:val="20"/>
                <w:color w:val="auto"/>
              </w:rPr>
            </w:pPr>
            <w:r>
              <w:rPr>
                <w:rFonts w:ascii="Arial" w:cs="Arial" w:eastAsia="Arial" w:hAnsi="Arial"/>
                <w:sz w:val="18"/>
                <w:szCs w:val="18"/>
                <w:b w:val="1"/>
                <w:bCs w:val="1"/>
                <w:color w:val="auto"/>
                <w:w w:val="89"/>
              </w:rPr>
              <w:t>(509) 924-9900</w:t>
            </w:r>
          </w:p>
        </w:tc>
        <w:tc>
          <w:tcPr>
            <w:tcW w:w="3080" w:type="dxa"/>
            <w:vAlign w:val="bottom"/>
          </w:tcPr>
          <w:p>
            <w:pPr>
              <w:spacing w:after="0"/>
              <w:rPr>
                <w:sz w:val="24"/>
                <w:szCs w:val="24"/>
                <w:color w:val="auto"/>
              </w:rPr>
            </w:pPr>
          </w:p>
        </w:tc>
      </w:tr>
      <w:tr>
        <w:trPr>
          <w:trHeight w:val="174"/>
        </w:trPr>
        <w:tc>
          <w:tcPr>
            <w:tcW w:w="3240" w:type="dxa"/>
            <w:vAlign w:val="bottom"/>
          </w:tcPr>
          <w:p>
            <w:pPr>
              <w:spacing w:after="0"/>
              <w:rPr>
                <w:sz w:val="15"/>
                <w:szCs w:val="15"/>
                <w:color w:val="auto"/>
              </w:rPr>
            </w:pPr>
          </w:p>
        </w:tc>
        <w:tc>
          <w:tcPr>
            <w:tcW w:w="5100" w:type="dxa"/>
            <w:vAlign w:val="bottom"/>
          </w:tcPr>
          <w:p>
            <w:pPr>
              <w:jc w:val="center"/>
              <w:ind w:right="8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3080" w:type="dxa"/>
            <w:vAlign w:val="bottom"/>
          </w:tcPr>
          <w:p>
            <w:pPr>
              <w:spacing w:after="0"/>
              <w:rPr>
                <w:sz w:val="15"/>
                <w:szCs w:val="15"/>
                <w:color w:val="auto"/>
              </w:rPr>
            </w:pPr>
          </w:p>
        </w:tc>
      </w:tr>
      <w:tr>
        <w:trPr>
          <w:trHeight w:val="339"/>
        </w:trPr>
        <w:tc>
          <w:tcPr>
            <w:tcW w:w="3240" w:type="dxa"/>
            <w:vAlign w:val="bottom"/>
          </w:tcPr>
          <w:p>
            <w:pPr>
              <w:spacing w:after="0"/>
              <w:rPr>
                <w:sz w:val="24"/>
                <w:szCs w:val="24"/>
                <w:color w:val="auto"/>
              </w:rPr>
            </w:pPr>
          </w:p>
        </w:tc>
        <w:tc>
          <w:tcPr>
            <w:tcW w:w="5100" w:type="dxa"/>
            <w:vAlign w:val="bottom"/>
          </w:tcPr>
          <w:p>
            <w:pPr>
              <w:jc w:val="center"/>
              <w:ind w:right="82"/>
              <w:spacing w:after="0"/>
              <w:rPr>
                <w:sz w:val="20"/>
                <w:szCs w:val="20"/>
                <w:color w:val="auto"/>
              </w:rPr>
            </w:pPr>
            <w:r>
              <w:rPr>
                <w:rFonts w:ascii="Arial" w:cs="Arial" w:eastAsia="Arial" w:hAnsi="Arial"/>
                <w:sz w:val="18"/>
                <w:szCs w:val="18"/>
                <w:b w:val="1"/>
                <w:bCs w:val="1"/>
                <w:color w:val="auto"/>
                <w:w w:val="84"/>
              </w:rPr>
              <w:t>None</w:t>
            </w:r>
          </w:p>
        </w:tc>
        <w:tc>
          <w:tcPr>
            <w:tcW w:w="3080" w:type="dxa"/>
            <w:vAlign w:val="bottom"/>
          </w:tcPr>
          <w:p>
            <w:pPr>
              <w:spacing w:after="0"/>
              <w:rPr>
                <w:sz w:val="24"/>
                <w:szCs w:val="24"/>
                <w:color w:val="auto"/>
              </w:rPr>
            </w:pPr>
          </w:p>
        </w:tc>
      </w:tr>
      <w:tr>
        <w:trPr>
          <w:trHeight w:val="174"/>
        </w:trPr>
        <w:tc>
          <w:tcPr>
            <w:tcW w:w="3240" w:type="dxa"/>
            <w:vAlign w:val="bottom"/>
          </w:tcPr>
          <w:p>
            <w:pPr>
              <w:spacing w:after="0"/>
              <w:rPr>
                <w:sz w:val="15"/>
                <w:szCs w:val="15"/>
                <w:color w:val="auto"/>
              </w:rPr>
            </w:pPr>
          </w:p>
        </w:tc>
        <w:tc>
          <w:tcPr>
            <w:tcW w:w="5100" w:type="dxa"/>
            <w:vAlign w:val="bottom"/>
          </w:tcPr>
          <w:p>
            <w:pPr>
              <w:jc w:val="center"/>
              <w:ind w:right="82"/>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3080" w:type="dxa"/>
            <w:vAlign w:val="bottom"/>
          </w:tcPr>
          <w:p>
            <w:pPr>
              <w:spacing w:after="0"/>
              <w:rPr>
                <w:sz w:val="15"/>
                <w:szCs w:val="15"/>
                <w:color w:val="auto"/>
              </w:rPr>
            </w:pPr>
          </w:p>
        </w:tc>
      </w:tr>
      <w:tr>
        <w:trPr>
          <w:trHeight w:val="186"/>
        </w:trPr>
        <w:tc>
          <w:tcPr>
            <w:tcW w:w="324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 Other Events.</w:t>
      </w:r>
    </w:p>
    <w:p>
      <w:pPr>
        <w:spacing w:after="0" w:line="8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On April 27, 2004, Itron issued a press release announcing its proposed private placement of $125 million aggregate principal amount of its senior subordinated notes. The press release is attached as Exhibit 99.1 and is incorporated herein by reference.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58"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Exhibit No. 99.1</w:t>
      </w:r>
      <w:r>
        <w:rPr>
          <w:sz w:val="20"/>
          <w:szCs w:val="20"/>
          <w:color w:val="auto"/>
        </w:rPr>
        <w:tab/>
      </w:r>
      <w:r>
        <w:rPr>
          <w:rFonts w:ascii="Arial" w:cs="Arial" w:eastAsia="Arial" w:hAnsi="Arial"/>
          <w:sz w:val="15"/>
          <w:szCs w:val="15"/>
          <w:color w:val="auto"/>
        </w:rPr>
        <w:t>Press Release dated April 27,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Regulation FD Disclosure.</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Itron is conducting an offering of $125 million aggregate principal amount of its senior subordinated notes through a private placement under Rule 144A and Regulation S under the Securities Act of 1933. Itron has provided the following information, which has not been previously disclosed, in connection with the private placement.</w:t>
      </w:r>
    </w:p>
    <w:p>
      <w:pPr>
        <w:spacing w:after="0" w:line="12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This report contains “forward looking statements” within the meaning of the Private Securities Litigation Reform Act of 1995. These statements include, but are not limited to, the anticipated closing date for the SEM acquisition and Itron’s intention to raise proceeds through the offering and sale of its notes, the terms of the notes, and the amount and use of the proceeds. There can be no assurance that Itron will complete the offering on the anticipated terms or at all. Itron’s ability to complete the offering will depend, among other things, on market conditions and satisfying closing conditions for the SEM acquisition. In addition, a number of risks and uncertainties exist that may cause Itron’s actual results to differ materially from those indicated or implied by forward looking statements. These risks and uncertainties are more fully disclosed in Itron’s Annual Report on Form 10-K for the year ended December 31, 2003. Itron does not undertake any obligation to update forward looking statements as a result of new information, future events, changed expectations or otherwise.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Table of Contents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Terms Used</w:t>
      </w:r>
    </w:p>
    <w:p>
      <w:pPr>
        <w:spacing w:after="0" w:line="15" w:lineRule="exact"/>
        <w:rPr>
          <w:sz w:val="20"/>
          <w:szCs w:val="20"/>
          <w:color w:val="auto"/>
        </w:rPr>
      </w:pPr>
    </w:p>
    <w:p>
      <w:pPr>
        <w:ind w:right="5100"/>
        <w:spacing w:after="0" w:line="295" w:lineRule="auto"/>
        <w:rPr>
          <w:sz w:val="20"/>
          <w:szCs w:val="20"/>
          <w:color w:val="auto"/>
        </w:rPr>
      </w:pPr>
      <w:r>
        <w:rPr>
          <w:rFonts w:ascii="Arial" w:cs="Arial" w:eastAsia="Arial" w:hAnsi="Arial"/>
          <w:sz w:val="16"/>
          <w:szCs w:val="16"/>
          <w:color w:val="auto"/>
        </w:rPr>
        <w:t>UNAUDITED PRO FORMA CONDENSED CONSOLIDATED FINANCIAL DATA SEM SELECTED HISTORICAL COMBINED FINANCIAL DATA MANAGEMENT’S DISCUSSION AND ANALYSIS OF FINANCIAL CONDITION AND RESULTS OF OPERATION – SEM Results of Operation and Financial Condition</w:t>
      </w:r>
    </w:p>
    <w:p>
      <w:pPr>
        <w:sectPr>
          <w:pgSz w:w="11900" w:h="16838" w:orient="portrait"/>
          <w:cols w:equalWidth="0" w:num="1">
            <w:col w:w="11340"/>
          </w:cols>
          <w:pgMar w:left="24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 Used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required by the context, in this offering memorandum:</w:t>
      </w:r>
    </w:p>
    <w:p>
      <w:pPr>
        <w:spacing w:after="0" w:line="77" w:lineRule="exact"/>
        <w:rPr>
          <w:sz w:val="20"/>
          <w:szCs w:val="20"/>
          <w:color w:val="auto"/>
        </w:rPr>
      </w:pPr>
    </w:p>
    <w:p>
      <w:pPr>
        <w:ind w:left="1160" w:hanging="257"/>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“Itron” refers to Itron, Inc. and its consolidated subsidiaries;</w:t>
      </w:r>
    </w:p>
    <w:p>
      <w:pPr>
        <w:spacing w:after="0" w:line="76" w:lineRule="exact"/>
        <w:rPr>
          <w:rFonts w:ascii="Arial" w:cs="Arial" w:eastAsia="Arial" w:hAnsi="Arial"/>
          <w:sz w:val="18"/>
          <w:szCs w:val="18"/>
          <w:color w:val="auto"/>
        </w:rPr>
      </w:pPr>
    </w:p>
    <w:p>
      <w:pPr>
        <w:ind w:left="460" w:firstLine="443"/>
        <w:spacing w:after="0" w:line="259" w:lineRule="auto"/>
        <w:tabs>
          <w:tab w:leader="none" w:pos="1147" w:val="left"/>
        </w:tabs>
        <w:numPr>
          <w:ilvl w:val="0"/>
          <w:numId w:val="1"/>
        </w:numPr>
        <w:rPr>
          <w:rFonts w:ascii="Arial" w:cs="Arial" w:eastAsia="Arial" w:hAnsi="Arial"/>
          <w:sz w:val="18"/>
          <w:szCs w:val="18"/>
          <w:color w:val="auto"/>
        </w:rPr>
      </w:pPr>
      <w:r>
        <w:rPr>
          <w:rFonts w:ascii="Arial" w:cs="Arial" w:eastAsia="Arial" w:hAnsi="Arial"/>
          <w:sz w:val="18"/>
          <w:szCs w:val="18"/>
          <w:color w:val="auto"/>
        </w:rPr>
        <w:t>“SEM” refers to the Electricity Products Business of Schlumberger Limited. SEM consists of (a) Schlumberger Electricity, Inc., or “SEI,” which conducts electricity meter manufacturing and sales operations in the United States and (b) the electricity meter operations of certain foreign affiliates of Schlumberger Limited, or “Schlumberger,” in Canada, Mexico, Taiwan and France;</w:t>
      </w:r>
    </w:p>
    <w:p>
      <w:pPr>
        <w:spacing w:after="0" w:line="45" w:lineRule="exact"/>
        <w:rPr>
          <w:rFonts w:ascii="Arial" w:cs="Arial" w:eastAsia="Arial" w:hAnsi="Arial"/>
          <w:sz w:val="18"/>
          <w:szCs w:val="18"/>
          <w:color w:val="auto"/>
        </w:rPr>
      </w:pPr>
    </w:p>
    <w:p>
      <w:pPr>
        <w:ind w:left="460" w:right="200" w:firstLine="443"/>
        <w:spacing w:after="0" w:line="325" w:lineRule="auto"/>
        <w:tabs>
          <w:tab w:leader="none" w:pos="1147" w:val="left"/>
        </w:tabs>
        <w:numPr>
          <w:ilvl w:val="0"/>
          <w:numId w:val="1"/>
        </w:numPr>
        <w:rPr>
          <w:rFonts w:ascii="Arial" w:cs="Arial" w:eastAsia="Arial" w:hAnsi="Arial"/>
          <w:sz w:val="16"/>
          <w:szCs w:val="16"/>
          <w:color w:val="auto"/>
        </w:rPr>
      </w:pPr>
      <w:r>
        <w:rPr>
          <w:rFonts w:ascii="Arial" w:cs="Arial" w:eastAsia="Arial" w:hAnsi="Arial"/>
          <w:sz w:val="16"/>
          <w:szCs w:val="16"/>
          <w:color w:val="auto"/>
        </w:rPr>
        <w:t>“SchlumbergerSema” refers to SchlumbergerSema, Inc., a former subsidiary of Schlumberger Technology Corporation, or “STC,” which was sold to Atos Origin IT Services, Inc., or “Atos Origin,” on January 29, 2004. STC is a wholly owned subsidiary of Schlumberger;</w:t>
      </w:r>
    </w:p>
    <w:p>
      <w:pPr>
        <w:spacing w:after="0" w:line="1"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“we,” “us,” “our” and similar phrases refer to Itron or, where the context requires, to Itron after giving effect to its proposed acquisition of SEM, or the “Acquisition;”</w:t>
      </w:r>
    </w:p>
    <w:p>
      <w:pPr>
        <w:spacing w:after="0" w:line="37" w:lineRule="exact"/>
        <w:rPr>
          <w:rFonts w:ascii="Arial" w:cs="Arial" w:eastAsia="Arial" w:hAnsi="Arial"/>
          <w:sz w:val="18"/>
          <w:szCs w:val="18"/>
          <w:color w:val="auto"/>
        </w:rPr>
      </w:pPr>
    </w:p>
    <w:p>
      <w:pPr>
        <w:ind w:left="460" w:right="100" w:firstLine="443"/>
        <w:spacing w:after="0" w:line="325" w:lineRule="auto"/>
        <w:tabs>
          <w:tab w:leader="none" w:pos="1147"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“Transactions” refers collectively to (a) this offering, and (b) the use of the net proceeds from this offering, together with initial borrowings under our new senior credit facility, to acquire SEM and to repay certain outstanding indebtedness under an existing credit facility of Itron; and</w:t>
      </w:r>
    </w:p>
    <w:p>
      <w:pPr>
        <w:spacing w:after="0" w:line="1" w:lineRule="exact"/>
        <w:rPr>
          <w:rFonts w:ascii="Arial" w:cs="Arial" w:eastAsia="Arial" w:hAnsi="Arial"/>
          <w:sz w:val="16"/>
          <w:szCs w:val="16"/>
          <w:color w:val="auto"/>
        </w:rPr>
      </w:pPr>
    </w:p>
    <w:p>
      <w:pPr>
        <w:ind w:left="460" w:right="140" w:firstLine="443"/>
        <w:spacing w:after="0" w:line="268" w:lineRule="auto"/>
        <w:tabs>
          <w:tab w:leader="none" w:pos="1147"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a pro forma basis” refers to our pro forma financial position and results of operations as of the referenced date or for the referenced period after giving effect to the Transactions and to Itron’s acquisition of Silicon Energy Corp., or “Silicon.”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27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UNAUDITED PRO FORMA CONDENSED CONSOLIDATED FINANCIAL DATA</w:t>
      </w:r>
    </w:p>
    <w:p>
      <w:pPr>
        <w:spacing w:after="0" w:line="16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unaudited pro forma condensed consolidated statements of operations for the year ended December 31, 2003 and the unaudited pro forma condensed consolidated balance sheet as of December 31, 2003 are based on Itron’s and SEM’s historical financial statements included elsewhere in this offering memorandum. Certain of SEM’s historical financial information have been reclassified to conform with Itron’s financial statement presentation.</w:t>
      </w:r>
    </w:p>
    <w:p>
      <w:pPr>
        <w:spacing w:after="0" w:line="9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unaudited pro forma condensed consolidated financial data gives effect to the Transactions and the acquisition of Silicon Energy Corp. (Silicon) as if they had occurred on (1) January 1, 2003 with respect to the statement of operations data, and (2) December 31, 2003 with respect to the balance sheet data. The unaudited pro forma condensed consolidated financial data is presented for informational purposes only and does not purport to represent what our results of operations or financial position would actually have been had the Transactions and the Silicon acquisition occurred at such time or to project our results of operations for any future period or date.</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adjustments necessary to fairly present this unaudited pro forma condensed consolidated financial data described in the accompanying notes have been made based on available information and, in the opinion of management, are reasonable. The Acquisition will be accounted for using the purchase method of accounting. Allocations of purchase price have been determined based on information presently available and are subject to change. The final allocations and the amounts included in these pro forma condensed consolidated financial statements could differ significantly.</w:t>
      </w:r>
    </w:p>
    <w:p>
      <w:pPr>
        <w:spacing w:after="0" w:line="9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unaudited pro forma condensed consolidated financial data should be read in conjunction with “Use of Proceeds,” “Offering Memorandum Summary —Summary Historical and Pro Forma Financial and Operating Data,” “Management’s Discussion and Analysis of Financial Condition and Results of Operations” and Itron’s and SEM’s combined financial statements, including the related notes, included elsewhere in this offering memorandum.</w:t>
      </w:r>
    </w:p>
    <w:p>
      <w:pPr>
        <w:spacing w:after="0" w:line="9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purchase price of the Acquisition is $255.0 million in cash, subject to final negotiation of the MSSA and TTLA and post-closing net working capital adjustments. There are approximately $19.0 million of costs associated with the Acquisition and the other Transactions, $2.6 million of which had been paid as of December 31, 2003. The purchase price together with the refinancing of existing debt and related fees and expenses will be financed with the proceeds from the issuance of the notes and the initial borrowings under the new senior credit facility.</w:t>
      </w:r>
    </w:p>
    <w:p>
      <w:pPr>
        <w:spacing w:after="0" w:line="13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March 4, 2003 we purchased Silicon, a California based provider of enterprise energy management software solutions, for approximately $71.1 million in cash. We financed a portion of the purchase price of Silicon with our existing $50.0 million, three-year senior secured loan.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Unaudited Pro Forma Condensed Consolidated Statement of Operations for the Year Ended December 31, 2003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87"/>
              </w:rPr>
              <w:t>Historical</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320" w:type="dxa"/>
            <w:vAlign w:val="bottom"/>
            <w:gridSpan w:val="3"/>
          </w:tcPr>
          <w:p>
            <w:pPr>
              <w:jc w:val="right"/>
              <w:ind w:right="70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2"/>
                <w:szCs w:val="12"/>
                <w:color w:val="auto"/>
              </w:rPr>
            </w:pPr>
          </w:p>
        </w:tc>
        <w:tc>
          <w:tcPr>
            <w:tcW w:w="1360" w:type="dxa"/>
            <w:vAlign w:val="bottom"/>
            <w:gridSpan w:val="3"/>
          </w:tcPr>
          <w:p>
            <w:pPr>
              <w:jc w:val="right"/>
              <w:ind w:right="860"/>
              <w:spacing w:after="0" w:line="149" w:lineRule="exact"/>
              <w:rPr>
                <w:sz w:val="20"/>
                <w:szCs w:val="20"/>
                <w:color w:val="auto"/>
              </w:rPr>
            </w:pPr>
            <w:r>
              <w:rPr>
                <w:rFonts w:ascii="Arial" w:cs="Arial" w:eastAsia="Arial" w:hAnsi="Arial"/>
                <w:sz w:val="14"/>
                <w:szCs w:val="14"/>
                <w:b w:val="1"/>
                <w:bCs w:val="1"/>
                <w:color w:val="auto"/>
              </w:rPr>
              <w:t>Silicon</w:t>
            </w:r>
          </w:p>
        </w:tc>
        <w:tc>
          <w:tcPr>
            <w:tcW w:w="134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2"/>
                <w:szCs w:val="12"/>
                <w:color w:val="auto"/>
              </w:rPr>
            </w:pPr>
          </w:p>
        </w:tc>
        <w:tc>
          <w:tcPr>
            <w:tcW w:w="840" w:type="dxa"/>
            <w:vAlign w:val="bottom"/>
          </w:tcPr>
          <w:p>
            <w:pPr>
              <w:jc w:val="right"/>
              <w:ind w:right="74"/>
              <w:spacing w:after="0" w:line="149" w:lineRule="exact"/>
              <w:rPr>
                <w:sz w:val="20"/>
                <w:szCs w:val="20"/>
                <w:color w:val="auto"/>
              </w:rPr>
            </w:pPr>
            <w:r>
              <w:rPr>
                <w:rFonts w:ascii="Arial" w:cs="Arial" w:eastAsia="Arial" w:hAnsi="Arial"/>
                <w:sz w:val="14"/>
                <w:szCs w:val="14"/>
                <w:b w:val="1"/>
                <w:bCs w:val="1"/>
                <w:color w:val="auto"/>
                <w:w w:val="94"/>
              </w:rPr>
              <w:t>Pro Forma</w:t>
            </w:r>
          </w:p>
        </w:tc>
        <w:tc>
          <w:tcPr>
            <w:tcW w:w="8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Itron</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1/1/03 - 3/4/03</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SEM</w:t>
            </w:r>
          </w:p>
        </w:tc>
        <w:tc>
          <w:tcPr>
            <w:tcW w:w="80" w:type="dxa"/>
            <w:vAlign w:val="bottom"/>
          </w:tcPr>
          <w:p>
            <w:pPr>
              <w:spacing w:after="0"/>
              <w:rPr>
                <w:sz w:val="15"/>
                <w:szCs w:val="15"/>
                <w:color w:val="auto"/>
              </w:rPr>
            </w:pPr>
          </w:p>
        </w:tc>
        <w:tc>
          <w:tcPr>
            <w:tcW w:w="840" w:type="dxa"/>
            <w:vAlign w:val="bottom"/>
          </w:tcPr>
          <w:p>
            <w:pPr>
              <w:jc w:val="right"/>
              <w:ind w:right="14"/>
              <w:spacing w:after="0"/>
              <w:rPr>
                <w:sz w:val="20"/>
                <w:szCs w:val="20"/>
                <w:color w:val="auto"/>
              </w:rPr>
            </w:pPr>
            <w:r>
              <w:rPr>
                <w:rFonts w:ascii="Arial" w:cs="Arial" w:eastAsia="Arial" w:hAnsi="Arial"/>
                <w:sz w:val="14"/>
                <w:szCs w:val="14"/>
                <w:b w:val="1"/>
                <w:bCs w:val="1"/>
                <w:color w:val="auto"/>
                <w:w w:val="84"/>
              </w:rPr>
              <w:t>Adjustments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Itron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316,965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294,165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(6,335)(1)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606,517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173,411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201,003</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right"/>
              <w:ind w:right="452"/>
              <w:spacing w:after="0"/>
              <w:rPr>
                <w:sz w:val="20"/>
                <w:szCs w:val="20"/>
                <w:color w:val="auto"/>
              </w:rPr>
            </w:pPr>
            <w:r>
              <w:rPr>
                <w:rFonts w:ascii="Arial" w:cs="Arial" w:eastAsia="Arial" w:hAnsi="Arial"/>
                <w:sz w:val="18"/>
                <w:szCs w:val="18"/>
                <w:color w:val="auto"/>
              </w:rPr>
              <w:t>(12,234)(2)</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364,262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143,554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242,255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(779)(3)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43,017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2,213</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452"/>
              <w:spacing w:after="0"/>
              <w:rPr>
                <w:sz w:val="20"/>
                <w:szCs w:val="20"/>
                <w:color w:val="auto"/>
              </w:rPr>
            </w:pPr>
            <w:r>
              <w:rPr>
                <w:rFonts w:ascii="Arial" w:cs="Arial" w:eastAsia="Arial" w:hAnsi="Arial"/>
                <w:sz w:val="18"/>
                <w:szCs w:val="18"/>
                <w:color w:val="auto"/>
              </w:rPr>
              <w:t>(1,192)(4)</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18,695</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(576)(5)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17,543</w:t>
            </w:r>
          </w:p>
        </w:tc>
        <w:tc>
          <w:tcPr>
            <w:tcW w:w="800" w:type="dxa"/>
            <w:vAlign w:val="bottom"/>
          </w:tcPr>
          <w:p>
            <w:pPr>
              <w:jc w:val="right"/>
              <w:ind w:right="472"/>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Litigation accruals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23,000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121,860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65,208</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21,694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27,954</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652"/>
              <w:spacing w:after="0"/>
              <w:rPr>
                <w:sz w:val="20"/>
                <w:szCs w:val="20"/>
                <w:color w:val="auto"/>
              </w:rPr>
            </w:pPr>
            <w:r>
              <w:rPr>
                <w:rFonts w:ascii="Arial" w:cs="Arial" w:eastAsia="Arial" w:hAnsi="Arial"/>
                <w:sz w:val="18"/>
                <w:szCs w:val="18"/>
                <w:color w:val="auto"/>
              </w:rPr>
              <w:t>(9,097)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19,199</w:t>
            </w:r>
          </w:p>
        </w:tc>
        <w:tc>
          <w:tcPr>
            <w:tcW w:w="80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640" w:type="dxa"/>
            <w:vAlign w:val="bottom"/>
            <w:gridSpan w:val="2"/>
          </w:tcPr>
          <w:p>
            <w:pPr>
              <w:jc w:val="right"/>
              <w:ind w:right="45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(6,503)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(28,304)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(7,421)</w:t>
            </w:r>
          </w:p>
        </w:tc>
        <w:tc>
          <w:tcPr>
            <w:tcW w:w="100" w:type="dxa"/>
            <w:vAlign w:val="bottom"/>
          </w:tcPr>
          <w:p>
            <w:pPr>
              <w:spacing w:after="0"/>
              <w:rPr>
                <w:sz w:val="19"/>
                <w:szCs w:val="19"/>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(11,571)</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14,707</w:t>
            </w:r>
          </w:p>
        </w:tc>
        <w:tc>
          <w:tcPr>
            <w:tcW w:w="800" w:type="dxa"/>
            <w:vAlign w:val="bottom"/>
          </w:tcPr>
          <w:p>
            <w:pPr>
              <w:jc w:val="right"/>
              <w:ind w:right="472"/>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(6,503)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(13,597)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(5,901)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32,169</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-329565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-329565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-329565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-329565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-329565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-329565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-329565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-329565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-329565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-329565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-329565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-329565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-329565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-329565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-29210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Consolidated Financial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Unaudited Pro Forma Condensed Consolidated Balance Sheet at December 31, 2003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4"/>
              <w:spacing w:after="0"/>
              <w:rPr>
                <w:sz w:val="20"/>
                <w:szCs w:val="20"/>
                <w:color w:val="auto"/>
              </w:rPr>
            </w:pPr>
            <w:r>
              <w:rPr>
                <w:rFonts w:ascii="Arial" w:cs="Arial" w:eastAsia="Arial" w:hAnsi="Arial"/>
                <w:sz w:val="14"/>
                <w:szCs w:val="14"/>
                <w:b w:val="1"/>
                <w:bCs w:val="1"/>
                <w:color w:val="auto"/>
                <w:w w:val="90"/>
              </w:rPr>
              <w:t>Historical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4"/>
              <w:spacing w:after="0"/>
              <w:rPr>
                <w:sz w:val="20"/>
                <w:szCs w:val="20"/>
                <w:color w:val="auto"/>
              </w:rPr>
            </w:pPr>
            <w:r>
              <w:rPr>
                <w:rFonts w:ascii="Arial" w:cs="Arial" w:eastAsia="Arial" w:hAnsi="Arial"/>
                <w:sz w:val="14"/>
                <w:szCs w:val="14"/>
                <w:b w:val="1"/>
                <w:bCs w:val="1"/>
                <w:color w:val="auto"/>
                <w:w w:val="87"/>
              </w:rPr>
              <w:t>Historical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4"/>
                <w:szCs w:val="14"/>
                <w:b w:val="1"/>
                <w:bCs w:val="1"/>
                <w:color w:val="auto"/>
                <w:w w:val="94"/>
              </w:rPr>
              <w:t>Pro Forma</w:t>
            </w:r>
          </w:p>
        </w:tc>
        <w:tc>
          <w:tcPr>
            <w:tcW w:w="860" w:type="dxa"/>
            <w:vAlign w:val="bottom"/>
          </w:tcPr>
          <w:p>
            <w:pPr>
              <w:spacing w:after="0"/>
              <w:rPr>
                <w:sz w:val="14"/>
                <w:szCs w:val="14"/>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Pro Forma</w:t>
            </w:r>
          </w:p>
        </w:tc>
        <w:tc>
          <w:tcPr>
            <w:tcW w:w="0" w:type="dxa"/>
            <w:vAlign w:val="bottom"/>
          </w:tcPr>
          <w:p>
            <w:pPr>
              <w:spacing w:after="0"/>
              <w:rPr>
                <w:sz w:val="1"/>
                <w:szCs w:val="1"/>
                <w:color w:val="auto"/>
              </w:rPr>
            </w:pPr>
          </w:p>
        </w:tc>
      </w:tr>
      <w:tr>
        <w:trPr>
          <w:trHeight w:val="174"/>
        </w:trPr>
        <w:tc>
          <w:tcPr>
            <w:tcW w:w="6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Itron</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54"/>
              <w:spacing w:after="0"/>
              <w:rPr>
                <w:sz w:val="20"/>
                <w:szCs w:val="20"/>
                <w:color w:val="auto"/>
              </w:rPr>
            </w:pPr>
            <w:r>
              <w:rPr>
                <w:rFonts w:ascii="Arial" w:cs="Arial" w:eastAsia="Arial" w:hAnsi="Arial"/>
                <w:sz w:val="14"/>
                <w:szCs w:val="14"/>
                <w:b w:val="1"/>
                <w:bCs w:val="1"/>
                <w:color w:val="auto"/>
              </w:rPr>
              <w:t>SEM</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4"/>
              <w:spacing w:after="0"/>
              <w:rPr>
                <w:sz w:val="20"/>
                <w:szCs w:val="20"/>
                <w:color w:val="auto"/>
              </w:rPr>
            </w:pPr>
            <w:r>
              <w:rPr>
                <w:rFonts w:ascii="Arial" w:cs="Arial" w:eastAsia="Arial" w:hAnsi="Arial"/>
                <w:sz w:val="14"/>
                <w:szCs w:val="14"/>
                <w:b w:val="1"/>
                <w:bCs w:val="1"/>
                <w:color w:val="auto"/>
                <w:w w:val="84"/>
              </w:rPr>
              <w:t>Adjustments</w:t>
            </w: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Itron</w:t>
            </w:r>
          </w:p>
        </w:tc>
        <w:tc>
          <w:tcPr>
            <w:tcW w:w="0" w:type="dxa"/>
            <w:vAlign w:val="bottom"/>
          </w:tcPr>
          <w:p>
            <w:pPr>
              <w:spacing w:after="0"/>
              <w:rPr>
                <w:sz w:val="1"/>
                <w:szCs w:val="1"/>
                <w:color w:val="auto"/>
              </w:rPr>
            </w:pPr>
          </w:p>
        </w:tc>
      </w:tr>
      <w:tr>
        <w:trPr>
          <w:trHeight w:val="95"/>
        </w:trPr>
        <w:tc>
          <w:tcPr>
            <w:tcW w:w="6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4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w w:val="93"/>
              </w:rPr>
              <w:t>(in thousands)</w:t>
            </w: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56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cash equivalents and short-term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(6,240)(10)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70,782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4,850</w:t>
            </w:r>
          </w:p>
        </w:tc>
        <w:tc>
          <w:tcPr>
            <w:tcW w:w="860" w:type="dxa"/>
            <w:vAlign w:val="bottom"/>
          </w:tcPr>
          <w:p>
            <w:pPr>
              <w:jc w:val="right"/>
              <w:ind w:right="432"/>
              <w:spacing w:after="0"/>
              <w:rPr>
                <w:sz w:val="20"/>
                <w:szCs w:val="20"/>
                <w:color w:val="auto"/>
              </w:rPr>
            </w:pPr>
            <w:r>
              <w:rPr>
                <w:rFonts w:ascii="Arial" w:cs="Arial" w:eastAsia="Arial" w:hAnsi="Arial"/>
                <w:sz w:val="18"/>
                <w:szCs w:val="18"/>
                <w:color w:val="auto"/>
                <w:w w:val="99"/>
              </w:rPr>
              <w:t>(11)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8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9"/>
              </w:rPr>
              <w:t>(12)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16,230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6,748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412"/>
              <w:spacing w:after="0"/>
              <w:rPr>
                <w:sz w:val="20"/>
                <w:szCs w:val="20"/>
                <w:color w:val="auto"/>
              </w:rPr>
            </w:pPr>
            <w:r>
              <w:rPr>
                <w:rFonts w:ascii="Arial" w:cs="Arial" w:eastAsia="Arial" w:hAnsi="Arial"/>
                <w:sz w:val="18"/>
                <w:szCs w:val="18"/>
                <w:color w:val="auto"/>
              </w:rPr>
              <w:t>(5,587)(13)</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109,289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(5,342)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162,221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32,414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w:t>
            </w:r>
          </w:p>
        </w:tc>
        <w:tc>
          <w:tcPr>
            <w:tcW w:w="860" w:type="dxa"/>
            <w:vAlign w:val="bottom"/>
          </w:tcPr>
          <w:p>
            <w:pPr>
              <w:jc w:val="right"/>
              <w:ind w:right="432"/>
              <w:spacing w:after="0"/>
              <w:rPr>
                <w:sz w:val="20"/>
                <w:szCs w:val="20"/>
                <w:color w:val="auto"/>
              </w:rPr>
            </w:pPr>
            <w:r>
              <w:rPr>
                <w:rFonts w:ascii="Arial" w:cs="Arial" w:eastAsia="Arial" w:hAnsi="Arial"/>
                <w:sz w:val="18"/>
                <w:szCs w:val="18"/>
                <w:color w:val="auto"/>
                <w:w w:val="99"/>
              </w:rPr>
              <w:t>(14)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Equipment used in outsourcing,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100,000</w:t>
            </w:r>
          </w:p>
        </w:tc>
        <w:tc>
          <w:tcPr>
            <w:tcW w:w="860" w:type="dxa"/>
            <w:vAlign w:val="bottom"/>
          </w:tcPr>
          <w:p>
            <w:pPr>
              <w:jc w:val="right"/>
              <w:ind w:right="432"/>
              <w:spacing w:after="0"/>
              <w:rPr>
                <w:sz w:val="20"/>
                <w:szCs w:val="20"/>
                <w:color w:val="auto"/>
              </w:rPr>
            </w:pPr>
            <w:r>
              <w:rPr>
                <w:rFonts w:ascii="Arial" w:cs="Arial" w:eastAsia="Arial" w:hAnsi="Arial"/>
                <w:sz w:val="18"/>
                <w:szCs w:val="18"/>
                <w:color w:val="auto"/>
                <w:w w:val="99"/>
              </w:rPr>
              <w:t>(15)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119,869</w:t>
            </w:r>
          </w:p>
        </w:tc>
        <w:tc>
          <w:tcPr>
            <w:tcW w:w="86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9"/>
              </w:rPr>
              <w:t>(16)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Other long-term assets</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38,018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34,043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412"/>
              <w:spacing w:after="0"/>
              <w:rPr>
                <w:sz w:val="20"/>
                <w:szCs w:val="20"/>
                <w:color w:val="auto"/>
              </w:rPr>
            </w:pPr>
            <w:r>
              <w:rPr>
                <w:rFonts w:ascii="Arial" w:cs="Arial" w:eastAsia="Arial" w:hAnsi="Arial"/>
                <w:sz w:val="18"/>
                <w:szCs w:val="18"/>
                <w:color w:val="auto"/>
              </w:rPr>
              <w:t>(23,669)(17)</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303,489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191,131</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603,462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6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(2,893)(18)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Wages and benefits payable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10,711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412"/>
              <w:spacing w:after="0"/>
              <w:rPr>
                <w:sz w:val="20"/>
                <w:szCs w:val="20"/>
                <w:color w:val="auto"/>
              </w:rPr>
            </w:pPr>
            <w:r>
              <w:rPr>
                <w:rFonts w:ascii="Arial" w:cs="Arial" w:eastAsia="Arial" w:hAnsi="Arial"/>
                <w:sz w:val="18"/>
                <w:szCs w:val="18"/>
                <w:color w:val="auto"/>
              </w:rPr>
              <w:t>(1,656)(19)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(7,347)(20)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Current portion of debt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38,245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412"/>
              <w:spacing w:after="0"/>
              <w:rPr>
                <w:sz w:val="20"/>
                <w:szCs w:val="20"/>
                <w:color w:val="auto"/>
              </w:rPr>
            </w:pPr>
            <w:r>
              <w:rPr>
                <w:rFonts w:ascii="Arial" w:cs="Arial" w:eastAsia="Arial" w:hAnsi="Arial"/>
                <w:sz w:val="18"/>
                <w:szCs w:val="18"/>
                <w:color w:val="auto"/>
              </w:rPr>
              <w:t>(35,650)(20)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(350)(21)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12"/>
              <w:spacing w:after="0"/>
              <w:rPr>
                <w:sz w:val="20"/>
                <w:szCs w:val="20"/>
                <w:color w:val="auto"/>
              </w:rPr>
            </w:pPr>
            <w:r>
              <w:rPr>
                <w:rFonts w:ascii="Arial" w:cs="Arial" w:eastAsia="Arial" w:hAnsi="Arial"/>
                <w:sz w:val="18"/>
                <w:szCs w:val="18"/>
                <w:color w:val="auto"/>
              </w:rPr>
              <w:t>(47,896)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102,779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Long term debt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308,150</w:t>
            </w:r>
          </w:p>
        </w:tc>
        <w:tc>
          <w:tcPr>
            <w:tcW w:w="860" w:type="dxa"/>
            <w:vAlign w:val="bottom"/>
          </w:tcPr>
          <w:p>
            <w:pPr>
              <w:jc w:val="right"/>
              <w:ind w:right="432"/>
              <w:spacing w:after="0"/>
              <w:rPr>
                <w:sz w:val="20"/>
                <w:szCs w:val="20"/>
                <w:color w:val="auto"/>
              </w:rPr>
            </w:pPr>
            <w:r>
              <w:rPr>
                <w:rFonts w:ascii="Arial" w:cs="Arial" w:eastAsia="Arial" w:hAnsi="Arial"/>
                <w:sz w:val="18"/>
                <w:szCs w:val="18"/>
                <w:color w:val="auto"/>
                <w:w w:val="99"/>
              </w:rPr>
              <w:t>(20)</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312,174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(65,162)(22)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195,092</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426,039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Minority interest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(3,961)(23)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303,489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108,842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191,131</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603,462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-2550795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-2550795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-2550795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-2550795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-2550795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-2550795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-2550795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-2550795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-2550795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-2550795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-2550795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-2550795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Consolidated Financial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6" w:name="page7"/>
    <w:bookmarkEnd w:id="6"/>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Unaudited Pro Forma Condensed Consolidated Financial Data</w:t>
      </w:r>
    </w:p>
    <w:p>
      <w:pPr>
        <w:spacing w:after="0" w:line="164" w:lineRule="exact"/>
        <w:rPr>
          <w:sz w:val="20"/>
          <w:szCs w:val="20"/>
          <w:color w:val="auto"/>
        </w:rPr>
      </w:pPr>
    </w:p>
    <w:p>
      <w:pPr>
        <w:ind w:left="572" w:hanging="484"/>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to eliminate intercompany sales activity, which consists primarily of royalty sales.</w:t>
      </w:r>
    </w:p>
    <w:p>
      <w:pPr>
        <w:spacing w:after="0" w:line="15" w:lineRule="exact"/>
        <w:rPr>
          <w:rFonts w:ascii="Arial" w:cs="Arial" w:eastAsia="Arial" w:hAnsi="Arial"/>
          <w:sz w:val="18"/>
          <w:szCs w:val="18"/>
          <w:color w:val="auto"/>
        </w:rPr>
      </w:pPr>
    </w:p>
    <w:p>
      <w:pPr>
        <w:ind w:left="572" w:right="220" w:hanging="484"/>
        <w:spacing w:after="0" w:line="250"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adjustment to remove $(4,585) in pension and post-retirement costs related to SEM plans that Itron will not be assuming, to remove intercompany royalty cost of sales of $(6,024), to reflect a decrease in depreciation expense of $(1,755) based on estimated fair values of SEM’s property, plant and equipment depreciated in accordance with Itron’s policy and to remove the SEM LIFO inventory reserve impact of $130 to conform with Itron’s FIFO inventory accounting policy.</w:t>
      </w:r>
    </w:p>
    <w:p>
      <w:pPr>
        <w:spacing w:after="0" w:line="1" w:lineRule="exact"/>
        <w:rPr>
          <w:rFonts w:ascii="Arial" w:cs="Arial" w:eastAsia="Arial" w:hAnsi="Arial"/>
          <w:sz w:val="18"/>
          <w:szCs w:val="18"/>
          <w:color w:val="auto"/>
        </w:rPr>
      </w:pPr>
    </w:p>
    <w:p>
      <w:pPr>
        <w:ind w:left="572" w:right="280" w:hanging="484"/>
        <w:spacing w:after="0" w:line="250"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adjustment consists of a decrease of $(14) in depreciation expense calculated in accordance with Itron’s policy and $(765) to remove pension and post-retirement costs related to SEM retirement plans that Itron will not be assuming.</w:t>
      </w:r>
    </w:p>
    <w:p>
      <w:pPr>
        <w:ind w:left="572" w:right="160" w:hanging="484"/>
        <w:spacing w:after="0" w:line="250"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adjustment consists of a decrease of $(11) in depreciation expense calculated in accordance with Itron’s policy and $(1,181) to remove pension and post-retirement costs related to SEM plans that Itron will not be assuming.</w:t>
      </w:r>
    </w:p>
    <w:p>
      <w:pPr>
        <w:ind w:left="572" w:right="200" w:hanging="484"/>
        <w:spacing w:after="0" w:line="250"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adjustment consists of a decrease of $(160) in depreciation expense calculated in accordance with Itron’s policy and $(416) to remove pension and post-retirement costs related to SEM plans that Itron will not be assuming.</w:t>
      </w:r>
    </w:p>
    <w:p>
      <w:pPr>
        <w:ind w:left="572" w:right="280" w:hanging="484"/>
        <w:spacing w:after="0" w:line="250"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adjustment to eliminate historical amortization expense of $(85) for Silicon and to increase amortization expense by $17,628 for intangible assets associated with Silicon and SEM.</w:t>
      </w:r>
    </w:p>
    <w:p>
      <w:pPr>
        <w:ind w:left="572" w:right="320" w:hanging="484"/>
        <w:spacing w:after="0" w:line="281" w:lineRule="auto"/>
        <w:tabs>
          <w:tab w:leader="none" w:pos="572"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adjustment consists of an increase in interest expense for new debt issued in connection with the Acquisition along with amortization of deferred financing costs of $20,838 and a decrease in interest expense of $(1,639) for debt repaid upon the Acquisition closing.</w:t>
      </w:r>
    </w:p>
    <w:p>
      <w:pPr>
        <w:spacing w:after="0" w:line="1" w:lineRule="exact"/>
        <w:rPr>
          <w:rFonts w:ascii="Arial" w:cs="Arial" w:eastAsia="Arial" w:hAnsi="Arial"/>
          <w:sz w:val="16"/>
          <w:szCs w:val="16"/>
          <w:color w:val="auto"/>
        </w:rPr>
      </w:pPr>
    </w:p>
    <w:p>
      <w:pPr>
        <w:ind w:left="572" w:hanging="484"/>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to remove Silicon interest income related to note receivables from Silicon officers that were not assumed by Itron.</w:t>
      </w:r>
    </w:p>
    <w:p>
      <w:pPr>
        <w:spacing w:after="0" w:line="9" w:lineRule="exact"/>
        <w:rPr>
          <w:rFonts w:ascii="Arial" w:cs="Arial" w:eastAsia="Arial" w:hAnsi="Arial"/>
          <w:sz w:val="18"/>
          <w:szCs w:val="18"/>
          <w:color w:val="auto"/>
        </w:rPr>
      </w:pPr>
    </w:p>
    <w:p>
      <w:pPr>
        <w:ind w:left="572" w:hanging="484"/>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to revise income tax provision utilizing Itron’s statutory rate of 39.0%.</w:t>
      </w:r>
    </w:p>
    <w:p>
      <w:pPr>
        <w:spacing w:after="0" w:line="9" w:lineRule="exact"/>
        <w:rPr>
          <w:rFonts w:ascii="Arial" w:cs="Arial" w:eastAsia="Arial" w:hAnsi="Arial"/>
          <w:sz w:val="18"/>
          <w:szCs w:val="18"/>
          <w:color w:val="auto"/>
        </w:rPr>
      </w:pP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represents payments for professional services related to the Transactions.</w:t>
      </w:r>
    </w:p>
    <w:p>
      <w:pPr>
        <w:spacing w:after="0" w:line="9" w:lineRule="exact"/>
        <w:rPr>
          <w:rFonts w:ascii="Arial" w:cs="Arial" w:eastAsia="Arial" w:hAnsi="Arial"/>
          <w:sz w:val="18"/>
          <w:szCs w:val="18"/>
          <w:color w:val="auto"/>
        </w:rPr>
      </w:pPr>
    </w:p>
    <w:p>
      <w:pPr>
        <w:ind w:left="572" w:right="180" w:hanging="572"/>
        <w:spacing w:after="0" w:line="250"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adjustment to eliminate $(1,752) in intercompany accounts receivable and to add $6,602 for tax liabilities that are reflected on the opening balance sheet that will be reimbursed by Schlumberger, Ltd.</w:t>
      </w:r>
    </w:p>
    <w:p>
      <w:pPr>
        <w:ind w:left="572" w:hanging="572"/>
        <w:spacing w:after="0"/>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to remove SEM’s LIFO inventory reserve in order to conform with Itron’s FIFO inventory accounting policy.</w:t>
      </w:r>
    </w:p>
    <w:p>
      <w:pPr>
        <w:spacing w:after="0" w:line="9" w:lineRule="exact"/>
        <w:rPr>
          <w:rFonts w:ascii="Arial" w:cs="Arial" w:eastAsia="Arial" w:hAnsi="Arial"/>
          <w:sz w:val="18"/>
          <w:szCs w:val="18"/>
          <w:color w:val="auto"/>
        </w:rPr>
      </w:pPr>
    </w:p>
    <w:p>
      <w:pPr>
        <w:ind w:left="572" w:hanging="572"/>
        <w:spacing w:after="0" w:line="250"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adjustment to remove the current portion of deferred income taxes of $(4,239) as the Acquisition will involve a 338(h)10 tax election and $(3,748) in prepaid professional services related to the Transactions, plus $2,400 to capitalize the current portion of debt issuance costs that will be amortized over the related financing.</w:t>
      </w:r>
    </w:p>
    <w:p>
      <w:pPr>
        <w:spacing w:after="0" w:line="1" w:lineRule="exact"/>
        <w:rPr>
          <w:rFonts w:ascii="Arial" w:cs="Arial" w:eastAsia="Arial" w:hAnsi="Arial"/>
          <w:sz w:val="18"/>
          <w:szCs w:val="18"/>
          <w:color w:val="auto"/>
        </w:rPr>
      </w:pPr>
    </w:p>
    <w:p>
      <w:pPr>
        <w:ind w:left="572" w:right="220" w:hanging="572"/>
        <w:spacing w:after="0" w:line="250"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to reflect a net increase in property, plant and equipment based on estimated fair values. These fair value estimates are preliminary and are subject to future adjustment based on finalization of a valuation conducted by a third party.</w:t>
      </w:r>
    </w:p>
    <w:p>
      <w:pPr>
        <w:ind w:left="572" w:right="400" w:hanging="572"/>
        <w:spacing w:after="0" w:line="261" w:lineRule="auto"/>
        <w:tabs>
          <w:tab w:leader="none" w:pos="572"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to reflect intangible assets identified and the fair values assigned, which are preliminary and subject to future adjustment based upon an evaluation by a third party.</w:t>
      </w:r>
    </w:p>
    <w:p>
      <w:pPr>
        <w:spacing w:after="0" w:line="52" w:lineRule="exact"/>
        <w:rPr>
          <w:sz w:val="20"/>
          <w:szCs w:val="20"/>
          <w:color w:val="auto"/>
        </w:rPr>
      </w:pPr>
    </w:p>
    <w:tbl>
      <w:tblPr>
        <w:tblLayout w:type="fixed"/>
        <w:tblInd w:w="113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23,000</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Contract manufacturing agreement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Trademarks/trade names</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108"/>
        </w:trPr>
        <w:tc>
          <w:tcPr>
            <w:tcW w:w="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4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r>
      <w:tr>
        <w:trPr>
          <w:trHeight w:val="132"/>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6061075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6515735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6" w:lineRule="exact"/>
        <w:rPr>
          <w:sz w:val="20"/>
          <w:szCs w:val="20"/>
          <w:color w:val="auto"/>
        </w:rPr>
      </w:pPr>
    </w:p>
    <w:p>
      <w:pPr>
        <w:ind w:left="572" w:hanging="572"/>
        <w:spacing w:after="0"/>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Adjustment reflects goodwill from the Acquisition after allocating the purchase price to the fair value of net assets acquired.</w:t>
      </w:r>
    </w:p>
    <w:p>
      <w:pPr>
        <w:spacing w:after="0" w:line="15" w:lineRule="exact"/>
        <w:rPr>
          <w:rFonts w:ascii="Arial" w:cs="Arial" w:eastAsia="Arial" w:hAnsi="Arial"/>
          <w:sz w:val="18"/>
          <w:szCs w:val="18"/>
          <w:color w:val="auto"/>
        </w:rPr>
      </w:pPr>
    </w:p>
    <w:p>
      <w:pPr>
        <w:ind w:left="572" w:right="40" w:hanging="572"/>
        <w:spacing w:after="0" w:line="255" w:lineRule="auto"/>
        <w:tabs>
          <w:tab w:leader="none" w:pos="572"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adjustment to remove $(23,960) in long-term deferred income taxes as the Acquisition will involve a 338(h)10 tax election to eliminate a $(10,029) prepaid pension asset Itron is not assuming, plus $10,320 to capitalize the long-term portion of debt issuance costs that will be amortized over the related financing.</w:t>
      </w:r>
    </w:p>
    <w:p>
      <w:pPr>
        <w:spacing w:after="0" w:line="13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52"/>
          </w:cols>
          <w:pgMar w:left="248" w:top="274" w:right="299" w:bottom="1440" w:gutter="0" w:footer="0" w:header="0"/>
        </w:sectPr>
      </w:pPr>
    </w:p>
    <w:bookmarkStart w:id="7" w:name="page8"/>
    <w:bookmarkEnd w:id="7"/>
    <w:p>
      <w:pPr>
        <w:jc w:val="center"/>
        <w:ind w:right="-1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Unaudited Pro Forma Condensed Consolidated Financial Data (Continued)</w:t>
      </w:r>
    </w:p>
    <w:p>
      <w:pPr>
        <w:spacing w:after="0" w:line="164" w:lineRule="exact"/>
        <w:rPr>
          <w:sz w:val="20"/>
          <w:szCs w:val="20"/>
          <w:color w:val="auto"/>
        </w:rPr>
      </w:pPr>
    </w:p>
    <w:p>
      <w:pPr>
        <w:ind w:left="572" w:hanging="572"/>
        <w:spacing w:after="0"/>
        <w:tabs>
          <w:tab w:leader="none" w:pos="572"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adjustment to remove SEM’s accrued royalties payable to Itron of $(1,752) and $(1,141) of accrued professional services related to the Transactions.</w:t>
      </w:r>
    </w:p>
    <w:p>
      <w:pPr>
        <w:spacing w:after="0" w:line="49" w:lineRule="exact"/>
        <w:rPr>
          <w:rFonts w:ascii="Arial" w:cs="Arial" w:eastAsia="Arial" w:hAnsi="Arial"/>
          <w:sz w:val="15"/>
          <w:szCs w:val="15"/>
          <w:color w:val="auto"/>
        </w:rPr>
      </w:pPr>
    </w:p>
    <w:p>
      <w:pPr>
        <w:ind w:left="572" w:right="180" w:hanging="572"/>
        <w:spacing w:after="0" w:line="250" w:lineRule="auto"/>
        <w:tabs>
          <w:tab w:leader="none" w:pos="572"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adjustment to remove the liabilities that Itron will not be assuming which include $(60) for vacation in excess of defined hours, $(372) related to a pension plan, and $(1,224) for 401(k) contributions.</w:t>
      </w:r>
    </w:p>
    <w:p>
      <w:pPr>
        <w:ind w:left="572" w:hanging="572"/>
        <w:spacing w:after="0"/>
        <w:tabs>
          <w:tab w:leader="none" w:pos="572"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adjustment of short-term borrowings and current and long-term debt is as follows:</w:t>
      </w:r>
    </w:p>
    <w:p>
      <w:pPr>
        <w:spacing w:after="0" w:line="53" w:lineRule="exact"/>
        <w:rPr>
          <w:sz w:val="20"/>
          <w:szCs w:val="20"/>
          <w:color w:val="auto"/>
        </w:rPr>
      </w:pPr>
    </w:p>
    <w:tbl>
      <w:tblPr>
        <w:tblLayout w:type="fixed"/>
        <w:tblInd w:w="113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Short-term</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Current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2"/>
              </w:rPr>
              <w:t>Long-term</w:t>
            </w: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6"/>
              </w:rPr>
              <w:t>borrowings</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debt</w:t>
            </w:r>
          </w:p>
        </w:tc>
        <w:tc>
          <w:tcPr>
            <w:tcW w:w="300" w:type="dxa"/>
            <w:vAlign w:val="bottom"/>
          </w:tcPr>
          <w:p>
            <w:pPr>
              <w:spacing w:after="0"/>
              <w:rPr>
                <w:sz w:val="15"/>
                <w:szCs w:val="15"/>
                <w:color w:val="auto"/>
              </w:rPr>
            </w:pPr>
          </w:p>
        </w:tc>
        <w:tc>
          <w:tcPr>
            <w:tcW w:w="720" w:type="dxa"/>
            <w:vAlign w:val="bottom"/>
          </w:tcPr>
          <w:p>
            <w:pPr>
              <w:jc w:val="right"/>
              <w:ind w:right="160"/>
              <w:spacing w:after="0"/>
              <w:rPr>
                <w:sz w:val="20"/>
                <w:szCs w:val="20"/>
                <w:color w:val="auto"/>
              </w:rPr>
            </w:pPr>
            <w:r>
              <w:rPr>
                <w:rFonts w:ascii="Arial" w:cs="Arial" w:eastAsia="Arial" w:hAnsi="Arial"/>
                <w:sz w:val="14"/>
                <w:szCs w:val="14"/>
                <w:b w:val="1"/>
                <w:bCs w:val="1"/>
                <w:color w:val="auto"/>
              </w:rPr>
              <w:t>debt</w:t>
            </w: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4"/>
              </w:rPr>
              <w:t>(in thousands)</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New revolving line of credit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New term debt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1,850</w:t>
            </w:r>
          </w:p>
        </w:tc>
        <w:tc>
          <w:tcPr>
            <w:tcW w:w="3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$ 183,150</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notes offered hereby</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Existing revolving line of credit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(10,000)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Existing term loan</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(37,500)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(7,347)</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(35,650)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$ 308,150</w:t>
            </w:r>
          </w:p>
        </w:tc>
      </w:tr>
      <w:tr>
        <w:trPr>
          <w:trHeight w:val="132"/>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4783455</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5220335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5623560</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6061075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6515735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6" w:lineRule="exact"/>
        <w:rPr>
          <w:sz w:val="20"/>
          <w:szCs w:val="20"/>
          <w:color w:val="auto"/>
        </w:rPr>
      </w:pPr>
    </w:p>
    <w:p>
      <w:pPr>
        <w:ind w:left="572" w:hanging="572"/>
        <w:spacing w:after="0"/>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remove the current portion of an environmental accrual.</w:t>
      </w:r>
    </w:p>
    <w:p>
      <w:pPr>
        <w:spacing w:after="0" w:line="15" w:lineRule="exact"/>
        <w:rPr>
          <w:rFonts w:ascii="Arial" w:cs="Arial" w:eastAsia="Arial" w:hAnsi="Arial"/>
          <w:sz w:val="18"/>
          <w:szCs w:val="18"/>
          <w:color w:val="auto"/>
        </w:rPr>
      </w:pPr>
    </w:p>
    <w:p>
      <w:pPr>
        <w:ind w:left="572" w:right="20" w:hanging="572"/>
        <w:spacing w:after="0" w:line="250" w:lineRule="auto"/>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adjustment to remove a post-retirement liability of $(61,212) and the long term portion of an environmental accrual of $(3,950) that Itron will not be assuming.</w:t>
      </w:r>
    </w:p>
    <w:p>
      <w:pPr>
        <w:ind w:left="572" w:hanging="572"/>
        <w:spacing w:after="0"/>
        <w:tabs>
          <w:tab w:leader="none" w:pos="572"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adjustment to eliminate SEM’s equity.</w:t>
      </w:r>
    </w:p>
    <w:p>
      <w:pPr>
        <w:spacing w:after="0" w:line="151"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12"/>
          </w:cols>
          <w:pgMar w:left="248" w:top="27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SEM SELECTED HISTORICAL COMBINED FINANCIAL DATA</w:t>
      </w:r>
    </w:p>
    <w:p>
      <w:pPr>
        <w:spacing w:after="0" w:line="164"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The following table sets forth SEM’s selected historical combined financial data for the three years ended December 31, 2003, which have been derived from SEM’s audited financial statements and related notes included elsewhere in this offering memorandum. This historical combined financial data should be read in conjunction with “Management’s Discussion and Analysis of Financial Condition and Results of Operations” and SEM’s combined financial statements and related notes.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9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590" w:type="dxa"/>
            <w:vAlign w:val="bottom"/>
          </w:tcPr>
          <w:p>
            <w:pPr>
              <w:jc w:val="right"/>
              <w:ind w:right="133"/>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2002</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59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40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Revenues:</w:t>
            </w:r>
          </w:p>
        </w:tc>
        <w:tc>
          <w:tcPr>
            <w:tcW w:w="415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90" w:type="dxa"/>
            <w:vAlign w:val="bottom"/>
          </w:tcPr>
          <w:p>
            <w:pPr>
              <w:jc w:val="right"/>
              <w:spacing w:after="0"/>
              <w:rPr>
                <w:sz w:val="20"/>
                <w:szCs w:val="20"/>
                <w:color w:val="auto"/>
              </w:rPr>
            </w:pPr>
            <w:r>
              <w:rPr>
                <w:rFonts w:ascii="Arial" w:cs="Arial" w:eastAsia="Arial" w:hAnsi="Arial"/>
                <w:sz w:val="18"/>
                <w:szCs w:val="18"/>
                <w:color w:val="auto"/>
                <w:w w:val="86"/>
              </w:rPr>
              <w:t>194,557</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228,850</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294,165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40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145,208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172,866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Gross Profit</w:t>
            </w:r>
          </w:p>
        </w:tc>
        <w:tc>
          <w:tcPr>
            <w:tcW w:w="40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49,349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55,984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expenses</w:t>
            </w:r>
          </w:p>
        </w:tc>
        <w:tc>
          <w:tcPr>
            <w:tcW w:w="40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Operating income</w:t>
            </w:r>
          </w:p>
        </w:tc>
        <w:tc>
          <w:tcPr>
            <w:tcW w:w="40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15,403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21,404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40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40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gridSpan w:val="2"/>
          </w:tcPr>
          <w:p>
            <w:pPr>
              <w:jc w:val="right"/>
              <w:ind w:right="40"/>
              <w:spacing w:after="0"/>
              <w:rPr>
                <w:sz w:val="20"/>
                <w:szCs w:val="20"/>
                <w:color w:val="auto"/>
              </w:rPr>
            </w:pPr>
            <w:r>
              <w:rPr>
                <w:rFonts w:ascii="Arial" w:cs="Arial" w:eastAsia="Arial" w:hAnsi="Arial"/>
                <w:sz w:val="18"/>
                <w:szCs w:val="18"/>
                <w:color w:val="auto"/>
              </w:rPr>
              <w:t>(457)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provision</w:t>
            </w:r>
          </w:p>
        </w:tc>
        <w:tc>
          <w:tcPr>
            <w:tcW w:w="40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(11,571)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415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0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10" w:type="dxa"/>
            <w:vAlign w:val="bottom"/>
          </w:tcPr>
          <w:p>
            <w:pPr>
              <w:spacing w:after="0"/>
              <w:rPr>
                <w:sz w:val="9"/>
                <w:szCs w:val="9"/>
                <w:color w:val="auto"/>
              </w:rPr>
            </w:pPr>
          </w:p>
        </w:tc>
        <w:tc>
          <w:tcPr>
            <w:tcW w:w="59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40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EBITDA (1)</w:t>
            </w:r>
          </w:p>
        </w:tc>
        <w:tc>
          <w:tcPr>
            <w:tcW w:w="415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90" w:type="dxa"/>
            <w:vAlign w:val="bottom"/>
          </w:tcPr>
          <w:p>
            <w:pPr>
              <w:jc w:val="right"/>
              <w:spacing w:after="0"/>
              <w:rPr>
                <w:sz w:val="20"/>
                <w:szCs w:val="20"/>
                <w:color w:val="auto"/>
              </w:rPr>
            </w:pPr>
            <w:r>
              <w:rPr>
                <w:rFonts w:ascii="Arial" w:cs="Arial" w:eastAsia="Arial" w:hAnsi="Arial"/>
                <w:sz w:val="18"/>
                <w:szCs w:val="18"/>
                <w:color w:val="auto"/>
              </w:rPr>
              <w:t>20,506</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27,550</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Adjusted EBITDA (2)</w:t>
            </w:r>
          </w:p>
        </w:tc>
        <w:tc>
          <w:tcPr>
            <w:tcW w:w="40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0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40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Operating Data:</w:t>
            </w:r>
          </w:p>
        </w:tc>
        <w:tc>
          <w:tcPr>
            <w:tcW w:w="40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Electricity meters shipped</w:t>
            </w:r>
          </w:p>
        </w:tc>
        <w:tc>
          <w:tcPr>
            <w:tcW w:w="40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404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Working capital</w:t>
            </w:r>
          </w:p>
        </w:tc>
        <w:tc>
          <w:tcPr>
            <w:tcW w:w="415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17,559</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40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98,909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112,079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debt</w:t>
            </w:r>
          </w:p>
        </w:tc>
        <w:tc>
          <w:tcPr>
            <w:tcW w:w="40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Shareholders’ equity</w:t>
            </w:r>
          </w:p>
        </w:tc>
        <w:tc>
          <w:tcPr>
            <w:tcW w:w="40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40" w:type="dxa"/>
            <w:vAlign w:val="bottom"/>
          </w:tcPr>
          <w:p>
            <w:pPr>
              <w:jc w:val="right"/>
              <w:ind w:right="2312"/>
              <w:spacing w:after="0"/>
              <w:rPr>
                <w:sz w:val="20"/>
                <w:szCs w:val="20"/>
                <w:color w:val="auto"/>
              </w:rPr>
            </w:pPr>
            <w:r>
              <w:rPr>
                <w:rFonts w:ascii="Arial" w:cs="Arial" w:eastAsia="Arial" w:hAnsi="Arial"/>
                <w:sz w:val="18"/>
                <w:szCs w:val="18"/>
                <w:color w:val="auto"/>
              </w:rPr>
              <w:t>8</w:t>
            </w: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-2110105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-2110105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-2110105</wp:posOffset>
            </wp:positionV>
            <wp:extent cx="3873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-2110105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-2110105</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-2110105</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-2110105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-2110105</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-2110105</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ind w:left="460" w:right="8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461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46125" cy="8890"/>
                    </a:xfrm>
                    <a:prstGeom prst="rect">
                      <a:avLst/>
                    </a:prstGeom>
                    <a:noFill/>
                  </pic:spPr>
                </pic:pic>
              </a:graphicData>
            </a:graphic>
          </wp:anchor>
        </w:drawing>
        <w:t>EBITDA is defined as net income before interest expense, income tax expense and depreciation and amortization. We believe that EBITDA provides management with useful information to measure our ability to service debt, make capital expenditures and make decisions regarding our operational performance. However, EBITDA is not a measure in accordance with generally accepted accounting principles (GAAP) and should be viewed in addition to, and not in lieu of, GAAP results. In addition, because EBITDA is not defined consistently by all companies, this presentation of EBITDA may not be comparable to similarly titled measures of other companies. A reconciliation of EBITDA to net income and net cash provided by operating activities under GAAP is as follows:</w:t>
      </w:r>
    </w:p>
    <w:p>
      <w:pPr>
        <w:spacing w:after="0" w:line="4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9"/>
              </w:rPr>
              <w:t>Year ended December 31,</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520" w:type="dxa"/>
            <w:vAlign w:val="bottom"/>
          </w:tcPr>
          <w:p>
            <w:pPr>
              <w:ind w:left="280"/>
              <w:spacing w:after="0"/>
              <w:rPr>
                <w:sz w:val="20"/>
                <w:szCs w:val="20"/>
                <w:color w:val="auto"/>
              </w:rPr>
            </w:pPr>
            <w:r>
              <w:rPr>
                <w:rFonts w:ascii="Arial" w:cs="Arial" w:eastAsia="Arial" w:hAnsi="Arial"/>
                <w:sz w:val="14"/>
                <w:szCs w:val="14"/>
                <w:b w:val="1"/>
                <w:bCs w:val="1"/>
                <w:color w:val="auto"/>
              </w:rPr>
              <w:t>EBITDA Reconciliation to GAAP</w:t>
            </w:r>
          </w:p>
        </w:tc>
        <w:tc>
          <w:tcPr>
            <w:tcW w:w="2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10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$12,052</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$ 16,323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6,210</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9,335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6,115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20,506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27,550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16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(48)</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(6,210)</w:t>
            </w:r>
          </w:p>
        </w:tc>
        <w:tc>
          <w:tcPr>
            <w:tcW w:w="1600" w:type="dxa"/>
            <w:vAlign w:val="bottom"/>
            <w:gridSpan w:val="4"/>
          </w:tcPr>
          <w:p>
            <w:pPr>
              <w:jc w:val="right"/>
              <w:ind w:right="480"/>
              <w:spacing w:after="0"/>
              <w:rPr>
                <w:sz w:val="20"/>
                <w:szCs w:val="20"/>
                <w:color w:val="auto"/>
              </w:rPr>
            </w:pPr>
            <w:r>
              <w:rPr>
                <w:rFonts w:ascii="Arial" w:cs="Arial" w:eastAsia="Arial" w:hAnsi="Arial"/>
                <w:sz w:val="18"/>
                <w:szCs w:val="18"/>
                <w:color w:val="auto"/>
              </w:rPr>
              <w:t>(9,335)</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provision</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(3,069)</w:t>
            </w:r>
          </w:p>
        </w:tc>
        <w:tc>
          <w:tcPr>
            <w:tcW w:w="16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(190)</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Provision for allowance for doubtful accounts</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inventory obsolescence</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Gain on disposal of property, plant and equipment</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Non-cash change in pension and post retirement obligations</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(4,176)</w:t>
            </w:r>
          </w:p>
        </w:tc>
        <w:tc>
          <w:tcPr>
            <w:tcW w:w="16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(347)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2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14,098</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999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22,391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$20,291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$ 17,667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-29210</wp:posOffset>
            </wp:positionV>
            <wp:extent cx="39878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460" w:right="34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is defined as EBITDA plus the non-recurring charge associated with litigation. We believe that Adjusted EBITDA provides management with useful information to measure our ability to service debt, make capital expenditures and make decisions regarding our operational performance and we believe it is more indicative of these measures than EBITDA. However, Adjusted EBITDA is not a measure in accordance with generally accepted accounting principles (GAAP) and should be viewed in addition to, and not in lieu of, GAAP results. The following table reconciles Adjusted EBITDA to EBITDA:</w:t>
      </w:r>
    </w:p>
    <w:p>
      <w:pPr>
        <w:spacing w:after="0" w:line="4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420" w:type="dxa"/>
            <w:vAlign w:val="bottom"/>
          </w:tcPr>
          <w:p>
            <w:pPr>
              <w:ind w:left="380"/>
              <w:spacing w:after="0"/>
              <w:rPr>
                <w:sz w:val="20"/>
                <w:szCs w:val="20"/>
                <w:color w:val="auto"/>
              </w:rPr>
            </w:pPr>
            <w:r>
              <w:rPr>
                <w:rFonts w:ascii="Arial" w:cs="Arial" w:eastAsia="Arial" w:hAnsi="Arial"/>
                <w:sz w:val="14"/>
                <w:szCs w:val="14"/>
                <w:b w:val="1"/>
                <w:bCs w:val="1"/>
                <w:color w:val="auto"/>
              </w:rPr>
              <w:t>EBITDA to Adjusted EBITDA Reconciliation</w:t>
            </w:r>
          </w:p>
        </w:tc>
        <w:tc>
          <w:tcPr>
            <w:tcW w:w="28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2001</w:t>
            </w:r>
          </w:p>
        </w:tc>
        <w:tc>
          <w:tcPr>
            <w:tcW w:w="1120" w:type="dxa"/>
            <w:vAlign w:val="bottom"/>
            <w:gridSpan w:val="2"/>
          </w:tcPr>
          <w:p>
            <w:pPr>
              <w:jc w:val="center"/>
              <w:ind w:left="404"/>
              <w:spacing w:after="0"/>
              <w:rPr>
                <w:sz w:val="20"/>
                <w:szCs w:val="20"/>
                <w:color w:val="auto"/>
              </w:rPr>
            </w:pPr>
            <w:r>
              <w:rPr>
                <w:rFonts w:ascii="Arial" w:cs="Arial" w:eastAsia="Arial" w:hAnsi="Arial"/>
                <w:sz w:val="14"/>
                <w:szCs w:val="14"/>
                <w:b w:val="1"/>
                <w:bCs w:val="1"/>
                <w:color w:val="auto"/>
                <w:w w:val="89"/>
              </w:rPr>
              <w:t>2002</w:t>
            </w:r>
          </w:p>
        </w:tc>
        <w:tc>
          <w:tcPr>
            <w:tcW w:w="460" w:type="dxa"/>
            <w:vAlign w:val="bottom"/>
          </w:tcPr>
          <w:p>
            <w:pPr>
              <w:spacing w:after="0"/>
              <w:rPr>
                <w:sz w:val="22"/>
                <w:szCs w:val="2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42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$ 20,506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$ 27,550</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$ 32,169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Litigation accrual (a)</w:t>
            </w:r>
          </w:p>
        </w:tc>
        <w:tc>
          <w:tcPr>
            <w:tcW w:w="2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25,410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$ 20,506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$ 27,550</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$ 57,579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76" w:lineRule="exact"/>
        <w:rPr>
          <w:sz w:val="20"/>
          <w:szCs w:val="20"/>
          <w:color w:val="auto"/>
        </w:rPr>
      </w:pPr>
    </w:p>
    <w:p>
      <w:pPr>
        <w:ind w:left="900" w:hanging="446"/>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Litigation accrual includes Schlumberger’s settlement in June 2003 of a patent infringement litigation with ABB for $23,000 plus $2,410 in legal fees associated with the settlement. The suit and counter-suit concerned products in the SEM business, and therefore Schlumberger charged SEM for the settlement that Schlumberger negotiated, but offset the book accounting charge with an equal book capital contribution.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0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 OF FINANCIAL CONDITION AND RESULTS OF OPERATION—SEM</w:t>
      </w:r>
    </w:p>
    <w:p>
      <w:pPr>
        <w:spacing w:after="0" w:line="164"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SEM designs, manufactures and markets residential and commercial and industrial, or C&amp;I, electricity meters. Founded in 1899, SEM has been serving electric utilities for over 100 years and has an installed base of approximately 37 million meters in the United States, representing approximately 32% of the total installed electricity meters in the United States. One of the most significant developments in the electricity metering industry recently has been the introduction of electronic, or solid-state, metering technology. Rather than the gear-based technology of traditional electromechanical meters, solid-state technology provides increased capabilities, reliability and accuracy and facilitates the integration of embedded AMR functionality in electricity meters. While most of the other leading manufacturers have only recently entered the solid-state residential electricity meter market, SEM is currently the North American leader in this market, having sold almost nine million solid-state residential electricity meters since introducing the product in 1998. Growth in SEM’s electricity meter business has outpaced average industry growth over the past several years as a result of increased interest by utilities in implementing AMR.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SEM’s revenues and gross margins for the years ended December 31, 2003, 2002 and 2001.</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2003 – 2002</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15"/>
                <w:szCs w:val="15"/>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 –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(dollars in millions)</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Revenues</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Third parties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$227.5</w:t>
            </w:r>
          </w:p>
        </w:tc>
        <w:tc>
          <w:tcPr>
            <w:tcW w:w="4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$159.1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43%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$140.2</w:t>
            </w:r>
          </w:p>
        </w:tc>
        <w:tc>
          <w:tcPr>
            <w:tcW w:w="42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Affiliated companies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revenues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2003 – 2002</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15"/>
                <w:szCs w:val="15"/>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2002 – 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Gross Margins</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Third parties</w:t>
            </w:r>
          </w:p>
        </w:tc>
        <w:tc>
          <w:tcPr>
            <w:tcW w:w="2020" w:type="dxa"/>
            <w:vAlign w:val="bottom"/>
            <w:gridSpan w:val="3"/>
          </w:tcPr>
          <w:p>
            <w:pPr>
              <w:jc w:val="right"/>
              <w:ind w:right="280"/>
              <w:spacing w:after="0"/>
              <w:rPr>
                <w:sz w:val="20"/>
                <w:szCs w:val="20"/>
                <w:color w:val="auto"/>
              </w:rPr>
            </w:pPr>
            <w:r>
              <w:rPr>
                <w:rFonts w:ascii="Arial" w:cs="Arial" w:eastAsia="Arial" w:hAnsi="Arial"/>
                <w:sz w:val="18"/>
                <w:szCs w:val="18"/>
                <w:color w:val="auto"/>
              </w:rPr>
              <w:t>36%</w:t>
            </w:r>
          </w:p>
        </w:tc>
        <w:tc>
          <w:tcPr>
            <w:tcW w:w="1040" w:type="dxa"/>
            <w:vAlign w:val="bottom"/>
            <w:gridSpan w:val="4"/>
          </w:tcPr>
          <w:p>
            <w:pPr>
              <w:jc w:val="right"/>
              <w:ind w:right="120"/>
              <w:spacing w:after="0"/>
              <w:rPr>
                <w:sz w:val="20"/>
                <w:szCs w:val="20"/>
                <w:color w:val="auto"/>
              </w:rPr>
            </w:pPr>
            <w:r>
              <w:rPr>
                <w:rFonts w:ascii="Arial" w:cs="Arial" w:eastAsia="Arial" w:hAnsi="Arial"/>
                <w:sz w:val="18"/>
                <w:szCs w:val="18"/>
                <w:color w:val="auto"/>
              </w:rPr>
              <w:t>30%</w:t>
            </w:r>
          </w:p>
        </w:tc>
        <w:tc>
          <w:tcPr>
            <w:tcW w:w="1720" w:type="dxa"/>
            <w:vAlign w:val="bottom"/>
            <w:gridSpan w:val="3"/>
          </w:tcPr>
          <w:p>
            <w:pPr>
              <w:jc w:val="right"/>
              <w:ind w:right="460"/>
              <w:spacing w:after="0"/>
              <w:rPr>
                <w:sz w:val="20"/>
                <w:szCs w:val="20"/>
                <w:color w:val="auto"/>
              </w:rPr>
            </w:pPr>
            <w:r>
              <w:rPr>
                <w:rFonts w:ascii="Arial" w:cs="Arial" w:eastAsia="Arial" w:hAnsi="Arial"/>
                <w:sz w:val="18"/>
                <w:szCs w:val="18"/>
                <w:color w:val="auto"/>
              </w:rPr>
              <w:t>6%</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25%</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Affiliated companies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ind w:left="840"/>
              <w:spacing w:after="0"/>
              <w:rPr>
                <w:sz w:val="20"/>
                <w:szCs w:val="20"/>
                <w:color w:val="auto"/>
              </w:rPr>
            </w:pPr>
            <w:r>
              <w:rPr>
                <w:rFonts w:ascii="Arial" w:cs="Arial" w:eastAsia="Arial" w:hAnsi="Arial"/>
                <w:sz w:val="18"/>
                <w:szCs w:val="18"/>
                <w:color w:val="auto"/>
              </w:rPr>
              <w:t>Total gross margins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-1360170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-1360170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-1360170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-1360170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-1360170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-1360170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-1360170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-1360170</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-1360170</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Core metering revenues from third parties increased 43% in 2003 compared with 2002, and 13% in 2002 compared with 2001, primarily from higher sales of solid-state meters, and in particular, solid-state meters with AMR technology. Solid-state residential meter revenues increased 79% in 2003 compared with 2002, and 20% in 2002 compared with 2001, while electro-mechanical meter revenues declined 41% from 2002 to 2003 and 9% from 2001 to 2002. One customer</w:t>
      </w:r>
      <w:r>
        <w:rPr>
          <w:rFonts w:ascii="Arial" w:cs="Arial" w:eastAsia="Arial" w:hAnsi="Arial"/>
          <w:sz w:val="16"/>
          <w:szCs w:val="16"/>
          <w:b w:val="1"/>
          <w:bCs w:val="1"/>
          <w:color w:val="auto"/>
        </w:rPr>
        <w:t>,</w:t>
      </w:r>
      <w:r>
        <w:rPr>
          <w:rFonts w:ascii="Arial" w:cs="Arial" w:eastAsia="Arial" w:hAnsi="Arial"/>
          <w:sz w:val="16"/>
          <w:szCs w:val="16"/>
          <w:color w:val="auto"/>
        </w:rPr>
        <w:t xml:space="preserve"> Niagra Mohawk (part of the National Grid Companies)</w:t>
      </w:r>
      <w:r>
        <w:rPr>
          <w:rFonts w:ascii="Arial" w:cs="Arial" w:eastAsia="Arial" w:hAnsi="Arial"/>
          <w:sz w:val="16"/>
          <w:szCs w:val="16"/>
          <w:b w:val="1"/>
          <w:bCs w:val="1"/>
          <w:color w:val="auto"/>
        </w:rPr>
        <w:t>,</w:t>
      </w:r>
      <w:r>
        <w:rPr>
          <w:rFonts w:ascii="Arial" w:cs="Arial" w:eastAsia="Arial" w:hAnsi="Arial"/>
          <w:sz w:val="16"/>
          <w:szCs w:val="16"/>
          <w:color w:val="auto"/>
        </w:rPr>
        <w:t xml:space="preserve"> represented approximately 19% of third party revenues in 2003. Sales to this customer will continue through the first quarter of 2004. Another customer, Dominion Virginia Power represented approximately 10% of third party revenues in 2003. There was one customer, Connecticut Light &amp; Power, who accounted for approximately 10% of third party revenues in 2002 and 2001. The top ten customers accounted for approximately 52%, 43% and 42% of third party revenues in 2003, 2002 and 2001,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11" w:name="page12"/>
    <w:bookmarkEnd w:id="11"/>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Revenue from affiliates includes contract manufacturing services for fixed network AMR components for SchlumbergerSema as well as sales of meters to SchlumbergerSema. Revenue from affiliates decreased slightly in 2003 compared with 2002 as several large network installations were substantially completed or winding down and not replaced by similar sized orders for this product. Revenue from affiliates was higher in 2002 compared to 2001 reflecting higher activity for network projects.</w:t>
      </w:r>
    </w:p>
    <w:p>
      <w:pPr>
        <w:spacing w:after="0" w:line="13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increases in gross margins from third parties in 2003 and 2002 resulted from a combination of factors including the change in product mix from electromechanical to solid-state meters, higher manufacturing volumes, specific cost reduction efforts, and market prices for electronic components. Increases and decreases in affiliates gross margins are due primarily to changes in the mix of meter sales versus contract manufacturing services and due to inter-company cost transfers. Meter sales to affiliates accounted for 27%, 35% and 63% of total revenue from affiliates in 2003, 2002, and 2001, respectively. Gross margins may vary period to period depending on the mix of third party core metering sales and affiliate sales.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SEM’s total operating expenses in dollars and as a percentage of revenues.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6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Year Ended December 31,</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95"/>
        </w:trPr>
        <w:tc>
          <w:tcPr>
            <w:tcW w:w="3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237"/>
        </w:trPr>
        <w:tc>
          <w:tcPr>
            <w:tcW w:w="3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w:t>
            </w:r>
          </w:p>
        </w:tc>
      </w:tr>
      <w:tr>
        <w:trPr>
          <w:trHeight w:val="174"/>
        </w:trPr>
        <w:tc>
          <w:tcPr>
            <w:tcW w:w="3620" w:type="dxa"/>
            <w:vAlign w:val="bottom"/>
          </w:tcPr>
          <w:p>
            <w:pPr>
              <w:spacing w:after="0"/>
              <w:rPr>
                <w:sz w:val="15"/>
                <w:szCs w:val="15"/>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2003</w:t>
            </w:r>
          </w:p>
        </w:tc>
        <w:tc>
          <w:tcPr>
            <w:tcW w:w="13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Revenue</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13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Revenue</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11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Revenue</w:t>
            </w:r>
          </w:p>
        </w:tc>
      </w:tr>
      <w:tr>
        <w:trPr>
          <w:trHeight w:val="95"/>
        </w:trPr>
        <w:tc>
          <w:tcPr>
            <w:tcW w:w="3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250"/>
        </w:trPr>
        <w:tc>
          <w:tcPr>
            <w:tcW w:w="36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3"/>
              </w:rPr>
              <w:t>(dollars in millions)</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Operating Expenses</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Sales and marketing</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engineering</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r>
      <w:tr>
        <w:trPr>
          <w:trHeight w:val="216"/>
        </w:trPr>
        <w:tc>
          <w:tcPr>
            <w:tcW w:w="3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Litigation settlement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3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02"/>
        </w:trPr>
        <w:tc>
          <w:tcPr>
            <w:tcW w:w="3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16"/>
        </w:trPr>
        <w:tc>
          <w:tcPr>
            <w:tcW w:w="3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132"/>
        </w:trPr>
        <w:tc>
          <w:tcPr>
            <w:tcW w:w="3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3553460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6162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1620" cy="29845"/>
                    </a:xfrm>
                    <a:prstGeom prst="rect">
                      <a:avLst/>
                    </a:prstGeom>
                    <a:noFill/>
                  </pic:spPr>
                </pic:pic>
              </a:graphicData>
            </a:graphic>
          </wp:anchor>
        </w:drawing>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Excluding the litigation settlement, operating expenses increased $7.6 million in 2003 compared with 2002, yet decreased 1% as a percentage of revenues. From 2001 to 2002, operating expenses decreased 2% as a percentage of revenue. The litigation settlement in 2003 is related to the cost of settling a patent infringement suit with ABB.</w:t>
      </w:r>
    </w:p>
    <w:p>
      <w:pPr>
        <w:spacing w:after="0" w:line="12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Sales and marketing expenses increased $1.3 million in 2003 compared with 2002, primarily reflecting commissions on higher sales. Sales and marketing expenses decreased $1.2 million in 2002 compared with 2001 as sales channels were reorganized to eliminate redundancies.</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Research and engineering expenses increased $800,000 in 2003 compared with 2002, and increased $800,000 in 2002 compared with 2001 primarily due to additional internal and contractor costs for new product development.</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General and administrative expenses increased $5.5 million from 2002 to 2003 and increased $1.1 million in 2002 compared with 2001. General and administrative expenses in 2003 were higher due to a $3.3 million reserve for uncollectible accounts receivable from one customer and due to affiliate allocations for legal fees of $2.4 million related to the ABB litigation. Increases and decreases in general and administrative expenses have primarily resulted from changes in employee benefit costs and affiliate allocations.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and Minority Interest</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Other expense, net was $17,000 in 2003, $113,000 in 2002 and $986,000 in 2001 and consists primarily of interest expense related to an operating line of credit for the Taiwan joint venture. The decrease from 2001 to 2003 reflects pay-downs on the loan balance. Minority interest represents the 49% minority interest in after tax net income (loss) of the Taiwan joint venture and was $(43,000) in 2003 compared with $96,000 in 2002 and $447,000 in 2001.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Income Taxes</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Income tax expense for 2003, 2002 and 2001 resulted in effective tax rates of 41.5%, 43.6% and 41.8%, respectively. The effective tax rate can vary from period to period primarily as a result of fluctuations in foreign operating results and changes in the level of business performed in different tax jurisdictions.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operating activities was $17.7 million, $20.3 million and $22.4 million in 2003, 2002 and 2001. Depreciation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amortization expenses were $4.3 million, $6.1 million and $5.6 million in 2003, 2002 and 2001. The net increase (decrease) in operating assets was $(7.2) million, $1.0 million and $14.1 million in 2003, 2002, and 2001 with the majority of the variance resulting from changes in receivables from and payables to affiliates. DSOs were 40 days, 33 days and 48 days in 2003, 2002, and 2001. Inventory turns were 6.4, 3.8 and 5.3 in 2003, 2002, and 2001.</w:t>
      </w:r>
    </w:p>
    <w:p>
      <w:pPr>
        <w:spacing w:after="0" w:line="99" w:lineRule="exact"/>
        <w:rPr>
          <w:sz w:val="20"/>
          <w:szCs w:val="20"/>
          <w:color w:val="auto"/>
        </w:rPr>
      </w:pPr>
    </w:p>
    <w:p>
      <w:pPr>
        <w:ind w:left="460"/>
        <w:spacing w:after="0"/>
        <w:tabs>
          <w:tab w:leader="none" w:pos="2000" w:val="left"/>
        </w:tabs>
        <w:rPr>
          <w:sz w:val="20"/>
          <w:szCs w:val="20"/>
          <w:color w:val="auto"/>
        </w:rPr>
      </w:pPr>
      <w:r>
        <w:rPr>
          <w:rFonts w:ascii="Arial" w:cs="Arial" w:eastAsia="Arial" w:hAnsi="Arial"/>
          <w:sz w:val="18"/>
          <w:szCs w:val="18"/>
          <w:i w:val="1"/>
          <w:iCs w:val="1"/>
          <w:color w:val="auto"/>
        </w:rPr>
        <w:t>Investing activities:</w:t>
      </w:r>
      <w:r>
        <w:rPr>
          <w:sz w:val="20"/>
          <w:szCs w:val="20"/>
          <w:color w:val="auto"/>
        </w:rPr>
        <w:tab/>
      </w:r>
      <w:r>
        <w:rPr>
          <w:rFonts w:ascii="Arial" w:cs="Arial" w:eastAsia="Arial" w:hAnsi="Arial"/>
          <w:sz w:val="16"/>
          <w:szCs w:val="16"/>
          <w:color w:val="auto"/>
        </w:rPr>
        <w:t>Purchases of property and equipment were $3.7 million, $3.0 million and $3.8 million in 2003, 2002, and 2001.</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Financing activities consisted primarily of transfers to Schlumberger and netted to $15.9 million, $20.2 million and $17.3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2003, 2002, and 2001.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13" w:name="page14"/>
    <w:bookmarkEnd w:id="13"/>
    <w:p>
      <w:pPr>
        <w:jc w:val="center"/>
        <w:ind w:right="-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Dated: April 27,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G. REMINGTON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4048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G. Remington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0500"/>
          </w:cols>
          <w:pgMar w:left="240" w:top="274" w:right="115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831850" cy="3429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31850" cy="342900"/>
                    </a:xfrm>
                    <a:prstGeom prst="rect">
                      <a:avLst/>
                    </a:prstGeom>
                    <a:noFill/>
                  </pic:spPr>
                </pic:pic>
              </a:graphicData>
            </a:graphic>
          </wp:anchor>
        </w:drawing>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Electric / Gas / Water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Information collection, analysis and application</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2818 North Sullivan Road, Spokane, WA 99216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509.924.9900 Tel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509.891.3355 Fax</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www.itron.com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58"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ITRON COMMENCES PRIVATE PLACEMENT OF SENIOR SUBORDINATED NOTES</w:t>
      </w:r>
    </w:p>
    <w:p>
      <w:pPr>
        <w:spacing w:after="0" w:line="16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SPOKANE, WA — April 27, 2004 — Itron, Inc. (NASDAQ: ITRI) announced today that it is commencing a private placement of $125 million aggregate principal amount of its senior subordinated notes due 2012.</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proceeds from the notes will be used to partially fund Itron’s acquisition of the Electricity Products Business of Schlumberger Limited (“SEM”), a leading manufacturer of electricity meters in the United States and Canada, to repay outstanding debt under its existing credit facility, and to pay related fees and expenses.</w:t>
      </w:r>
    </w:p>
    <w:p>
      <w:pPr>
        <w:spacing w:after="0" w:line="12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notes being sold by Itron have not been and will not be registered under the Securities Act or any state securities laws, and unless so registered, may not be offered or sold in the United States absent an applicable exemption from registration requirements under the Securities Act and any applicable state securities laws. This news release does not constitute an offer to sell, or the solicitation of an offer to buy the notes.</w:t>
      </w:r>
    </w:p>
    <w:p>
      <w:pPr>
        <w:spacing w:after="0" w:line="9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Statements in this release that are not historical facts and that relate to future plans are “forward looking statements.” These statements include, but are not limited to, the anticipated closing date for the SEM acquisition and Itron’s intention to raise proceeds through the offering and sale of these notes, the terms of the notes, and the amount and use of the proceeds. There can be no assurance that Itron will complete the offering on the anticipated terms or at all. Itron’s ability to complete the offering will depend, among other things, on market conditions and satisfying closing conditions for the SEM acquisition. A number of risks and uncertainties exist that may cause Itron’s actual results to differ materially from those indicated or implied by forward looking statements. These risks and uncertainties are more fully disclosed in Itron’s Annual Report on Form 10K for the year ended December 31, 2003. Itron does not undertake any obligation to update forward looking statements as a result of new information, future events, changed expectations or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Itron</w:t>
      </w:r>
    </w:p>
    <w:p>
      <w:pPr>
        <w:spacing w:after="0" w:line="8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Itron provides industry-leading solutions for meter data collection, energy information management, demand side management and response, load forecasting, analysis and consulting services, transmission and distribution system design and optimization, web-based workforce automation, commercial and industrial customer care, enterprise and residential energy management.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6"/>
    </w:lvl>
  </w:abstractNum>
  <w:abstractNum w:abstractNumId="3">
    <w:nsid w:val="507ED7AB"/>
    <w:multiLevelType w:val="hybridMultilevel"/>
    <w:lvl w:ilvl="0">
      <w:lvlJc w:val="left"/>
      <w:lvlText w:val="(%1)"/>
      <w:numFmt w:val="decimal"/>
      <w:start w:val="18"/>
    </w:lvl>
  </w:abstractNum>
  <w:abstractNum w:abstractNumId="4">
    <w:nsid w:val="2EB141F2"/>
    <w:multiLevelType w:val="hybridMultilevel"/>
    <w:lvl w:ilvl="0">
      <w:lvlJc w:val="left"/>
      <w:lvlText w:val="(%1)"/>
      <w:numFmt w:val="decimal"/>
      <w:start w:val="2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2019-12-11T20:37:35Z</dcterms:created>
  <dcterms:modified xsi:type="dcterms:W3CDTF">2019-12-11T20:37:35Z</dcterms:modified>
</cp:coreProperties>
</file>