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495300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2012</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233"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233"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233"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October 31, 2012 there were outstanding 39,206,165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FF"/>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8">
        <w:r>
          <w:rPr>
            <w:rFonts w:ascii="Arial" w:cs="Arial" w:eastAsia="Arial" w:hAnsi="Arial"/>
            <w:sz w:val="16"/>
            <w:szCs w:val="16"/>
            <w:u w:val="single" w:color="auto"/>
            <w:color w:val="0000FF"/>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3">
        <w:r>
          <w:rPr>
            <w:rFonts w:ascii="Arial" w:cs="Arial" w:eastAsia="Arial" w:hAnsi="Arial"/>
            <w:sz w:val="18"/>
            <w:szCs w:val="18"/>
            <w:u w:val="single" w:color="auto"/>
            <w:color w:val="0000FF"/>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4">
        <w:r>
          <w:rPr>
            <w:rFonts w:ascii="Arial" w:cs="Arial" w:eastAsia="Arial" w:hAnsi="Arial"/>
            <w:sz w:val="18"/>
            <w:szCs w:val="18"/>
            <w:u w:val="single" w:color="auto"/>
            <w:color w:val="0000FF"/>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54">
        <w:r>
          <w:rPr>
            <w:rFonts w:ascii="Arial" w:cs="Arial" w:eastAsia="Arial" w:hAnsi="Arial"/>
            <w:sz w:val="18"/>
            <w:szCs w:val="18"/>
            <w:b w:val="1"/>
            <w:bCs w:val="1"/>
            <w:u w:val="single" w:color="auto"/>
            <w:color w:val="0000FF"/>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5">
        <w:r>
          <w:rPr>
            <w:rFonts w:ascii="Arial" w:cs="Arial" w:eastAsia="Arial" w:hAnsi="Arial"/>
            <w:sz w:val="18"/>
            <w:szCs w:val="18"/>
            <w:u w:val="single" w:color="auto"/>
            <w:color w:val="0000FF"/>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5">
        <w:r>
          <w:rPr>
            <w:rFonts w:ascii="Arial" w:cs="Arial" w:eastAsia="Arial" w:hAnsi="Arial"/>
            <w:sz w:val="18"/>
            <w:szCs w:val="18"/>
            <w:u w:val="single" w:color="auto"/>
            <w:color w:val="0000FF"/>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5">
        <w:r>
          <w:rPr>
            <w:rFonts w:ascii="Arial" w:cs="Arial" w:eastAsia="Arial" w:hAnsi="Arial"/>
            <w:sz w:val="18"/>
            <w:szCs w:val="18"/>
            <w:u w:val="single" w:color="auto"/>
            <w:color w:val="0000FF"/>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5">
        <w:r>
          <w:rPr>
            <w:rFonts w:ascii="Arial" w:cs="Arial" w:eastAsia="Arial" w:hAnsi="Arial"/>
            <w:sz w:val="18"/>
            <w:szCs w:val="18"/>
            <w:u w:val="single" w:color="auto"/>
            <w:color w:val="0000FF"/>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6">
        <w:r>
          <w:rPr>
            <w:rFonts w:ascii="Arial" w:cs="Arial" w:eastAsia="Arial" w:hAnsi="Arial"/>
            <w:sz w:val="18"/>
            <w:szCs w:val="18"/>
            <w:u w:val="single" w:color="auto"/>
            <w:color w:val="0000FF"/>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51</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p>
      <w:pPr>
        <w:spacing w:after="0" w:line="200" w:lineRule="exact"/>
        <w:rPr>
          <w:sz w:val="20"/>
          <w:szCs w:val="20"/>
          <w:color w:val="auto"/>
        </w:rPr>
      </w:pPr>
    </w:p>
    <w:p>
      <w:pPr>
        <w:sectPr>
          <w:pgSz w:w="11900" w:h="16838" w:orient="portrait"/>
          <w:cols w:equalWidth="0" w:num="2">
            <w:col w:w="9780" w:space="720"/>
            <w:col w:w="6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FF"/>
                <w:w w:val="98"/>
              </w:rPr>
            </w:pPr>
            <w:hyperlink w:anchor="page56">
              <w:r>
                <w:rPr>
                  <w:rFonts w:ascii="Arial" w:cs="Arial" w:eastAsia="Arial" w:hAnsi="Arial"/>
                  <w:sz w:val="18"/>
                  <w:szCs w:val="18"/>
                  <w:b w:val="1"/>
                  <w:bCs w:val="1"/>
                  <w:color w:val="0000FF"/>
                  <w:w w:val="98"/>
                </w:rPr>
                <w:t>SIGNATURE</w:t>
              </w:r>
            </w:hyperlink>
          </w:p>
        </w:tc>
        <w:tc>
          <w:tcPr>
            <w:tcW w:w="10040" w:type="dxa"/>
            <w:vAlign w:val="bottom"/>
            <w:gridSpan w:val="2"/>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1060" w:type="dxa"/>
            <w:vAlign w:val="bottom"/>
            <w:shd w:val="clear" w:color="auto" w:fill="0000FF"/>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(in thousands,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504,063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1,791,647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332,266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438,559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1,103,196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1,237,722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553,925</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44,913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138,019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119,147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30,743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104,627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540,400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540,400</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125,830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674,248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419,996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953,003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45,967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131,651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(399,078)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(38,041)</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(437,119)</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(452,648)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39,472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39,791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40,648</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(452,648)</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Unrealized gains (losses) on hedging instruments: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0"/>
              </w:rPr>
              <w:t>Net unrealized gain (loss) on derivative instruments, designated as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Net unrealized gain (loss) on nonderivative hedging instruments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hedging loss (gain) reclassified into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59,660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92,929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(414,056)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 noncontrolling interest,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6520" w:type="dxa"/>
            <w:vAlign w:val="bottom"/>
          </w:tcPr>
          <w:p>
            <w:pPr>
              <w:ind w:left="200"/>
              <w:spacing w:after="0"/>
              <w:rPr>
                <w:sz w:val="20"/>
                <w:szCs w:val="20"/>
                <w:color w:val="auto"/>
              </w:rPr>
            </w:pPr>
            <w:r>
              <w:rPr>
                <w:rFonts w:ascii="Arial" w:cs="Arial" w:eastAsia="Arial" w:hAnsi="Arial"/>
                <w:sz w:val="18"/>
                <w:szCs w:val="18"/>
                <w:color w:val="auto"/>
              </w:rPr>
              <w:t>Amounts attributable to noncontrolling interest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2,949</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59,041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91,375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(417,005)</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2012</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30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363,111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371,641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195,837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58,866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58,172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81,618</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817,421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251,703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262,670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62,704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687,432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636,910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2,047,335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40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246,775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53,734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93,730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8,754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32,834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52,588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37,369</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464,318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510,722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404,375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437,502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Pension plan benefit liability</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63,041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62,449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81,199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73,417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1,142,737</w:t>
            </w:r>
          </w:p>
        </w:tc>
        <w:tc>
          <w:tcPr>
            <w:tcW w:w="0" w:type="dxa"/>
            <w:vAlign w:val="bottom"/>
          </w:tcPr>
          <w:p>
            <w:pPr>
              <w:spacing w:after="0"/>
              <w:rPr>
                <w:sz w:val="1"/>
                <w:szCs w:val="1"/>
                <w:color w:val="auto"/>
              </w:rPr>
            </w:pPr>
          </w:p>
        </w:tc>
      </w:tr>
      <w:tr>
        <w:trPr>
          <w:trHeight w:val="2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1,294,990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1,319,222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(37,160)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(375,137)</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Itron, Inc. shareholders' equity</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974,068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906,925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990,242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921,545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2,047,335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54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43"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22860</wp:posOffset>
            </wp:positionV>
            <wp:extent cx="2084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8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20"/>
                <w:szCs w:val="20"/>
                <w:color w:val="auto"/>
              </w:rPr>
            </w:pPr>
          </w:p>
        </w:tc>
      </w:tr>
      <w:tr>
        <w:trPr>
          <w:trHeight w:val="270"/>
        </w:trPr>
        <w:tc>
          <w:tcPr>
            <w:tcW w:w="80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(452,648)</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96,919</w:t>
            </w:r>
          </w:p>
        </w:tc>
      </w:tr>
      <w:tr>
        <w:trPr>
          <w:trHeight w:val="243"/>
        </w:trPr>
        <w:tc>
          <w:tcPr>
            <w:tcW w:w="808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12,401</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5,365</w:t>
            </w:r>
          </w:p>
        </w:tc>
      </w:tr>
      <w:tr>
        <w:trPr>
          <w:trHeight w:val="243"/>
        </w:trPr>
        <w:tc>
          <w:tcPr>
            <w:tcW w:w="8080" w:type="dxa"/>
            <w:vAlign w:val="bottom"/>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5,336</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43"/>
        </w:trPr>
        <w:tc>
          <w:tcPr>
            <w:tcW w:w="8080" w:type="dxa"/>
            <w:vAlign w:val="bottom"/>
          </w:tcPr>
          <w:p>
            <w:pPr>
              <w:ind w:left="72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540,400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expense, non-cash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720"/>
              <w:spacing w:after="0"/>
              <w:rPr>
                <w:sz w:val="20"/>
                <w:szCs w:val="20"/>
                <w:color w:val="auto"/>
              </w:rPr>
            </w:pPr>
            <w:r>
              <w:rPr>
                <w:rFonts w:ascii="Arial" w:cs="Arial" w:eastAsia="Arial" w:hAnsi="Arial"/>
                <w:sz w:val="18"/>
                <w:szCs w:val="18"/>
                <w:color w:val="auto"/>
              </w:rPr>
              <w:t>Other adjustments,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46,493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(21,940)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(32,750)</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(8,672)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(39,368)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12,347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9,201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22,862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28,028</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Other operating,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(6,003)</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153,801</w:t>
            </w:r>
          </w:p>
        </w:tc>
      </w:tr>
      <w:tr>
        <w:trPr>
          <w:trHeight w:val="365"/>
        </w:trPr>
        <w:tc>
          <w:tcPr>
            <w:tcW w:w="8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(45,799)</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(79,874)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(14,635)</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r>
      <w:tr>
        <w:trPr>
          <w:trHeight w:val="237"/>
        </w:trPr>
        <w:tc>
          <w:tcPr>
            <w:tcW w:w="808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(110,147)</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(59,800)</w:t>
            </w:r>
          </w:p>
        </w:tc>
      </w:tr>
      <w:tr>
        <w:trPr>
          <w:trHeight w:val="149"/>
        </w:trPr>
        <w:tc>
          <w:tcPr>
            <w:tcW w:w="8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670,000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(804,304)</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3,778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3,512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Other financing,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(5,319)</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(136,111)</w:t>
            </w:r>
          </w:p>
        </w:tc>
      </w:tr>
      <w:tr>
        <w:trPr>
          <w:trHeight w:val="365"/>
        </w:trPr>
        <w:tc>
          <w:tcPr>
            <w:tcW w:w="808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2,147</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(39,963)</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133,086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169,477</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91,474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129,514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Property, plant, and equipment purchased but not yet paid,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of contingent and deferred consideration payable for business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r>
      <w:tr>
        <w:trPr>
          <w:trHeight w:val="122"/>
        </w:trPr>
        <w:tc>
          <w:tcPr>
            <w:tcW w:w="8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12,904</w:t>
            </w:r>
          </w:p>
        </w:tc>
      </w:tr>
      <w:tr>
        <w:trPr>
          <w:trHeight w:val="243"/>
        </w:trPr>
        <w:tc>
          <w:tcPr>
            <w:tcW w:w="8080" w:type="dxa"/>
            <w:vAlign w:val="bottom"/>
          </w:tcPr>
          <w:p>
            <w:pPr>
              <w:ind w:left="720"/>
              <w:spacing w:after="0"/>
              <w:rPr>
                <w:sz w:val="20"/>
                <w:szCs w:val="20"/>
                <w:color w:val="auto"/>
              </w:rPr>
            </w:pPr>
            <w:r>
              <w:rPr>
                <w:rFonts w:ascii="Arial" w:cs="Arial" w:eastAsia="Arial" w:hAnsi="Arial"/>
                <w:sz w:val="18"/>
                <w:szCs w:val="18"/>
                <w:color w:val="auto"/>
              </w:rPr>
              <w:t>Interest, net of amounts capitalized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6,386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25,964</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360"/>
          </w:cols>
          <w:pgMar w:left="240" w:top="125" w:right="299" w:bottom="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25" w:right="299" w:bottom="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2012 and 2011, the Consolidated Balance Sheets as of September 30, 2012 and December 31, 2011, and the Consolidated Statements of Cash Flows for the nine months ended September 30, 2012 and 2011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2011 audited financial statements and notes included in our Current Report on Form 8-K filed with the SEC on May 24, 2012. The results of operations for the three and nine months ended September 30, 2012 are not necessarily indicative of the results expected for the full fiscal year or for any other fiscal period.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have been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The noncontrolling interest balance in our Consolidated Balance Sheets represents the proportional share of the equity of the joint venture entities, which is attributable to the minority shareholders.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2011 amounts have been reclassified to conform to the current classifications in the Consolidated Statements of Operations. These reclassifications relate to certain administrative expenses in the former Itron North America segment that were in prior periods allocated to cost of revenues and sales and marketing and product development operating expenses but have been reclassified to general and administrative operating expenses to conform to our worldwide presentation across our new segment structure. These reclassifications did not have a material impact to gross profit and had no impact on income before income taxes, net income attributable to Itron, Inc., earnings per share, or total equity.</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1, 2012, we completed the acquisition of SmartSynch, Inc. (SmartSynch). The acquisition was financed through borrowings on our multicurrency revolving line of credit and cash on hand. SmartSynch was a provider of smart grid solutions that utilize cellular networks for communications. We have included supplemental pro forma financial information related to the acquisition in Note 16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2011, we completed the acquisition of Asais S.A.S. and Asais Conseil S.A.S. (collectively Asais), an energy information management software and consulting services provider, located in France. The acquisition consisted of cash and contingent consideration. Additional acquisitions were completed in 2011, which were immaterial to our financial position, results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operations, and cash flows. (See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policy below.)</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The cash and cash equivalents balance in our Consolidated Balance Sheets includes amounts that reside in our joint venture entities. As a result, the minority shareholders of these entities control their proportional share of the cash and cash equivalents balance, and there may be limitations on Itron's ability to repatriate cash to the U.S. from these entities.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are not used for trading or speculative purposes. Our derivatives are with credit worthy multinational commercial banks, with whom we have master netting agreements; however, our derivative positions are not disclosed on a net basis. There are no credit-risk-related contingent features within our derivative instruments. Refer to Note 7 and Note 13 for further disclosures of our derivative instruments and their impact on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of the asset, except those gains and losses recognized in conjunction with our restructuring activities, which are classified as restructuring expense.</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finite lives and are amortized over their estimated useful lives based on estimated discounted cash flows. Intangible assets are tested for impairment at the asset group level when events or changes in circumstances indicate the carrying value may not be recoverable.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our three new reporting units are Electricity, Gas, and Water. Our new Energy operating segment consists of the Electricity and Gas reporting units, while our new Water operating segment consists of the Water reporting unit. In the first quarter of 2012, we reallocated the goodwill from our former INA reporting unit to the three new reporting units based on the relative fair values of the electricity, gas, and water product lines within INA on January 1, 2012. We also reassigned the goodwill from our former INL Electricity, INL Gas, and INL Water reporting units to the new reporting units, Electricity, Gas, and Water, respectively.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involves comparing the fair value of the reporting units to their carrying amounts. If the carrying amount of a reporting unit exceeds its fair value, a second step is required to measure for a goodwill impairment loss. This second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Continuing quality control efforts during manufacturing reduce our exposure to warranty claims. When our quality control efforts fail to detect a fault in one of our products, we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of similar products until sufficient data is available. As actual experience becomes available, it is used to modify the original estimate to ensure the expected warranty costs are within a range of likely outcomes. Management continually evaluates the sufficiency of the warranty provisions and makes adjustments when necessary. The warranty allowances may fluctuate due to higher than anticipated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postemployement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impairments, net,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the asset group may consist of property, plant, equipment, intangible assets, and goodwill.</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repurchase shares of Itron common stock under a twelve-month program, which was authorized by our Board of Directors on October 24, 2011.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Instead, the value of the repurchased shares is deducted from common stock. On September 13, 2012, the Board approved the extension of the expiration date of the stock repurchase program until February 15,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2013, or until the aggregate limit of $100 million of outstanding common stock has been repurchased, whichever occurs first.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The majority of our revenue is recognized when products are shipped to or received by a customer or when services are provided.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primarily enter into two types of multiple deliverable arrangements, which include a combination of hardware and associated software and services:</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that do not include the deployment of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reliably estimated or the completed contract methodology if project costs cannot be reliably estimated.</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to deploy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as the software is essential to the functionality of the related hardware and the implementation services are essential to the functionality of the associated software. This methodology results in the deferral of costs and revenues as professional services and software implementation commence prior to deployment of hardware.</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VSOE, if it exists, otherwise we use third-party evidence (TPE). If neither VSOE nor TPE of selling price exists for a unit of accounting, we use estimated selling price (ESP).</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regularly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Unearned revenue is recorded when a customer pays for products or services, but the criteria for revenue recognition have not been met as of the balance sheet date. Unearned revenues of $71.9 million and $61.0 million at September 30, 2012 and December 31, 2011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$15.4 million and $11.7 million at September 30, 2012 and December 31, 2011 and are recorded within other assets in the Consolidated Balance Sheets.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due to the immaterial nature of these costs as a result of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if probable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right="20" w:firstLine="8"/>
        <w:spacing w:after="0" w:line="302" w:lineRule="auto"/>
        <w:tabs>
          <w:tab w:leader="none" w:pos="258"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jurisdictions to our tax positions. The effect on deferred tax assets and liabilities of a change in tax rates is recognized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that includes the enactment date. A valuation allowance is recorded to reduce the carrying amount of deferred tax assets if it is not more likely than not that such assets will be realized. We do not record tax liabilities on undistributed earnings of international subsidiaries that are permanently reinvested.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utilize a two step approach to account for uncertain tax positions. 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or upon expiration of the statute of limitations. We classify interest expense and penalties related to uncertain tax positions and interest income on tax overpayments as part of income tax expense.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jc w:val="right"/>
              <w:ind w:right="639"/>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99"/>
              <w:spacing w:after="0"/>
              <w:rPr>
                <w:sz w:val="20"/>
                <w:szCs w:val="20"/>
                <w:color w:val="auto"/>
              </w:rPr>
            </w:pPr>
            <w:r>
              <w:rPr>
                <w:rFonts w:ascii="Arial" w:cs="Arial" w:eastAsia="Arial" w:hAnsi="Arial"/>
                <w:sz w:val="16"/>
                <w:szCs w:val="16"/>
                <w:b w:val="1"/>
                <w:bCs w:val="1"/>
                <w:color w:val="auto"/>
                <w:w w:val="95"/>
              </w:rPr>
              <w:t>2011</w:t>
            </w:r>
          </w:p>
        </w:tc>
      </w:tr>
      <w:tr>
        <w:trPr>
          <w:trHeight w:val="33"/>
        </w:trPr>
        <w:tc>
          <w:tcPr>
            <w:tcW w:w="4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6"/>
          </w:tcPr>
          <w:p>
            <w:pPr>
              <w:ind w:left="260"/>
              <w:spacing w:after="0"/>
              <w:rPr>
                <w:sz w:val="20"/>
                <w:szCs w:val="20"/>
                <w:color w:val="auto"/>
              </w:rPr>
            </w:pPr>
            <w:r>
              <w:rPr>
                <w:rFonts w:ascii="Arial" w:cs="Arial" w:eastAsia="Arial" w:hAnsi="Arial"/>
                <w:sz w:val="16"/>
                <w:szCs w:val="16"/>
                <w:b w:val="1"/>
                <w:bCs w:val="1"/>
                <w:color w:val="auto"/>
              </w:rPr>
              <w:t>(in thousands, except per share data)</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35,347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(455,526)</w:t>
            </w:r>
          </w:p>
        </w:tc>
      </w:tr>
      <w:tr>
        <w:trPr>
          <w:trHeight w:val="270"/>
        </w:trPr>
        <w:tc>
          <w:tcPr>
            <w:tcW w:w="4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39,472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40,648</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39,791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40,648</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Earnings per common share - Basic</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(11.21)</w:t>
            </w:r>
          </w:p>
        </w:tc>
      </w:tr>
      <w:tr>
        <w:trPr>
          <w:trHeight w:val="73"/>
        </w:trPr>
        <w:tc>
          <w:tcPr>
            <w:tcW w:w="47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42"/>
        </w:trPr>
        <w:tc>
          <w:tcPr>
            <w:tcW w:w="47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per common share - Diluted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881,000 and 1.2 million stock-based awards were excluded from the calculation of diluted EPS for the three and nine months ended September 30, 2012, and approximately 1.4 million and 1.2 million stock-based awards were excluded from the calculation of diluted EPS for the three and nine months ended September 30, 2011, respectively, because they were anti-dilutive. These stock-based awards could be dilutive in future periods.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and rates as defined in the Rights Agreement, which may be adjusted by the Board of Directors. There was no preferred stock sold or outstanding at September 30, 2012 and December 31, 2011.</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24, 2011, our Board of Directors authorized a twelve-month repurchase program of up to $100 million of our common stock with an expiration date of October 23, 2012. On September 13, 2012, the Board approved the extension of the expiration date of the stock repurchase program until February 15, 2013, or until the aggregate limit of $100 million of outstanding common stock has been repurchased, whichever occurs first. Repurchases are made in the open market or in privately negotiated transactions, and in accordance with applicable securities laws. As of September 30, 2012, we have repurchased $70.1 million of our common stock, with $29.9 million remaining under the repurchase program.</w:t>
      </w: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0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2012</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2011</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receivables (net of allowance of $5,355 and $6,049)</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328,845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56,049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42,796</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363,111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At September 30, 2012 and December 31, 2011, $19.2 million and $2.5 million were recorded within trade receivables as billed but not yet paid by customers in accordance with contract retainage provisions. At September 30, 2012 and December 31, 2011, contract retainage amounts that were unbilled and classified as unbilled receivables were $10.6 million and $7.4 million. These contract retainage amounts within trade receivables and unbilled receivables are expected to be collected within the following 12 months.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We had no long-term unbilled receivables or long-term retainage contracts at September 30, 2012 as we expect to bill and collect all contract retainage receivables within the following 12 months. At December 31, 2011, long-term unbilled receivables and long-term retainage contracts totaled $31.5 million.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260" w:type="dxa"/>
            <w:vAlign w:val="bottom"/>
          </w:tcPr>
          <w:p>
            <w:pPr>
              <w:spacing w:after="0"/>
              <w:rPr>
                <w:sz w:val="20"/>
                <w:szCs w:val="20"/>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20"/>
                <w:szCs w:val="20"/>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9,045</w:t>
            </w:r>
          </w:p>
        </w:tc>
      </w:tr>
      <w:tr>
        <w:trPr>
          <w:trHeight w:val="237"/>
        </w:trPr>
        <w:tc>
          <w:tcPr>
            <w:tcW w:w="4700" w:type="dxa"/>
            <w:vAlign w:val="bottom"/>
          </w:tcPr>
          <w:p>
            <w:pPr>
              <w:ind w:left="540"/>
              <w:spacing w:after="0"/>
              <w:rPr>
                <w:sz w:val="20"/>
                <w:szCs w:val="20"/>
                <w:color w:val="auto"/>
              </w:rPr>
            </w:pPr>
            <w:r>
              <w:rPr>
                <w:rFonts w:ascii="Arial" w:cs="Arial" w:eastAsia="Arial" w:hAnsi="Arial"/>
                <w:sz w:val="16"/>
                <w:szCs w:val="16"/>
                <w:color w:val="auto"/>
              </w:rPr>
              <w:t>Provision (release) of doubtful accounts, net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r>
      <w:tr>
        <w:trPr>
          <w:trHeight w:val="237"/>
        </w:trPr>
        <w:tc>
          <w:tcPr>
            <w:tcW w:w="4700" w:type="dxa"/>
            <w:vAlign w:val="bottom"/>
          </w:tcPr>
          <w:p>
            <w:pPr>
              <w:ind w:left="540"/>
              <w:spacing w:after="0"/>
              <w:rPr>
                <w:sz w:val="20"/>
                <w:szCs w:val="20"/>
                <w:color w:val="auto"/>
              </w:rPr>
            </w:pPr>
            <w:r>
              <w:rPr>
                <w:rFonts w:ascii="Arial" w:cs="Arial" w:eastAsia="Arial" w:hAnsi="Arial"/>
                <w:sz w:val="16"/>
                <w:szCs w:val="16"/>
                <w:color w:val="auto"/>
              </w:rPr>
              <w:t>Effects of change in exchange rates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0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2012</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2011</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112,470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14,720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16,306</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67,061</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201,775</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195,837</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ind w:left="420" w:right="20"/>
        <w:spacing w:after="0" w:line="342" w:lineRule="auto"/>
        <w:rPr>
          <w:sz w:val="20"/>
          <w:szCs w:val="20"/>
          <w:color w:val="auto"/>
        </w:rPr>
      </w:pPr>
      <w:r>
        <w:rPr>
          <w:rFonts w:ascii="Arial" w:cs="Arial" w:eastAsia="Arial" w:hAnsi="Arial"/>
          <w:sz w:val="16"/>
          <w:szCs w:val="16"/>
          <w:color w:val="auto"/>
        </w:rPr>
        <w:t>Consigned inventory is held at third-party locations; however, we retain title to the inventory until purchased by the third-party. Consigned inventory, consisting of raw materials and finished goods, was $6.8 million and $7.4 million at September 30, 2012 and December 31, 2011,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0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2012</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2011</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278,615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269,611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purchased software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82,760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74,885</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140,064</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27,460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26,126</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555,712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531,373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(304,009)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(268,703)</w:t>
            </w:r>
          </w:p>
        </w:tc>
      </w:tr>
      <w:tr>
        <w:trPr>
          <w:trHeight w:val="217"/>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251,703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262,670</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140" w:type="dxa"/>
            <w:vAlign w:val="bottom"/>
          </w:tcPr>
          <w:p>
            <w:pPr>
              <w:spacing w:after="0"/>
              <w:rPr>
                <w:sz w:val="20"/>
                <w:szCs w:val="20"/>
                <w:color w:val="auto"/>
              </w:rPr>
            </w:pPr>
          </w:p>
        </w:tc>
        <w:tc>
          <w:tcPr>
            <w:tcW w:w="286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0"/>
                <w:szCs w:val="20"/>
                <w:color w:val="auto"/>
              </w:rPr>
            </w:pPr>
          </w:p>
        </w:tc>
        <w:tc>
          <w:tcPr>
            <w:tcW w:w="26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7"/>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4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4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15,656</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45,989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49,112</w:t>
            </w:r>
          </w:p>
        </w:tc>
      </w:tr>
      <w:tr>
        <w:trPr>
          <w:trHeight w:val="33"/>
        </w:trPr>
        <w:tc>
          <w:tcPr>
            <w:tcW w:w="5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 2012</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87"/>
              </w:rPr>
              <w:t>Gross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402,897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(323,629)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387,606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82,321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288,429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140,815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278,581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147,163</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11,153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368</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3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 subject to</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774,414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(546,178)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749,194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239,500</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793,814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(546,178)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749,194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239,500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749,194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759,152</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43,400</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10,297</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no longer in use written-off</w:t>
            </w:r>
          </w:p>
        </w:tc>
        <w:tc>
          <w:tcPr>
            <w:tcW w:w="1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12,263</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793,814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773,262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Intangible assets acquired in 2012 are based on the preliminary purchase price allocation relating to our acquisition of SmartSynch on May 1, 2012. SmartSynch's intangible assets include IPR&amp;D, which is not amortized until such time as the associated development projects are completed. These projects are expected to be completed in the next 12 months. Refer to Note 16 for additional information regarding this acquisition. 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8"/>
                <w:szCs w:val="18"/>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 (amount remaining at September 30, 2012)</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12,015</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41,917</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37,595</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30,700</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24,275</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Beyond 2016</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81,734</w:t>
            </w:r>
          </w:p>
        </w:tc>
      </w:tr>
      <w:tr>
        <w:trPr>
          <w:trHeight w:val="33"/>
        </w:trPr>
        <w:tc>
          <w:tcPr>
            <w:tcW w:w="8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5"/>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228,236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2012, our reporting segments were changed from two geographic operating segments, Itron North America and Itron International, to two product operating segments, Energy and Water. As a result, we reallocated the goodwill balance as of January 1, 2012 to the Electricity, Gas, and Water reporting units within these two operating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goodwill balance as of September 30, 2012:</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 Company</w:t>
            </w:r>
          </w:p>
        </w:tc>
        <w:tc>
          <w:tcPr>
            <w:tcW w:w="360" w:type="dxa"/>
            <w:vAlign w:val="bottom"/>
          </w:tcPr>
          <w:p>
            <w:pPr>
              <w:spacing w:after="0"/>
              <w:rPr>
                <w:sz w:val="18"/>
                <w:szCs w:val="18"/>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Energy</w:t>
            </w:r>
          </w:p>
        </w:tc>
        <w:tc>
          <w:tcPr>
            <w:tcW w:w="5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(in thousands)</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color w:val="auto"/>
              </w:rPr>
              <w:t>Balance at January 1, 2012</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436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1,221,757</w:t>
            </w: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808,601</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413,156</w:t>
            </w:r>
          </w:p>
        </w:tc>
      </w:tr>
      <w:tr>
        <w:trPr>
          <w:trHeight w:val="33"/>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(584,847)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(254,735)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(330,112)</w:t>
            </w:r>
          </w:p>
        </w:tc>
      </w:tr>
      <w:tr>
        <w:trPr>
          <w:trHeight w:val="217"/>
        </w:trPr>
        <w:tc>
          <w:tcPr>
            <w:tcW w:w="436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636,910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553,866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83,044</w:t>
            </w:r>
          </w:p>
        </w:tc>
      </w:tr>
      <w:tr>
        <w:trPr>
          <w:trHeight w:val="33"/>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56"/>
        </w:trPr>
        <w:tc>
          <w:tcPr>
            <w:tcW w:w="4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Goodwill acquired</w:t>
            </w:r>
          </w:p>
        </w:tc>
        <w:tc>
          <w:tcPr>
            <w:tcW w:w="36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46,881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46,881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(6,348)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5,222</w:t>
            </w:r>
          </w:p>
        </w:tc>
      </w:tr>
      <w:tr>
        <w:trPr>
          <w:trHeight w:val="33"/>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62"/>
        </w:trPr>
        <w:tc>
          <w:tcPr>
            <w:tcW w:w="4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Balance at September 30, 2012</w:t>
            </w: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1,242,159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840,009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402,150</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(554,727)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(241,616)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(313,111)</w:t>
            </w:r>
          </w:p>
        </w:tc>
      </w:tr>
      <w:tr>
        <w:trPr>
          <w:trHeight w:val="33"/>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687,432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598,393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89,039</w:t>
            </w: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acquired in 2012 is based on the preliminary purchase price allocation relating to the SmartSynch acquisition on May 1, 2012. Refer to Note 16 for additional information regarding this acquisition.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preceding table, "Other" includes activity associated with our restructuring announced in the fourth quarter of 2011. During the third quarter of 2012, we identified an error in our consolidated financial statements for the year ended December 31, 2011, which resulted in an overstatement of restructuring expense related to the expected sale of a non-core business. The identified assets to be disposed originally included $6.7 million of goodwill, which was impaired and charged to restructuring expense as a result of the expected sale proceeds being less than the carrying value of the identified assets. During the third quarter of 2012, we determined the amount of goodwill that should have been allocated to the asset disposal group was $1.3 million. In accordance with the relevant guidance, management evaluated the materiality of the error from a qualitative and quantitative perspective. Based on such evaluation, we concluded that correcting the goodwill allocated to this business asset group is not material, quantitatively or qualitatively, to our results of operations for the three months ended September 30, 2012 or our expected full year results of operations for 2012 and would not have had a material impact on our results for the year ended December 31, 2011. Accordingly, we recorded a non-cash adjustment during the third quarter of 2012 to reduce restructuring expense and increase goodwill by $5.4 million. Refer to Note 12 for additional disclosure on Itron's restructuring costs. Additionally, during the three months ended September 30, 2012, we sold a non-core business in Europe to which we allocated $675,000 of goodwill and recognized as restructuring expense.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a significant decline in the price of our shares of common stock at the end of September 2011, our aggregate market value was significantly lower than the aggregate carrying value of our net assets. As a result, we performed an impairment test of our goodwill as of September 30, 2011, and recorded total goodwill impairment charges of $584.8 million in the year ended December 31, 2011, of which $540.4 million was recorded during the three months ended September 30, 2011. These goodwill impairment charges were associated with our previous reporting units of Itron International Electricity and Itron International Water. The accumulated impairment losses were reallocated to our new operating segments, Energy and Water, effective January 1, 2012.</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currency; therefore, the carrying amounts of these balances increase or decrease, with a corresponding change in accumulated OCI, due to changes in foreign currency exchange rates.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Note 6:  Debt</w:t>
            </w: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2012</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2011 credit facility:</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USD denominated 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292,502</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Multicurrency revolving line of credit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160,000</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452,502</w:t>
            </w: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Less: Current portion of debt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437,502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August 2011, we entered into a senior secured credit facility (2011 credit facility), which replaced the senior secured credit facility we entered into in 2007 (2007 credit facility). The 2011 credit facility consists of a $300 million U.S. dollar term loan (the term loan) and a multicurrency revolving line of credit (the revolver) with a principal amount of up to $660 million, which was increased from $500 million in April 2012. Both the term loan and the revolver mature on August 8, 2016, and amounts borrowed under the revolver are classified as long-term. Amounts borrowed under the revolver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 repaid on the term loan may not be reborrowed. The 2011 credit facility permits us and certain of our foreign subsidiaries to borrow in U.S. dollars, euros, British pounds, or, with lender approval, other currencies readily convertible into U.S. dollars. All obligations under the 2011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2011 credit facility, are guaranteed by the foreign subsidiary and by its direct and indirect foreign parents. The 2011 credit facility includes debt covenants, which contain certain financial ratios and place certain restrictions on the incurrence of debt, investments, and the issuance of dividends. We were in compliance with the debt covenants under the 2011 credit facility at September 30,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amounts of $3.8 million through June 2013, $5.6 million from September 2013 through June 2014, $7.5 million from September 2014 through June 2016, and the remainder due at maturity on August 8, 2016. The term loan may be repaid early in whole or in part, subject to certain minimum thresholds, without penalty.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2011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or (iii) one month LIBOR plus 1%. At September 30, 2012, the interest rate for both the term loan and the revolver was 1.47% (the LIBOR rate plus a margin of 1.25%).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5620" w:type="dxa"/>
            <w:vAlign w:val="bottom"/>
            <w:gridSpan w:val="2"/>
          </w:tcPr>
          <w:p>
            <w:pPr>
              <w:spacing w:after="0"/>
              <w:rPr>
                <w:sz w:val="20"/>
                <w:szCs w:val="20"/>
                <w:color w:val="auto"/>
              </w:rPr>
            </w:pPr>
            <w:r>
              <w:rPr>
                <w:rFonts w:ascii="Arial" w:cs="Arial" w:eastAsia="Arial" w:hAnsi="Arial"/>
                <w:sz w:val="18"/>
                <w:szCs w:val="18"/>
                <w:color w:val="auto"/>
              </w:rPr>
              <w:t>Total credit facility repayments were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6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2011 credit facility term loan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2011 credit facility multicurrency revolving line of credit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2007 credit facility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351,320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406,950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2007 credit facility multicurrency revolving line of credit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170,000</w:t>
            </w: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credit facility repayments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525,070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580,700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2012, $140.0 million was outstanding under the 2011 credit facility revolver, and $49.4 million was utilized by outstanding standby letters of credit, resulting in $470.6 million available for additional borrowings.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repayment of the 2007 credit facility in August 2011, unamortized prepaid debt fees of $2.4 million were written-off to interest expense. Prepaid debt fees of approximately $6.6 million were capitalized in the third quarter of 2011 associated with the 2011 credit facility, and $897,000 were capitalized in the second quarter of 2012 associated with the increase in the revolver in April 2012. Unamortized prepaid debt fees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September 30, 2012</w:t>
            </w:r>
          </w:p>
        </w:tc>
        <w:tc>
          <w:tcPr>
            <w:tcW w:w="3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2011</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3"/>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3"/>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prepaid debt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6,027</w:t>
            </w: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2011, in accordance with the terms of the convertible senior subordinated notes (convertible notes), we repurchased $184.8 million of the convertible notes at their principal amount plus accrued and unpaid interest. On September 30, 2011, we redeemed the remaining $38.8 million of the convertible notes, plus accrued and unpaid interest.</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convertible notes were separated between the liability and equity components using our estimated non-convertible debt borrowing rate at the time the convertible notes were issued, which was determined to be 7.38%. This rate also reflected the effective interest rate on the liability component for all periods during which the convertible notes were outstanding. The carrying amount of the equity component of $31.8 million is retained as a permanent component of our shareholders' equity, and no gain or loss was recognized upon derecognition of the convertible notes as the fair value of the consideration transferred to the holders equaled the fair value of the liability component.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on the liability component was fully amortized by the end of the second quarter of 2011. The interest expense relating to both the contractual interest coupon and amortization of the discount on the liability component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5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5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8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5,336</w:t>
            </w:r>
          </w:p>
        </w:tc>
      </w:tr>
      <w:tr>
        <w:trPr>
          <w:trHeight w:val="27"/>
        </w:trPr>
        <w:tc>
          <w:tcPr>
            <w:tcW w:w="5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on convertible notes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used at September 30, 2012 included interest rate yield curves (swap rates and futures) and foreign exchange spot and forward rates, all of which are available in an active market. We have utilized the mid-market pricing convention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these inputs at September 30, 2012.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at September 30, 2012 and December 31, 2011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5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8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45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liability derivatives</w:t>
            </w:r>
          </w:p>
        </w:tc>
        <w:tc>
          <w:tcPr>
            <w:tcW w:w="3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 (loss) on derivative instruments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Realized (gains) losses reclassified into net income (loss)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2,598</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September 30,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termination of our net investment hedge in August 2011, the net derivative loss of $14.4 million will remain in accumulated OCI until such time when earnings are impacted by a sale or liquidation of the associated foreign operation.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 base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 The cash flow hedges are expected to be highly effective in achieving offsetting cash flows attributable to the hedged risk through the term of the hedge. Consequently, effective changes in the fair value of the interest rate swaps are recorded as a component of OCI and will be recognized in earnings when the hedged item affects earnings. The amounts paid or received on the hedges will be recognized as adjustments to interest expense. The amount of net losses expected to be reclassified into earnings in the next 12 months is $256,000. At September 30, 2012, our LIBOR based debt balance was $421.3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2007, we entered into a pay fixed 6.59% receive three-month Euro Interbank Offered Rate (EURIBOR), plus 2%, amortizing interest rate swap to convert a significant portion of our euro denominated variable-rate term loan to fixed-rate debt, plus or minus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variance in the applicable margin from 2%, through December 31, 2012. The objective of this swap was to protect us from increases in the EURIBOR base borrowing rates. The swaps did not protect us from changes to the applicable margin under our credit agreement. Throughout the duration of the hedging relationship, this cash flow hedge was expected to be highly effective in achieving offsetting cash flows attributable to the hedged risk. Consequently, effective changes in the fair value of the interest rate swap were recorded as a component of OCI and were recognized in earnings when the hedged item affected earnings. The amounts paid or received on the hedge were recognized as adjustments to interest expense. In August 2011, we repaid our 2007 credit facility, which included the euro-denominated term loan. In conjunction with the debt repayment, we paid $2.9 million to terminate the related interest rate swap, and the accumulated loss in OCI was reclassified to interest expense.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2010, we entered into two interest rate swaps with one-year terms, which each converted $100 million of our U.S. dollar term loan from a floating LIBOR interest rate to fixed interest rates of 2.11% and 2.15%, respectively. These swaps expired on June 30, 2011 and did not include the additional interest rate margin applicable to our term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and nine months ended September 30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center"/>
              <w:ind w:right="117"/>
              <w:spacing w:after="0"/>
              <w:rPr>
                <w:sz w:val="20"/>
                <w:szCs w:val="20"/>
                <w:color w:val="auto"/>
              </w:rPr>
            </w:pPr>
            <w:r>
              <w:rPr>
                <w:rFonts w:ascii="Arial" w:cs="Arial" w:eastAsia="Arial" w:hAnsi="Arial"/>
                <w:sz w:val="13"/>
                <w:szCs w:val="13"/>
                <w:b w:val="1"/>
                <w:bCs w:val="1"/>
                <w:color w:val="auto"/>
                <w:w w:val="88"/>
              </w:rPr>
              <w:t>Amount of Gain (Loss)</w:t>
            </w:r>
          </w:p>
        </w:tc>
        <w:tc>
          <w:tcPr>
            <w:tcW w:w="120" w:type="dxa"/>
            <w:vAlign w:val="bottom"/>
          </w:tcPr>
          <w:p>
            <w:pPr>
              <w:spacing w:after="0"/>
              <w:rPr>
                <w:sz w:val="13"/>
                <w:szCs w:val="13"/>
                <w:color w:val="auto"/>
              </w:rPr>
            </w:pPr>
          </w:p>
        </w:tc>
        <w:tc>
          <w:tcPr>
            <w:tcW w:w="2980" w:type="dxa"/>
            <w:vAlign w:val="bottom"/>
            <w:gridSpan w:val="5"/>
          </w:tcPr>
          <w:p>
            <w:pPr>
              <w:jc w:val="right"/>
              <w:spacing w:after="0"/>
              <w:rPr>
                <w:sz w:val="20"/>
                <w:szCs w:val="20"/>
                <w:color w:val="auto"/>
              </w:rPr>
            </w:pPr>
            <w:r>
              <w:rPr>
                <w:rFonts w:ascii="Arial" w:cs="Arial" w:eastAsia="Arial" w:hAnsi="Arial"/>
                <w:sz w:val="13"/>
                <w:szCs w:val="13"/>
                <w:b w:val="1"/>
                <w:bCs w:val="1"/>
                <w:color w:val="auto"/>
              </w:rPr>
              <w:t>Gain (Loss) Reclassified from Accumulated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tcPr>
          <w:p>
            <w:pPr>
              <w:jc w:val="center"/>
              <w:ind w:left="397"/>
              <w:spacing w:after="0"/>
              <w:rPr>
                <w:sz w:val="20"/>
                <w:szCs w:val="20"/>
                <w:color w:val="auto"/>
              </w:rPr>
            </w:pPr>
            <w:r>
              <w:rPr>
                <w:rFonts w:ascii="Arial" w:cs="Arial" w:eastAsia="Arial" w:hAnsi="Arial"/>
                <w:sz w:val="13"/>
                <w:szCs w:val="13"/>
                <w:b w:val="1"/>
                <w:bCs w:val="1"/>
                <w:color w:val="auto"/>
                <w:w w:val="86"/>
              </w:rPr>
              <w:t>Gain (Loss) Recognized in Income 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00" w:type="dxa"/>
            <w:vAlign w:val="bottom"/>
          </w:tcPr>
          <w:p>
            <w:pPr>
              <w:spacing w:after="0"/>
              <w:rPr>
                <w:sz w:val="12"/>
                <w:szCs w:val="12"/>
                <w:color w:val="auto"/>
              </w:rPr>
            </w:pPr>
          </w:p>
        </w:tc>
        <w:tc>
          <w:tcPr>
            <w:tcW w:w="1780" w:type="dxa"/>
            <w:vAlign w:val="bottom"/>
            <w:gridSpan w:val="3"/>
          </w:tcPr>
          <w:p>
            <w:pPr>
              <w:jc w:val="center"/>
              <w:ind w:right="117"/>
              <w:spacing w:after="0" w:line="144" w:lineRule="exact"/>
              <w:rPr>
                <w:sz w:val="20"/>
                <w:szCs w:val="20"/>
                <w:color w:val="auto"/>
              </w:rPr>
            </w:pPr>
            <w:r>
              <w:rPr>
                <w:rFonts w:ascii="Arial" w:cs="Arial" w:eastAsia="Arial" w:hAnsi="Arial"/>
                <w:sz w:val="13"/>
                <w:szCs w:val="13"/>
                <w:b w:val="1"/>
                <w:bCs w:val="1"/>
                <w:color w:val="auto"/>
                <w:w w:val="89"/>
              </w:rPr>
              <w:t>Recognized in OCI on</w:t>
            </w:r>
          </w:p>
        </w:tc>
        <w:tc>
          <w:tcPr>
            <w:tcW w:w="120" w:type="dxa"/>
            <w:vAlign w:val="bottom"/>
          </w:tcPr>
          <w:p>
            <w:pPr>
              <w:spacing w:after="0"/>
              <w:rPr>
                <w:sz w:val="12"/>
                <w:szCs w:val="12"/>
                <w:color w:val="auto"/>
              </w:rPr>
            </w:pPr>
          </w:p>
        </w:tc>
        <w:tc>
          <w:tcPr>
            <w:tcW w:w="2980" w:type="dxa"/>
            <w:vAlign w:val="bottom"/>
            <w:gridSpan w:val="5"/>
          </w:tcPr>
          <w:p>
            <w:pPr>
              <w:jc w:val="right"/>
              <w:ind w:right="177"/>
              <w:spacing w:after="0" w:line="144" w:lineRule="exact"/>
              <w:rPr>
                <w:sz w:val="20"/>
                <w:szCs w:val="20"/>
                <w:color w:val="auto"/>
              </w:rPr>
            </w:pPr>
            <w:r>
              <w:rPr>
                <w:rFonts w:ascii="Arial" w:cs="Arial" w:eastAsia="Arial" w:hAnsi="Arial"/>
                <w:sz w:val="13"/>
                <w:szCs w:val="13"/>
                <w:b w:val="1"/>
                <w:bCs w:val="1"/>
                <w:color w:val="auto"/>
              </w:rPr>
              <w:t>OCI into Income (Effective Portion)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5"/>
          </w:tcPr>
          <w:p>
            <w:pPr>
              <w:jc w:val="center"/>
              <w:ind w:left="39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5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Cash Flow</w:t>
            </w:r>
          </w:p>
        </w:tc>
        <w:tc>
          <w:tcPr>
            <w:tcW w:w="20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91"/>
              </w:rPr>
              <w:t>Derivative (Effective</w:t>
            </w: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200" w:type="dxa"/>
            <w:vAlign w:val="bottom"/>
          </w:tcPr>
          <w:p>
            <w:pPr>
              <w:spacing w:after="0"/>
              <w:rPr>
                <w:sz w:val="15"/>
                <w:szCs w:val="15"/>
                <w:color w:val="auto"/>
              </w:rPr>
            </w:pPr>
          </w:p>
        </w:tc>
        <w:tc>
          <w:tcPr>
            <w:tcW w:w="118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auto"/>
                <w:w w:val="88"/>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500"/>
              <w:spacing w:after="0"/>
              <w:rPr>
                <w:sz w:val="20"/>
                <w:szCs w:val="20"/>
                <w:color w:val="auto"/>
              </w:rPr>
            </w:pPr>
            <w:r>
              <w:rPr>
                <w:rFonts w:ascii="Arial" w:cs="Arial" w:eastAsia="Arial" w:hAnsi="Arial"/>
                <w:sz w:val="13"/>
                <w:szCs w:val="13"/>
                <w:b w:val="1"/>
                <w:bCs w:val="1"/>
                <w:color w:val="auto"/>
              </w:rPr>
              <w:t>Location</w:t>
            </w:r>
          </w:p>
        </w:tc>
        <w:tc>
          <w:tcPr>
            <w:tcW w:w="600" w:type="dxa"/>
            <w:vAlign w:val="bottom"/>
          </w:tcPr>
          <w:p>
            <w:pPr>
              <w:spacing w:after="0"/>
              <w:rPr>
                <w:sz w:val="15"/>
                <w:szCs w:val="15"/>
                <w:color w:val="auto"/>
              </w:rPr>
            </w:pPr>
          </w:p>
        </w:tc>
        <w:tc>
          <w:tcPr>
            <w:tcW w:w="78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88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auto"/>
                <w:w w:val="89"/>
              </w:rPr>
              <w:t>Amount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2012</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34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75"/>
              </w:rPr>
              <w:t>2011</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2"/>
          </w:tcPr>
          <w:p>
            <w:pPr>
              <w:jc w:val="right"/>
              <w:ind w:right="257"/>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auto"/>
                <w:w w:val="84"/>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(in thousands)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2"/>
          </w:tcPr>
          <w:p>
            <w:pPr>
              <w:jc w:val="center"/>
              <w:ind w:right="37"/>
              <w:spacing w:after="0"/>
              <w:rPr>
                <w:sz w:val="20"/>
                <w:szCs w:val="20"/>
                <w:color w:val="auto"/>
              </w:rPr>
            </w:pPr>
            <w:r>
              <w:rPr>
                <w:rFonts w:ascii="Arial" w:cs="Arial" w:eastAsia="Arial" w:hAnsi="Arial"/>
                <w:sz w:val="13"/>
                <w:szCs w:val="13"/>
                <w:b w:val="1"/>
                <w:bCs w:val="1"/>
                <w:color w:val="auto"/>
                <w:w w:val="87"/>
              </w:rPr>
              <w:t>(in thousands)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(1,332)</w:t>
            </w:r>
          </w:p>
        </w:tc>
        <w:tc>
          <w:tcPr>
            <w:tcW w:w="4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w w:val="97"/>
              </w:rPr>
              <w:t>Interest expense</w:t>
            </w:r>
          </w:p>
        </w:tc>
        <w:tc>
          <w:tcPr>
            <w:tcW w:w="600" w:type="dxa"/>
            <w:vAlign w:val="bottom"/>
            <w:vMerge w:val="restart"/>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(3,083)</w:t>
            </w:r>
          </w:p>
        </w:tc>
        <w:tc>
          <w:tcPr>
            <w:tcW w:w="1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w w:val="95"/>
              </w:rPr>
              <w:t>Interest expense</w:t>
            </w:r>
          </w:p>
        </w:tc>
        <w:tc>
          <w:tcPr>
            <w:tcW w:w="580" w:type="dxa"/>
            <w:vAlign w:val="bottom"/>
            <w:vMerge w:val="restart"/>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540" w:type="dxa"/>
            <w:vAlign w:val="bottom"/>
            <w:gridSpan w:val="2"/>
          </w:tcPr>
          <w:p>
            <w:pPr>
              <w:ind w:left="360"/>
              <w:spacing w:after="0"/>
              <w:rPr>
                <w:sz w:val="20"/>
                <w:szCs w:val="20"/>
                <w:color w:val="auto"/>
              </w:rPr>
            </w:pPr>
            <w:r>
              <w:rPr>
                <w:rFonts w:ascii="Arial" w:cs="Arial" w:eastAsia="Arial" w:hAnsi="Arial"/>
                <w:sz w:val="13"/>
                <w:szCs w:val="13"/>
                <w:color w:val="auto"/>
              </w:rPr>
              <w:t>Interest rate swap contracts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(2,697)</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(4,200)</w:t>
            </w:r>
          </w:p>
        </w:tc>
        <w:tc>
          <w:tcPr>
            <w:tcW w:w="120" w:type="dxa"/>
            <w:vAlign w:val="bottom"/>
          </w:tcPr>
          <w:p>
            <w:pPr>
              <w:spacing w:after="0"/>
              <w:rPr>
                <w:sz w:val="22"/>
                <w:szCs w:val="22"/>
                <w:color w:val="auto"/>
              </w:rPr>
            </w:pPr>
          </w:p>
        </w:tc>
        <w:tc>
          <w:tcPr>
            <w:tcW w:w="1600" w:type="dxa"/>
            <w:vAlign w:val="bottom"/>
            <w:gridSpan w:val="2"/>
          </w:tcPr>
          <w:p>
            <w:pPr>
              <w:ind w:left="640"/>
              <w:spacing w:after="0"/>
              <w:rPr>
                <w:sz w:val="20"/>
                <w:szCs w:val="20"/>
                <w:color w:val="auto"/>
              </w:rPr>
            </w:pPr>
            <w:r>
              <w:rPr>
                <w:rFonts w:ascii="Arial" w:cs="Arial" w:eastAsia="Arial" w:hAnsi="Arial"/>
                <w:sz w:val="13"/>
                <w:szCs w:val="13"/>
                <w:color w:val="auto"/>
                <w:w w:val="97"/>
              </w:rPr>
              <w:t>Interest expense</w:t>
            </w:r>
          </w:p>
        </w:tc>
        <w:tc>
          <w:tcPr>
            <w:tcW w:w="600" w:type="dxa"/>
            <w:vAlign w:val="bottom"/>
          </w:tcPr>
          <w:p>
            <w:pPr>
              <w:jc w:val="right"/>
              <w:ind w:right="437"/>
              <w:spacing w:after="0"/>
              <w:rPr>
                <w:sz w:val="20"/>
                <w:szCs w:val="20"/>
                <w:color w:val="auto"/>
              </w:rPr>
            </w:pPr>
            <w:r>
              <w:rPr>
                <w:rFonts w:ascii="Arial" w:cs="Arial" w:eastAsia="Arial" w:hAnsi="Arial"/>
                <w:sz w:val="13"/>
                <w:szCs w:val="13"/>
                <w:color w:val="auto"/>
              </w:rPr>
              <w:t>$</w:t>
            </w:r>
          </w:p>
        </w:tc>
        <w:tc>
          <w:tcPr>
            <w:tcW w:w="340" w:type="dxa"/>
            <w:vAlign w:val="bottom"/>
          </w:tcPr>
          <w:p>
            <w:pPr>
              <w:ind w:left="1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(7,254)</w:t>
            </w:r>
          </w:p>
        </w:tc>
        <w:tc>
          <w:tcPr>
            <w:tcW w:w="100" w:type="dxa"/>
            <w:vAlign w:val="bottom"/>
          </w:tcPr>
          <w:p>
            <w:pPr>
              <w:spacing w:after="0"/>
              <w:rPr>
                <w:sz w:val="22"/>
                <w:szCs w:val="22"/>
                <w:color w:val="auto"/>
              </w:rPr>
            </w:pP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w w:val="95"/>
              </w:rPr>
              <w:t>Interest expense</w:t>
            </w: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exposed us to fluctuations in the euro foreign exchange rate. Therefore, we designated this foreign currency denominated term loan as a hedge of our net investment in international operations. The non-functional currency term loan was revalued into U.S. dollars at each balance sheet date, and the changes in value associated with currency fluctuations were recorded as adjustments to long-term debt with offsetting gains and losses recorded in OCI. The loan was repaid in full in August 2011 as part of our repayment of the 2007 credit facility. The net derivative loss will remain in accumulated OCI until such time when earnings are impacted by a sale or liquidation of the associated foreign operation.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before tax and net of tax effects of our net investment hedge nonderivative financial instrument on OCI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are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Nonderivative Financial Instruments in ASC 815-20</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gridSpan w:val="6"/>
          </w:tcPr>
          <w:p>
            <w:pPr>
              <w:jc w:val="center"/>
              <w:ind w:right="199"/>
              <w:spacing w:after="0"/>
              <w:rPr>
                <w:sz w:val="20"/>
                <w:szCs w:val="20"/>
                <w:color w:val="auto"/>
              </w:rPr>
            </w:pPr>
            <w:r>
              <w:rPr>
                <w:rFonts w:ascii="Arial" w:cs="Arial" w:eastAsia="Arial" w:hAnsi="Arial"/>
                <w:sz w:val="16"/>
                <w:szCs w:val="16"/>
                <w:b w:val="1"/>
                <w:bCs w:val="1"/>
                <w:color w:val="auto"/>
                <w:w w:val="91"/>
              </w:rPr>
              <w:t>Euro Denominated Term Loan Designated as a Hedge</w:t>
            </w:r>
          </w:p>
        </w:tc>
        <w:tc>
          <w:tcPr>
            <w:tcW w:w="1200" w:type="dxa"/>
            <w:vAlign w:val="bottom"/>
          </w:tcPr>
          <w:p>
            <w:pPr>
              <w:spacing w:after="0"/>
              <w:rPr>
                <w:sz w:val="17"/>
                <w:szCs w:val="17"/>
                <w:color w:val="auto"/>
              </w:rPr>
            </w:pPr>
          </w:p>
        </w:tc>
      </w:tr>
      <w:tr>
        <w:trPr>
          <w:trHeight w:val="210"/>
        </w:trPr>
        <w:tc>
          <w:tcPr>
            <w:tcW w:w="4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Net Investment Hedging Relationships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jc w:val="center"/>
              <w:ind w:left="19"/>
              <w:spacing w:after="0"/>
              <w:rPr>
                <w:sz w:val="20"/>
                <w:szCs w:val="20"/>
                <w:color w:val="auto"/>
              </w:rPr>
            </w:pPr>
            <w:r>
              <w:rPr>
                <w:rFonts w:ascii="Arial" w:cs="Arial" w:eastAsia="Arial" w:hAnsi="Arial"/>
                <w:sz w:val="16"/>
                <w:szCs w:val="16"/>
                <w:b w:val="1"/>
                <w:bCs w:val="1"/>
                <w:color w:val="auto"/>
                <w:w w:val="93"/>
              </w:rPr>
              <w:t>of Our Net Investment in International Operations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20"/>
                <w:szCs w:val="20"/>
                <w:color w:val="auto"/>
              </w:rPr>
            </w:pPr>
          </w:p>
        </w:tc>
        <w:tc>
          <w:tcPr>
            <w:tcW w:w="28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w w:val="90"/>
              </w:rPr>
              <w:t>(in thousands)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Gain (loss) recognized in OCI on derivative</w:t>
            </w: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6"/>
        </w:trPr>
        <w:tc>
          <w:tcPr>
            <w:tcW w:w="4700" w:type="dxa"/>
            <w:vAlign w:val="bottom"/>
            <w:gridSpan w:val="2"/>
          </w:tcPr>
          <w:p>
            <w:pPr>
              <w:ind w:left="160"/>
              <w:spacing w:after="0"/>
              <w:rPr>
                <w:sz w:val="20"/>
                <w:szCs w:val="20"/>
                <w:color w:val="auto"/>
              </w:rPr>
            </w:pPr>
            <w:r>
              <w:rPr>
                <w:rFonts w:ascii="Arial" w:cs="Arial" w:eastAsia="Arial" w:hAnsi="Arial"/>
                <w:sz w:val="16"/>
                <w:szCs w:val="16"/>
                <w:color w:val="auto"/>
              </w:rPr>
              <w:t>(Effective Portion)</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Before tax</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(14,278)</w:t>
            </w: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Net of tax</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360" w:type="dxa"/>
            <w:vAlign w:val="bottom"/>
          </w:tcPr>
          <w:p>
            <w:pPr>
              <w:ind w:left="180"/>
              <w:spacing w:after="0"/>
              <w:rPr>
                <w:sz w:val="20"/>
                <w:szCs w:val="20"/>
                <w:color w:val="auto"/>
              </w:rPr>
            </w:pPr>
            <w:r>
              <w:rPr>
                <w:rFonts w:ascii="Arial" w:cs="Arial" w:eastAsia="Arial" w:hAnsi="Arial"/>
                <w:sz w:val="16"/>
                <w:szCs w:val="16"/>
                <w:color w:val="auto"/>
                <w:w w:val="99"/>
              </w:rPr>
              <w:t>—</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8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(8,854)</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429 contracts were entered into during the nine months ended September 30, 2012), which are not designated for hedge accounting, with the intent to reduce</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volatility associated with certain of these balances. The notional amounts of the contracts ranged from $120,000 to $51 million, offsetting our exposures from the euro, British pound, Canadian dollar, Australian dollar, Brazilian real, and various other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effect of our foreign exchange forward derivative instruments on the Consolidated Statements of Operations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Derivatives Not Designated as</w:t>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Hedging Instrument under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907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Gain (Loss) Recognized on Derivatives in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262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gridSpan w:val="4"/>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16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2012</w:t>
            </w:r>
          </w:p>
        </w:tc>
        <w:tc>
          <w:tcPr>
            <w:tcW w:w="16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6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2200" w:type="dxa"/>
            <w:vAlign w:val="bottom"/>
            <w:gridSpan w:val="3"/>
          </w:tcPr>
          <w:p>
            <w:pPr>
              <w:ind w:left="1200"/>
              <w:spacing w:after="0"/>
              <w:rPr>
                <w:sz w:val="20"/>
                <w:szCs w:val="20"/>
                <w:color w:val="auto"/>
              </w:rPr>
            </w:pPr>
            <w:r>
              <w:rPr>
                <w:rFonts w:ascii="Arial" w:cs="Arial" w:eastAsia="Arial" w:hAnsi="Arial"/>
                <w:sz w:val="16"/>
                <w:szCs w:val="16"/>
                <w:b w:val="1"/>
                <w:bCs w:val="1"/>
                <w:color w:val="auto"/>
                <w:w w:val="88"/>
              </w:rPr>
              <w:t>(in thousands)</w:t>
            </w: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20955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3980" w:space="720"/>
            <w:col w:w="6720"/>
          </w:cols>
          <w:pgMar w:left="240" w:top="125" w:right="239" w:bottom="1440" w:gutter="0" w:footer="0" w:header="0"/>
          <w:type w:val="continuous"/>
        </w:sectPr>
      </w:pPr>
    </w:p>
    <w:p>
      <w:pPr>
        <w:ind w:left="40"/>
        <w:spacing w:after="0"/>
        <w:tabs>
          <w:tab w:leader="none" w:pos="4720" w:val="left"/>
          <w:tab w:leader="none" w:pos="5900" w:val="left"/>
          <w:tab w:leader="none" w:pos="6460" w:val="left"/>
          <w:tab w:leader="none" w:pos="7560" w:val="left"/>
          <w:tab w:leader="none" w:pos="8160" w:val="left"/>
          <w:tab w:leader="none" w:pos="9300" w:val="left"/>
          <w:tab w:leader="none" w:pos="9840" w:val="left"/>
          <w:tab w:leader="none" w:pos="1100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(245)</w:t>
        <w:tab/>
        <w:t>$</w:t>
      </w:r>
      <w:r>
        <w:rPr>
          <w:sz w:val="20"/>
          <w:szCs w:val="20"/>
          <w:color w:val="auto"/>
        </w:rPr>
        <w:tab/>
      </w:r>
      <w:r>
        <w:rPr>
          <w:rFonts w:ascii="Arial" w:cs="Arial" w:eastAsia="Arial" w:hAnsi="Arial"/>
          <w:sz w:val="16"/>
          <w:szCs w:val="16"/>
          <w:color w:val="auto"/>
        </w:rPr>
        <w:t>2,464</w:t>
        <w:tab/>
        <w:t>$</w:t>
      </w:r>
      <w:r>
        <w:rPr>
          <w:sz w:val="20"/>
          <w:szCs w:val="20"/>
          <w:color w:val="auto"/>
        </w:rPr>
        <w:tab/>
      </w:r>
      <w:r>
        <w:rPr>
          <w:rFonts w:ascii="Arial" w:cs="Arial" w:eastAsia="Arial" w:hAnsi="Arial"/>
          <w:sz w:val="16"/>
          <w:szCs w:val="16"/>
          <w:color w:val="auto"/>
        </w:rPr>
        <w:t>(666)</w:t>
        <w:tab/>
        <w:t>$</w:t>
      </w:r>
      <w:r>
        <w:rPr>
          <w:sz w:val="20"/>
          <w:szCs w:val="20"/>
          <w:color w:val="auto"/>
        </w:rPr>
        <w:tab/>
      </w:r>
      <w:r>
        <w:rPr>
          <w:rFonts w:ascii="Arial" w:cs="Arial" w:eastAsia="Arial" w:hAnsi="Arial"/>
          <w:sz w:val="14"/>
          <w:szCs w:val="14"/>
          <w:color w:val="auto"/>
        </w:rPr>
        <w:t>(877)</w:t>
      </w:r>
    </w:p>
    <w:p>
      <w:pPr>
        <w:spacing w:after="0" w:line="3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offering death and disability, retirement, and special termination benefits. The defined benefit obligation is calculated annually by using the projected unit credit method. The measurement date for the pension plans was December 31, 2011.</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2012</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2011</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in other long-term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2,621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pension plan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62,449</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Net pension plan benefit liability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65,331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64,621</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$33,000 and $388,000 to the defined benefit pension plans for the three and nine months ended September 30, 2012, and $40,000 and $431,000 for the three and nine months ended September 30, 2011, respectively. The timing of when contributions are made can vary by plan and from year to year. For 2012, assuming that actual plan asset returns are consistent with our expected rate of return, and that interest rates remain constant, we expect to contribute approximately $474,000 to our defined benefit pension plans. We contributed $520,000 to the defined benefit pension plans for the year ended December 31,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5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2,833</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Settlements and termination benefits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net loss (gain)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 unrecognized prior service costs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vesting requirement period. For the three and nine months ended September 30, stock-based compensation expense and the related tax benefit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4,390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2,916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12,281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10,320</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ESPP</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527</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1,358</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September 30, 2012, 1,338,142 shares were available for grant under the Stock Incentive Plan.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1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2012</w:t>
            </w:r>
            <w:r>
              <w:rPr>
                <w:rFonts w:ascii="Arial" w:cs="Arial" w:eastAsia="Arial" w:hAnsi="Arial"/>
                <w:sz w:val="21"/>
                <w:szCs w:val="21"/>
                <w:b w:val="1"/>
                <w:bCs w:val="1"/>
                <w:color w:val="auto"/>
                <w:vertAlign w:val="superscript"/>
              </w:rPr>
              <w:t>(1)</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2011</w:t>
            </w:r>
          </w:p>
        </w:tc>
      </w:tr>
      <w:tr>
        <w:trPr>
          <w:trHeight w:val="23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8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18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6"/>
              </w:rPr>
              <w:t>45.8%</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33"/>
        </w:trPr>
        <w:tc>
          <w:tcPr>
            <w:tcW w:w="4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8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Expected life (years)</w:t>
            </w:r>
          </w:p>
        </w:tc>
        <w:tc>
          <w:tcPr>
            <w:tcW w:w="18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4.91</w:t>
            </w:r>
          </w:p>
        </w:tc>
        <w:tc>
          <w:tcPr>
            <w:tcW w:w="10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4.86</w:t>
            </w:r>
          </w:p>
        </w:tc>
      </w:tr>
    </w:tbl>
    <w:p>
      <w:pPr>
        <w:spacing w:after="0" w:line="23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There were no employee stock options granted for the three months ended September 30, 2012.</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nine months ended September 30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6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 xml:space="preserve">Intrinsic Value </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55.21</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52.13</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21.81</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58.50</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September 30, 2011</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55.72</w:t>
            </w:r>
          </w:p>
        </w:tc>
        <w:tc>
          <w:tcPr>
            <w:tcW w:w="14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September 30, 2011</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55.94</w:t>
            </w:r>
          </w:p>
        </w:tc>
        <w:tc>
          <w:tcPr>
            <w:tcW w:w="1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September 30, 2011</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55.97</w:t>
            </w:r>
          </w:p>
        </w:tc>
        <w:tc>
          <w:tcPr>
            <w:tcW w:w="14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48.23</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18.64</w:t>
            </w: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22.12</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60.06</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September 30, 2012</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56.87</w:t>
            </w:r>
          </w:p>
        </w:tc>
        <w:tc>
          <w:tcPr>
            <w:tcW w:w="14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September 30, 2012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58.04</w:t>
            </w:r>
          </w:p>
        </w:tc>
        <w:tc>
          <w:tcPr>
            <w:tcW w:w="1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September 30, 2012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48.50</w:t>
            </w:r>
          </w:p>
        </w:tc>
        <w:tc>
          <w:tcPr>
            <w:tcW w:w="1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45"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2012, total unrecognized stock-based compensation expense related to nonvested stock options was approximately $1.5 million, which is expected to be recognized over a weighted average period of approximately 1.7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and senior management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restricted stock units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for each separately vesting portion of the award. Performance awards typically vest and are released in three equal installments at the end of each year following attainment of the performance goals.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 During the vesting period, unvested restricted stock units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through the participant’s retirement eligible date. For performance awards granted in 2012, the maximum restricted stock units that may become eligible for vesting is 208,000 with a grant date fair value of $44.07.</w:t>
      </w:r>
    </w:p>
    <w:p>
      <w:pPr>
        <w:sectPr>
          <w:pgSz w:w="11900" w:h="16838" w:orient="portrait"/>
          <w:cols w:equalWidth="0" w:num="1">
            <w:col w:w="11420"/>
          </w:cols>
          <w:pgMar w:left="240" w:top="12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nine months ended September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6"/>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jc w:val="center"/>
              <w:ind w:right="4679"/>
              <w:spacing w:after="0"/>
              <w:rPr>
                <w:sz w:val="20"/>
                <w:szCs w:val="20"/>
                <w:color w:val="auto"/>
              </w:rPr>
            </w:pPr>
            <w:r>
              <w:rPr>
                <w:rFonts w:ascii="Arial" w:cs="Arial" w:eastAsia="Arial" w:hAnsi="Arial"/>
                <w:sz w:val="16"/>
                <w:szCs w:val="16"/>
                <w:color w:val="auto"/>
                <w:w w:val="85"/>
              </w:rPr>
              <w:t>Granted</w:t>
            </w:r>
            <w:r>
              <w:rPr>
                <w:rFonts w:ascii="Arial" w:cs="Arial" w:eastAsia="Arial" w:hAnsi="Arial"/>
                <w:sz w:val="21"/>
                <w:szCs w:val="21"/>
                <w:color w:val="auto"/>
                <w:w w:val="85"/>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286</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54.82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jc w:val="center"/>
              <w:ind w:right="4679"/>
              <w:spacing w:after="0"/>
              <w:rPr>
                <w:sz w:val="20"/>
                <w:szCs w:val="20"/>
                <w:color w:val="auto"/>
              </w:rPr>
            </w:pPr>
            <w:r>
              <w:rPr>
                <w:rFonts w:ascii="Arial" w:cs="Arial" w:eastAsia="Arial" w:hAnsi="Arial"/>
                <w:sz w:val="16"/>
                <w:szCs w:val="16"/>
                <w:color w:val="auto"/>
                <w:w w:val="88"/>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15,739</w:t>
            </w:r>
          </w:p>
        </w:tc>
        <w:tc>
          <w:tcPr>
            <w:tcW w:w="0" w:type="dxa"/>
            <w:vAlign w:val="bottom"/>
          </w:tcPr>
          <w:p>
            <w:pPr>
              <w:spacing w:after="0"/>
              <w:rPr>
                <w:sz w:val="1"/>
                <w:szCs w:val="1"/>
                <w:color w:val="auto"/>
              </w:rPr>
            </w:pPr>
          </w:p>
        </w:tc>
      </w:tr>
      <w:tr>
        <w:trPr>
          <w:trHeight w:val="237"/>
        </w:trPr>
        <w:tc>
          <w:tcPr>
            <w:tcW w:w="6120" w:type="dxa"/>
            <w:vAlign w:val="bottom"/>
            <w:gridSpan w:val="2"/>
          </w:tcPr>
          <w:p>
            <w:pPr>
              <w:jc w:val="center"/>
              <w:ind w:right="4679"/>
              <w:spacing w:after="0"/>
              <w:rPr>
                <w:sz w:val="20"/>
                <w:szCs w:val="20"/>
                <w:color w:val="auto"/>
              </w:rPr>
            </w:pPr>
            <w:r>
              <w:rPr>
                <w:rFonts w:ascii="Arial" w:cs="Arial" w:eastAsia="Arial" w:hAnsi="Arial"/>
                <w:sz w:val="16"/>
                <w:szCs w:val="16"/>
                <w:color w:val="auto"/>
                <w:w w:val="94"/>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jc w:val="center"/>
              <w:ind w:right="4679"/>
              <w:spacing w:after="0"/>
              <w:rPr>
                <w:sz w:val="20"/>
                <w:szCs w:val="20"/>
                <w:color w:val="auto"/>
              </w:rPr>
            </w:pPr>
            <w:r>
              <w:rPr>
                <w:rFonts w:ascii="Arial" w:cs="Arial" w:eastAsia="Arial" w:hAnsi="Arial"/>
                <w:sz w:val="16"/>
                <w:szCs w:val="16"/>
                <w:color w:val="auto"/>
                <w:w w:val="85"/>
              </w:rPr>
              <w:t>Granted</w:t>
            </w:r>
            <w:r>
              <w:rPr>
                <w:rFonts w:ascii="Arial" w:cs="Arial" w:eastAsia="Arial" w:hAnsi="Arial"/>
                <w:sz w:val="21"/>
                <w:szCs w:val="21"/>
                <w:color w:val="auto"/>
                <w:w w:val="85"/>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452</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47.29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jc w:val="center"/>
              <w:ind w:right="4679"/>
              <w:spacing w:after="0"/>
              <w:rPr>
                <w:sz w:val="20"/>
                <w:szCs w:val="20"/>
                <w:color w:val="auto"/>
              </w:rPr>
            </w:pPr>
            <w:r>
              <w:rPr>
                <w:rFonts w:ascii="Arial" w:cs="Arial" w:eastAsia="Arial" w:hAnsi="Arial"/>
                <w:sz w:val="16"/>
                <w:szCs w:val="16"/>
                <w:color w:val="auto"/>
                <w:w w:val="88"/>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12,835</w:t>
            </w:r>
          </w:p>
        </w:tc>
        <w:tc>
          <w:tcPr>
            <w:tcW w:w="0" w:type="dxa"/>
            <w:vAlign w:val="bottom"/>
          </w:tcPr>
          <w:p>
            <w:pPr>
              <w:spacing w:after="0"/>
              <w:rPr>
                <w:sz w:val="1"/>
                <w:szCs w:val="1"/>
                <w:color w:val="auto"/>
              </w:rPr>
            </w:pPr>
          </w:p>
        </w:tc>
      </w:tr>
      <w:tr>
        <w:trPr>
          <w:trHeight w:val="237"/>
        </w:trPr>
        <w:tc>
          <w:tcPr>
            <w:tcW w:w="6120" w:type="dxa"/>
            <w:vAlign w:val="bottom"/>
            <w:gridSpan w:val="2"/>
          </w:tcPr>
          <w:p>
            <w:pPr>
              <w:jc w:val="center"/>
              <w:ind w:right="4679"/>
              <w:spacing w:after="0"/>
              <w:rPr>
                <w:sz w:val="20"/>
                <w:szCs w:val="20"/>
                <w:color w:val="auto"/>
              </w:rPr>
            </w:pPr>
            <w:r>
              <w:rPr>
                <w:rFonts w:ascii="Arial" w:cs="Arial" w:eastAsia="Arial" w:hAnsi="Arial"/>
                <w:sz w:val="16"/>
                <w:szCs w:val="16"/>
                <w:color w:val="auto"/>
                <w:w w:val="94"/>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September 30, 2012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September 30, 2012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72"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These restricted stock units do not include the respective 2011 and 2012 awards under the Performance Award Agreement, which are not eligible for vesting as of September 30 of each respective year.</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2012, unrecognized compensation expense on restricted stock units was $25.8 million, which is expected to be recognized over a weighted average period of approximately 2.0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grant unrestricted stock awards to our Board of Directors as part of their compensation. Awards are fully vested and expensed when granted. The fair value of unrestricted stock awards is the market close price of our common stock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and nine months ended September 30: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50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r>
      <w:tr>
        <w:trPr>
          <w:trHeight w:val="33"/>
        </w:trPr>
        <w:tc>
          <w:tcPr>
            <w:tcW w:w="4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4,342</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6,317</w:t>
            </w:r>
          </w:p>
        </w:tc>
      </w:tr>
      <w:tr>
        <w:trPr>
          <w:trHeight w:val="284"/>
        </w:trPr>
        <w:tc>
          <w:tcPr>
            <w:tcW w:w="4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7"/>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52.19</w:t>
            </w:r>
          </w:p>
        </w:tc>
      </w:tr>
      <w:tr>
        <w:trPr>
          <w:trHeight w:val="33"/>
        </w:trPr>
        <w:tc>
          <w:tcPr>
            <w:tcW w:w="4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15% discount from the fair market value of the stock at the end of each fiscal quarter, subject to other limitations under the plan. The sale of the stock to the employees occurs at the beginning of the subsequent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nine months ended September 30:</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4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22,739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22,518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76,415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65,143</w:t>
            </w:r>
          </w:p>
        </w:tc>
        <w:tc>
          <w:tcPr>
            <w:tcW w:w="0" w:type="dxa"/>
            <w:vAlign w:val="bottom"/>
          </w:tcPr>
          <w:p>
            <w:pPr>
              <w:spacing w:after="0"/>
              <w:rPr>
                <w:sz w:val="1"/>
                <w:szCs w:val="1"/>
                <w:color w:val="auto"/>
              </w:rPr>
            </w:pPr>
          </w:p>
        </w:tc>
      </w:tr>
      <w:tr>
        <w:trPr>
          <w:trHeight w:val="74"/>
        </w:trPr>
        <w:tc>
          <w:tcPr>
            <w:tcW w:w="424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3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4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24"/>
                <w:szCs w:val="24"/>
                <w:color w:val="auto"/>
              </w:rPr>
            </w:pP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2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325"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25"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 during the three and nine months ended September 30.</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2012, all compensation cost associated with the ESPP had been recognized. There were 625,000 shares of common stock available for future issuance under the ESPP at September 30, 2012.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tax provisions as a percentage of income (loss) before tax typically differ from the federal statutory rate of 35%, and may vary from period to period, due to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2012, we had tax provisions of 15.4% and 22.2%, based on a percentage of income (loss) before tax, as compared with tax provisions of 1.2% and 3.6% for the same periods in 2011.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tax provision in 2012 differs from the federal statutory rate due to projected earnings in tax jurisdictions with rates lower than 35%, the benefit of certain interest expense deductions, and an election under U.S. Internal Revenue Code Section 338 with respect to a foreign acquisition in 2007.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in 2011 differs from the federal statutory rate due to the impact of the goodwill impairment, which is not deductible, projected earnings in tax jurisdictions with rates lower than 35%, the benefit of certain interest expense deductions, a benefit related to the settlement of a foreign tax litigation, and an election under U.S. Internal Revenue Code Sections 338 with respect to a foreign acquisition in 2007.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and penalties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643</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Accrued interest and penalties recorded are as follows: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9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 2012</w:t>
            </w:r>
          </w:p>
        </w:tc>
        <w:tc>
          <w:tcPr>
            <w:tcW w:w="20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December 31, 2011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4,225</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Accrued penalties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2,847</w:t>
            </w: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 2012</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2011</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3"/>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related to uncertain tax positions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26,163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w w:val="95"/>
              </w:rPr>
              <w:t>The amount of unrecognized tax benefits that, if recognized, would affect our effective tax rate</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25,667</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24,451</w:t>
            </w:r>
          </w:p>
        </w:tc>
      </w:tr>
    </w:tbl>
    <w:p>
      <w:pPr>
        <w:spacing w:after="0" w:line="229" w:lineRule="exact"/>
        <w:rPr>
          <w:sz w:val="20"/>
          <w:szCs w:val="20"/>
          <w:color w:val="auto"/>
        </w:rPr>
      </w:pPr>
    </w:p>
    <w:p>
      <w:pPr>
        <w:ind w:left="5620" w:right="2320" w:hanging="5615"/>
        <w:spacing w:after="0" w:line="559"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$5.0 million within the 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next twelve months due to the expiration of the statute of limitations and the completion of examinations by taxing authorities. At September 30, 2012, we are not able to reasonably estimate the timing of future cash flows relating to our uncertain tax positions.</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2012</w:t>
            </w:r>
          </w:p>
        </w:tc>
        <w:tc>
          <w:tcPr>
            <w:tcW w:w="240" w:type="dxa"/>
            <w:vAlign w:val="bottom"/>
          </w:tcPr>
          <w:p>
            <w:pPr>
              <w:spacing w:after="0"/>
              <w:rPr>
                <w:sz w:val="18"/>
                <w:szCs w:val="18"/>
                <w:color w:val="auto"/>
              </w:rPr>
            </w:pPr>
          </w:p>
        </w:tc>
        <w:tc>
          <w:tcPr>
            <w:tcW w:w="180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December 31, 2011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6"/>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(140,000)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(44,549)</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470,590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295,451</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67,968</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(29,571)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(28,733)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7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4"/>
                <w:szCs w:val="2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72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8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8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33,095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39,235</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154,047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139,954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See Note 6 for details regarding our secured credit facilities.</w:t>
      </w:r>
    </w:p>
    <w:p>
      <w:pPr>
        <w:ind w:left="340" w:hanging="332"/>
        <w:spacing w:after="0" w:line="182"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September 30, 2012 were not material to our financial condition or results of operations.</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2010 and 2011, Transdata Incorporated (Transdata) filed lawsuits against three of our customers, CenterPoint Energy (CenterPoint), TriCounty Electric Cooperative, Inc. (Tri-County), and San Diego Gas &amp; Electric Company (San Diego), a customer of recently acquired SmartSynch, and several other utilities, alleging infringement of three patents owned by Transdata related to the use of an antenna in a meter. Pursuant to our contractual obligations with our customers, we agreed to indemnify and defend them in these lawsuits. The complaints seek unspecified damages as well as injunctive relief. CenterPoint, Tri-County, and San Diego have denied all of the substantive allegations and filed counterclaims seeking a declaratory judgment that the patents are</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 certain new claims added by TransData. The stay of the litigation has been lifted by the district court.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23, 2011, a purported class action lawsuit was filed in U.S. District Court for the Eastern District of Washington alleging violations of federal securities laws relating to a restatement of our financial results for the quarters ended March 31, June 30, and September 30, 2010. These revisions were made primarily to defer revenue that had been incorrectly recognized on one contract due to a misinterpretation of an extended warranty obligation. The effect of the restatement was to reduce revenue and earnings in each of the first three quarters of 2010. As a result of the restatement, total revenue for the first nine months of 2010 was reduced by $6.1 million and diluted EPS was reduced by $0.11. On August 22, 2011, the lead plaintiff in the federal securities lawsuit filed a consolidated complaint, which defendants moved to dismiss. On September 11, 2012, the U.S. District Court for the Eastern District of Washington granted defendants' motion to dismiss in its entirety and dismissed all claims against all defendants asserted in the consolidated complaint. On October 30, 2012, the lead plaintiff dismissed its complaint with prejudice, and the Court subsequently approved Plaintiffs' voluntary dismissal with prejudice.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2011, a lawsuit was filed in the Superior Court of the State of Washington in and for Spokane County against certain current or former officers and directors seeking unspecified damages on behalf of Itron, Inc. The complaint alleges that the defendants breached their fiduciary obligations to Itron with respect to the restatement of Itron's financial results for the quarters ended March 31, June 30, and September 30, 2010. This lawsuit is a shareholder derivative action that purports to assert claims on behalf of Itron, Inc. This purported derivative action had been stayed pending the outcome of the motion to dismiss in the federal securities lawsuit referred to above, but, as a result of the September 11, 2012 dismissal order, the stay has been lifted. Defendants intend to seek dismissal of this purported derivative action, and the Superior Court has set a schedule for briefing and hearing the motion to dismiss. Briefing on the motion to dismiss will be completed in April 2013, and the Superior Court has scheduled a hearing on the motion to dismiss for May 2013. Defendants believe they have valid defenses to this derivative action and intend to defend themselves vigorously.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2011, a lawsuit was filed in the United States District Court for the Eastern District of Texas alleging infringement of three patents owned by EON Corp. IP Holdings, LLC (EON), related to two-way communication networks, network components, and related software platforms. The complaint seeks unspecified damages as well as injunctive relief. On July 16, 2012, Itron filed a Motion to Sever and Transfer Venue to the Eastern District of Washington. The decision on this motion is pending.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the claim is resolved.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51,283</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5,591</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40,906</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0"/>
              </w:rPr>
              <w:t>(12,050)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(9,207)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(18,422)</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Ending balance, September 30</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55,687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79,032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55,687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79,032</w:t>
            </w: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50,798</w:t>
            </w:r>
          </w:p>
        </w:tc>
      </w:tr>
      <w:tr>
        <w:trPr>
          <w:trHeight w:val="244"/>
        </w:trPr>
        <w:tc>
          <w:tcPr>
            <w:tcW w:w="470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22,853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28,234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22,853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28,234</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for the three and nine months ended September 30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37,939</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Warranty expense for the nine months ended September 30, 2012 reflects a $5.0 million adjustment, which reduced a warranty accrual, originally recorded in 2011, as a result of lower than estimated replacements. Warranty expense for the three and nine month ended September 30, 2011 reflects a warranty charge of $12.6 million associated with a vendor supplied component in North America. Warranty expense for the nine months ended September 30, 2011 also reflects the benefit of an $8.6 million insurance recovery associated with the settlement of product claims in Sweden in 2010, and a warranty charge of $7.7 million related to certain products in Brazil.</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60" w:lineRule="exact"/>
        <w:rPr>
          <w:sz w:val="20"/>
          <w:szCs w:val="20"/>
          <w:color w:val="auto"/>
        </w:rPr>
      </w:pPr>
    </w:p>
    <w:tbl>
      <w:tblPr>
        <w:tblLayout w:type="fixed"/>
        <w:tblInd w:w="4680" w:type="dxa"/>
        <w:tblCellMar>
          <w:top w:w="0" w:type="dxa"/>
          <w:left w:w="0" w:type="dxa"/>
          <w:bottom w:w="0" w:type="dxa"/>
          <w:right w:w="0" w:type="dxa"/>
        </w:tblCellMar>
      </w:tblPr>
      <w:tr>
        <w:trPr>
          <w:trHeight w:val="210"/>
        </w:trPr>
        <w:tc>
          <w:tcPr>
            <w:tcW w:w="3880" w:type="dxa"/>
            <w:vAlign w:val="bottom"/>
            <w:gridSpan w:val="4"/>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16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2012</w:t>
            </w:r>
          </w:p>
        </w:tc>
        <w:tc>
          <w:tcPr>
            <w:tcW w:w="16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2012</w:t>
            </w:r>
          </w:p>
        </w:tc>
        <w:tc>
          <w:tcPr>
            <w:tcW w:w="16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1680" w:type="dxa"/>
            <w:vAlign w:val="bottom"/>
          </w:tcPr>
          <w:p>
            <w:pPr>
              <w:spacing w:after="0"/>
              <w:rPr>
                <w:sz w:val="18"/>
                <w:szCs w:val="18"/>
                <w:color w:val="auto"/>
              </w:rPr>
            </w:pPr>
          </w:p>
        </w:tc>
        <w:tc>
          <w:tcPr>
            <w:tcW w:w="2200" w:type="dxa"/>
            <w:vAlign w:val="bottom"/>
            <w:gridSpan w:val="3"/>
          </w:tcPr>
          <w:p>
            <w:pPr>
              <w:ind w:left="1200"/>
              <w:spacing w:after="0"/>
              <w:rPr>
                <w:sz w:val="20"/>
                <w:szCs w:val="20"/>
                <w:color w:val="auto"/>
              </w:rPr>
            </w:pPr>
            <w:r>
              <w:rPr>
                <w:rFonts w:ascii="Arial" w:cs="Arial" w:eastAsia="Arial" w:hAnsi="Arial"/>
                <w:sz w:val="16"/>
                <w:szCs w:val="16"/>
                <w:b w:val="1"/>
                <w:bCs w:val="1"/>
                <w:color w:val="auto"/>
                <w:w w:val="88"/>
              </w:rPr>
              <w:t>(in thousands)</w:t>
            </w: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620" w:type="dxa"/>
            <w:vAlign w:val="bottom"/>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620" w:type="dxa"/>
            <w:vAlign w:val="bottom"/>
          </w:tcPr>
          <w:p>
            <w:pPr>
              <w:ind w:left="340"/>
              <w:spacing w:after="0"/>
              <w:rPr>
                <w:sz w:val="20"/>
                <w:szCs w:val="20"/>
                <w:color w:val="auto"/>
              </w:rPr>
            </w:pPr>
            <w:r>
              <w:rPr>
                <w:rFonts w:ascii="Arial" w:cs="Arial" w:eastAsia="Arial" w:hAnsi="Arial"/>
                <w:sz w:val="16"/>
                <w:szCs w:val="16"/>
                <w:color w:val="auto"/>
              </w:rPr>
              <w:t>Unearned revenue for new extended warranties</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340"/>
              <w:spacing w:after="0"/>
              <w:rPr>
                <w:sz w:val="20"/>
                <w:szCs w:val="20"/>
                <w:color w:val="auto"/>
              </w:rPr>
            </w:pPr>
            <w:r>
              <w:rPr>
                <w:rFonts w:ascii="Arial" w:cs="Arial" w:eastAsia="Arial" w:hAnsi="Arial"/>
                <w:sz w:val="16"/>
                <w:szCs w:val="16"/>
                <w:color w:val="auto"/>
              </w:rPr>
              <w:t>Unearned revenue recognized</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6"/>
                <w:szCs w:val="16"/>
                <w:color w:val="auto"/>
              </w:rPr>
              <w:t>Ending balance, September 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6"/>
                <w:szCs w:val="16"/>
                <w:color w:val="auto"/>
              </w:rPr>
              <w:t>Less: current portion of unearned revenue for extended warranty</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20" w:type="dxa"/>
            <w:vAlign w:val="bottom"/>
          </w:tcPr>
          <w:p>
            <w:pPr>
              <w:ind w:left="340"/>
              <w:spacing w:after="0"/>
              <w:rPr>
                <w:sz w:val="20"/>
                <w:szCs w:val="20"/>
                <w:color w:val="auto"/>
              </w:rPr>
            </w:pPr>
            <w:r>
              <w:rPr>
                <w:rFonts w:ascii="Arial" w:cs="Arial" w:eastAsia="Arial" w:hAnsi="Arial"/>
                <w:sz w:val="16"/>
                <w:szCs w:val="16"/>
                <w:color w:val="auto"/>
                <w:w w:val="93"/>
              </w:rPr>
              <w:t>Long-term unearned revenue for extended warranty within Other</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620" w:type="dxa"/>
            <w:vAlign w:val="bottom"/>
          </w:tcPr>
          <w:p>
            <w:pPr>
              <w:ind w:left="500"/>
              <w:spacing w:after="0"/>
              <w:rPr>
                <w:sz w:val="20"/>
                <w:szCs w:val="20"/>
                <w:color w:val="auto"/>
              </w:rPr>
            </w:pPr>
            <w:r>
              <w:rPr>
                <w:rFonts w:ascii="Arial" w:cs="Arial" w:eastAsia="Arial" w:hAnsi="Arial"/>
                <w:sz w:val="16"/>
                <w:szCs w:val="16"/>
                <w:color w:val="auto"/>
              </w:rPr>
              <w:t>long-term obligations</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29,011</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19,109</w:t>
            </w:r>
          </w:p>
        </w:tc>
        <w:tc>
          <w:tcPr>
            <w:tcW w:w="100" w:type="dxa"/>
            <w:vAlign w:val="bottom"/>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24,448</w:t>
            </w:r>
          </w:p>
        </w:tc>
        <w:tc>
          <w:tcPr>
            <w:tcW w:w="12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14,637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2,080</w:t>
            </w:r>
          </w:p>
        </w:tc>
        <w:tc>
          <w:tcPr>
            <w:tcW w:w="5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7,269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8,286</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(351)</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95</w:t>
            </w:r>
          </w:p>
        </w:tc>
        <w:tc>
          <w:tcPr>
            <w:tcW w:w="5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30,835</w:t>
            </w:r>
          </w:p>
        </w:tc>
        <w:tc>
          <w:tcPr>
            <w:tcW w:w="5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21,964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30,835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21,964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1,800</w:t>
            </w:r>
          </w:p>
        </w:tc>
        <w:tc>
          <w:tcPr>
            <w:tcW w:w="58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1,162</w:t>
            </w:r>
          </w:p>
        </w:tc>
      </w:tr>
      <w:tr>
        <w:trPr>
          <w:trHeight w:val="33"/>
        </w:trPr>
        <w:tc>
          <w:tcPr>
            <w:tcW w:w="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93"/>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29,035</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20,802</w:t>
            </w:r>
          </w:p>
        </w:tc>
        <w:tc>
          <w:tcPr>
            <w:tcW w:w="100" w:type="dxa"/>
            <w:vAlign w:val="bottom"/>
          </w:tcPr>
          <w:p>
            <w:pPr>
              <w:spacing w:after="0"/>
              <w:rPr>
                <w:sz w:val="24"/>
                <w:szCs w:val="24"/>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29,035</w:t>
            </w:r>
          </w:p>
        </w:tc>
        <w:tc>
          <w:tcPr>
            <w:tcW w:w="12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20,802</w:t>
            </w:r>
          </w:p>
        </w:tc>
      </w:tr>
      <w:tr>
        <w:trPr>
          <w:trHeight w:val="33"/>
        </w:trPr>
        <w:tc>
          <w:tcPr>
            <w:tcW w:w="6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-994410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-307975</wp:posOffset>
            </wp:positionV>
            <wp:extent cx="722947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-650875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24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79"/>
              <w:spacing w:after="0"/>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(in thousands)</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7,441</w:t>
            </w:r>
          </w:p>
        </w:tc>
        <w:tc>
          <w:tcPr>
            <w:tcW w:w="13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5,653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20,319</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18,324</w:t>
            </w:r>
          </w:p>
        </w:tc>
      </w:tr>
      <w:tr>
        <w:trPr>
          <w:trHeight w:val="33"/>
        </w:trPr>
        <w:tc>
          <w:tcPr>
            <w:tcW w:w="37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ind w:left="100"/>
              <w:spacing w:after="0"/>
              <w:rPr>
                <w:sz w:val="20"/>
                <w:szCs w:val="20"/>
                <w:color w:val="auto"/>
              </w:rPr>
            </w:pPr>
            <w:r>
              <w:rPr>
                <w:rFonts w:ascii="Arial" w:cs="Arial" w:eastAsia="Arial" w:hAnsi="Arial"/>
                <w:sz w:val="16"/>
                <w:szCs w:val="16"/>
                <w:b w:val="1"/>
                <w:bCs w:val="1"/>
                <w:color w:val="auto"/>
              </w:rPr>
              <w:t>September 30, 2012</w:t>
            </w:r>
          </w:p>
        </w:tc>
        <w:tc>
          <w:tcPr>
            <w:tcW w:w="300" w:type="dxa"/>
            <w:vAlign w:val="bottom"/>
          </w:tcPr>
          <w:p>
            <w:pPr>
              <w:spacing w:after="0"/>
              <w:rPr>
                <w:sz w:val="18"/>
                <w:szCs w:val="18"/>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2011</w:t>
            </w:r>
          </w:p>
        </w:tc>
      </w:tr>
      <w:tr>
        <w:trPr>
          <w:trHeight w:val="33"/>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3"/>
          </w:tcPr>
          <w:p>
            <w:pPr>
              <w:spacing w:after="0"/>
              <w:rPr>
                <w:sz w:val="2"/>
                <w:szCs w:val="2"/>
                <w:color w:val="auto"/>
              </w:rPr>
            </w:pPr>
          </w:p>
        </w:tc>
      </w:tr>
      <w:tr>
        <w:trPr>
          <w:trHeight w:val="217"/>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ind w:left="1360"/>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3,050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r>
      <w:tr>
        <w:trPr>
          <w:trHeight w:val="33"/>
        </w:trPr>
        <w:tc>
          <w:tcPr>
            <w:tcW w:w="4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 and we expect to substantially complete these projects by the end of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projects are subject to a variety of labor and employment laws, rules, and regulations, which could result in a delay in implementing projects at some locations. Real estate market conditions may impact the timing of our ability to sell some of the manufacturing facilities we have designated for closure and disposal. This may delay the completion of the restructuring projects beyond 2013.</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expected restructuring costs as of September 30, 2012 were $81.1 million, which is a decrease of approximately $7.9 million from the total expected costs at June 30, 2012. This decrease was primarily the result of gains on the dispositions of fixed assets and a correction to the amount of goodwill allocated to one of our non-core businesses sold as part of the restructuring process. In addition, expected severance costs were reduced as the result of certain employees in positions that were eliminated under the restructuring plan filling vacant positions within the Company.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costs recognized in prior periods, the restructuring costs recognized during the nine months ended September 30, 2012, and the remaining expected restructuring costs as of September 30, 2012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Costs Recognized During</w:t>
            </w:r>
          </w:p>
        </w:tc>
        <w:tc>
          <w:tcPr>
            <w:tcW w:w="14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Remaining Costs to be</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 Expected Costs at</w:t>
            </w:r>
          </w:p>
        </w:tc>
        <w:tc>
          <w:tcPr>
            <w:tcW w:w="216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Costs Recognized in Prior</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the Nine Months Ended</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Recognized at September</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 2012</w:t>
            </w:r>
          </w:p>
        </w:tc>
        <w:tc>
          <w:tcPr>
            <w:tcW w:w="440" w:type="dxa"/>
            <w:vAlign w:val="bottom"/>
          </w:tcPr>
          <w:p>
            <w:pPr>
              <w:spacing w:after="0"/>
              <w:rPr>
                <w:sz w:val="20"/>
                <w:szCs w:val="20"/>
                <w:color w:val="auto"/>
              </w:rPr>
            </w:pPr>
          </w:p>
        </w:tc>
        <w:tc>
          <w:tcPr>
            <w:tcW w:w="172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Periods</w:t>
            </w:r>
          </w:p>
        </w:tc>
        <w:tc>
          <w:tcPr>
            <w:tcW w:w="20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2012</w:t>
            </w: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30, 2012</w:t>
            </w:r>
          </w:p>
        </w:tc>
      </w:tr>
      <w:tr>
        <w:trPr>
          <w:trHeight w:val="27"/>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80" w:type="dxa"/>
            <w:vAlign w:val="bottom"/>
            <w:gridSpan w:val="5"/>
          </w:tcPr>
          <w:p>
            <w:pPr>
              <w:ind w:left="11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5,197</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21,356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 costs</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w:t>
            </w:r>
          </w:p>
        </w:tc>
      </w:tr>
      <w:tr>
        <w:trPr>
          <w:trHeight w:val="297"/>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81,119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9,582</w:t>
            </w:r>
          </w:p>
        </w:tc>
      </w:tr>
      <w:tr>
        <w:trPr>
          <w:trHeight w:val="311"/>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i w:val="1"/>
                <w:iCs w:val="1"/>
                <w:color w:val="auto"/>
              </w:rPr>
              <w:t>Segments: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Energy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w:t>
            </w:r>
          </w:p>
        </w:tc>
      </w:tr>
      <w:tr>
        <w:trPr>
          <w:trHeight w:val="243"/>
        </w:trPr>
        <w:tc>
          <w:tcPr>
            <w:tcW w:w="2880" w:type="dxa"/>
            <w:vAlign w:val="bottom"/>
          </w:tcPr>
          <w:p>
            <w:pPr>
              <w:ind w:left="200"/>
              <w:spacing w:after="0"/>
              <w:rPr>
                <w:sz w:val="20"/>
                <w:szCs w:val="20"/>
                <w:color w:val="auto"/>
              </w:rPr>
            </w:pPr>
            <w:r>
              <w:rPr>
                <w:rFonts w:ascii="Arial" w:cs="Arial" w:eastAsia="Arial" w:hAnsi="Arial"/>
                <w:sz w:val="18"/>
                <w:szCs w:val="18"/>
                <w:color w:val="auto"/>
              </w:rPr>
              <w:t>Water</w:t>
            </w:r>
          </w:p>
        </w:tc>
        <w:tc>
          <w:tcPr>
            <w:tcW w:w="1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1,760</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unallocated</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r>
      <w:tr>
        <w:trPr>
          <w:trHeight w:val="257"/>
        </w:trPr>
        <w:tc>
          <w:tcPr>
            <w:tcW w:w="2880" w:type="dxa"/>
            <w:vAlign w:val="bottom"/>
          </w:tcPr>
          <w:p>
            <w:pPr>
              <w:ind w:left="5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81,119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9,582</w:t>
            </w: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restructuring costs includes expenses to exit the facilities once the operations in those facilities have ceased. Costs associated with restructuring activities are generally presented as restructuring expense in the Consolidated Statements of Operations, except for certain costs associated with inventory write-downs, which are classified within cost of revenues, and accelerated depreciation expense, which is recognized according to the use of the asset.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within the restructuring related balance sheet accounts during the nine months ended September 30, 2012:</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Asset Impairments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Accrued Employee</w:t>
            </w: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&amp; Net Loss (Gain) on</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Sale or Disposal</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Other Accrued Costs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3"/>
          </w:tcPr>
          <w:p>
            <w:pPr>
              <w:ind w:left="108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28,567</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3,455</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(15,255)</w:t>
            </w: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Non-cash items</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4,841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Ending balance, September 30, 2012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21,761</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are determined at the asset group level. During the nine months ended September 30, 2012, we adjusted the estimated impairment of certain assets and recognized gains on the sale of various asset groups. As part of the sale of a non-core business in Europe, $675,000 of goodwill was allocated to the business and charged to asset impairment restructuring expense during the three months ended September 30, 2012. In addition, during the third quarter of 2012, we corrected an overstatement of $5.4 million in restructuring expense, originally recognized during the year ended December 31, 2011, for the goodwill allocated to a non-core business in North America that was sold in May 2012. See Note 5 for additional information related to the goodwill impairment correction.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and long-term portions of the restructuring related liability balance as of September 30, 2012 were $19.2 million and $2.6 million, which are classified within other current liabilities and other long-term liabilities, respectively,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long-lived assets that were recorded at fair value at September 30, 2012 and 2011,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Other Comprehensive Income (Loss)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OCI is reflected as a net increase (decrease) to shareholders’ equity and is not reflected in our results of operations. The before-tax amount, income tax (provision) benefit, and net-of-tax amount related to each component of other comprehensive income (loss) during the reporting periods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3200" w:type="dxa"/>
            <w:vAlign w:val="bottom"/>
            <w:gridSpan w:val="6"/>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24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5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2011</w:t>
            </w:r>
          </w:p>
        </w:tc>
      </w:tr>
      <w:tr>
        <w:trPr>
          <w:trHeight w:val="33"/>
        </w:trPr>
        <w:tc>
          <w:tcPr>
            <w:tcW w:w="5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4"/>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25,085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43,162</w:t>
            </w:r>
          </w:p>
        </w:tc>
      </w:tr>
      <w:tr>
        <w:trPr>
          <w:trHeight w:val="220"/>
        </w:trPr>
        <w:tc>
          <w:tcPr>
            <w:tcW w:w="5100" w:type="dxa"/>
            <w:vAlign w:val="bottom"/>
          </w:tcPr>
          <w:p>
            <w:pPr>
              <w:ind w:left="200"/>
              <w:spacing w:after="0"/>
              <w:rPr>
                <w:sz w:val="20"/>
                <w:szCs w:val="20"/>
                <w:color w:val="auto"/>
              </w:rPr>
            </w:pPr>
            <w:r>
              <w:rPr>
                <w:rFonts w:ascii="Arial" w:cs="Arial" w:eastAsia="Arial" w:hAnsi="Arial"/>
                <w:sz w:val="16"/>
                <w:szCs w:val="16"/>
                <w:color w:val="auto"/>
                <w:w w:val="96"/>
              </w:rPr>
              <w:t>Net unrealized gain (loss) on derivative instruments designated as cash</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5100" w:type="dxa"/>
            <w:vAlign w:val="bottom"/>
          </w:tcPr>
          <w:p>
            <w:pPr>
              <w:ind w:left="200"/>
              <w:spacing w:after="0"/>
              <w:rPr>
                <w:sz w:val="20"/>
                <w:szCs w:val="20"/>
                <w:color w:val="auto"/>
              </w:rPr>
            </w:pPr>
            <w:r>
              <w:rPr>
                <w:rFonts w:ascii="Arial" w:cs="Arial" w:eastAsia="Arial" w:hAnsi="Arial"/>
                <w:sz w:val="16"/>
                <w:szCs w:val="16"/>
                <w:color w:val="auto"/>
              </w:rPr>
              <w:t>flow hedges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(1,332)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3,054</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instrument</w:t>
            </w:r>
          </w:p>
        </w:tc>
        <w:tc>
          <w:tcPr>
            <w:tcW w:w="9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(14,278)</w:t>
            </w:r>
          </w:p>
        </w:tc>
      </w:tr>
      <w:tr>
        <w:trPr>
          <w:trHeight w:val="237"/>
        </w:trPr>
        <w:tc>
          <w:tcPr>
            <w:tcW w:w="51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9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4,200</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17"/>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5"/>
              </w:rPr>
              <w:t>23,749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(77,034)</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35,425</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5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20"/>
        </w:trPr>
        <w:tc>
          <w:tcPr>
            <w:tcW w:w="5100" w:type="dxa"/>
            <w:vAlign w:val="bottom"/>
          </w:tcPr>
          <w:p>
            <w:pPr>
              <w:ind w:left="200"/>
              <w:spacing w:after="0"/>
              <w:rPr>
                <w:sz w:val="20"/>
                <w:szCs w:val="20"/>
                <w:color w:val="auto"/>
              </w:rPr>
            </w:pPr>
            <w:r>
              <w:rPr>
                <w:rFonts w:ascii="Arial" w:cs="Arial" w:eastAsia="Arial" w:hAnsi="Arial"/>
                <w:sz w:val="16"/>
                <w:szCs w:val="16"/>
                <w:color w:val="auto"/>
                <w:w w:val="96"/>
              </w:rPr>
              <w:t>Net unrealized gain (loss) on derivative instruments designated as cash</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5100" w:type="dxa"/>
            <w:vAlign w:val="bottom"/>
          </w:tcPr>
          <w:p>
            <w:pPr>
              <w:ind w:left="200"/>
              <w:spacing w:after="0"/>
              <w:rPr>
                <w:sz w:val="20"/>
                <w:szCs w:val="20"/>
                <w:color w:val="auto"/>
              </w:rPr>
            </w:pPr>
            <w:r>
              <w:rPr>
                <w:rFonts w:ascii="Arial" w:cs="Arial" w:eastAsia="Arial" w:hAnsi="Arial"/>
                <w:sz w:val="16"/>
                <w:szCs w:val="16"/>
                <w:color w:val="auto"/>
              </w:rPr>
              <w:t>flow hedges</w:t>
            </w:r>
          </w:p>
        </w:tc>
        <w:tc>
          <w:tcPr>
            <w:tcW w:w="92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(1,132)</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instrument</w:t>
            </w:r>
          </w:p>
        </w:tc>
        <w:tc>
          <w:tcPr>
            <w:tcW w:w="9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w:t>
            </w:r>
          </w:p>
        </w:tc>
      </w:tr>
      <w:tr>
        <w:trPr>
          <w:trHeight w:val="237"/>
        </w:trPr>
        <w:tc>
          <w:tcPr>
            <w:tcW w:w="51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9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217"/>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3,096</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5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24,527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43,361</w:t>
            </w:r>
          </w:p>
        </w:tc>
      </w:tr>
      <w:tr>
        <w:trPr>
          <w:trHeight w:val="220"/>
        </w:trPr>
        <w:tc>
          <w:tcPr>
            <w:tcW w:w="5100" w:type="dxa"/>
            <w:vAlign w:val="bottom"/>
          </w:tcPr>
          <w:p>
            <w:pPr>
              <w:ind w:left="200"/>
              <w:spacing w:after="0"/>
              <w:rPr>
                <w:sz w:val="20"/>
                <w:szCs w:val="20"/>
                <w:color w:val="auto"/>
              </w:rPr>
            </w:pPr>
            <w:r>
              <w:rPr>
                <w:rFonts w:ascii="Arial" w:cs="Arial" w:eastAsia="Arial" w:hAnsi="Arial"/>
                <w:sz w:val="16"/>
                <w:szCs w:val="16"/>
                <w:color w:val="auto"/>
                <w:w w:val="96"/>
              </w:rPr>
              <w:t>Net unrealized gain (loss) on derivative instruments designated as cash</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5100" w:type="dxa"/>
            <w:vAlign w:val="bottom"/>
          </w:tcPr>
          <w:p>
            <w:pPr>
              <w:ind w:left="200"/>
              <w:spacing w:after="0"/>
              <w:rPr>
                <w:sz w:val="20"/>
                <w:szCs w:val="20"/>
                <w:color w:val="auto"/>
              </w:rPr>
            </w:pPr>
            <w:r>
              <w:rPr>
                <w:rFonts w:ascii="Arial" w:cs="Arial" w:eastAsia="Arial" w:hAnsi="Arial"/>
                <w:sz w:val="16"/>
                <w:szCs w:val="16"/>
                <w:color w:val="auto"/>
              </w:rPr>
              <w:t>flow hedges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1,922</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5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instrument</w:t>
            </w:r>
          </w:p>
        </w:tc>
        <w:tc>
          <w:tcPr>
            <w:tcW w:w="9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(8,854)</w:t>
            </w:r>
          </w:p>
        </w:tc>
      </w:tr>
      <w:tr>
        <w:trPr>
          <w:trHeight w:val="237"/>
        </w:trPr>
        <w:tc>
          <w:tcPr>
            <w:tcW w:w="510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9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2,598</w:t>
            </w:r>
          </w:p>
        </w:tc>
      </w:tr>
      <w:tr>
        <w:trPr>
          <w:trHeight w:val="33"/>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44"/>
        </w:trPr>
        <w:tc>
          <w:tcPr>
            <w:tcW w:w="51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5"/>
              </w:rPr>
              <w:t>23,694</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(77,843)</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38,521</w:t>
            </w:r>
          </w:p>
        </w:tc>
      </w:tr>
      <w:tr>
        <w:trPr>
          <w:trHeight w:val="20"/>
        </w:trPr>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loss, net of tax, was $38.1 million at September 30, 2012 and $37.2 million at December 31, 2011. These amounts include adjustments for foreign currency translation, the unrealized gain (loss) on our hedging instruments, the hedging gain (loss), and the pension liability adjustment as indicated above.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at September 30, 2012 and December 31, 2011 do not reflect subsequent changes in the economy, interest rates, and other variables that may affect the determination of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700"/>
              <w:spacing w:after="0"/>
              <w:rPr>
                <w:sz w:val="20"/>
                <w:szCs w:val="20"/>
                <w:color w:val="auto"/>
              </w:rPr>
            </w:pPr>
            <w:r>
              <w:rPr>
                <w:rFonts w:ascii="Arial" w:cs="Arial" w:eastAsia="Arial" w:hAnsi="Arial"/>
                <w:sz w:val="16"/>
                <w:szCs w:val="16"/>
                <w:b w:val="1"/>
                <w:bCs w:val="1"/>
                <w:color w:val="auto"/>
              </w:rPr>
              <w:t>September 30, 2012</w:t>
            </w:r>
          </w:p>
        </w:tc>
        <w:tc>
          <w:tcPr>
            <w:tcW w:w="440" w:type="dxa"/>
            <w:vAlign w:val="bottom"/>
          </w:tcPr>
          <w:p>
            <w:pPr>
              <w:spacing w:after="0"/>
              <w:rPr>
                <w:sz w:val="18"/>
                <w:szCs w:val="18"/>
                <w:color w:val="auto"/>
              </w:rPr>
            </w:pPr>
          </w:p>
        </w:tc>
        <w:tc>
          <w:tcPr>
            <w:tcW w:w="28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December 31, 2011</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133,086</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2011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281,250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278,963</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292,502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296,856</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163,269</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2011 Credit Facility - term loan and multicurrency revolving line of credit: </w:t>
      </w:r>
      <w:r>
        <w:rPr>
          <w:rFonts w:ascii="Arial" w:cs="Arial" w:eastAsia="Arial" w:hAnsi="Arial"/>
          <w:sz w:val="17"/>
          <w:szCs w:val="17"/>
          <w:color w:val="auto"/>
        </w:rPr>
        <w:t>The term loan and revolver are not traded publicly.The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valued 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global reorganization we announced in the first quarter of 2011, Itron is now managed and reports under two operating segments, Energy and Water. A transition to the new organizational structure, including changes to operations and financial and operational management systems, was completed in the first quarter of 2012. Therefore, financial reporting as of and for the three and nine months ended September 30, 2012 is based on the new operating segments, Energy and Water. Prior period segment information has been recast to reflect our new operating segments.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Energy operating segment includes our global electricity and gas businesses, while the Water operating segment includes our global water and heat businesses.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86"/>
              </w:rPr>
              <w:t>Segment Products</w:t>
            </w: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4"/>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Energy</w:t>
            </w:r>
          </w:p>
        </w:tc>
        <w:tc>
          <w:tcPr>
            <w:tcW w:w="10020" w:type="dxa"/>
            <w:vAlign w:val="bottom"/>
            <w:gridSpan w:val="12"/>
          </w:tcPr>
          <w:p>
            <w:pPr>
              <w:ind w:left="20"/>
              <w:spacing w:after="0"/>
              <w:rPr>
                <w:sz w:val="20"/>
                <w:szCs w:val="20"/>
                <w:color w:val="auto"/>
              </w:rPr>
            </w:pPr>
            <w:r>
              <w:rPr>
                <w:rFonts w:ascii="Arial" w:cs="Arial" w:eastAsia="Arial" w:hAnsi="Arial"/>
                <w:sz w:val="18"/>
                <w:szCs w:val="18"/>
                <w:color w:val="auto"/>
                <w:w w:val="90"/>
              </w:rPr>
              <w:t>Standard electricity (electromechanical and electronic) and gas meters; advanced electricity and gas meters and communication modules;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2"/>
          </w:tcPr>
          <w:p>
            <w:pPr>
              <w:ind w:left="20"/>
              <w:spacing w:after="0"/>
              <w:rPr>
                <w:sz w:val="20"/>
                <w:szCs w:val="20"/>
                <w:color w:val="auto"/>
              </w:rPr>
            </w:pPr>
            <w:r>
              <w:rPr>
                <w:rFonts w:ascii="Arial" w:cs="Arial" w:eastAsia="Arial" w:hAnsi="Arial"/>
                <w:sz w:val="18"/>
                <w:szCs w:val="18"/>
                <w:color w:val="auto"/>
                <w:w w:val="91"/>
              </w:rPr>
              <w:t>smart electricity meters; smart electricity and gas communication modules; prepayment systems, including smart key, keypad, and smart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2"/>
          </w:tcPr>
          <w:p>
            <w:pPr>
              <w:ind w:left="20"/>
              <w:spacing w:after="0"/>
              <w:rPr>
                <w:sz w:val="20"/>
                <w:szCs w:val="20"/>
                <w:color w:val="auto"/>
              </w:rPr>
            </w:pPr>
            <w:r>
              <w:rPr>
                <w:rFonts w:ascii="Arial" w:cs="Arial" w:eastAsia="Arial" w:hAnsi="Arial"/>
                <w:sz w:val="18"/>
                <w:szCs w:val="18"/>
                <w:color w:val="auto"/>
                <w:w w:val="96"/>
              </w:rPr>
              <w:t>card communication technologies; advanced systems including handheld, mobile, and fixed network collection technologies; smart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2"/>
          </w:tcPr>
          <w:p>
            <w:pPr>
              <w:ind w:left="20"/>
              <w:spacing w:after="0"/>
              <w:rPr>
                <w:sz w:val="20"/>
                <w:szCs w:val="20"/>
                <w:color w:val="auto"/>
              </w:rPr>
            </w:pPr>
            <w:r>
              <w:rPr>
                <w:rFonts w:ascii="Arial" w:cs="Arial" w:eastAsia="Arial" w:hAnsi="Arial"/>
                <w:sz w:val="18"/>
                <w:szCs w:val="18"/>
                <w:color w:val="auto"/>
                <w:w w:val="94"/>
              </w:rPr>
              <w:t>network  technologies;  meter  data  management  software;  knowledge  application  solutions;  and  professional  services  including</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gridSpan w:val="4"/>
          </w:tcPr>
          <w:p>
            <w:pPr>
              <w:ind w:left="20"/>
              <w:spacing w:after="0"/>
              <w:rPr>
                <w:sz w:val="20"/>
                <w:szCs w:val="20"/>
                <w:color w:val="auto"/>
              </w:rPr>
            </w:pPr>
            <w:r>
              <w:rPr>
                <w:rFonts w:ascii="Arial" w:cs="Arial" w:eastAsia="Arial" w:hAnsi="Arial"/>
                <w:sz w:val="18"/>
                <w:szCs w:val="18"/>
                <w:color w:val="auto"/>
              </w:rPr>
              <w:t>implementation, installation, consulting, and analysis.</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850"/>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Water</w:t>
            </w:r>
          </w:p>
        </w:tc>
        <w:tc>
          <w:tcPr>
            <w:tcW w:w="10020" w:type="dxa"/>
            <w:vAlign w:val="bottom"/>
            <w:gridSpan w:val="12"/>
          </w:tcPr>
          <w:p>
            <w:pPr>
              <w:ind w:left="20"/>
              <w:spacing w:after="0"/>
              <w:rPr>
                <w:sz w:val="20"/>
                <w:szCs w:val="20"/>
                <w:color w:val="auto"/>
              </w:rPr>
            </w:pPr>
            <w:r>
              <w:rPr>
                <w:rFonts w:ascii="Arial" w:cs="Arial" w:eastAsia="Arial" w:hAnsi="Arial"/>
                <w:sz w:val="18"/>
                <w:szCs w:val="18"/>
                <w:color w:val="auto"/>
                <w:w w:val="91"/>
              </w:rPr>
              <w:t>Standard water and heat meters; advanced and smart water meters and communication modules;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2"/>
          </w:tcPr>
          <w:p>
            <w:pPr>
              <w:ind w:left="20"/>
              <w:spacing w:after="0"/>
              <w:rPr>
                <w:sz w:val="20"/>
                <w:szCs w:val="20"/>
                <w:color w:val="auto"/>
              </w:rPr>
            </w:pPr>
            <w:r>
              <w:rPr>
                <w:rFonts w:ascii="Arial" w:cs="Arial" w:eastAsia="Arial" w:hAnsi="Arial"/>
                <w:sz w:val="18"/>
                <w:szCs w:val="18"/>
                <w:color w:val="auto"/>
                <w:w w:val="92"/>
              </w:rPr>
              <w:t>mobile, and fixed network collection technologies; meter data management software; knowledge application solutions; and professional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gridSpan w:val="8"/>
          </w:tcPr>
          <w:p>
            <w:pPr>
              <w:ind w:left="20"/>
              <w:spacing w:after="0"/>
              <w:rPr>
                <w:sz w:val="20"/>
                <w:szCs w:val="20"/>
                <w:color w:val="auto"/>
              </w:rPr>
            </w:pPr>
            <w:r>
              <w:rPr>
                <w:rFonts w:ascii="Arial" w:cs="Arial" w:eastAsia="Arial" w:hAnsi="Arial"/>
                <w:sz w:val="18"/>
                <w:szCs w:val="18"/>
                <w:color w:val="auto"/>
                <w:w w:val="95"/>
              </w:rPr>
              <w:t>services including implementation, installation, consulting, analysis, and system management.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6860" w:type="dxa"/>
            <w:vAlign w:val="bottom"/>
            <w:gridSpan w:val="7"/>
          </w:tcPr>
          <w:p>
            <w:pPr>
              <w:spacing w:after="0"/>
              <w:rPr>
                <w:sz w:val="20"/>
                <w:szCs w:val="20"/>
                <w:color w:val="auto"/>
              </w:rPr>
            </w:pPr>
            <w:r>
              <w:rPr>
                <w:rFonts w:ascii="Arial" w:cs="Arial" w:eastAsia="Arial" w:hAnsi="Arial"/>
                <w:sz w:val="18"/>
                <w:szCs w:val="18"/>
                <w:color w:val="auto"/>
                <w:w w:val="92"/>
              </w:rPr>
              <w:t>Revenues, gross profit, and operating income associated with our segments were as follows: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1"/>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24"/>
                <w:szCs w:val="24"/>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7"/>
        </w:trPr>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3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Energy</w:t>
            </w:r>
          </w:p>
        </w:tc>
        <w:tc>
          <w:tcPr>
            <w:tcW w:w="3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377,489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483,748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1,259,834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1,389,979</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Water</w:t>
            </w: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126,574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131,807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395,009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401,668</w:t>
            </w:r>
          </w:p>
        </w:tc>
      </w:tr>
      <w:tr>
        <w:trPr>
          <w:trHeight w:val="33"/>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504,063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615,555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1,654,843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1,791,647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1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3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Energy</w:t>
            </w:r>
          </w:p>
        </w:tc>
        <w:tc>
          <w:tcPr>
            <w:tcW w:w="33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125,503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144,120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409,057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426,457</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3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127,468</w:t>
            </w:r>
          </w:p>
        </w:tc>
      </w:tr>
      <w:tr>
        <w:trPr>
          <w:trHeight w:val="217"/>
        </w:trPr>
        <w:tc>
          <w:tcPr>
            <w:tcW w:w="4700" w:type="dxa"/>
            <w:vAlign w:val="bottom"/>
            <w:gridSpan w:val="3"/>
          </w:tcPr>
          <w:p>
            <w:pPr>
              <w:ind w:left="72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171,797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176,996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551,647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553,925</w:t>
            </w:r>
          </w:p>
        </w:tc>
      </w:tr>
      <w:tr>
        <w:trPr>
          <w:trHeight w:val="73"/>
        </w:trPr>
        <w:tc>
          <w:tcPr>
            <w:tcW w:w="1280" w:type="dxa"/>
            <w:vAlign w:val="bottom"/>
            <w:tcBorders>
              <w:bottom w:val="single" w:sz="8" w:color="CCEEFF"/>
            </w:tcBorders>
          </w:tcPr>
          <w:p>
            <w:pPr>
              <w:spacing w:after="0"/>
              <w:rPr>
                <w:sz w:val="6"/>
                <w:szCs w:val="6"/>
                <w:color w:val="auto"/>
              </w:rPr>
            </w:pPr>
          </w:p>
        </w:tc>
        <w:tc>
          <w:tcPr>
            <w:tcW w:w="3420" w:type="dxa"/>
            <w:vAlign w:val="bottom"/>
            <w:tcBorders>
              <w:bottom w:val="single" w:sz="8" w:color="CCEEFF"/>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Energy</w:t>
            </w:r>
          </w:p>
        </w:tc>
        <w:tc>
          <w:tcPr>
            <w:tcW w:w="3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(77,566)</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Water</w:t>
            </w: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22,293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(321,191)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49,896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(290,582)</w:t>
            </w:r>
          </w:p>
        </w:tc>
      </w:tr>
      <w:tr>
        <w:trPr>
          <w:trHeight w:val="33"/>
        </w:trPr>
        <w:tc>
          <w:tcPr>
            <w:tcW w:w="128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Corporate unallocated</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(30,930)</w:t>
            </w:r>
          </w:p>
        </w:tc>
      </w:tr>
      <w:tr>
        <w:trPr>
          <w:trHeight w:val="217"/>
        </w:trPr>
        <w:tc>
          <w:tcPr>
            <w:tcW w:w="4700" w:type="dxa"/>
            <w:vAlign w:val="bottom"/>
            <w:gridSpan w:val="3"/>
          </w:tcPr>
          <w:p>
            <w:pPr>
              <w:ind w:left="72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45,967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(497,252)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131,651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(399,078)</w:t>
            </w:r>
          </w:p>
        </w:tc>
      </w:tr>
      <w:tr>
        <w:trPr>
          <w:trHeight w:val="33"/>
        </w:trPr>
        <w:tc>
          <w:tcPr>
            <w:tcW w:w="128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(38,041)</w:t>
            </w:r>
          </w:p>
        </w:tc>
      </w:tr>
      <w:tr>
        <w:trPr>
          <w:trHeight w:val="21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42,444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(509,295)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120,500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(437,119)</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One customer represented 10% of total Company revenues for the nine months ended September 30, 2012, while no customer represented more than 10% of total Company revenues during the three months ended September 30, 2012 and during the three and nine months ended September 30, 2011. One customer represented 11% and 13% of the Energy operating segment revenues in the three and nine months ended September 30, 2012, respectively, and one customer represented 10% and 11% of the Energy operating segment revenues in the three and nine months ended September 30, 2011, respectively. No single customer represented more than 10% of the Water operating segment revenues for the three and nine months ended September 30, 2012 and 2011.</w:t>
      </w:r>
    </w:p>
    <w:p>
      <w:pPr>
        <w:sectPr>
          <w:pgSz w:w="11900" w:h="16838" w:orient="portrait"/>
          <w:cols w:equalWidth="0" w:num="1">
            <w:col w:w="11420"/>
          </w:cols>
          <w:pgMar w:left="240" w:top="108"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Revenues by region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 and Canada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224,956</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292,322</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802,542</w:t>
            </w:r>
          </w:p>
        </w:tc>
        <w:tc>
          <w:tcPr>
            <w:tcW w:w="10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852,715</w:t>
            </w:r>
          </w:p>
        </w:tc>
      </w:tr>
      <w:tr>
        <w:trPr>
          <w:trHeight w:val="270"/>
        </w:trPr>
        <w:tc>
          <w:tcPr>
            <w:tcW w:w="2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211,195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227,884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648,050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702,296</w:t>
            </w:r>
          </w:p>
        </w:tc>
      </w:tr>
      <w:tr>
        <w:trPr>
          <w:trHeight w:val="270"/>
        </w:trPr>
        <w:tc>
          <w:tcPr>
            <w:tcW w:w="2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67,912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95,349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204,251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236,636</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504,063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615,555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1,654,843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1,791,647</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-711200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-368300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08"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08"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20,452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72,169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Water</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7,116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20,211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24,742</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Unallocated</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27,585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32,620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81,856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96,919</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SmartSynch</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 2012, we completed our acquisition of 100% of SmartSynch. The acquisition was financed through borrowings on our multicurrency revolving line of credit and cash on hand. SmartSynch is a provider of smart grid solutions that utilize cellular networks for communications. The acquisition strengthens our cellular communications offerings, and we believe the acquisition brings greater choice to utility customers across the spectrum of smart metering deployments.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preliminary purchase price for SmartSynch was $77.7 million in cash (net of $6.8 million of cash and cash equivalents acquired). The purchase price is subject to a working capital adjustment, which is expected to be finalized in the fourth quarter of 2012. The announced purchase price of $100 million included employee retention payments and change in control fees. Although these payments were settled at closing, in accordance with GAAP they are considered assumed liabilities.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 preliminary allocation of the purchase price to the assets acquired and liabilities assumed based on estimated fair value assessments. We are continuing to collect information to determine the fair values of certain accrued liabilities associated with specific contracts and income taxes, which would affect goodwill. As a result, the fair values of these assets and liabilities are provisional until we are able to complete our assessment. The following reflects our preliminary allocation of purchase price as of the acquisition date, May 1, 2012:</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12,412</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1,653</w:t>
            </w:r>
          </w:p>
        </w:tc>
      </w:tr>
      <w:tr>
        <w:trPr>
          <w:trHeight w:val="33"/>
        </w:trPr>
        <w:tc>
          <w:tcPr>
            <w:tcW w:w="9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43,400</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46,881</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 acquired</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104,346</w:t>
            </w:r>
          </w:p>
        </w:tc>
      </w:tr>
      <w:tr>
        <w:trPr>
          <w:trHeight w:val="284"/>
        </w:trPr>
        <w:tc>
          <w:tcPr>
            <w:tcW w:w="9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26,143</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465</w:t>
            </w:r>
          </w:p>
        </w:tc>
      </w:tr>
      <w:tr>
        <w:trPr>
          <w:trHeight w:val="33"/>
        </w:trPr>
        <w:tc>
          <w:tcPr>
            <w:tcW w:w="9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assumed</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26,608</w:t>
            </w:r>
          </w:p>
        </w:tc>
      </w:tr>
      <w:tr>
        <w:trPr>
          <w:trHeight w:val="297"/>
        </w:trPr>
        <w:tc>
          <w:tcPr>
            <w:tcW w:w="94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44"/>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assets acquired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77,738</w:t>
            </w:r>
          </w:p>
        </w:tc>
      </w:tr>
      <w:tr>
        <w:trPr>
          <w:trHeight w:val="20"/>
        </w:trPr>
        <w:tc>
          <w:tcPr>
            <w:tcW w:w="9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Current assets include the fair value of accounts receivable of $6.1 million, which equals its contractual balance as it is considered fully collectible.</w:t>
      </w:r>
    </w:p>
    <w:p>
      <w:pPr>
        <w:spacing w:after="0" w:line="200" w:lineRule="exact"/>
        <w:rPr>
          <w:rFonts w:ascii="Arial" w:cs="Arial" w:eastAsia="Arial" w:hAnsi="Arial"/>
          <w:sz w:val="22"/>
          <w:szCs w:val="22"/>
          <w:color w:val="auto"/>
          <w:vertAlign w:val="superscript"/>
        </w:rPr>
      </w:pPr>
    </w:p>
    <w:p>
      <w:pPr>
        <w:spacing w:after="0" w:line="237"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4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96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0"/>
        </w:trPr>
        <w:tc>
          <w:tcPr>
            <w:tcW w:w="6400" w:type="dxa"/>
            <w:vAlign w:val="bottom"/>
          </w:tcPr>
          <w:p>
            <w:pPr>
              <w:ind w:left="200"/>
              <w:spacing w:after="0"/>
              <w:rPr>
                <w:sz w:val="20"/>
                <w:szCs w:val="20"/>
                <w:color w:val="auto"/>
              </w:rPr>
            </w:pPr>
            <w:r>
              <w:rPr>
                <w:rFonts w:ascii="Arial" w:cs="Arial" w:eastAsia="Arial" w:hAnsi="Arial"/>
                <w:sz w:val="16"/>
                <w:szCs w:val="16"/>
                <w:color w:val="auto"/>
              </w:rPr>
              <w:t>Core-developed technology</w:t>
            </w:r>
          </w:p>
        </w:tc>
        <w:tc>
          <w:tcPr>
            <w:tcW w:w="138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15,100</w:t>
            </w:r>
          </w:p>
        </w:tc>
        <w:tc>
          <w:tcPr>
            <w:tcW w:w="30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w:t>
            </w:r>
          </w:p>
        </w:tc>
      </w:tr>
      <w:tr>
        <w:trPr>
          <w:trHeight w:val="33"/>
        </w:trPr>
        <w:tc>
          <w:tcPr>
            <w:tcW w:w="6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contracts and relationships</w:t>
            </w:r>
          </w:p>
        </w:tc>
        <w:tc>
          <w:tcPr>
            <w:tcW w:w="13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8,900</w:t>
            </w:r>
          </w:p>
        </w:tc>
        <w:tc>
          <w:tcPr>
            <w:tcW w:w="30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11</w:t>
            </w: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 identified intangible assets subject to amortization</w:t>
            </w:r>
          </w:p>
        </w:tc>
        <w:tc>
          <w:tcPr>
            <w:tcW w:w="1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24,000</w:t>
            </w:r>
          </w:p>
        </w:tc>
        <w:tc>
          <w:tcPr>
            <w:tcW w:w="30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8</w:t>
            </w:r>
          </w:p>
        </w:tc>
      </w:tr>
      <w:tr>
        <w:trPr>
          <w:trHeight w:val="33"/>
        </w:trPr>
        <w:tc>
          <w:tcPr>
            <w:tcW w:w="6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In-process research and development</w:t>
            </w:r>
          </w:p>
        </w:tc>
        <w:tc>
          <w:tcPr>
            <w:tcW w:w="13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19,400</w:t>
            </w:r>
          </w:p>
        </w:tc>
        <w:tc>
          <w:tcPr>
            <w:tcW w:w="10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spacing w:after="0"/>
              <w:rPr>
                <w:sz w:val="23"/>
                <w:szCs w:val="23"/>
                <w:color w:val="auto"/>
              </w:rPr>
            </w:pPr>
          </w:p>
        </w:tc>
      </w:tr>
      <w:tr>
        <w:trPr>
          <w:trHeight w:val="244"/>
        </w:trPr>
        <w:tc>
          <w:tcPr>
            <w:tcW w:w="6400" w:type="dxa"/>
            <w:vAlign w:val="bottom"/>
          </w:tcPr>
          <w:p>
            <w:pPr>
              <w:ind w:left="440"/>
              <w:spacing w:after="0"/>
              <w:rPr>
                <w:sz w:val="20"/>
                <w:szCs w:val="20"/>
                <w:color w:val="auto"/>
              </w:rPr>
            </w:pPr>
            <w:r>
              <w:rPr>
                <w:rFonts w:ascii="Arial" w:cs="Arial" w:eastAsia="Arial" w:hAnsi="Arial"/>
                <w:sz w:val="16"/>
                <w:szCs w:val="16"/>
                <w:color w:val="auto"/>
              </w:rPr>
              <w:t>Total identified intangible assets</w:t>
            </w:r>
          </w:p>
        </w:tc>
        <w:tc>
          <w:tcPr>
            <w:tcW w:w="1380" w:type="dxa"/>
            <w:vAlign w:val="bottom"/>
            <w:tcBorders>
              <w:top w:val="single" w:sz="8" w:color="auto"/>
              <w:bottom w:val="single" w:sz="8" w:color="auto"/>
            </w:tcBorders>
          </w:tcPr>
          <w:p>
            <w:pPr>
              <w:jc w:val="right"/>
              <w:ind w:right="11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43,400</w:t>
            </w: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0"/>
        </w:trPr>
        <w:tc>
          <w:tcPr>
            <w:tcW w:w="6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for the identified intangible assets were estimated using the income approach. Under the income approach, the fair value reflects the present value of the projected cash flows that are expected to be generated. The intangible assets will be amortized using the estimated discounted cash flows assumed in the valuation models. Existing technology represents the fair values of SmartSynch products that have reached technological feasibility and were part of SmartSynch's product offerings at the date of the acquisition. Customer contracts and relationships represent the fair value SmartSynch developed with its customers, including backlog.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IPR&amp;D assets acquired represent the fair value of SmartSynch research and development projects that had not yet reached technological feasibility and consist primarily of projects to upgrade the hardware components of cellular communication modules to be compatible with 3G cellular network standards. These projects are expected to be completed in the next 12 months. Incremental costs to be incurred for these projects, currently estimated at $2.3 million, will be expensed as incurred in product development operating expenses. Once the projects are completed, they will be amortized over the expected life of the technology, which is expected to be seven years.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of $46.9 million arising from the acquisition consists largely of the synergies expected from combining the operations of Itron and SmartSynch, as well as certain intangible assets that do not qualify for separate recognition. Based on synergies expected to be realized by the Electricity and Gas reporting units within the Energy operating segment, $37.3 million was assigned to the Electricity reporting unit and $9.6 million was assigned to the Gas reporting unit. The entire goodwill balance is expected to be deductible for income tax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Itron's acquisition related expenses of $44,000 and $3.0 million were recognized during the three and nine months ended September 30, 2012 and are included in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revenues and net income (loss) from SmartSynch's operations that are included in our 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July 1, 2012 - September 30, 2012</w:t>
            </w:r>
          </w:p>
        </w:tc>
        <w:tc>
          <w:tcPr>
            <w:tcW w:w="280" w:type="dxa"/>
            <w:vAlign w:val="bottom"/>
          </w:tcPr>
          <w:p>
            <w:pPr>
              <w:spacing w:after="0"/>
              <w:rPr>
                <w:sz w:val="18"/>
                <w:szCs w:val="18"/>
                <w:color w:val="auto"/>
              </w:rPr>
            </w:pPr>
          </w:p>
        </w:tc>
        <w:tc>
          <w:tcPr>
            <w:tcW w:w="278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May 1, 2012 - September 30, 2012</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gridSpan w:val="3"/>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gridSpan w:val="3"/>
          </w:tcPr>
          <w:p>
            <w:pPr>
              <w:jc w:val="right"/>
              <w:ind w:right="227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7,910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(3,808)</w:t>
            </w:r>
          </w:p>
        </w:tc>
        <w:tc>
          <w:tcPr>
            <w:tcW w:w="28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Arial" w:cs="Arial" w:eastAsia="Arial" w:hAnsi="Arial"/>
                <w:sz w:val="16"/>
                <w:szCs w:val="16"/>
                <w:color w:val="auto"/>
              </w:rPr>
              <w:t>(6,579)</w:t>
            </w:r>
          </w:p>
        </w:tc>
      </w:tr>
    </w:tbl>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SmartSynch, with adjustments to give effect to the combined operations as if the acquisition had been consummated on January 1, 2011.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6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2012</w:t>
            </w:r>
          </w:p>
        </w:tc>
        <w:tc>
          <w:tcPr>
            <w:tcW w:w="5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2011</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504,063</w:t>
            </w:r>
          </w:p>
        </w:tc>
        <w:tc>
          <w:tcPr>
            <w:tcW w:w="13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627,237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1,665,897</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1,811,413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35,273</w:t>
            </w:r>
          </w:p>
        </w:tc>
        <w:tc>
          <w:tcPr>
            <w:tcW w:w="1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3"/>
              </w:rPr>
              <w:t>(519,943)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87,220</w:t>
            </w: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(463,944)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net of the estimated tax impact, include the following:</w:t>
      </w:r>
    </w:p>
    <w:p>
      <w:pPr>
        <w:spacing w:after="0" w:line="23" w:lineRule="exact"/>
        <w:rPr>
          <w:sz w:val="20"/>
          <w:szCs w:val="20"/>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Elimination from the supplemental pro forma net income of acquisition-related expenses incurred by SmartSynch prior to the acquisition and by Itron pre- and post-acquisition totaling $5.1 million for the nine months ended September 30,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19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September 30, 2012, we repurchased 157,772 shares of our common stock, including 23,671 shares executed during September 2012 but settled in October 2012, under the stock repurchase program authorized by the Board of Directors on October 24, 2011. The average price paid per share was $42.73.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2011, filed with the Securities and Exchange Commission (SEC) on February 17, 2012, and as disclosed in our Current Report on Form 8-K, filed with the SEC on May 24,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Arial" w:cs="Arial" w:eastAsia="Arial" w:hAnsi="Arial"/>
          <w:sz w:val="17"/>
          <w:szCs w:val="17"/>
          <w:i w:val="1"/>
          <w:iCs w:val="1"/>
          <w:color w:val="000000"/>
        </w:rPr>
        <w:t>For a more complete description of these and other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risks, refer to Item 1A: “Risk Factors” included in our Annual Report on Form 10-K for the fiscal year ended December 31, 2011, which was filed with the SEC on February 17,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22222"/>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global reorganization that was announced in the first quarter of 2011, we now manage and report under two operating segments, Energy and Water. A transition to the new organizational structure, including changes to operations and financial and operational management systems, was completed in the first quarter of 2012. Therefore, financial reporting as of and for the three and nine months ended September 30, 2012 is based on the new operating segments, Energy and Water. Prior period segment information has been recast to reflect our new operating segments.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Energy operating segment includes our global electricity and gas businesses, and the Water operating segment includes our global water and heat businesses.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 xml:space="preserve">Revenues for the </w:t>
      </w:r>
      <w:r>
        <w:rPr>
          <w:rFonts w:ascii="Arial" w:cs="Arial" w:eastAsia="Arial" w:hAnsi="Arial"/>
          <w:sz w:val="17"/>
          <w:szCs w:val="17"/>
          <w:color w:val="000000"/>
        </w:rPr>
        <w:t>three and nine</w:t>
      </w:r>
      <w:r>
        <w:rPr>
          <w:rFonts w:ascii="Arial" w:cs="Arial" w:eastAsia="Arial" w:hAnsi="Arial"/>
          <w:sz w:val="17"/>
          <w:szCs w:val="17"/>
          <w:color w:val="222222"/>
        </w:rPr>
        <w:t xml:space="preserve"> months ended </w:t>
      </w:r>
      <w:r>
        <w:rPr>
          <w:rFonts w:ascii="Arial" w:cs="Arial" w:eastAsia="Arial" w:hAnsi="Arial"/>
          <w:sz w:val="17"/>
          <w:szCs w:val="17"/>
          <w:color w:val="000000"/>
        </w:rPr>
        <w:t>September 30, 2012</w:t>
      </w:r>
      <w:r>
        <w:rPr>
          <w:rFonts w:ascii="Arial" w:cs="Arial" w:eastAsia="Arial" w:hAnsi="Arial"/>
          <w:sz w:val="17"/>
          <w:szCs w:val="17"/>
          <w:color w:val="222222"/>
        </w:rPr>
        <w:t xml:space="preserve"> were $504 million and $1.7 billion, compared with $616 million and $1.8 billion for the same periods last year. Fluctuations in foreign currency exchange rates unfavorably impacted revenues by $35 million and $83 million for the </w:t>
      </w:r>
      <w:r>
        <w:rPr>
          <w:rFonts w:ascii="Arial" w:cs="Arial" w:eastAsia="Arial" w:hAnsi="Arial"/>
          <w:sz w:val="17"/>
          <w:szCs w:val="17"/>
          <w:color w:val="000000"/>
        </w:rPr>
        <w:t>three and nine</w:t>
      </w:r>
      <w:r>
        <w:rPr>
          <w:rFonts w:ascii="Arial" w:cs="Arial" w:eastAsia="Arial" w:hAnsi="Arial"/>
          <w:sz w:val="17"/>
          <w:szCs w:val="17"/>
          <w:color w:val="222222"/>
        </w:rPr>
        <w:t xml:space="preserve"> months ended </w:t>
      </w:r>
      <w:r>
        <w:rPr>
          <w:rFonts w:ascii="Arial" w:cs="Arial" w:eastAsia="Arial" w:hAnsi="Arial"/>
          <w:sz w:val="17"/>
          <w:szCs w:val="17"/>
          <w:color w:val="000000"/>
        </w:rPr>
        <w:t>September 30, 2012</w:t>
      </w:r>
      <w:r>
        <w:rPr>
          <w:rFonts w:ascii="Arial" w:cs="Arial" w:eastAsia="Arial" w:hAnsi="Arial"/>
          <w:sz w:val="17"/>
          <w:szCs w:val="17"/>
          <w:color w:val="222222"/>
        </w:rPr>
        <w:t xml:space="preserve">. Excluding the foreign currency translation impact, revenues decreased during these same periods in 2012 due to our five largest OpenWay projects in North America nearing completion, lower gas module shipments in North America, and lower Energy product shipments in Asia/Pacific, the combination of which was partially offset by an increase in Water revenue. Gross margin for the third quarter of 2012 was 34.1%, compared with a gross margin of 28.8% for the same period last year. Gross margin for the nine months ended </w:t>
      </w:r>
      <w:r>
        <w:rPr>
          <w:rFonts w:ascii="Arial" w:cs="Arial" w:eastAsia="Arial" w:hAnsi="Arial"/>
          <w:sz w:val="17"/>
          <w:szCs w:val="17"/>
          <w:color w:val="000000"/>
        </w:rPr>
        <w:t>September 30, 2012</w:t>
      </w:r>
      <w:r>
        <w:rPr>
          <w:rFonts w:ascii="Arial" w:cs="Arial" w:eastAsia="Arial" w:hAnsi="Arial"/>
          <w:sz w:val="17"/>
          <w:szCs w:val="17"/>
          <w:color w:val="222222"/>
        </w:rPr>
        <w:t xml:space="preserve"> was 33.3% compared with a gross margin of 30.9% for the corresponding period in 2011. Reduced warranty costs accounted for gross margin improvement of 5.4 percentage points for the quarter and 1.9 percentage points for the nine month period in 2012.</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2012, we had tax provisions of 15.4% and 22.2%, based on a percentage of income before tax, as compared with tax provisions of 1.2% and 3.6%, based on a percentage of loss before income tax, for the same periods in 2011. The three and nine months ended September 30, 2012 included minimal discrete tax benefits, while the same periods in 2011 included the impact of the goodwill impairment of $540 million, which was not deductible for income tax purposes</w:t>
      </w:r>
      <w:r>
        <w:rPr>
          <w:rFonts w:ascii="Arial" w:cs="Arial" w:eastAsia="Arial" w:hAnsi="Arial"/>
          <w:sz w:val="18"/>
          <w:szCs w:val="18"/>
          <w:color w:val="222222"/>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Total backlog was $1.1 billion and twelve-month backlog was $592 million at </w:t>
      </w:r>
      <w:r>
        <w:rPr>
          <w:rFonts w:ascii="Arial" w:cs="Arial" w:eastAsia="Arial" w:hAnsi="Arial"/>
          <w:sz w:val="18"/>
          <w:szCs w:val="18"/>
          <w:color w:val="000000"/>
        </w:rPr>
        <w:t>September 30, 2012</w:t>
      </w:r>
      <w:r>
        <w:rPr>
          <w:rFonts w:ascii="Arial" w:cs="Arial" w:eastAsia="Arial" w:hAnsi="Arial"/>
          <w:sz w:val="18"/>
          <w:szCs w:val="18"/>
          <w:color w:val="222222"/>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2011, our Board of Directors authorized a twelve-month repurchase program of up to $100 million of our common stock. On September 13, 2012, the Board approved the extension of the expiration date of the stock repurchase program until February 15, 2013, or until the aggregate limit of $100 million of outstanding common stock has been repurchased, whichever occurs first. During the nine months ended September 30, 2012, we repurchased 1,044,105 shares of our common stock for $40.7 million. Since the inception of the repurchase program and through September 30, 2012, we have repurchased 1,867,454 shares for $70.1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760" w:type="dxa"/>
            <w:vAlign w:val="bottom"/>
            <w:gridSpan w:val="5"/>
          </w:tcPr>
          <w:p>
            <w:pPr>
              <w:ind w:left="54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20"/>
                <w:szCs w:val="20"/>
                <w:color w:val="auto"/>
              </w:rPr>
            </w:pPr>
          </w:p>
        </w:tc>
        <w:tc>
          <w:tcPr>
            <w:tcW w:w="800" w:type="dxa"/>
            <w:vAlign w:val="bottom"/>
          </w:tcPr>
          <w:p>
            <w:pPr>
              <w:jc w:val="right"/>
              <w:ind w:right="399"/>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504,063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615,555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1,654,843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1,791,647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(8)%</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171,797</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176,996</w:t>
            </w:r>
          </w:p>
        </w:tc>
        <w:tc>
          <w:tcPr>
            <w:tcW w:w="120" w:type="dxa"/>
            <w:vAlign w:val="bottom"/>
          </w:tcPr>
          <w:p>
            <w:pPr>
              <w:spacing w:after="0"/>
              <w:rPr>
                <w:sz w:val="20"/>
                <w:szCs w:val="20"/>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551,647</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553,925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w:t>
            </w:r>
          </w:p>
        </w:tc>
      </w:tr>
      <w:tr>
        <w:trPr>
          <w:trHeight w:val="33"/>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33"/>
        </w:trPr>
        <w:tc>
          <w:tcPr>
            <w:tcW w:w="3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7"/>
        </w:trPr>
        <w:tc>
          <w:tcPr>
            <w:tcW w:w="3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 (North America)</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224,956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292,322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802,542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852,715</w:t>
            </w: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11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211,195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227,884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648,050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702,296</w:t>
            </w: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67,912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95,349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236,636</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6"/>
              </w:rPr>
              <w:t>504,063</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615,555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1,654,843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1,791,647</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 xml:space="preserve">Revenues decreased $111.5 million and $136.8 million, or 18% and 8%, for the three and nine months ended September 30, 2012, compared with the same periods last year. The net translation effect of our operations denominated in foreign currencies resulted in an unfavorable impact to revenues of $35.5 million and $83.1 million for the three and nine months ended September 30, 2012, compared with the same periods in 2011. A more detailed analysis of these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customer, BC Hydro and Power Authority, accounted for 10% of total Company revenues during the nine months ended September 30, 2012, while no single customer accounted for more than 10% of total revenues for the three months ended September 30, 2012 and during the three and nine months ended September 30, 2011. Our 10 largest customers accounted for 25% and 29% of total revenues for the three and nine months ended September 30, 2012, and 35% and 31% for the three and nine months ended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respectively.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 xml:space="preserve">Gross margin for the third quarter of 2012 was 34.1%, compared with a gross margin of 28.8% for the same period last year. For the first nine months of 2012, gross margin was 33.3% compared with 30.9% in the same period in 2011. </w:t>
      </w:r>
      <w:r>
        <w:rPr>
          <w:rFonts w:ascii="Arial" w:cs="Arial" w:eastAsia="Arial" w:hAnsi="Arial"/>
          <w:sz w:val="16"/>
          <w:szCs w:val="16"/>
          <w:color w:val="000000"/>
        </w:rPr>
        <w:t>Gross margin improved over the prior year for the quarter and nine months</w:t>
      </w:r>
      <w:r>
        <w:rPr>
          <w:rFonts w:ascii="Arial" w:cs="Arial" w:eastAsia="Arial" w:hAnsi="Arial"/>
          <w:sz w:val="16"/>
          <w:szCs w:val="16"/>
          <w:color w:val="222222"/>
        </w:rPr>
        <w:t xml:space="preserve"> </w:t>
      </w:r>
      <w:r>
        <w:rPr>
          <w:rFonts w:ascii="Arial" w:cs="Arial" w:eastAsia="Arial" w:hAnsi="Arial"/>
          <w:sz w:val="16"/>
          <w:szCs w:val="16"/>
          <w:color w:val="000000"/>
        </w:rPr>
        <w:t xml:space="preserve">primarily due to lower warranty costs, which positively impacted gross margin by 5.4 percentage points in the quarter and 1.9 percentage points in the nine month period. In addition, gross margin for the nine months ended September 30, 2012 improved as a result of favorable product mix and lower manufacturing costs in both the Energy and Water segments. </w:t>
      </w:r>
      <w:r>
        <w:rPr>
          <w:rFonts w:ascii="Arial" w:cs="Arial" w:eastAsia="Arial" w:hAnsi="Arial"/>
          <w:sz w:val="16"/>
          <w:szCs w:val="16"/>
          <w:color w:val="222222"/>
        </w:rPr>
        <w:t>A more detailed analysis of these fluctuations is provided in</w:t>
      </w:r>
      <w:r>
        <w:rPr>
          <w:rFonts w:ascii="Arial" w:cs="Arial" w:eastAsia="Arial" w:hAnsi="Arial"/>
          <w:sz w:val="16"/>
          <w:szCs w:val="16"/>
          <w:color w:val="000000"/>
        </w:rPr>
        <w:t xml:space="preserve"> </w:t>
      </w:r>
      <w:r>
        <w:rPr>
          <w:rFonts w:ascii="Arial" w:cs="Arial" w:eastAsia="Arial" w:hAnsi="Arial"/>
          <w:sz w:val="16"/>
          <w:szCs w:val="16"/>
          <w:i w:val="1"/>
          <w:iCs w:val="1"/>
          <w:color w:val="222222"/>
        </w:rPr>
        <w:t>Operating Segment Results</w:t>
      </w:r>
      <w:r>
        <w:rPr>
          <w:rFonts w:ascii="Arial" w:cs="Arial" w:eastAsia="Arial" w:hAnsi="Arial"/>
          <w:sz w:val="16"/>
          <w:szCs w:val="16"/>
          <w:color w:val="222222"/>
        </w:rPr>
        <w:t>.</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Advanced and smart meter communication modules can be sold separately from the meter. A summary of our total electricity, gas, water &amp; heat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37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 September 30,</w:t>
            </w:r>
          </w:p>
        </w:tc>
        <w:tc>
          <w:tcPr>
            <w:tcW w:w="32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4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5600" w:type="dxa"/>
            <w:vAlign w:val="bottom"/>
            <w:gridSpan w:val="2"/>
          </w:tcPr>
          <w:p>
            <w:pPr>
              <w:ind w:left="5160"/>
              <w:spacing w:after="0"/>
              <w:rPr>
                <w:sz w:val="20"/>
                <w:szCs w:val="20"/>
                <w:color w:val="auto"/>
              </w:rPr>
            </w:pPr>
            <w:r>
              <w:rPr>
                <w:rFonts w:ascii="Arial" w:cs="Arial" w:eastAsia="Arial" w:hAnsi="Arial"/>
                <w:sz w:val="16"/>
                <w:szCs w:val="16"/>
                <w:b w:val="1"/>
                <w:bCs w:val="1"/>
                <w:color w:val="auto"/>
              </w:rPr>
              <w:t>2012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44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ind w:left="960"/>
              <w:spacing w:after="0"/>
              <w:rPr>
                <w:sz w:val="20"/>
                <w:szCs w:val="20"/>
                <w:color w:val="auto"/>
              </w:rPr>
            </w:pPr>
            <w:r>
              <w:rPr>
                <w:rFonts w:ascii="Arial" w:cs="Arial" w:eastAsia="Arial" w:hAnsi="Arial"/>
                <w:sz w:val="16"/>
                <w:szCs w:val="16"/>
                <w:b w:val="1"/>
                <w:bCs w:val="1"/>
                <w:color w:val="auto"/>
              </w:rPr>
              <w:t>(units in thousands)</w:t>
            </w:r>
          </w:p>
        </w:tc>
        <w:tc>
          <w:tcPr>
            <w:tcW w:w="1580" w:type="dxa"/>
            <w:vAlign w:val="bottom"/>
          </w:tcPr>
          <w:p>
            <w:pPr>
              <w:spacing w:after="0"/>
              <w:rPr>
                <w:sz w:val="18"/>
                <w:szCs w:val="18"/>
                <w:color w:val="auto"/>
              </w:rPr>
            </w:pPr>
          </w:p>
        </w:tc>
      </w:tr>
      <w:tr>
        <w:trPr>
          <w:trHeight w:val="270"/>
        </w:trPr>
        <w:tc>
          <w:tcPr>
            <w:tcW w:w="560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3"/>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14,850</w:t>
            </w:r>
          </w:p>
        </w:tc>
      </w:tr>
      <w:tr>
        <w:trPr>
          <w:trHeight w:val="237"/>
        </w:trPr>
        <w:tc>
          <w:tcPr>
            <w:tcW w:w="560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6,110</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6,310</w:t>
            </w:r>
          </w:p>
        </w:tc>
      </w:tr>
      <w:tr>
        <w:trPr>
          <w:trHeight w:val="33"/>
        </w:trPr>
        <w:tc>
          <w:tcPr>
            <w:tcW w:w="44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6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5,810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7,290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19,720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21,160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50"/>
        </w:trPr>
        <w:tc>
          <w:tcPr>
            <w:tcW w:w="560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5,050</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4,840</w:t>
            </w:r>
          </w:p>
        </w:tc>
      </w:tr>
      <w:tr>
        <w:trPr>
          <w:trHeight w:val="20"/>
        </w:trPr>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7"/>
              </w:rPr>
              <w:t>Three Months Ended September 30,</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8"/>
          </w:tcPr>
          <w:p>
            <w:pPr>
              <w:jc w:val="center"/>
              <w:ind w:right="57"/>
              <w:spacing w:after="0"/>
              <w:rPr>
                <w:sz w:val="20"/>
                <w:szCs w:val="20"/>
                <w:color w:val="auto"/>
              </w:rPr>
            </w:pPr>
            <w:r>
              <w:rPr>
                <w:rFonts w:ascii="Arial" w:cs="Arial" w:eastAsia="Arial" w:hAnsi="Arial"/>
                <w:sz w:val="13"/>
                <w:szCs w:val="13"/>
                <w:b w:val="1"/>
                <w:bCs w:val="1"/>
                <w:color w:val="auto"/>
                <w:w w:val="87"/>
              </w:rPr>
              <w:t>Nine Months Ended September 30,</w:t>
            </w:r>
          </w:p>
        </w:tc>
        <w:tc>
          <w:tcPr>
            <w:tcW w:w="26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2012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2011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 Change</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 Change</w:t>
            </w:r>
          </w:p>
        </w:tc>
        <w:tc>
          <w:tcPr>
            <w:tcW w:w="26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58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140" w:type="dxa"/>
            <w:vAlign w:val="bottom"/>
          </w:tcPr>
          <w:p>
            <w:pPr>
              <w:spacing w:after="0"/>
              <w:rPr>
                <w:sz w:val="20"/>
                <w:szCs w:val="20"/>
                <w:color w:val="auto"/>
              </w:rPr>
            </w:pPr>
          </w:p>
        </w:tc>
        <w:tc>
          <w:tcPr>
            <w:tcW w:w="2400" w:type="dxa"/>
            <w:vAlign w:val="bottom"/>
            <w:gridSpan w:val="6"/>
          </w:tcPr>
          <w:p>
            <w:pPr>
              <w:ind w:left="70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6"/>
          </w:tcPr>
          <w:p>
            <w:pPr>
              <w:ind w:left="66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580" w:type="dxa"/>
            <w:vAlign w:val="bottom"/>
          </w:tcPr>
          <w:p>
            <w:pPr>
              <w:ind w:left="380"/>
              <w:spacing w:after="0"/>
              <w:rPr>
                <w:sz w:val="20"/>
                <w:szCs w:val="20"/>
                <w:color w:val="auto"/>
              </w:rPr>
            </w:pPr>
            <w:r>
              <w:rPr>
                <w:rFonts w:ascii="Arial" w:cs="Arial" w:eastAsia="Arial" w:hAnsi="Arial"/>
                <w:sz w:val="13"/>
                <w:szCs w:val="13"/>
                <w:color w:val="auto"/>
              </w:rPr>
              <w:t>Energy</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226,552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313,728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794,496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880,529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Gas</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150,937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170,020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2"/>
              </w:rPr>
              <w:t>(11)%</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465,338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509,450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center"/>
              <w:ind w:right="57"/>
              <w:spacing w:after="0"/>
              <w:rPr>
                <w:sz w:val="20"/>
                <w:szCs w:val="20"/>
                <w:color w:val="auto"/>
              </w:rPr>
            </w:pPr>
            <w:r>
              <w:rPr>
                <w:rFonts w:ascii="Arial" w:cs="Arial" w:eastAsia="Arial" w:hAnsi="Arial"/>
                <w:sz w:val="13"/>
                <w:szCs w:val="13"/>
                <w:color w:val="auto"/>
                <w:w w:val="94"/>
              </w:rPr>
              <w:t>(9)%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Energy</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377,489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483,748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1,259,834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1,389,979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126,574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131,807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7"/>
              </w:rPr>
              <w:t>(4)%</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395,009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401,668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center"/>
              <w:ind w:right="57"/>
              <w:spacing w:after="0"/>
              <w:rPr>
                <w:sz w:val="20"/>
                <w:szCs w:val="20"/>
                <w:color w:val="auto"/>
              </w:rPr>
            </w:pPr>
            <w:r>
              <w:rPr>
                <w:rFonts w:ascii="Arial" w:cs="Arial" w:eastAsia="Arial" w:hAnsi="Arial"/>
                <w:sz w:val="13"/>
                <w:szCs w:val="13"/>
                <w:color w:val="auto"/>
                <w:w w:val="94"/>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CCEEFF"/>
          </w:tcPr>
          <w:p>
            <w:pPr>
              <w:ind w:left="880"/>
              <w:spacing w:after="0" w:line="134" w:lineRule="exact"/>
              <w:rPr>
                <w:sz w:val="20"/>
                <w:szCs w:val="20"/>
                <w:color w:val="auto"/>
              </w:rPr>
            </w:pPr>
            <w:r>
              <w:rPr>
                <w:rFonts w:ascii="Arial" w:cs="Arial" w:eastAsia="Arial" w:hAnsi="Arial"/>
                <w:sz w:val="13"/>
                <w:szCs w:val="13"/>
                <w:color w:val="auto"/>
              </w:rPr>
              <w:t>Total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504,063</w:t>
            </w:r>
          </w:p>
        </w:tc>
        <w:tc>
          <w:tcPr>
            <w:tcW w:w="3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615,555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1,654,843</w:t>
            </w:r>
          </w:p>
        </w:tc>
        <w:tc>
          <w:tcPr>
            <w:tcW w:w="3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1,791,647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3"/>
                <w:szCs w:val="13"/>
                <w:color w:val="auto"/>
              </w:rPr>
              <w:t>revenues</w:t>
            </w: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gridSpan w:val="3"/>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(18)%</w:t>
            </w: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tcBorders>
            <w:gridSpan w:val="3"/>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3"/>
                <w:szCs w:val="13"/>
                <w:color w:val="auto"/>
                <w:w w:val="94"/>
              </w:rPr>
              <w:t>(8)%</w:t>
            </w: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6"/>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b w:val="1"/>
                <w:bCs w:val="1"/>
                <w:color w:val="auto"/>
                <w:w w:val="90"/>
              </w:rPr>
              <w:t>Three Months Ended September 30,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3"/>
                <w:szCs w:val="13"/>
                <w:b w:val="1"/>
                <w:bCs w:val="1"/>
                <w:color w:val="auto"/>
                <w:w w:val="88"/>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82"/>
              </w:rPr>
              <w:t>2012</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997"/>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75"/>
              </w:rPr>
              <w:t>2012</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920" w:type="dxa"/>
            <w:vAlign w:val="bottom"/>
          </w:tcPr>
          <w:p>
            <w:pPr>
              <w:jc w:val="center"/>
              <w:ind w:right="3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60" w:type="dxa"/>
            <w:vAlign w:val="bottom"/>
          </w:tcPr>
          <w:p>
            <w:pPr>
              <w:jc w:val="center"/>
              <w:ind w:right="9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i w:val="1"/>
                <w:iCs w:val="1"/>
                <w:color w:val="auto"/>
                <w:w w:val="88"/>
              </w:rPr>
              <w:t>Profit</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93"/>
              </w:rPr>
              <w:t>Margin</w:t>
            </w:r>
          </w:p>
        </w:tc>
        <w:tc>
          <w:tcPr>
            <w:tcW w:w="0" w:type="dxa"/>
            <w:vAlign w:val="bottom"/>
          </w:tcPr>
          <w:p>
            <w:pPr>
              <w:spacing w:after="0"/>
              <w:rPr>
                <w:sz w:val="1"/>
                <w:szCs w:val="1"/>
                <w:color w:val="auto"/>
              </w:rPr>
            </w:pPr>
          </w:p>
        </w:tc>
      </w:tr>
      <w:tr>
        <w:trPr>
          <w:trHeight w:val="134"/>
        </w:trPr>
        <w:tc>
          <w:tcPr>
            <w:tcW w:w="158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94"/>
              </w:rPr>
              <w:t>Segment Gross Profit and</w:t>
            </w:r>
          </w:p>
        </w:tc>
        <w:tc>
          <w:tcPr>
            <w:tcW w:w="140" w:type="dxa"/>
            <w:vAlign w:val="bottom"/>
          </w:tcPr>
          <w:p>
            <w:pPr>
              <w:spacing w:after="0"/>
              <w:rPr>
                <w:sz w:val="11"/>
                <w:szCs w:val="11"/>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58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Margin</w:t>
            </w: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Energy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2"/>
              </w:rPr>
              <w:t>33.2%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144,120</w:t>
            </w:r>
          </w:p>
        </w:tc>
        <w:tc>
          <w:tcPr>
            <w:tcW w:w="1320" w:type="dxa"/>
            <w:vAlign w:val="bottom"/>
            <w:gridSpan w:val="3"/>
            <w:shd w:val="clear" w:color="auto" w:fill="CCEEFF"/>
          </w:tcPr>
          <w:p>
            <w:pPr>
              <w:jc w:val="center"/>
              <w:ind w:left="137"/>
              <w:spacing w:after="0"/>
              <w:rPr>
                <w:sz w:val="20"/>
                <w:szCs w:val="20"/>
                <w:color w:val="auto"/>
              </w:rPr>
            </w:pPr>
            <w:r>
              <w:rPr>
                <w:rFonts w:ascii="Arial" w:cs="Arial" w:eastAsia="Arial" w:hAnsi="Arial"/>
                <w:sz w:val="13"/>
                <w:szCs w:val="13"/>
                <w:color w:val="auto"/>
                <w:w w:val="86"/>
              </w:rPr>
              <w:t>29.8%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409,057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6"/>
              </w:rPr>
              <w:t>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426,457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6"/>
              </w:rPr>
              <w:t>30.7%</w:t>
            </w:r>
          </w:p>
        </w:tc>
        <w:tc>
          <w:tcPr>
            <w:tcW w:w="0" w:type="dxa"/>
            <w:vAlign w:val="bottom"/>
          </w:tcPr>
          <w:p>
            <w:pPr>
              <w:spacing w:after="0"/>
              <w:rPr>
                <w:sz w:val="1"/>
                <w:szCs w:val="1"/>
                <w:color w:val="auto"/>
              </w:rPr>
            </w:pPr>
          </w:p>
        </w:tc>
      </w:tr>
      <w:tr>
        <w:trPr>
          <w:trHeight w:val="264"/>
        </w:trPr>
        <w:tc>
          <w:tcPr>
            <w:tcW w:w="1580" w:type="dxa"/>
            <w:vAlign w:val="bottom"/>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46,294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center"/>
              <w:ind w:right="97"/>
              <w:spacing w:after="0"/>
              <w:rPr>
                <w:sz w:val="20"/>
                <w:szCs w:val="20"/>
                <w:color w:val="auto"/>
              </w:rPr>
            </w:pPr>
            <w:r>
              <w:rPr>
                <w:rFonts w:ascii="Arial" w:cs="Arial" w:eastAsia="Arial" w:hAnsi="Arial"/>
                <w:sz w:val="13"/>
                <w:szCs w:val="13"/>
                <w:color w:val="auto"/>
                <w:w w:val="92"/>
              </w:rPr>
              <w:t>36.6%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32,876</w:t>
            </w:r>
          </w:p>
        </w:tc>
        <w:tc>
          <w:tcPr>
            <w:tcW w:w="1320" w:type="dxa"/>
            <w:vAlign w:val="bottom"/>
            <w:gridSpan w:val="3"/>
          </w:tcPr>
          <w:p>
            <w:pPr>
              <w:jc w:val="center"/>
              <w:ind w:left="137"/>
              <w:spacing w:after="0"/>
              <w:rPr>
                <w:sz w:val="20"/>
                <w:szCs w:val="20"/>
                <w:color w:val="auto"/>
              </w:rPr>
            </w:pPr>
            <w:r>
              <w:rPr>
                <w:rFonts w:ascii="Arial" w:cs="Arial" w:eastAsia="Arial" w:hAnsi="Arial"/>
                <w:sz w:val="13"/>
                <w:szCs w:val="13"/>
                <w:color w:val="auto"/>
                <w:w w:val="86"/>
              </w:rPr>
              <w:t>24.9%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142,590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color w:val="auto"/>
                <w:w w:val="86"/>
              </w:rPr>
              <w:t>36.1%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127,468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center"/>
              <w:ind w:right="77"/>
              <w:spacing w:after="0"/>
              <w:rPr>
                <w:sz w:val="20"/>
                <w:szCs w:val="20"/>
                <w:color w:val="auto"/>
              </w:rPr>
            </w:pPr>
            <w:r>
              <w:rPr>
                <w:rFonts w:ascii="Arial" w:cs="Arial" w:eastAsia="Arial" w:hAnsi="Arial"/>
                <w:sz w:val="13"/>
                <w:szCs w:val="13"/>
                <w:color w:val="auto"/>
                <w:w w:val="86"/>
              </w:rPr>
              <w:t>31.7%</w:t>
            </w:r>
          </w:p>
        </w:tc>
        <w:tc>
          <w:tcPr>
            <w:tcW w:w="0" w:type="dxa"/>
            <w:vAlign w:val="bottom"/>
          </w:tcPr>
          <w:p>
            <w:pPr>
              <w:spacing w:after="0"/>
              <w:rPr>
                <w:sz w:val="1"/>
                <w:szCs w:val="1"/>
                <w:color w:val="auto"/>
              </w:rPr>
            </w:pPr>
          </w:p>
        </w:tc>
      </w:tr>
      <w:tr>
        <w:trPr>
          <w:trHeight w:val="134"/>
        </w:trPr>
        <w:tc>
          <w:tcPr>
            <w:tcW w:w="1580" w:type="dxa"/>
            <w:vAlign w:val="bottom"/>
            <w:tcBorders>
              <w:top w:val="single" w:sz="8" w:color="CCEEFF"/>
            </w:tcBorders>
            <w:shd w:val="clear" w:color="auto" w:fill="CCEEFF"/>
          </w:tcPr>
          <w:p>
            <w:pPr>
              <w:ind w:left="880"/>
              <w:spacing w:after="0" w:line="134" w:lineRule="exact"/>
              <w:rPr>
                <w:sz w:val="20"/>
                <w:szCs w:val="20"/>
                <w:color w:val="auto"/>
              </w:rPr>
            </w:pPr>
            <w:r>
              <w:rPr>
                <w:rFonts w:ascii="Arial" w:cs="Arial" w:eastAsia="Arial" w:hAnsi="Arial"/>
                <w:sz w:val="13"/>
                <w:szCs w:val="13"/>
                <w:color w:val="auto"/>
              </w:rPr>
              <w:t>Total gross</w:t>
            </w:r>
          </w:p>
        </w:tc>
        <w:tc>
          <w:tcPr>
            <w:tcW w:w="1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color w:val="auto"/>
              </w:rPr>
              <w:t>profit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171,797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176,996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551,647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553,925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3"/>
                <w:szCs w:val="13"/>
                <w:color w:val="auto"/>
              </w:rPr>
              <w:t>margin</w:t>
            </w: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3"/>
                <w:szCs w:val="13"/>
                <w:color w:val="auto"/>
                <w:w w:val="92"/>
              </w:rPr>
              <w:t>34.1%</w:t>
            </w: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320" w:type="dxa"/>
            <w:vAlign w:val="bottom"/>
            <w:tcBorders>
              <w:bottom w:val="single" w:sz="8" w:color="auto"/>
            </w:tcBorders>
            <w:gridSpan w:val="3"/>
            <w:shd w:val="clear" w:color="auto" w:fill="CCEEFF"/>
          </w:tcPr>
          <w:p>
            <w:pPr>
              <w:jc w:val="center"/>
              <w:ind w:left="137"/>
              <w:spacing w:after="0"/>
              <w:rPr>
                <w:sz w:val="20"/>
                <w:szCs w:val="20"/>
                <w:color w:val="auto"/>
              </w:rPr>
            </w:pPr>
            <w:r>
              <w:rPr>
                <w:rFonts w:ascii="Arial" w:cs="Arial" w:eastAsia="Arial" w:hAnsi="Arial"/>
                <w:sz w:val="13"/>
                <w:szCs w:val="13"/>
                <w:color w:val="auto"/>
                <w:w w:val="86"/>
              </w:rPr>
              <w:t>28.8%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3"/>
                <w:szCs w:val="13"/>
                <w:color w:val="auto"/>
                <w:w w:val="86"/>
              </w:rPr>
              <w:t>33.3%</w:t>
            </w:r>
          </w:p>
        </w:tc>
        <w:tc>
          <w:tcPr>
            <w:tcW w:w="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3"/>
                <w:szCs w:val="13"/>
                <w:color w:val="auto"/>
                <w:w w:val="86"/>
              </w:rPr>
              <w:t>30.9%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6"/>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b w:val="1"/>
                <w:bCs w:val="1"/>
                <w:color w:val="auto"/>
                <w:w w:val="90"/>
              </w:rPr>
              <w:t>Three Months Ended September 30,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3"/>
                <w:szCs w:val="13"/>
                <w:b w:val="1"/>
                <w:bCs w:val="1"/>
                <w:color w:val="auto"/>
                <w:w w:val="88"/>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82"/>
              </w:rPr>
              <w:t>2012</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997"/>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75"/>
              </w:rPr>
              <w:t>2012</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7"/>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1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40" w:type="dxa"/>
            <w:vAlign w:val="bottom"/>
          </w:tcPr>
          <w:p>
            <w:pPr>
              <w:spacing w:after="0"/>
              <w:rPr>
                <w:sz w:val="12"/>
                <w:szCs w:val="12"/>
                <w:color w:val="auto"/>
              </w:rPr>
            </w:pPr>
          </w:p>
        </w:tc>
        <w:tc>
          <w:tcPr>
            <w:tcW w:w="920" w:type="dxa"/>
            <w:vAlign w:val="bottom"/>
          </w:tcPr>
          <w:p>
            <w:pPr>
              <w:jc w:val="center"/>
              <w:ind w:right="17"/>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860" w:type="dxa"/>
            <w:vAlign w:val="bottom"/>
          </w:tcPr>
          <w:p>
            <w:pPr>
              <w:jc w:val="center"/>
              <w:ind w:right="77"/>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6"/>
              </w:rPr>
              <w:t>Income (Loss)</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Income (Loss)</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i w:val="1"/>
                <w:iCs w:val="1"/>
                <w:color w:val="auto"/>
                <w:w w:val="86"/>
              </w:rPr>
              <w:t>Income (Loss)</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93"/>
              </w:rPr>
              <w:t>Margin</w:t>
            </w:r>
          </w:p>
        </w:tc>
        <w:tc>
          <w:tcPr>
            <w:tcW w:w="0" w:type="dxa"/>
            <w:vAlign w:val="bottom"/>
          </w:tcPr>
          <w:p>
            <w:pPr>
              <w:spacing w:after="0"/>
              <w:rPr>
                <w:sz w:val="1"/>
                <w:szCs w:val="1"/>
                <w:color w:val="auto"/>
              </w:rPr>
            </w:pPr>
          </w:p>
        </w:tc>
      </w:tr>
      <w:tr>
        <w:trPr>
          <w:trHeight w:val="134"/>
        </w:trPr>
        <w:tc>
          <w:tcPr>
            <w:tcW w:w="158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89"/>
              </w:rPr>
              <w:t>Segment Operating Income</w:t>
            </w:r>
          </w:p>
        </w:tc>
        <w:tc>
          <w:tcPr>
            <w:tcW w:w="140" w:type="dxa"/>
            <w:vAlign w:val="bottom"/>
          </w:tcPr>
          <w:p>
            <w:pPr>
              <w:spacing w:after="0"/>
              <w:rPr>
                <w:sz w:val="11"/>
                <w:szCs w:val="11"/>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40"/>
              <w:spacing w:after="0" w:line="135" w:lineRule="exact"/>
              <w:rPr>
                <w:sz w:val="20"/>
                <w:szCs w:val="20"/>
                <w:color w:val="auto"/>
              </w:rPr>
            </w:pPr>
            <w:r>
              <w:rPr>
                <w:rFonts w:ascii="Arial" w:cs="Arial" w:eastAsia="Arial" w:hAnsi="Arial"/>
                <w:sz w:val="13"/>
                <w:szCs w:val="13"/>
                <w:b w:val="1"/>
                <w:bCs w:val="1"/>
                <w:i w:val="1"/>
                <w:iCs w:val="1"/>
                <w:color w:val="auto"/>
              </w:rPr>
              <w:t>(Loss) and Operating</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Margin</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Energy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30,978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5"/>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(166,197)</w:t>
            </w:r>
          </w:p>
        </w:tc>
        <w:tc>
          <w:tcPr>
            <w:tcW w:w="1320" w:type="dxa"/>
            <w:vAlign w:val="bottom"/>
            <w:gridSpan w:val="3"/>
            <w:shd w:val="clear" w:color="auto" w:fill="CCEEFF"/>
          </w:tcPr>
          <w:p>
            <w:pPr>
              <w:jc w:val="center"/>
              <w:ind w:left="137"/>
              <w:spacing w:after="0"/>
              <w:rPr>
                <w:sz w:val="20"/>
                <w:szCs w:val="20"/>
                <w:color w:val="auto"/>
              </w:rPr>
            </w:pPr>
            <w:r>
              <w:rPr>
                <w:rFonts w:ascii="Arial" w:cs="Arial" w:eastAsia="Arial" w:hAnsi="Arial"/>
                <w:sz w:val="13"/>
                <w:szCs w:val="13"/>
                <w:color w:val="auto"/>
                <w:w w:val="92"/>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116,211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4"/>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7"/>
              </w:rPr>
              <w:t>(6)%</w:t>
            </w:r>
          </w:p>
        </w:tc>
        <w:tc>
          <w:tcPr>
            <w:tcW w:w="0" w:type="dxa"/>
            <w:vAlign w:val="bottom"/>
          </w:tcPr>
          <w:p>
            <w:pPr>
              <w:spacing w:after="0"/>
              <w:rPr>
                <w:sz w:val="1"/>
                <w:szCs w:val="1"/>
                <w:color w:val="auto"/>
              </w:rPr>
            </w:pPr>
          </w:p>
        </w:tc>
      </w:tr>
      <w:tr>
        <w:trPr>
          <w:trHeight w:val="262"/>
        </w:trPr>
        <w:tc>
          <w:tcPr>
            <w:tcW w:w="1580" w:type="dxa"/>
            <w:vAlign w:val="bottom"/>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22,293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center"/>
              <w:ind w:right="97"/>
              <w:spacing w:after="0"/>
              <w:rPr>
                <w:sz w:val="20"/>
                <w:szCs w:val="20"/>
                <w:color w:val="auto"/>
              </w:rPr>
            </w:pPr>
            <w:r>
              <w:rPr>
                <w:rFonts w:ascii="Arial" w:cs="Arial" w:eastAsia="Arial" w:hAnsi="Arial"/>
                <w:sz w:val="13"/>
                <w:szCs w:val="13"/>
                <w:color w:val="auto"/>
                <w:w w:val="84"/>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(321,191)</w:t>
            </w:r>
          </w:p>
        </w:tc>
        <w:tc>
          <w:tcPr>
            <w:tcW w:w="1320" w:type="dxa"/>
            <w:vAlign w:val="bottom"/>
            <w:gridSpan w:val="3"/>
          </w:tcPr>
          <w:p>
            <w:pPr>
              <w:jc w:val="center"/>
              <w:ind w:left="117"/>
              <w:spacing w:after="0"/>
              <w:rPr>
                <w:sz w:val="20"/>
                <w:szCs w:val="20"/>
                <w:color w:val="auto"/>
              </w:rPr>
            </w:pPr>
            <w:r>
              <w:rPr>
                <w:rFonts w:ascii="Arial" w:cs="Arial" w:eastAsia="Arial" w:hAnsi="Arial"/>
                <w:sz w:val="13"/>
                <w:szCs w:val="13"/>
                <w:color w:val="auto"/>
                <w:w w:val="90"/>
              </w:rPr>
              <w:t>(244)%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49,896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color w:val="auto"/>
                <w:w w:val="92"/>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(290,582)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center"/>
              <w:ind w:right="77"/>
              <w:spacing w:after="0"/>
              <w:rPr>
                <w:sz w:val="20"/>
                <w:szCs w:val="20"/>
                <w:color w:val="auto"/>
              </w:rPr>
            </w:pPr>
            <w:r>
              <w:rPr>
                <w:rFonts w:ascii="Arial" w:cs="Arial" w:eastAsia="Arial" w:hAnsi="Arial"/>
                <w:sz w:val="13"/>
                <w:szCs w:val="13"/>
                <w:color w:val="auto"/>
                <w:w w:val="92"/>
              </w:rPr>
              <w:t>(72)%</w:t>
            </w: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2"/>
              </w:rPr>
              <w:t>Corporate unallocated</w:t>
            </w:r>
          </w:p>
        </w:tc>
        <w:tc>
          <w:tcPr>
            <w:tcW w:w="1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(7,304)</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(9,864)</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(34,456)</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580" w:type="dxa"/>
            <w:vAlign w:val="bottom"/>
          </w:tcPr>
          <w:p>
            <w:pPr>
              <w:ind w:left="880"/>
              <w:spacing w:after="0" w:line="128" w:lineRule="exact"/>
              <w:rPr>
                <w:sz w:val="20"/>
                <w:szCs w:val="20"/>
                <w:color w:val="auto"/>
              </w:rPr>
            </w:pPr>
            <w:r>
              <w:rPr>
                <w:rFonts w:ascii="Arial" w:cs="Arial" w:eastAsia="Arial" w:hAnsi="Arial"/>
                <w:sz w:val="13"/>
                <w:szCs w:val="13"/>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45,967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(497,252)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131,651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(399,078)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880"/>
              <w:spacing w:after="0"/>
              <w:rPr>
                <w:sz w:val="20"/>
                <w:szCs w:val="20"/>
                <w:color w:val="auto"/>
              </w:rPr>
            </w:pPr>
            <w:r>
              <w:rPr>
                <w:rFonts w:ascii="Arial" w:cs="Arial" w:eastAsia="Arial" w:hAnsi="Arial"/>
                <w:sz w:val="13"/>
                <w:szCs w:val="13"/>
                <w:color w:val="auto"/>
              </w:rPr>
              <w:t>Company</w:t>
            </w:r>
          </w:p>
        </w:tc>
        <w:tc>
          <w:tcPr>
            <w:tcW w:w="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7"/>
              <w:spacing w:after="0"/>
              <w:rPr>
                <w:sz w:val="20"/>
                <w:szCs w:val="20"/>
                <w:color w:val="auto"/>
              </w:rPr>
            </w:pPr>
            <w:r>
              <w:rPr>
                <w:rFonts w:ascii="Arial" w:cs="Arial" w:eastAsia="Arial" w:hAnsi="Arial"/>
                <w:sz w:val="13"/>
                <w:szCs w:val="13"/>
                <w:color w:val="auto"/>
                <w:w w:val="95"/>
              </w:rPr>
              <w:t>9%</w:t>
            </w: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20" w:type="dxa"/>
            <w:vAlign w:val="bottom"/>
            <w:gridSpan w:val="3"/>
          </w:tcPr>
          <w:p>
            <w:pPr>
              <w:jc w:val="center"/>
              <w:ind w:left="137"/>
              <w:spacing w:after="0"/>
              <w:rPr>
                <w:sz w:val="20"/>
                <w:szCs w:val="20"/>
                <w:color w:val="auto"/>
              </w:rPr>
            </w:pPr>
            <w:r>
              <w:rPr>
                <w:rFonts w:ascii="Arial" w:cs="Arial" w:eastAsia="Arial" w:hAnsi="Arial"/>
                <w:sz w:val="13"/>
                <w:szCs w:val="13"/>
                <w:color w:val="auto"/>
                <w:w w:val="92"/>
              </w:rPr>
              <w:t>(81)%</w:t>
            </w: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color w:val="auto"/>
                <w:w w:val="84"/>
              </w:rPr>
              <w:t>8%</w:t>
            </w: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7"/>
              <w:spacing w:after="0"/>
              <w:rPr>
                <w:sz w:val="20"/>
                <w:szCs w:val="20"/>
                <w:color w:val="auto"/>
              </w:rPr>
            </w:pPr>
            <w:r>
              <w:rPr>
                <w:rFonts w:ascii="Arial" w:cs="Arial" w:eastAsia="Arial" w:hAnsi="Arial"/>
                <w:sz w:val="13"/>
                <w:szCs w:val="13"/>
                <w:color w:val="auto"/>
                <w:w w:val="92"/>
              </w:rPr>
              <w:t>(22)%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2012 vs. Three months ended September 30, 2011</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revenues decreased $87.2 million, or 28%, for the three months ended September 30, 2012, compared with the same period last year. Revenues in 2012 were lower primarily driven by $75.8 million in scheduled decreases in our five largest OpenWay projects in North America, by decreased product shipments in Asia-Pacific of $15 million, and by $13.3 million for the currency translation effect of our operations denominated in foreign currencies. These decreases were partially offset by $8 million in increased product shipments in EMEA.</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 revenues decreased $19.1 million, or 11%, for the three months ended September 30, 2012, compared with the same period last year, primarily as the result of $8.4 million in lower shipments of smart gas communication modules in North America, due to normal period-to-period fluctuations in the timing of customer projects, and $10.5 million for the translation effect of our operations denominated in foreign currencies.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One customer represented 11% and 10% of the Energy operating segment revenues in the three months ended September 30, 2012 and 2011.</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2012 vs. Nine months ended September 30, 2011</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revenues for the first nine months of 2012 were lower by $86.0 million, or 10%, when compared with the same period in 2011. In 2012, OpenWay project revenues shipments in North America decreased by $60.2 million from the same period in 2011. Our 2012 revenues were unfavorably impacted by lower revenues in Latin America and Asia-Pacific and also by $30.9 million related to the translation effect of our operations denominated in foreign currencies. These decreases were partially offset</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an increase in Electricity professional services in EMEA.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Gas revenues decreased $44.1 million, or 9%, for the nine months ended September 30, 2012, compared with the same period last year, primarily due to $7.5 million in lower OpenWay project revenues in North America resulting from the completion of a large OpenWay project during 2011, lower product shipments in EMEA, and $25.3 million for the currency translation effect of our operations denominated in foreign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One customer represented 13% and 11% of the Energy operating segment revenues in the nine months ended September 30, 2012 and 2011.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2012 vs. Three months ended September 30, 2011</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Gross margin was 33.2% for the three months ended September 30, 2012, compared with a gross margin of 29.8% for the same period last year. During the third quarter of 2012, gross margin was positively impacted by $14.5 million of lower warranty expense when compared with the same period in 2011, and reduced product costs as a result of our restructuring and global procurement projects, which were initiated in the fourth quarter of 2011. Warranty expense in the third quarter of 2012 was favorably impacted by $2.7 million for reductions in warranty reserves based on updated cost estimates.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2012 vs. Nine months ended September 30, 2011</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margin was 32.5% for the nine months ended September 30, 2012, compared with a gross margin of 30.7% for the corresponding period in 2011. Gross margin was positively impacted by $18.3 million of lower warranty expense when compared with the nine months ended September 30, 2011, product mix, and reduced costs as a result of our restructuring and global procurement projects, which were initiated in the fourth quarter of 2011. Warranty expense in the first nine months of 2012 was favorably impacted by a $5.0 million adjustment, which reduced a warranty reserve originally recorded in 2011, as a result of lower than estimated replacements. Warranty expense in 2011 was negatively impacted by a $7.7 million charge related to certain products in Brazil and $8.3 million due to corrective actions for specific customers in North America, which were partially offset by an $8.6 million insurance recovery associated with product claims in Sweden in 2010.</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2012 vs. Three months ended September 30, 2011</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Energy operating expenses decreased $215.8 million, or 69.5%, for the three months ended September 30, 2012, compared with the same period last year, primarily due to the goodwill impairment of $216.1 million recognized in 2011, favorable foreign currency translation impact of $5.9 million, and scheduled decreases in amortization of intangible assets. These decreases were offset by increased sales and marketing costs and product development costs for the development of new and enhanced products. Apart from the goodwill impairment and restructuring, operating expenses as a percentage of revenues were 25% for the three months ended September 30, 2012, compared with 19% for the same period last year. Itron Cellular Solutions, formerly SmartSynch, contributed $5.5 million of operating expenses during the third quarter of 2012.</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2012 vs. Nine months ended September 30, 2011</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first nine months of 2012, Energy operating expenses decreased $211.2 million, or 42%, compared with 2011, primarily due to the goodwill impairment of $216.1 million recognized in 2011, favorable foreign currency translation impact of $13.6 million during the nine months ended September 30, 2012, and scheduled decreases in amortization of intangible assets. These decreases were offset by increased sales and marketing and product development costs for development of new and enhanced products and $1.7 million in increased restructuring expenses. Operating expenses, excluding the goodwill impairment and restructuring, as a percentage of revenues were 23% for the nine months ended September 30, 2012, compared with 21% for the same period last year. Itron Cellular Solutions contributed $10.2 million of operating expenses since the acquisition on May 1,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2012 vs. Three months ended September 30, 2011</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decreased $5.2 million, or 4%, for the three months ended September 30, 2012, compared with the same period last year. Excluding the translation effect of a stronger U.S. dollar against most foreign currencies in the third quarter of 2012, as compared with the third quarter of 2011, revenues increased 5%. The increase was driven primarily by higher communication module shipments in North America, as well as increased product shipments in EMEA and Asia-Pacific.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in the three months ended September 30, 2012 and 2011.</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2012 vs. Nine months ended September 30,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Water revenues decreased $6.7 million, or 2%, for the nine months ended September 30, 2012, compared with the same period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last year. The translation effect of foreign currencies to the U.S. dollar had an unfavorable impact of $26.9 million in the first nine months of 2012. Excluding the translation effect of a stronger U.S. dollar against most foreign currencies in the nine months ended September 30, 2012, revenue increased 5%. Sales increased in all regions with higher shipments of communication modules in North America and meters and systems in all other regions.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in the nine months ended September 30, 2012 and 2011.</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2012 vs. Three months ended September 30, 2011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Water gross margin increased to 36.6% for the three months ended September 30, 2012, compared with a gross margin of 24.9% for the same period last year, primarily as a result of $12.6 million in increased warranty costs in 2011 associated with a vendor-supplied component and a more favorable product mix in 2012.</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2012 vs. Nine months ended September 30, 2011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first nine months of 2012, gross margin increased to 36.1% from 31.7% in the same period in 2011, primarily as a result of $12.6 million in increased warranty costs in 2011 associated with a vendor-supplied component. Gross margin for the first three quarters of 2012 was also favorably impacted by product mix and manufacturing efficiencies.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2012 vs. Three months ended September 30, 2011</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for the three months ended September 30, 2012 decreased by $330.1 million over the third quarter of 2011. This decrease was the result of a goodwill impairment of $324.3 million recognized in 2011 and a recovery of $5.4 million in restructuring expense related to the goodwill allocated to a non-core business which was sold during the second quarter of 2012. Increases in sales and marketing and product development costs for smart and advanced meter products were partially offset by scheduled decreases in amortization of intangible assets and $2.8 million for the favorable foreign currency translation impact of the stronger U.S. dollar. Operating expenses, excluding goodwill impairment and restructuring expense, as a percentage of revenue, were 23% for the three months ended September 30, 2012 and 2011.</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2012 vs. Nine months ended September 30, 2011</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decreased $325.4 million for the nine months ended September 30, 2012 compared with the same period in 2011. The significant decrease was the result of a goodwill impairment of $324.3 million in 2011. In 2012, increases in sales and marketing and product development costs for smart and advanced meter products were largely offset by scheduled decreases in amortization of intangible assets and $6.6 million for the favorable foreign currency translation impact of the stronger U.S. dollar. Excluding goodwill impairment and restructuring, operating expenses, as a percentage of revenue, were 24% and 23% for the nine months ended September 30, 2012 and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$2.6 million in the three months ended September 30, 2012, compared with the same period last year, due to lower corporate marketing and IT related spending. Corporate unallocated expenses increased by $3.5 million for the nine months ended September 30, 2012, compared with 2011. The increases were primarily due to acquisition related expenses for the SmartSynch acquisition of $3.0 million for the nine months ended September 30, 2012. In addition, we incurred approximately $3.4 million during the first nine months of 2012 for management training and development costs in connection with the implementation of our new organization and for preliminary planning costs, prior to application development, for our global enterprise resource planning (ERP) software initiative, which commenced in the third quarter of 2012. These increases in operating expenses were partially offset by lower corporate marketing and IT related spending.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2012</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459</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2012</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447</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1,122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637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2012</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488</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2011</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515</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766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2011</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1,439</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Pr>
          <w:p>
            <w:pPr>
              <w:spacing w:after="0"/>
              <w:rPr>
                <w:sz w:val="18"/>
                <w:szCs w:val="18"/>
                <w:color w:val="auto"/>
              </w:rPr>
            </w:pPr>
          </w:p>
        </w:tc>
        <w:tc>
          <w:tcPr>
            <w:tcW w:w="196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 Bookings</w:t>
            </w:r>
          </w:p>
        </w:tc>
        <w:tc>
          <w:tcPr>
            <w:tcW w:w="500" w:type="dxa"/>
            <w:vAlign w:val="bottom"/>
          </w:tcPr>
          <w:p>
            <w:pPr>
              <w:spacing w:after="0"/>
              <w:rPr>
                <w:sz w:val="18"/>
                <w:szCs w:val="18"/>
                <w:color w:val="auto"/>
              </w:rPr>
            </w:pPr>
          </w:p>
        </w:tc>
        <w:tc>
          <w:tcPr>
            <w:tcW w:w="1880" w:type="dxa"/>
            <w:vAlign w:val="bottom"/>
          </w:tcPr>
          <w:p>
            <w:pPr>
              <w:jc w:val="right"/>
              <w:ind w:right="819"/>
              <w:spacing w:after="0"/>
              <w:rPr>
                <w:sz w:val="20"/>
                <w:szCs w:val="20"/>
                <w:color w:val="auto"/>
              </w:rPr>
            </w:pPr>
            <w:r>
              <w:rPr>
                <w:rFonts w:ascii="Arial" w:cs="Arial" w:eastAsia="Arial" w:hAnsi="Arial"/>
                <w:sz w:val="16"/>
                <w:szCs w:val="16"/>
                <w:b w:val="1"/>
                <w:bCs w:val="1"/>
                <w:color w:val="auto"/>
              </w:rPr>
              <w:t>Energy</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459</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2012</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447</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2012</w:t>
            </w: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488</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2011</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515</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2011</w:t>
            </w:r>
          </w:p>
        </w:tc>
        <w:tc>
          <w:tcPr>
            <w:tcW w:w="36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closing of the SmartSynch acquisition on May 1, 2012, $60 million was added to total backlog during the second quarter of 2012. However, it was not included in total bookings for that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(in thousands)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44,913</w:t>
            </w:r>
          </w:p>
        </w:tc>
        <w:tc>
          <w:tcPr>
            <w:tcW w:w="1080" w:type="dxa"/>
            <w:vAlign w:val="bottom"/>
            <w:gridSpan w:val="3"/>
            <w:vMerge w:val="restart"/>
            <w:shd w:val="clear" w:color="auto" w:fill="CCEEFF"/>
          </w:tcPr>
          <w:p>
            <w:pPr>
              <w:jc w:val="center"/>
              <w:ind w:left="108"/>
              <w:spacing w:after="0"/>
              <w:rPr>
                <w:sz w:val="20"/>
                <w:szCs w:val="20"/>
                <w:color w:val="auto"/>
              </w:rPr>
            </w:pPr>
            <w:r>
              <w:rPr>
                <w:rFonts w:ascii="Arial" w:cs="Arial" w:eastAsia="Arial" w:hAnsi="Arial"/>
                <w:sz w:val="14"/>
                <w:szCs w:val="14"/>
                <w:color w:val="auto"/>
                <w:w w:val="88"/>
              </w:rPr>
              <w:t>9%</w:t>
            </w:r>
          </w:p>
        </w:tc>
        <w:tc>
          <w:tcPr>
            <w:tcW w:w="1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44,870</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145,616</w:t>
            </w:r>
          </w:p>
        </w:tc>
        <w:tc>
          <w:tcPr>
            <w:tcW w:w="102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8"/>
              </w:rPr>
              <w:t>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138,019</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80"/>
        </w:trPr>
        <w:tc>
          <w:tcPr>
            <w:tcW w:w="19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80" w:type="dxa"/>
            <w:vAlign w:val="bottom"/>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40" w:type="dxa"/>
            <w:vAlign w:val="bottom"/>
          </w:tcPr>
          <w:p>
            <w:pPr>
              <w:ind w:left="40"/>
              <w:spacing w:after="0"/>
              <w:rPr>
                <w:sz w:val="20"/>
                <w:szCs w:val="20"/>
                <w:color w:val="auto"/>
              </w:rPr>
            </w:pPr>
            <w:r>
              <w:rPr>
                <w:rFonts w:ascii="Arial" w:cs="Arial" w:eastAsia="Arial" w:hAnsi="Arial"/>
                <w:sz w:val="14"/>
                <w:szCs w:val="14"/>
                <w:color w:val="auto"/>
              </w:rPr>
              <w:t>Product development</w:t>
            </w:r>
          </w:p>
        </w:tc>
        <w:tc>
          <w:tcPr>
            <w:tcW w:w="140" w:type="dxa"/>
            <w:vAlign w:val="bottom"/>
          </w:tcPr>
          <w:p>
            <w:pPr>
              <w:spacing w:after="0"/>
              <w:rPr>
                <w:sz w:val="16"/>
                <w:szCs w:val="16"/>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43,299</w:t>
            </w:r>
          </w:p>
        </w:tc>
        <w:tc>
          <w:tcPr>
            <w:tcW w:w="1080" w:type="dxa"/>
            <w:vAlign w:val="bottom"/>
            <w:gridSpan w:val="3"/>
            <w:vMerge w:val="restart"/>
          </w:tcPr>
          <w:p>
            <w:pPr>
              <w:jc w:val="center"/>
              <w:ind w:left="108"/>
              <w:spacing w:after="0"/>
              <w:rPr>
                <w:sz w:val="20"/>
                <w:szCs w:val="20"/>
                <w:color w:val="auto"/>
              </w:rPr>
            </w:pPr>
            <w:r>
              <w:rPr>
                <w:rFonts w:ascii="Arial" w:cs="Arial" w:eastAsia="Arial" w:hAnsi="Arial"/>
                <w:sz w:val="14"/>
                <w:szCs w:val="14"/>
                <w:color w:val="auto"/>
                <w:w w:val="88"/>
              </w:rPr>
              <w:t>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38,377</w:t>
            </w:r>
          </w:p>
        </w:tc>
        <w:tc>
          <w:tcPr>
            <w:tcW w:w="1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8"/>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134,295</w:t>
            </w:r>
          </w:p>
        </w:tc>
        <w:tc>
          <w:tcPr>
            <w:tcW w:w="102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8"/>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119,147</w:t>
            </w:r>
          </w:p>
        </w:tc>
        <w:tc>
          <w:tcPr>
            <w:tcW w:w="1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74"/>
        </w:trPr>
        <w:tc>
          <w:tcPr>
            <w:tcW w:w="1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30,743</w:t>
            </w:r>
          </w:p>
        </w:tc>
        <w:tc>
          <w:tcPr>
            <w:tcW w:w="1080" w:type="dxa"/>
            <w:vAlign w:val="bottom"/>
            <w:gridSpan w:val="3"/>
            <w:vMerge w:val="restart"/>
            <w:shd w:val="clear" w:color="auto" w:fill="CCEEFF"/>
          </w:tcPr>
          <w:p>
            <w:pPr>
              <w:jc w:val="center"/>
              <w:ind w:left="108"/>
              <w:spacing w:after="0"/>
              <w:rPr>
                <w:sz w:val="20"/>
                <w:szCs w:val="20"/>
                <w:color w:val="auto"/>
              </w:rPr>
            </w:pPr>
            <w:r>
              <w:rPr>
                <w:rFonts w:ascii="Arial" w:cs="Arial" w:eastAsia="Arial" w:hAnsi="Arial"/>
                <w:sz w:val="14"/>
                <w:szCs w:val="14"/>
                <w:color w:val="auto"/>
                <w:w w:val="88"/>
              </w:rPr>
              <w:t>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33,492</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100,763</w:t>
            </w:r>
          </w:p>
        </w:tc>
        <w:tc>
          <w:tcPr>
            <w:tcW w:w="102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8"/>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104,627</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80"/>
        </w:trPr>
        <w:tc>
          <w:tcPr>
            <w:tcW w:w="1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80" w:type="dxa"/>
            <w:vAlign w:val="bottom"/>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40" w:type="dxa"/>
            <w:vAlign w:val="bottom"/>
          </w:tcPr>
          <w:p>
            <w:pPr>
              <w:ind w:left="40"/>
              <w:spacing w:after="0" w:line="157" w:lineRule="exact"/>
              <w:rPr>
                <w:sz w:val="20"/>
                <w:szCs w:val="20"/>
                <w:color w:val="auto"/>
              </w:rPr>
            </w:pPr>
            <w:r>
              <w:rPr>
                <w:rFonts w:ascii="Arial" w:cs="Arial" w:eastAsia="Arial" w:hAnsi="Arial"/>
                <w:sz w:val="14"/>
                <w:szCs w:val="14"/>
                <w:color w:val="auto"/>
              </w:rPr>
              <w:t>Amortization of intangible</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200"/>
              <w:spacing w:after="0"/>
              <w:rPr>
                <w:sz w:val="20"/>
                <w:szCs w:val="20"/>
                <w:color w:val="auto"/>
              </w:rPr>
            </w:pPr>
            <w:r>
              <w:rPr>
                <w:rFonts w:ascii="Arial" w:cs="Arial" w:eastAsia="Arial" w:hAnsi="Arial"/>
                <w:sz w:val="14"/>
                <w:szCs w:val="14"/>
                <w:color w:val="auto"/>
              </w:rPr>
              <w:t>assets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11,929</w:t>
            </w:r>
          </w:p>
        </w:tc>
        <w:tc>
          <w:tcPr>
            <w:tcW w:w="1080" w:type="dxa"/>
            <w:vAlign w:val="bottom"/>
            <w:gridSpan w:val="3"/>
          </w:tcPr>
          <w:p>
            <w:pPr>
              <w:jc w:val="center"/>
              <w:ind w:left="108"/>
              <w:spacing w:after="0"/>
              <w:rPr>
                <w:sz w:val="20"/>
                <w:szCs w:val="20"/>
                <w:color w:val="auto"/>
              </w:rPr>
            </w:pPr>
            <w:r>
              <w:rPr>
                <w:rFonts w:ascii="Arial" w:cs="Arial" w:eastAsia="Arial" w:hAnsi="Arial"/>
                <w:sz w:val="14"/>
                <w:szCs w:val="14"/>
                <w:color w:val="auto"/>
                <w:w w:val="88"/>
              </w:rPr>
              <w:t>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16,013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35,867</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47,807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197"/>
        </w:trPr>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(5,054)</w:t>
            </w:r>
          </w:p>
        </w:tc>
        <w:tc>
          <w:tcPr>
            <w:tcW w:w="1080" w:type="dxa"/>
            <w:vAlign w:val="bottom"/>
            <w:gridSpan w:val="3"/>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3,455</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80"/>
        </w:trPr>
        <w:tc>
          <w:tcPr>
            <w:tcW w:w="1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80" w:type="dxa"/>
            <w:vAlign w:val="bottom"/>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40" w:type="dxa"/>
            <w:vAlign w:val="bottom"/>
          </w:tcPr>
          <w:p>
            <w:pPr>
              <w:ind w:left="40"/>
              <w:spacing w:after="0"/>
              <w:rPr>
                <w:sz w:val="20"/>
                <w:szCs w:val="20"/>
                <w:color w:val="auto"/>
              </w:rPr>
            </w:pPr>
            <w:r>
              <w:rPr>
                <w:rFonts w:ascii="Arial" w:cs="Arial" w:eastAsia="Arial" w:hAnsi="Arial"/>
                <w:sz w:val="14"/>
                <w:szCs w:val="14"/>
                <w:color w:val="auto"/>
              </w:rPr>
              <w:t>Goodwill impairment</w:t>
            </w:r>
          </w:p>
        </w:tc>
        <w:tc>
          <w:tcPr>
            <w:tcW w:w="140" w:type="dxa"/>
            <w:vAlign w:val="bottom"/>
          </w:tcPr>
          <w:p>
            <w:pPr>
              <w:spacing w:after="0"/>
              <w:rPr>
                <w:sz w:val="16"/>
                <w:szCs w:val="16"/>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1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540,400</w:t>
            </w:r>
          </w:p>
        </w:tc>
        <w:tc>
          <w:tcPr>
            <w:tcW w:w="1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540,400</w:t>
            </w:r>
          </w:p>
        </w:tc>
        <w:tc>
          <w:tcPr>
            <w:tcW w:w="1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74"/>
        </w:trPr>
        <w:tc>
          <w:tcPr>
            <w:tcW w:w="19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7"/>
              </w:rPr>
              <w:t>Total operating expenses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125,830</w:t>
            </w:r>
          </w:p>
        </w:tc>
        <w:tc>
          <w:tcPr>
            <w:tcW w:w="1080" w:type="dxa"/>
            <w:vAlign w:val="bottom"/>
            <w:gridSpan w:val="3"/>
            <w:vMerge w:val="restart"/>
            <w:shd w:val="clear" w:color="auto" w:fill="CCEEFF"/>
          </w:tcPr>
          <w:p>
            <w:pPr>
              <w:jc w:val="center"/>
              <w:ind w:left="108"/>
              <w:spacing w:after="0"/>
              <w:rPr>
                <w:sz w:val="20"/>
                <w:szCs w:val="20"/>
                <w:color w:val="auto"/>
              </w:rPr>
            </w:pPr>
            <w:r>
              <w:rPr>
                <w:rFonts w:ascii="Arial" w:cs="Arial" w:eastAsia="Arial" w:hAnsi="Arial"/>
                <w:sz w:val="14"/>
                <w:szCs w:val="14"/>
                <w:color w:val="auto"/>
                <w:w w:val="92"/>
              </w:rPr>
              <w:t>25%</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674,248</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419,996</w:t>
            </w:r>
          </w:p>
        </w:tc>
        <w:tc>
          <w:tcPr>
            <w:tcW w:w="1020" w:type="dxa"/>
            <w:vAlign w:val="bottom"/>
            <w:gridSpan w:val="2"/>
            <w:vMerge w:val="restart"/>
            <w:shd w:val="clear" w:color="auto" w:fill="CCEEFF"/>
          </w:tcPr>
          <w:p>
            <w:pPr>
              <w:jc w:val="center"/>
              <w:ind w:left="48"/>
              <w:spacing w:after="0"/>
              <w:rPr>
                <w:sz w:val="20"/>
                <w:szCs w:val="20"/>
                <w:color w:val="auto"/>
              </w:rPr>
            </w:pPr>
            <w:r>
              <w:rPr>
                <w:rFonts w:ascii="Arial" w:cs="Arial" w:eastAsia="Arial" w:hAnsi="Arial"/>
                <w:sz w:val="14"/>
                <w:szCs w:val="14"/>
                <w:color w:val="auto"/>
                <w:w w:val="92"/>
              </w:rPr>
              <w:t>25%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953,003</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0" w:type="dxa"/>
            <w:vAlign w:val="bottom"/>
          </w:tcPr>
          <w:p>
            <w:pPr>
              <w:spacing w:after="0"/>
              <w:rPr>
                <w:sz w:val="1"/>
                <w:szCs w:val="1"/>
                <w:color w:val="auto"/>
              </w:rPr>
            </w:pPr>
          </w:p>
        </w:tc>
      </w:tr>
      <w:tr>
        <w:trPr>
          <w:trHeight w:val="60"/>
        </w:trPr>
        <w:tc>
          <w:tcPr>
            <w:tcW w:w="19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80" w:type="dxa"/>
            <w:vAlign w:val="bottom"/>
            <w:gridSpan w:val="3"/>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expenses decreased $548.4 million and $533.0 million for the three and nine months ended September 30, 2012, compared with the same periods last year, primarily due to the absence of goodwill impairment in 2012 compared with $540.4 million of goodwill impairment recognized during the three and nine months ended September 30, 2011. In addition, there was a scheduled decrease in amortization of intangible assets of $4.1 and $11.9 million and a favorable impact from foreign currency translation of $47.6 million and $59.1 million for the three and nine months ended September 30, 2012. These decreases were partially offset by increased sales and marketing and product development costs for development of new and enhanced products, acquisition related expenses for the SmartSynch acquisition of $44,000 and $3.0 million for the three and nine months ended September 30, 2012. In addition, we incurred approximately $616,000 and $3.4 million during the three and nine months ended September 30, 2012 for management training and development costs in connection with the implementation of our new organization and for preliminary planning costs, prior to application development, for our global ERP software initiative which commenced in the third quarter of 2012.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(2,138)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(7,696)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(28,965)</w:t>
            </w: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(5,365)</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(4,342)</w:t>
            </w:r>
          </w:p>
        </w:tc>
      </w:tr>
      <w:tr>
        <w:trPr>
          <w:trHeight w:val="33"/>
        </w:trPr>
        <w:tc>
          <w:tcPr>
            <w:tcW w:w="3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(12,043)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(38,041)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continues to decline each period as a result of our declining principal balance of outstanding debt and lower interest rates on</w:t>
      </w:r>
      <w:r>
        <w:rPr>
          <w:rFonts w:ascii="Arial" w:cs="Arial" w:eastAsia="Arial" w:hAnsi="Arial"/>
          <w:sz w:val="18"/>
          <w:szCs w:val="18"/>
          <w:i w:val="1"/>
          <w:iCs w:val="1"/>
          <w:color w:val="auto"/>
        </w:rPr>
        <w:t xml:space="preserve"> </w:t>
      </w:r>
      <w:r>
        <w:rPr>
          <w:rFonts w:ascii="Arial" w:cs="Arial" w:eastAsia="Arial" w:hAnsi="Arial"/>
          <w:sz w:val="18"/>
          <w:szCs w:val="18"/>
          <w:color w:val="auto"/>
        </w:rPr>
        <w:t>our 2011 credit facility, when compared with the interest rates on the 2007 credit facility, which was outstanding during the first seven months of 2011. Total debt was $421.3 million and $496.3 million at September 30, 2012 and September 30, 2011,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for the three and nine months ended September 30, 2012 decreased from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last year due to a lower balance of capitalized prepaid debt fees, combined with a $2.4 million write-off of unamortized prepaid debt fees associated with the payoff of the 2007 credit facility in August 2011. Refer to Item 1: “Financial Statements Note 6: Debt” for additional details related to our long-term borrowings.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from balances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 currency other than the reporting entity's functional currency and other non-operating income (expenses). Foreign currency losses, net of hedging, were $1.2 million and $2.7 million for the three and nine months ended September 30, 2012, compared with net foreign currency losses of $1.1 million and $3.0 million in the same periods in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8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8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137,003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153,801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(110,147)</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(59,800)</w:t>
            </w:r>
          </w:p>
        </w:tc>
      </w:tr>
      <w:tr>
        <w:trPr>
          <w:trHeight w:val="33"/>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(68,516)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(136,111)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4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2,147</w:t>
            </w:r>
          </w:p>
        </w:tc>
      </w:tr>
      <w:tr>
        <w:trPr>
          <w:trHeight w:val="33"/>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cash and cash equivalents</w:t>
            </w: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$91.5 million at September 30, 2012, compared with $133.1 million at December 31, 2011.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during the nine months ended September 30, 2012 was $16.8 million lower, compared with the same period in 2011, primarily due to a smaller increase in working capital and a reduction of the warranty reserves through higher claims activity during the nine months ended September 30, 2012.</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investing activities during the nine months ended September 30, 2012 was $50.3 million higher, compared with the same period in 2011. The increase in cash used in investing activities in 2012 is primarily due to the SmartSynch acquisition, offset by a decrease in acquisitions of property, plant, and equipment, compared with the same period in 2011. Refer to Item 1: "Financial Statements, Note 16: Business Combinations" for additional information regarding the acquisition of SmartSynch.</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financing activities during the nine months ended September 30, 2012 was $67.6 million lower, compared with the same period in 2011. During the nine months ended September 30, 2012, we drew $70 million from our multicurrency revolving line of credit for the SmartSynch acquisition. Repayments on borrowings net of draws for the first nine months of 2012 were $31.2 million, compared with $134.3 million during the same period in 2011. The reduction in net repayments was partially offset by the repurchase of $40.7 million of our common stock during the first nine months of 2012 under the share repurchase program authorized by the Board of Directors on October 24, 2011. Refer to Part II Item 2: "Unregistered Sale of Equity Securities and Use of Proceeds" for additional details related to our share repurchase program.</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nine months ended September 30, 2012 was an increase of $48,000, compared with an increase of $2.1 million for the same period in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2012 and December 31, 2011 that we believe are reasonably likely to have a current or future effect on our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$353.1 million at September 30, 2012, compared with $329.6 million at December 31, 2011.</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August 2011, we entered into a senior secured credit facility (the 2011 credit facility). The 2011 credit facility consists of a $300 million U.S. dollar term loan and a multicurrency revolving line of credit (the revolver) with a principal amount of up to $660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2012, $140.0 million was outstanding under the revolver, and $49.4 million was utilized by outstanding standby letters of credit, resulting in $470.6 million available for additional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2011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2011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24, 2011, our Board of Directors authorized a repurchase program of up to $100 million of our common stock through October 23, 2012. On September 13, 2012, the Board approved the extension of the expiration date of the stock repurchase program until February 15, 2013, or until the aggregate limit of $100 million of outstanding common stock has been repurchased, whichever occurs first. Repurchases are made in the open market or in privately negotiated transactions and in accordance with applicable securities laws. Depending on market conditions and other factors, these repurchases may be commenced or suspended from time to time without prior notice. During the nine months ended September 30, 2012, we repurchased $40.7 million of our common stock, which represents 1,044,105 shares. As of September 30, 2012, we have repurchased $70.1 million in shares of our common stock, with $29.9 million remaining under the repurchase program. Refer to Part II, Item 2: "Unregistered Sales of Equity Securities and Use of Proceeds" for additional information related to our share repurchase program.</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 and we expect to substantially complete these projects by the end of 2013.</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22222"/>
        </w:rPr>
        <w:t>Total expected costs decreased by approximately $</w:t>
      </w:r>
      <w:r>
        <w:rPr>
          <w:rFonts w:ascii="Arial" w:cs="Arial" w:eastAsia="Arial" w:hAnsi="Arial"/>
          <w:sz w:val="18"/>
          <w:szCs w:val="18"/>
          <w:color w:val="000000"/>
        </w:rPr>
        <w:t>7.9 million</w:t>
      </w:r>
      <w:r>
        <w:rPr>
          <w:rFonts w:ascii="Arial" w:cs="Arial" w:eastAsia="Arial" w:hAnsi="Arial"/>
          <w:sz w:val="18"/>
          <w:szCs w:val="18"/>
          <w:color w:val="222222"/>
        </w:rPr>
        <w:t xml:space="preserve"> to </w:t>
      </w:r>
      <w:r>
        <w:rPr>
          <w:rFonts w:ascii="Arial" w:cs="Arial" w:eastAsia="Arial" w:hAnsi="Arial"/>
          <w:sz w:val="18"/>
          <w:szCs w:val="18"/>
          <w:color w:val="000000"/>
        </w:rPr>
        <w:t>$81.1 million</w:t>
      </w:r>
      <w:r>
        <w:rPr>
          <w:rFonts w:ascii="Arial" w:cs="Arial" w:eastAsia="Arial" w:hAnsi="Arial"/>
          <w:sz w:val="18"/>
          <w:szCs w:val="18"/>
          <w:color w:val="222222"/>
        </w:rPr>
        <w:t xml:space="preserve"> during the third quarter, </w:t>
      </w:r>
      <w:r>
        <w:rPr>
          <w:rFonts w:ascii="Arial" w:cs="Arial" w:eastAsia="Arial" w:hAnsi="Arial"/>
          <w:sz w:val="18"/>
          <w:szCs w:val="18"/>
          <w:color w:val="000000"/>
        </w:rPr>
        <w:t>primarily the result of gains on the dispositions of</w:t>
      </w:r>
      <w:r>
        <w:rPr>
          <w:rFonts w:ascii="Arial" w:cs="Arial" w:eastAsia="Arial" w:hAnsi="Arial"/>
          <w:sz w:val="18"/>
          <w:szCs w:val="18"/>
          <w:color w:val="222222"/>
        </w:rPr>
        <w:t xml:space="preserve"> </w:t>
      </w:r>
      <w:r>
        <w:rPr>
          <w:rFonts w:ascii="Arial" w:cs="Arial" w:eastAsia="Arial" w:hAnsi="Arial"/>
          <w:sz w:val="18"/>
          <w:szCs w:val="18"/>
          <w:color w:val="000000"/>
        </w:rPr>
        <w:t>fixed assets and a correction to the amount of goodwill allocated to one of our non-core businesses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sold as part of the restructuring process. In addition, expected severance costs were reduced as the result of certain employees in positions that were eliminated under the restructuring plan filling vacant positions within the Company. For further details regarding the correction of the goodwill impairment, refer to Item 1: “Financial Statements, Note 5: Goodwill”. A substantial portion of the total expected charges was recognized in the fourth quarter of 2011, and $21.8 million was accrued at September 30, 2012, of which $19.2 million is expected to be paid over the next 12 months. As a result of our restructuring activities, we anticipate annualized savings in 2012 of approximately $15 million. We expect to achieve annualized cost savings of approximately $30 million by the end of 2013. Certain projects are subject to a variety of labor and employment laws, rules, and regulations which could result in a delay in implementing projects at some locations. Real estate market conditions may impact the timing of our ability to sell some of the manufacturing facilities we have designated for closure and disposal. This may delay the completion of the restructuring projects beyond 2013. For further details regarding our restructuring activities, refer to Item 1: “Financial Statements, Note 12: Restructuring”.</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approximately $18.9 million in U.S. federal and state taxes and $23.4 million in local and foreign taxes in 2012.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September 30, 2012, there was $35.1 million of cash and cash equivalents held by foreign subsidiaries that could be repatriated, if necessary to fund U.S. operations.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$16.2 million of our consolidated cash balance at September 30, 2012 resides in our joint venture entities. As a result, the minority shareholders of these entities control their proportional share of this cash balance, and there may be limitations on Itron to repatriate cash to the U.S. from these entities.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2012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September 30, 2012 and the expected timing of payment, refer to </w:t>
      </w:r>
      <w:r>
        <w:rPr>
          <w:rFonts w:ascii="Arial" w:cs="Arial" w:eastAsia="Arial" w:hAnsi="Arial"/>
          <w:sz w:val="18"/>
          <w:szCs w:val="18"/>
          <w:i w:val="1"/>
          <w:iCs w:val="1"/>
          <w:color w:val="auto"/>
        </w:rPr>
        <w:t xml:space="preserve">Bonus 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unforeseen changes in the energy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2011, which was filed with the SEC on February 17, 2012,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majority of our revenue arrangements involve multiple deliverables, which require us to determine the fair value of each deliverable and then allocate the total arrangement consideration among the separate deliverables based on the relative fair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percentages.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and risk of loss. A majority of our revenue is recognized when products are shipped to or received by a customer or when services are provided.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implementation services are essential to a software arrangement, revenue is recognized using either the percentage-of-completion methodology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Continuing quality control efforts during manufacturing reduce our exposure to warranty claims. When our quality control efforts fail to detect a fault in one of our products, we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of similar products until sufficient data is available. As actual experience becomes available, it is used to modify the original estimate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impairments, net,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the asset group may consist of property, plant, equipment, intangible assets, and goodwill.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projects,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calculation of our annual estimated effective tax rate requires significant judgment and is subject to several factors, including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 Changes in tax laws and unanticipated tax liabilities could significantly impact our tax rate.</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The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finite lives and are amortized over their estimated useful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lives based on estimated discounted cash flows. Intangible assets are tested for impairment at the asset group level when events or changes in circumstances indicate the carrying value may not be recoverable.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our three new reporting units are Electricity, Gas, and Water. Our new Energy operating segment consists of the Electricity and Gas reporting units, while our new Water operating segment consists of the Water reporting unit. In the first quarter of 2012, we reallocated the goodwill from our former INA reporting unit to the three new reporting units based on the relative fair values of the electricity, gas, and water product lines within INA on January 1, 2012. We also reassigned the goodwill from our former INL Electricity, INL Gas, and INL Water reporting units to the new reporting units, Electricity, Gas, and Water, respectively.</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involves comparing the fair value of the reporting units to their carrying amounts. If the carrying amount of a reporting unit exceeds its fair value, a second step is required to measure for a goodwill impairment loss. This second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considerable decline in the price of our shares of common stock in 2011, our aggregate market value was significantly lower than the aggregate carrying value of our net assets. Therefore, we performed an interim impairment test of our goodwill as of September 30, 2011, which resulted in a goodwill write-down of $584.8 million in 2011. The goodwill impairment did not affect the debt covenants under the Company's existing credit facility.</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goodwill impairment before the reorganization into the new reporting units was associated with two reporting units from the Itron International operating segment. The goodwill balance associated with these reporting units before and after the goodwill impairment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September 30, 2011</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364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36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80" w:type="dxa"/>
            <w:vAlign w:val="bottom"/>
          </w:tcPr>
          <w:p>
            <w:pPr>
              <w:spacing w:after="0"/>
              <w:rPr>
                <w:sz w:val="20"/>
                <w:szCs w:val="20"/>
                <w:color w:val="auto"/>
              </w:rPr>
            </w:pP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Before Impairment</w:t>
            </w:r>
          </w:p>
        </w:tc>
        <w:tc>
          <w:tcPr>
            <w:tcW w:w="180" w:type="dxa"/>
            <w:vAlign w:val="bottom"/>
          </w:tcPr>
          <w:p>
            <w:pPr>
              <w:spacing w:after="0"/>
              <w:rPr>
                <w:sz w:val="20"/>
                <w:szCs w:val="20"/>
                <w:color w:val="auto"/>
              </w:rPr>
            </w:pPr>
          </w:p>
        </w:tc>
        <w:tc>
          <w:tcPr>
            <w:tcW w:w="16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Impairment</w:t>
            </w:r>
          </w:p>
        </w:tc>
        <w:tc>
          <w:tcPr>
            <w:tcW w:w="300" w:type="dxa"/>
            <w:vAlign w:val="bottom"/>
          </w:tcPr>
          <w:p>
            <w:pPr>
              <w:spacing w:after="0"/>
              <w:rPr>
                <w:sz w:val="20"/>
                <w:szCs w:val="20"/>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Itron International - 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363,626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254,735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108,891</w:t>
            </w:r>
          </w:p>
        </w:tc>
      </w:tr>
      <w:tr>
        <w:trPr>
          <w:trHeight w:val="237"/>
        </w:trPr>
        <w:tc>
          <w:tcPr>
            <w:tcW w:w="3640" w:type="dxa"/>
            <w:vAlign w:val="bottom"/>
            <w:gridSpan w:val="2"/>
          </w:tcPr>
          <w:p>
            <w:pPr>
              <w:ind w:left="40"/>
              <w:spacing w:after="0"/>
              <w:rPr>
                <w:sz w:val="20"/>
                <w:szCs w:val="20"/>
                <w:color w:val="auto"/>
              </w:rPr>
            </w:pPr>
            <w:r>
              <w:rPr>
                <w:rFonts w:ascii="Arial" w:cs="Arial" w:eastAsia="Arial" w:hAnsi="Arial"/>
                <w:sz w:val="16"/>
                <w:szCs w:val="16"/>
                <w:color w:val="auto"/>
              </w:rPr>
              <w:t>Itron International - Water</w:t>
            </w:r>
          </w:p>
        </w:tc>
        <w:tc>
          <w:tcPr>
            <w:tcW w:w="180" w:type="dxa"/>
            <w:vAlign w:val="bottom"/>
          </w:tcPr>
          <w:p>
            <w:pPr>
              <w:spacing w:after="0"/>
              <w:rPr>
                <w:sz w:val="20"/>
                <w:szCs w:val="20"/>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389,308</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330,112</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59,196</w:t>
            </w:r>
          </w:p>
        </w:tc>
      </w:tr>
      <w:tr>
        <w:trPr>
          <w:trHeight w:val="33"/>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584,847</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allocation of goodwill from the previous reporting units to the new reporting units (Electricity, Gas, and Water) on January 1, 2012, the fair value of each reporting unit exceeded the carrying value by a minimum of 35%.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SmartSynch acquisition and based on the preliminary purchase price allocation, we recognized $46.9 million in goodwill. Based on synergies expected to be realized by the Electricity and Gas reporting units within the Energy operating segment, $37.3 million was assigned to the Electricity reporting unit and $9.6 million was assigned to the Gas reporting unit.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significant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(also known as “Level 2”), as defined by U.S. generally accepted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accounting principles.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92% of our benefit obligation, we use two discount rates, (separated between shorter and longer duration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10% of the highest and lowest yielding bonds within each maturity group. The discount rates derived for our shorter duration euro denominated plans (less than 10 years) and longer duration plans (greater than 10 years) were 4.50% and 5.25%, respectively. The weighted average discount rate used to measure the projected benefit obligation for all of the plans at December 31, 2011 was 5.51%. A change of 25 basis points in the discount rate would change our pension benefit obligation by approximately $2.3 million. The financial and actuarial assumptions used at December 31, 2011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2012.</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and nine months ended September 30, 2012, we accrued $3.7 million and $15.6 million for such awards, compared with $3.7 million and $19.3 million in the same periods in 2011. Awards are typically distributed in the first quarter of the following year.</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In valuing our stock options, significant judgment is required in determining the expected volatility of our common stock and the expected life that individuals will hold their stock options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interest rate risk through our variable rate debt instruments. 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September 30, 2012. Weighted average variable rates in the table are based on implied forward rates in the Reuters U.S. dollar yield curve as of September 30, 2012 and our estimated leverage ratio, which determines our additional interest rate margin at September 30, 2012.</w:t>
      </w:r>
    </w:p>
    <w:p>
      <w:pPr>
        <w:spacing w:after="0" w:line="250" w:lineRule="exact"/>
        <w:rPr>
          <w:sz w:val="20"/>
          <w:szCs w:val="20"/>
          <w:color w:val="auto"/>
        </w:rPr>
      </w:pPr>
    </w:p>
    <w:p>
      <w:pPr>
        <w:ind w:left="3960"/>
        <w:spacing w:after="0"/>
        <w:tabs>
          <w:tab w:leader="none" w:pos="5220" w:val="left"/>
          <w:tab w:leader="none" w:pos="6560" w:val="left"/>
          <w:tab w:leader="none" w:pos="7900" w:val="left"/>
          <w:tab w:leader="none" w:pos="9280" w:val="left"/>
          <w:tab w:leader="none" w:pos="1060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34290</wp:posOffset>
            </wp:positionV>
            <wp:extent cx="49568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ind w:left="40"/>
              <w:spacing w:after="0"/>
              <w:rPr>
                <w:sz w:val="20"/>
                <w:szCs w:val="20"/>
                <w:color w:val="auto"/>
              </w:rPr>
            </w:pPr>
            <w:r>
              <w:rPr>
                <w:rFonts w:ascii="Arial" w:cs="Arial" w:eastAsia="Arial" w:hAnsi="Arial"/>
                <w:sz w:val="18"/>
                <w:szCs w:val="18"/>
                <w:i w:val="1"/>
                <w:iCs w:val="1"/>
                <w:color w:val="auto"/>
              </w:rPr>
              <w:t>Variable Rate Debt</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Principal: U.S. dollar term loan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3,750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202,500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281,250</w:t>
            </w:r>
          </w:p>
        </w:tc>
      </w:tr>
      <w:tr>
        <w:trPr>
          <w:trHeight w:val="243"/>
        </w:trPr>
        <w:tc>
          <w:tcPr>
            <w:tcW w:w="3560" w:type="dxa"/>
            <w:vAlign w:val="bottom"/>
          </w:tcPr>
          <w:p>
            <w:pPr>
              <w:ind w:left="620"/>
              <w:spacing w:after="0"/>
              <w:rPr>
                <w:sz w:val="20"/>
                <w:szCs w:val="20"/>
                <w:color w:val="auto"/>
              </w:rPr>
            </w:pPr>
            <w:r>
              <w:rPr>
                <w:rFonts w:ascii="Arial" w:cs="Arial" w:eastAsia="Arial" w:hAnsi="Arial"/>
                <w:sz w:val="18"/>
                <w:szCs w:val="18"/>
                <w:color w:val="auto"/>
              </w:rPr>
              <w:t>Average interest rate</w:t>
            </w: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2.17 %</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3560" w:type="dxa"/>
            <w:vAlign w:val="bottom"/>
          </w:tcPr>
          <w:p>
            <w:pPr>
              <w:ind w:left="620"/>
              <w:spacing w:after="0"/>
              <w:rPr>
                <w:sz w:val="20"/>
                <w:szCs w:val="20"/>
                <w:color w:val="auto"/>
              </w:rPr>
            </w:pPr>
            <w:r>
              <w:rPr>
                <w:rFonts w:ascii="Arial" w:cs="Arial" w:eastAsia="Arial" w:hAnsi="Arial"/>
                <w:sz w:val="18"/>
                <w:szCs w:val="18"/>
                <w:color w:val="auto"/>
                <w:w w:val="98"/>
              </w:rPr>
              <w:t>Principal: Multicurrency revolving line</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560" w:type="dxa"/>
            <w:vAlign w:val="bottom"/>
          </w:tcPr>
          <w:p>
            <w:pPr>
              <w:ind w:left="620"/>
              <w:spacing w:after="0"/>
              <w:rPr>
                <w:sz w:val="20"/>
                <w:szCs w:val="20"/>
                <w:color w:val="auto"/>
              </w:rPr>
            </w:pPr>
            <w:r>
              <w:rPr>
                <w:rFonts w:ascii="Arial" w:cs="Arial" w:eastAsia="Arial" w:hAnsi="Arial"/>
                <w:sz w:val="18"/>
                <w:szCs w:val="18"/>
                <w:color w:val="auto"/>
              </w:rPr>
              <w:t>of 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140,000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140,000</w:t>
            </w: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Average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3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0"/>
              </w:rPr>
              <w:t>Interest rate swap on LIBOR based debt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Average interest rate (Pay)</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interest rate (Receive)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8"/>
                <w:szCs w:val="18"/>
                <w:color w:val="auto"/>
              </w:rPr>
              <w:t>Net/Spread</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September 30, 2012, we estimate that, if market interest rates average one percentage point higher in 2012 than in the table above, our financial results in 2012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 (refer to Item 1: "Financial Statements, Note 7: Derivative Financial Instruments").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62% and 58% of total revenues for the three and nine months ended September 30, 2012, respectively, compared with 56% for the same periods in 2011.</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429 contracts were entered into during the nine months ended September 30, 2012), which are not designated for hedge accounting, with the intent to reduce earnings volatility associated with certain of these balances. The notional amounts of the contracts ranged from $120,000 to $51 million, offsetting our exposures from the euro, British pound, Canadian dollar, Australian dollar, Brazilian real, and various other currencies.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left="660" w:hanging="328"/>
        <w:spacing w:after="0" w:line="288"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At September 30, 2012, an evaluation was performed under the supervision and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2012,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9"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over financial reporting. </w:t>
      </w:r>
      <w:r>
        <w:rPr>
          <w:rFonts w:ascii="Arial" w:cs="Arial" w:eastAsia="Arial" w:hAnsi="Arial"/>
          <w:sz w:val="16"/>
          <w:szCs w:val="16"/>
          <w:color w:val="auto"/>
        </w:rPr>
        <w:t>We are in the process of upgrading our global enterprise resource planning software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September 30, 2012, Management continued to update the design and documentation of internal control processes to supplement and complement existing internal controls and procedures relating to the implementation of an Oracle suite of financial applications for financial consolidations and management reporting during the first quarter of 2012. The implementation of these new applications resulted in changes to our internal controls over financial reporting. Management will continue to monitor, evaluate, and update the related processes and internal controls as necessary during the post-implementation period to ensure adequate internal control over financial reporting.</w:t>
      </w:r>
    </w:p>
    <w:p>
      <w:pPr>
        <w:spacing w:after="0" w:line="164"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Other than as described above, there have been no changes in our internal control over financial reporting during the three months ended September 30, 2012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third quarter of 2012.</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third quarter of 2012 from those previously disclosed in Item 1A: "Risk Factors" of Part I of our Annual Report on Form 10-K for the fiscal year ended December 31, 2011, which was filed with the SEC on February 17, 2012.</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7"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shares of common stock, based on settlement date, during the quarterly period ended September 30, 2012.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through July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112,061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39,967</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August 1 through August 31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125,010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43.89</w:t>
            </w: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125,010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34,480</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through September 30</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105,344</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29,873</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342,415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342,415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30"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On October 24, 2011, our Board of Directors authorized a twelve-month repurchase program of up to $100 million of our common stock. On September 13, 2012, the Board approved the extension of the expiration date of the stock repurchase program until February 15, 2013, or until the aggregate limit of $100 million of outstanding common stock has been repurchased, whichever occurs first. Repurchases are made in the open market or in privately negotiated transactions, and in accordance with applicable securities laws. No shares were purchased outside of this plan.</w:t>
      </w:r>
    </w:p>
    <w:p>
      <w:pPr>
        <w:spacing w:after="0" w:line="100"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September 30, 2012, we repurchased 157,772 shares of our common stock, including 23,671 shares executed during September 2012 but settled in October 2012, under the stock repurchase program authorized by the Board of Directors on October 24, 2011. The average price paid per share was $42.73.</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2012 that was not reported.</w:t>
      </w:r>
    </w:p>
    <w:p>
      <w:pPr>
        <w:spacing w:after="0" w:line="387"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700" w:type="dxa"/>
            <w:vAlign w:val="bottom"/>
          </w:tcPr>
          <w:p>
            <w:pPr>
              <w:spacing w:after="0"/>
              <w:rPr>
                <w:sz w:val="18"/>
                <w:szCs w:val="18"/>
                <w:color w:val="auto"/>
              </w:rPr>
            </w:pPr>
          </w:p>
        </w:tc>
      </w:tr>
      <w:tr>
        <w:trPr>
          <w:trHeight w:val="234"/>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46"/>
        </w:trPr>
        <w:tc>
          <w:tcPr>
            <w:tcW w:w="1580" w:type="dxa"/>
            <w:vAlign w:val="bottom"/>
          </w:tcPr>
          <w:p>
            <w:pPr>
              <w:jc w:val="right"/>
              <w:ind w:right="47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5"/>
              </w:rPr>
              <w:t>Form of Restricted Stock Unit (RSU) Award Notice and Agreement for All Participants (excluding France) for use in connection</w:t>
            </w:r>
          </w:p>
        </w:tc>
      </w:tr>
      <w:tr>
        <w:trPr>
          <w:trHeight w:val="230"/>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with the Company's 2010 Stock Incentive Plan</w:t>
            </w:r>
          </w:p>
        </w:tc>
      </w:tr>
      <w:tr>
        <w:trPr>
          <w:trHeight w:val="553"/>
        </w:trPr>
        <w:tc>
          <w:tcPr>
            <w:tcW w:w="1580" w:type="dxa"/>
            <w:vAlign w:val="bottom"/>
          </w:tcPr>
          <w:p>
            <w:pPr>
              <w:jc w:val="right"/>
              <w:ind w:right="47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8"/>
              </w:rPr>
              <w:t>Form of RSU Award Notice and Agreement for Participants in France for use in connection with the Company's 2010 Stock</w:t>
            </w:r>
          </w:p>
        </w:tc>
      </w:tr>
      <w:tr>
        <w:trPr>
          <w:trHeight w:val="230"/>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Incentive Plan</w:t>
            </w:r>
          </w:p>
        </w:tc>
      </w:tr>
      <w:tr>
        <w:trPr>
          <w:trHeight w:val="567"/>
        </w:trPr>
        <w:tc>
          <w:tcPr>
            <w:tcW w:w="1580" w:type="dxa"/>
            <w:vAlign w:val="bottom"/>
          </w:tcPr>
          <w:p>
            <w:pPr>
              <w:jc w:val="right"/>
              <w:ind w:right="47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580" w:type="dxa"/>
            <w:vAlign w:val="bottom"/>
          </w:tcPr>
          <w:p>
            <w:pPr>
              <w:jc w:val="right"/>
              <w:ind w:right="47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58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November 5, 2012</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STEVEN M. HELMBRECHT</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2"/>
              </w:rPr>
              <w:t>Steven M. Helmbrecht</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2010 STOCK INCENTIVE PLAN</w:t>
      </w:r>
    </w:p>
    <w:p>
      <w:pPr>
        <w:spacing w:after="0" w:line="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ALL PARTICIPANTS (EXCLUDING FRANCE)</w:t>
      </w:r>
    </w:p>
    <w:p>
      <w:pPr>
        <w:spacing w:after="0" w:line="200" w:lineRule="exact"/>
        <w:rPr>
          <w:sz w:val="20"/>
          <w:szCs w:val="20"/>
          <w:color w:val="auto"/>
        </w:rPr>
      </w:pP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the Restricted Stock Unit Award Agreement, including Appendix A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Itron, Inc.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6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Grant Date</w:t>
      </w:r>
      <w:r>
        <w:rPr>
          <w:rFonts w:ascii="Arial" w:cs="Arial" w:eastAsia="Arial" w:hAnsi="Arial"/>
          <w:sz w:val="20"/>
          <w:szCs w:val="20"/>
          <w:color w:val="auto"/>
        </w:rPr>
        <w: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Number of Restricted Stock Units</w:t>
      </w:r>
      <w:r>
        <w:rPr>
          <w:rFonts w:ascii="Arial" w:cs="Arial" w:eastAsia="Arial" w:hAnsi="Arial"/>
          <w:sz w:val="16"/>
          <w:szCs w:val="16"/>
          <w:color w:val="auto"/>
        </w:rPr>
        <w:t>:</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color w:val="FF0000"/>
        </w:rPr>
        <w:t>«First_Name» «Last_Name»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FF0000"/>
        </w:rPr>
        <w:t>«Grant Date»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0"/>
          <w:szCs w:val="20"/>
          <w:color w:val="FF0000"/>
        </w:rPr>
        <w:t>«# of Units»</w:t>
      </w:r>
    </w:p>
    <w:p>
      <w:pPr>
        <w:spacing w:after="0" w:line="162" w:lineRule="exact"/>
        <w:rPr>
          <w:sz w:val="20"/>
          <w:szCs w:val="20"/>
          <w:color w:val="auto"/>
        </w:rPr>
      </w:pPr>
    </w:p>
    <w:p>
      <w:pPr>
        <w:jc w:val="both"/>
        <w:ind w:right="60" w:firstLine="27"/>
        <w:spacing w:after="0" w:line="250" w:lineRule="auto"/>
        <w:rPr>
          <w:sz w:val="20"/>
          <w:szCs w:val="20"/>
          <w:color w:val="auto"/>
        </w:rPr>
      </w:pPr>
      <w:r>
        <w:rPr>
          <w:rFonts w:ascii="Arial" w:cs="Arial" w:eastAsia="Arial" w:hAnsi="Arial"/>
          <w:sz w:val="20"/>
          <w:szCs w:val="20"/>
          <w:color w:val="FF0000"/>
        </w:rPr>
        <w:t>The Award will vest with respect to one-third of the Restricted Stock Units on each of the first, second and third anniversaries of the Grant Date (each, a “</w:t>
      </w:r>
      <w:r>
        <w:rPr>
          <w:rFonts w:ascii="Arial" w:cs="Arial" w:eastAsia="Arial" w:hAnsi="Arial"/>
          <w:sz w:val="20"/>
          <w:szCs w:val="20"/>
          <w:b w:val="1"/>
          <w:bCs w:val="1"/>
          <w:i w:val="1"/>
          <w:iCs w:val="1"/>
          <w:color w:val="FF0000"/>
        </w:rPr>
        <w:t>Vest</w:t>
      </w:r>
      <w:r>
        <w:rPr>
          <w:rFonts w:ascii="Arial" w:cs="Arial" w:eastAsia="Arial" w:hAnsi="Arial"/>
          <w:sz w:val="20"/>
          <w:szCs w:val="20"/>
          <w:color w:val="FF0000"/>
        </w:rPr>
        <w:t xml:space="preserve"> </w:t>
      </w:r>
      <w:r>
        <w:rPr>
          <w:rFonts w:ascii="Arial" w:cs="Arial" w:eastAsia="Arial" w:hAnsi="Arial"/>
          <w:sz w:val="20"/>
          <w:szCs w:val="20"/>
          <w:b w:val="1"/>
          <w:bCs w:val="1"/>
          <w:i w:val="1"/>
          <w:iCs w:val="1"/>
          <w:color w:val="FF0000"/>
        </w:rPr>
        <w:t>Date</w:t>
      </w:r>
      <w:r>
        <w:rPr>
          <w:rFonts w:ascii="Arial" w:cs="Arial" w:eastAsia="Arial" w:hAnsi="Arial"/>
          <w:sz w:val="20"/>
          <w:szCs w:val="20"/>
          <w:color w:val="FF0000"/>
        </w:rPr>
        <w:t>”).</w:t>
      </w:r>
    </w:p>
    <w:p>
      <w:pPr>
        <w:spacing w:after="0" w:line="200" w:lineRule="exact"/>
        <w:rPr>
          <w:sz w:val="20"/>
          <w:szCs w:val="20"/>
          <w:color w:val="auto"/>
        </w:rPr>
      </w:pPr>
    </w:p>
    <w:p>
      <w:pPr>
        <w:sectPr>
          <w:pgSz w:w="11900" w:h="16838" w:orient="portrait"/>
          <w:cols w:equalWidth="0" w:num="2">
            <w:col w:w="4340" w:space="720"/>
            <w:col w:w="6360"/>
          </w:cols>
          <w:pgMar w:left="240" w:top="621"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FF0000"/>
        </w:rPr>
        <w:t>«Electronically Signed»</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Attachments:</w:t>
      </w:r>
    </w:p>
    <w:p>
      <w:pPr>
        <w:spacing w:after="0" w:line="98" w:lineRule="exact"/>
        <w:rPr>
          <w:sz w:val="20"/>
          <w:szCs w:val="20"/>
          <w:color w:val="auto"/>
        </w:rPr>
      </w:pPr>
    </w:p>
    <w:p>
      <w:pPr>
        <w:ind w:left="340" w:hanging="224"/>
        <w:spacing w:after="0"/>
        <w:tabs>
          <w:tab w:leader="none" w:pos="340" w:val="left"/>
        </w:tabs>
        <w:numPr>
          <w:ilvl w:val="1"/>
          <w:numId w:val="17"/>
        </w:numPr>
        <w:rPr>
          <w:rFonts w:ascii="Arial" w:cs="Arial" w:eastAsia="Arial" w:hAnsi="Arial"/>
          <w:sz w:val="22"/>
          <w:szCs w:val="22"/>
          <w:color w:val="auto"/>
        </w:rPr>
      </w:pPr>
      <w:r>
        <w:rPr>
          <w:rFonts w:ascii="Arial" w:cs="Arial" w:eastAsia="Arial" w:hAnsi="Arial"/>
          <w:sz w:val="22"/>
          <w:szCs w:val="22"/>
          <w:color w:val="auto"/>
        </w:rPr>
        <w:t>Restricted Stock Unit Award Agreement, including Appendix A</w:t>
      </w:r>
    </w:p>
    <w:p>
      <w:pPr>
        <w:spacing w:after="0" w:line="44" w:lineRule="exact"/>
        <w:rPr>
          <w:rFonts w:ascii="Arial" w:cs="Arial" w:eastAsia="Arial" w:hAnsi="Arial"/>
          <w:sz w:val="22"/>
          <w:szCs w:val="22"/>
          <w:color w:val="auto"/>
        </w:rPr>
      </w:pPr>
    </w:p>
    <w:p>
      <w:pPr>
        <w:ind w:left="320" w:hanging="217"/>
        <w:spacing w:after="0"/>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2010 Stock Incentive Plan</w:t>
      </w:r>
    </w:p>
    <w:p>
      <w:pPr>
        <w:spacing w:after="0" w:line="44" w:lineRule="exact"/>
        <w:rPr>
          <w:rFonts w:ascii="Arial" w:cs="Arial" w:eastAsia="Arial" w:hAnsi="Arial"/>
          <w:sz w:val="22"/>
          <w:szCs w:val="22"/>
          <w:color w:val="auto"/>
        </w:rPr>
      </w:pPr>
    </w:p>
    <w:p>
      <w:pPr>
        <w:ind w:left="320" w:hanging="217"/>
        <w:spacing w:after="0"/>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Plan Prospectus</w:t>
      </w:r>
    </w:p>
    <w:p>
      <w:pPr>
        <w:sectPr>
          <w:pgSz w:w="11900" w:h="16838" w:orient="portrait"/>
          <w:cols w:equalWidth="0" w:num="1">
            <w:col w:w="11420"/>
          </w:cols>
          <w:pgMar w:left="240" w:top="621" w:right="239" w:bottom="1440" w:gutter="0" w:footer="0" w:header="0"/>
          <w:type w:val="continuous"/>
        </w:sectPr>
      </w:pPr>
    </w:p>
    <w:bookmarkStart w:id="58" w:name="page59"/>
    <w:bookmarkEnd w:id="58"/>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ALL PARTICIPANTS (EXCLUDING FRANCE)</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including Appendix A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571"/>
        <w:spacing w:after="0"/>
        <w:tabs>
          <w:tab w:leader="none" w:pos="6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Award will vest according to the vesting schedule set forth in the Award Notice (the “</w:t>
      </w:r>
      <w:r>
        <w:rPr>
          <w:rFonts w:ascii="Arial" w:cs="Arial" w:eastAsia="Arial" w:hAnsi="Arial"/>
          <w:sz w:val="21"/>
          <w:szCs w:val="21"/>
          <w:b w:val="1"/>
          <w:bCs w:val="1"/>
          <w:i w:val="1"/>
          <w:iCs w:val="1"/>
          <w:color w:val="auto"/>
        </w:rPr>
        <w:t>Vesting Schedule</w:t>
      </w:r>
      <w:r>
        <w:rPr>
          <w:rFonts w:ascii="Arial" w:cs="Arial" w:eastAsia="Arial" w:hAnsi="Arial"/>
          <w:sz w:val="21"/>
          <w:szCs w:val="21"/>
          <w:i w:val="1"/>
          <w:iCs w:val="1"/>
          <w:color w:val="auto"/>
        </w:rPr>
        <w:t>”</w:t>
      </w:r>
      <w:r>
        <w:rPr>
          <w:rFonts w:ascii="Arial" w:cs="Arial" w:eastAsia="Arial" w:hAnsi="Arial"/>
          <w:sz w:val="21"/>
          <w:szCs w:val="21"/>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21"/>
          <w:szCs w:val="21"/>
          <w:b w:val="1"/>
          <w:bCs w:val="1"/>
          <w:i w:val="1"/>
          <w:iCs w:val="1"/>
          <w:color w:val="auto"/>
        </w:rPr>
        <w:t>Vested Units</w:t>
      </w:r>
      <w:r>
        <w:rPr>
          <w:rFonts w:ascii="Arial" w:cs="Arial" w:eastAsia="Arial" w:hAnsi="Arial"/>
          <w:sz w:val="21"/>
          <w:szCs w:val="21"/>
          <w:color w:val="auto"/>
        </w:rPr>
        <w:t>.” Restricted stock units that have not vested and remain subject to forfeiture under the Vesting Schedule are referred to herein as “</w:t>
      </w:r>
      <w:r>
        <w:rPr>
          <w:rFonts w:ascii="Arial" w:cs="Arial" w:eastAsia="Arial" w:hAnsi="Arial"/>
          <w:sz w:val="21"/>
          <w:szCs w:val="21"/>
          <w:b w:val="1"/>
          <w:bCs w:val="1"/>
          <w:i w:val="1"/>
          <w:iCs w:val="1"/>
          <w:color w:val="auto"/>
        </w:rPr>
        <w:t>Unvested Units</w:t>
      </w:r>
      <w:r>
        <w:rPr>
          <w:rFonts w:ascii="Arial" w:cs="Arial" w:eastAsia="Arial" w:hAnsi="Arial"/>
          <w:sz w:val="21"/>
          <w:szCs w:val="21"/>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21"/>
          <w:szCs w:val="21"/>
          <w:b w:val="1"/>
          <w:bCs w:val="1"/>
          <w:i w:val="1"/>
          <w:iCs w:val="1"/>
          <w:color w:val="auto"/>
        </w:rPr>
        <w:t>Units</w:t>
      </w:r>
      <w:r>
        <w:rPr>
          <w:rFonts w:ascii="Arial" w:cs="Arial" w:eastAsia="Arial" w:hAnsi="Arial"/>
          <w:sz w:val="21"/>
          <w:szCs w:val="21"/>
          <w:color w:val="auto"/>
        </w:rPr>
        <w:t>”). Except as provided in Section 2 below, the Award will terminate and the Unvested Units will be forfeited upon termination of your employment for any reason.</w:t>
      </w:r>
    </w:p>
    <w:p>
      <w:pPr>
        <w:spacing w:after="0" w:line="178" w:lineRule="exact"/>
        <w:rPr>
          <w:sz w:val="20"/>
          <w:szCs w:val="20"/>
          <w:color w:val="auto"/>
        </w:rPr>
      </w:pPr>
    </w:p>
    <w:p>
      <w:pPr>
        <w:ind w:left="660" w:hanging="571"/>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Death or Disability</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the event that your employment terminates during the Units’ vesting period by reason of death or Disability, any Unvested Units will accelerate in vesting and become Vested Units upon such termination of employment.</w:t>
      </w:r>
    </w:p>
    <w:p>
      <w:pPr>
        <w:spacing w:after="0" w:line="277" w:lineRule="exact"/>
        <w:rPr>
          <w:sz w:val="20"/>
          <w:szCs w:val="20"/>
          <w:color w:val="auto"/>
        </w:rPr>
      </w:pPr>
    </w:p>
    <w:p>
      <w:pPr>
        <w:ind w:left="660" w:hanging="571"/>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the event of a Change in Control Transaction, any Unvested Units will accelerate in vesting and become Vested Units immediately prior to such transaction.</w:t>
      </w:r>
    </w:p>
    <w:p>
      <w:pPr>
        <w:spacing w:after="0" w:line="169" w:lineRule="exact"/>
        <w:rPr>
          <w:sz w:val="20"/>
          <w:szCs w:val="20"/>
          <w:color w:val="auto"/>
        </w:rPr>
      </w:pPr>
    </w:p>
    <w:p>
      <w:pPr>
        <w:ind w:left="660" w:hanging="571"/>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Vested Units shall be settled within 30 days following (a) the applicable Vest Date, or (b) if earlier, the date the Units become vested in connection with (i) the termination of your employment due to death or Disability pursuant to Section 2 above, or (ii) a Change in Control Transaction pursuant to Section 3 above.</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w:t>
      </w:r>
    </w:p>
    <w:p>
      <w:pPr>
        <w:sectPr>
          <w:pgSz w:w="11900" w:h="16838" w:orient="portrait"/>
          <w:cols w:equalWidth="0" w:num="1">
            <w:col w:w="11420"/>
          </w:cols>
          <w:pgMar w:left="240" w:top="504" w:right="239" w:bottom="1440" w:gutter="0" w:footer="0" w:header="0"/>
        </w:sectPr>
      </w:pPr>
    </w:p>
    <w:bookmarkStart w:id="59" w:name="page60"/>
    <w:bookmarkEnd w:id="59"/>
    <w:p>
      <w:pPr>
        <w:ind w:left="660" w:hanging="571"/>
        <w:spacing w:after="0"/>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1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23" w:lineRule="exact"/>
        <w:rPr>
          <w:sz w:val="20"/>
          <w:szCs w:val="20"/>
          <w:color w:val="auto"/>
        </w:rPr>
      </w:pPr>
    </w:p>
    <w:p>
      <w:pPr>
        <w:ind w:left="660" w:hanging="571"/>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172"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Units shall not be sold, transferred, assigned, encumbered, pledged or otherwise disposed of, whether voluntarily or by operation of law.</w:t>
      </w:r>
    </w:p>
    <w:p>
      <w:pPr>
        <w:spacing w:after="0" w:line="115" w:lineRule="exact"/>
        <w:rPr>
          <w:sz w:val="20"/>
          <w:szCs w:val="20"/>
          <w:color w:val="auto"/>
        </w:rPr>
      </w:pPr>
    </w:p>
    <w:p>
      <w:pPr>
        <w:ind w:left="660" w:hanging="571"/>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171"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159" w:lineRule="exact"/>
        <w:rPr>
          <w:rFonts w:ascii="Arial" w:cs="Arial" w:eastAsia="Arial" w:hAnsi="Arial"/>
          <w:sz w:val="22"/>
          <w:szCs w:val="22"/>
          <w:b w:val="1"/>
          <w:bCs w:val="1"/>
          <w:color w:val="auto"/>
        </w:rPr>
      </w:pPr>
    </w:p>
    <w:p>
      <w:pPr>
        <w:ind w:left="660" w:hanging="571"/>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17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571"/>
        <w:spacing w:after="0"/>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w:t>
      </w:r>
    </w:p>
    <w:p>
      <w:pPr>
        <w:sectPr>
          <w:pgSz w:w="11900" w:h="16838" w:orient="portrait"/>
          <w:cols w:equalWidth="0" w:num="1">
            <w:col w:w="11420"/>
          </w:cols>
          <w:pgMar w:left="240" w:top="720" w:right="239" w:bottom="1440" w:gutter="0" w:footer="0" w:header="0"/>
        </w:sectPr>
      </w:pPr>
    </w:p>
    <w:bookmarkStart w:id="60" w:name="page61"/>
    <w:bookmarkEnd w:id="60"/>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take with respect to any and all income tax,</w:t>
      </w:r>
      <w:r>
        <w:rPr>
          <w:rFonts w:ascii="Arial" w:cs="Arial" w:eastAsia="Arial" w:hAnsi="Arial"/>
          <w:sz w:val="19"/>
          <w:szCs w:val="19"/>
          <w:b w:val="1"/>
          <w:bCs w:val="1"/>
          <w:color w:val="auto"/>
        </w:rPr>
        <w:t xml:space="preserve"> </w:t>
      </w:r>
      <w:r>
        <w:rPr>
          <w:rFonts w:ascii="Arial" w:cs="Arial" w:eastAsia="Arial" w:hAnsi="Arial"/>
          <w:sz w:val="19"/>
          <w:szCs w:val="19"/>
          <w:color w:val="auto"/>
        </w:rPr>
        <w:t>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00"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21"/>
          <w:szCs w:val="21"/>
          <w:color w:val="auto"/>
        </w:rPr>
        <w:t>a) In this regard, you hereby irrevocably appoint Fidelity or any stock plan service provider or brokerage firm designated</w:t>
      </w:r>
      <w:r>
        <w:rPr>
          <w:rFonts w:ascii="Arial" w:cs="Arial" w:eastAsia="Arial" w:hAnsi="Arial"/>
          <w:sz w:val="18"/>
          <w:szCs w:val="18"/>
          <w:b w:val="1"/>
          <w:bCs w:val="1"/>
          <w:color w:val="auto"/>
        </w:rPr>
        <w:t xml:space="preserve"> </w:t>
      </w:r>
      <w:r>
        <w:rPr>
          <w:rFonts w:ascii="Arial" w:cs="Arial" w:eastAsia="Arial" w:hAnsi="Arial"/>
          <w:sz w:val="21"/>
          <w:szCs w:val="21"/>
          <w:color w:val="auto"/>
        </w:rPr>
        <w:t>by the Company for such purpose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as your Agent, and authorize the Agent, to:</w:t>
      </w:r>
    </w:p>
    <w:p>
      <w:pPr>
        <w:spacing w:after="0" w:line="83" w:lineRule="exact"/>
        <w:rPr>
          <w:sz w:val="20"/>
          <w:szCs w:val="20"/>
          <w:color w:val="auto"/>
        </w:rPr>
      </w:pPr>
    </w:p>
    <w:p>
      <w:pPr>
        <w:jc w:val="both"/>
        <w:ind w:left="1960" w:hanging="655"/>
        <w:spacing w:after="0" w:line="250" w:lineRule="auto"/>
        <w:tabs>
          <w:tab w:leader="none" w:pos="19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34" w:lineRule="exact"/>
        <w:rPr>
          <w:rFonts w:ascii="Arial" w:cs="Arial" w:eastAsia="Arial" w:hAnsi="Arial"/>
          <w:sz w:val="22"/>
          <w:szCs w:val="22"/>
          <w:color w:val="auto"/>
        </w:rPr>
      </w:pPr>
    </w:p>
    <w:p>
      <w:pPr>
        <w:ind w:left="1960" w:hanging="655"/>
        <w:spacing w:after="0"/>
        <w:tabs>
          <w:tab w:leader="none" w:pos="19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165" w:lineRule="exact"/>
        <w:rPr>
          <w:rFonts w:ascii="Arial" w:cs="Arial" w:eastAsia="Arial" w:hAnsi="Arial"/>
          <w:sz w:val="22"/>
          <w:szCs w:val="22"/>
          <w:color w:val="auto"/>
        </w:rPr>
      </w:pPr>
    </w:p>
    <w:p>
      <w:pPr>
        <w:ind w:left="1960" w:right="20" w:hanging="655"/>
        <w:spacing w:after="0" w:line="287" w:lineRule="auto"/>
        <w:tabs>
          <w:tab w:leader="none" w:pos="19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97" w:lineRule="exact"/>
        <w:rPr>
          <w:rFonts w:ascii="Arial" w:cs="Arial" w:eastAsia="Arial" w:hAnsi="Arial"/>
          <w:sz w:val="21"/>
          <w:szCs w:val="21"/>
          <w:color w:val="auto"/>
        </w:rPr>
      </w:pPr>
    </w:p>
    <w:p>
      <w:pPr>
        <w:ind w:left="1960" w:hanging="655"/>
        <w:spacing w:after="0"/>
        <w:tabs>
          <w:tab w:leader="none" w:pos="19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166" w:lineRule="exact"/>
        <w:rPr>
          <w:sz w:val="20"/>
          <w:szCs w:val="20"/>
          <w:color w:val="auto"/>
        </w:rPr>
      </w:pPr>
    </w:p>
    <w:p>
      <w:pPr>
        <w:ind w:firstLine="648"/>
        <w:spacing w:after="0" w:line="328" w:lineRule="auto"/>
        <w:rPr>
          <w:sz w:val="20"/>
          <w:szCs w:val="20"/>
          <w:color w:val="auto"/>
        </w:rPr>
      </w:pPr>
      <w:r>
        <w:rPr>
          <w:rFonts w:ascii="Arial" w:cs="Arial" w:eastAsia="Arial" w:hAnsi="Arial"/>
          <w:sz w:val="17"/>
          <w:szCs w:val="17"/>
          <w:b w:val="1"/>
          <w:bCs w:val="1"/>
          <w:color w:val="auto"/>
        </w:rPr>
        <w:t>(</w:t>
      </w:r>
      <w:r>
        <w:rPr>
          <w:rFonts w:ascii="Arial" w:cs="Arial" w:eastAsia="Arial" w:hAnsi="Arial"/>
          <w:sz w:val="20"/>
          <w:szCs w:val="20"/>
          <w:color w:val="auto"/>
        </w:rPr>
        <w:t>b) Alternatively, or in addition to or in combination with the withholding mechanism described in Section 9.2(a), you</w:t>
      </w:r>
      <w:r>
        <w:rPr>
          <w:rFonts w:ascii="Arial" w:cs="Arial" w:eastAsia="Arial" w:hAnsi="Arial"/>
          <w:sz w:val="17"/>
          <w:szCs w:val="17"/>
          <w:b w:val="1"/>
          <w:bCs w:val="1"/>
          <w:color w:val="auto"/>
        </w:rPr>
        <w:t xml:space="preserve"> </w:t>
      </w:r>
      <w:r>
        <w:rPr>
          <w:rFonts w:ascii="Arial" w:cs="Arial" w:eastAsia="Arial" w:hAnsi="Arial"/>
          <w:sz w:val="20"/>
          <w:szCs w:val="20"/>
          <w:color w:val="auto"/>
        </w:rPr>
        <w:t>authorize the Company and/or the Employer, at their discretion, to satisfy the obligations with regard to all Tax-Related Items by:</w:t>
      </w:r>
    </w:p>
    <w:p>
      <w:pPr>
        <w:spacing w:after="0" w:line="60" w:lineRule="exact"/>
        <w:rPr>
          <w:sz w:val="20"/>
          <w:szCs w:val="20"/>
          <w:color w:val="auto"/>
        </w:rPr>
      </w:pPr>
    </w:p>
    <w:p>
      <w:pPr>
        <w:ind w:left="1960" w:hanging="655"/>
        <w:spacing w:after="0"/>
        <w:tabs>
          <w:tab w:leader="none" w:pos="1960" w:val="left"/>
        </w:tabs>
        <w:numPr>
          <w:ilvl w:val="0"/>
          <w:numId w:val="28"/>
        </w:numPr>
        <w:rPr>
          <w:rFonts w:ascii="Arial" w:cs="Arial" w:eastAsia="Arial" w:hAnsi="Arial"/>
          <w:sz w:val="21"/>
          <w:szCs w:val="21"/>
          <w:color w:val="auto"/>
        </w:rPr>
      </w:pPr>
      <w:r>
        <w:rPr>
          <w:rFonts w:ascii="Arial" w:cs="Arial" w:eastAsia="Arial" w:hAnsi="Arial"/>
          <w:sz w:val="21"/>
          <w:szCs w:val="21"/>
          <w:color w:val="auto"/>
        </w:rPr>
        <w:t>requiring you to pay to the Company or the Employer any amount of the Tax-Related Items; and/or</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w:t>
      </w:r>
    </w:p>
    <w:p>
      <w:pPr>
        <w:sectPr>
          <w:pgSz w:w="11900" w:h="16838" w:orient="portrait"/>
          <w:cols w:equalWidth="0" w:num="1">
            <w:col w:w="11420"/>
          </w:cols>
          <w:pgMar w:left="240" w:top="504" w:right="239" w:bottom="1440" w:gutter="0" w:footer="0" w:header="0"/>
        </w:sectPr>
      </w:pPr>
    </w:p>
    <w:bookmarkStart w:id="61" w:name="page62"/>
    <w:bookmarkEnd w:id="61"/>
    <w:p>
      <w:pPr>
        <w:ind w:left="1960" w:hanging="655"/>
        <w:spacing w:after="0" w:line="263" w:lineRule="auto"/>
        <w:tabs>
          <w:tab w:leader="none" w:pos="19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Vested Units, provided, however, that if you are a Section 16 officer of the Company under the Exchange Act, then the Plan Administrator (as constituted to satisfy Rule 16b-3 of the Exchange Act) shall establish the method of withholding from the alternatives (i) –</w:t>
      </w:r>
    </w:p>
    <w:p>
      <w:pPr>
        <w:spacing w:after="0" w:line="1" w:lineRule="exact"/>
        <w:rPr>
          <w:rFonts w:ascii="Arial" w:cs="Arial" w:eastAsia="Arial" w:hAnsi="Arial"/>
          <w:sz w:val="19"/>
          <w:szCs w:val="19"/>
          <w:color w:val="auto"/>
        </w:rPr>
      </w:pPr>
    </w:p>
    <w:p>
      <w:pPr>
        <w:jc w:val="both"/>
        <w:ind w:left="1960" w:hanging="7"/>
        <w:spacing w:after="0" w:line="281" w:lineRule="auto"/>
        <w:tabs>
          <w:tab w:leader="none" w:pos="2373" w:val="left"/>
        </w:tabs>
        <w:numPr>
          <w:ilvl w:val="1"/>
          <w:numId w:val="29"/>
        </w:numPr>
        <w:rPr>
          <w:rFonts w:ascii="Arial" w:cs="Arial" w:eastAsia="Arial" w:hAnsi="Arial"/>
          <w:sz w:val="19"/>
          <w:szCs w:val="19"/>
          <w:color w:val="auto"/>
        </w:rPr>
      </w:pPr>
      <w:r>
        <w:rPr>
          <w:rFonts w:ascii="Arial" w:cs="Arial" w:eastAsia="Arial" w:hAnsi="Arial"/>
          <w:sz w:val="19"/>
          <w:szCs w:val="19"/>
          <w:color w:val="auto"/>
        </w:rPr>
        <w:t>herein and, if the Plan Administrator does not exercise its discretion prior to the Tax-Related Items withholding event, then you shall be entitled to elect the method of withholding from the alternatives (i) –</w:t>
      </w:r>
    </w:p>
    <w:p>
      <w:pPr>
        <w:spacing w:after="0" w:line="1" w:lineRule="exact"/>
        <w:rPr>
          <w:rFonts w:ascii="Arial" w:cs="Arial" w:eastAsia="Arial" w:hAnsi="Arial"/>
          <w:sz w:val="19"/>
          <w:szCs w:val="19"/>
          <w:color w:val="auto"/>
        </w:rPr>
      </w:pPr>
    </w:p>
    <w:p>
      <w:pPr>
        <w:ind w:left="2340" w:hanging="387"/>
        <w:spacing w:after="0"/>
        <w:tabs>
          <w:tab w:leader="none" w:pos="2340" w:val="left"/>
        </w:tabs>
        <w:numPr>
          <w:ilvl w:val="1"/>
          <w:numId w:val="30"/>
        </w:numPr>
        <w:rPr>
          <w:rFonts w:ascii="Arial" w:cs="Arial" w:eastAsia="Arial" w:hAnsi="Arial"/>
          <w:sz w:val="22"/>
          <w:szCs w:val="22"/>
          <w:color w:val="auto"/>
        </w:rPr>
      </w:pPr>
      <w:r>
        <w:rPr>
          <w:rFonts w:ascii="Arial" w:cs="Arial" w:eastAsia="Arial" w:hAnsi="Arial"/>
          <w:sz w:val="22"/>
          <w:szCs w:val="22"/>
          <w:color w:val="auto"/>
        </w:rPr>
        <w:t>herein.</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9"/>
          <w:szCs w:val="19"/>
          <w:color w:val="auto"/>
        </w:rPr>
        <w:t>c) Depending on the withholding method, the Company may withhold or account for Tax-Related Items by considering</w:t>
      </w:r>
      <w:r>
        <w:rPr>
          <w:rFonts w:ascii="Arial" w:cs="Arial" w:eastAsia="Arial" w:hAnsi="Arial"/>
          <w:sz w:val="16"/>
          <w:szCs w:val="16"/>
          <w:b w:val="1"/>
          <w:bCs w:val="1"/>
          <w:color w:val="auto"/>
        </w:rPr>
        <w:t xml:space="preserve"> </w:t>
      </w:r>
      <w:r>
        <w:rPr>
          <w:rFonts w:ascii="Arial" w:cs="Arial" w:eastAsia="Arial" w:hAnsi="Arial"/>
          <w:sz w:val="19"/>
          <w:szCs w:val="19"/>
          <w:color w:val="auto"/>
        </w:rPr>
        <w:t>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4</w:t>
      </w:r>
    </w:p>
    <w:p>
      <w:pPr>
        <w:sectPr>
          <w:pgSz w:w="11900" w:h="16838" w:orient="portrait"/>
          <w:cols w:equalWidth="0" w:num="1">
            <w:col w:w="11420"/>
          </w:cols>
          <w:pgMar w:left="240" w:top="510" w:right="239" w:bottom="1440" w:gutter="0" w:footer="0" w:header="0"/>
        </w:sectPr>
      </w:pPr>
    </w:p>
    <w:bookmarkStart w:id="62" w:name="page63"/>
    <w:bookmarkEnd w:id="62"/>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332" w:lineRule="exact"/>
        <w:rPr>
          <w:sz w:val="20"/>
          <w:szCs w:val="20"/>
          <w:color w:val="auto"/>
        </w:rPr>
      </w:pPr>
    </w:p>
    <w:p>
      <w:pPr>
        <w:ind w:left="660" w:hanging="571"/>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79"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165" w:lineRule="exact"/>
        <w:rPr>
          <w:rFonts w:ascii="Arial" w:cs="Arial" w:eastAsia="Arial" w:hAnsi="Arial"/>
          <w:sz w:val="22"/>
          <w:szCs w:val="22"/>
          <w:b w:val="1"/>
          <w:bCs w:val="1"/>
          <w:color w:val="auto"/>
        </w:rPr>
      </w:pPr>
    </w:p>
    <w:p>
      <w:pPr>
        <w:ind w:right="20" w:firstLine="656"/>
        <w:spacing w:after="0" w:line="263" w:lineRule="auto"/>
        <w:tabs>
          <w:tab w:leader="none" w:pos="11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20" w:lineRule="exact"/>
        <w:rPr>
          <w:rFonts w:ascii="Arial" w:cs="Arial" w:eastAsia="Arial" w:hAnsi="Arial"/>
          <w:sz w:val="22"/>
          <w:szCs w:val="22"/>
          <w:color w:val="auto"/>
        </w:rPr>
      </w:pPr>
    </w:p>
    <w:p>
      <w:pPr>
        <w:jc w:val="both"/>
        <w:ind w:firstLine="656"/>
        <w:spacing w:after="0" w:line="253" w:lineRule="auto"/>
        <w:tabs>
          <w:tab w:leader="none" w:pos="1146"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31" w:lineRule="exact"/>
        <w:rPr>
          <w:rFonts w:ascii="Arial" w:cs="Arial" w:eastAsia="Arial" w:hAnsi="Arial"/>
          <w:sz w:val="22"/>
          <w:szCs w:val="22"/>
          <w:color w:val="auto"/>
        </w:rPr>
      </w:pPr>
    </w:p>
    <w:p>
      <w:pPr>
        <w:ind w:left="1120" w:hanging="464"/>
        <w:spacing w:after="0"/>
        <w:tabs>
          <w:tab w:leader="none" w:pos="11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00" w:lineRule="exact"/>
        <w:rPr>
          <w:rFonts w:ascii="Arial" w:cs="Arial" w:eastAsia="Arial" w:hAnsi="Arial"/>
          <w:sz w:val="19"/>
          <w:szCs w:val="19"/>
          <w:color w:val="auto"/>
        </w:rPr>
      </w:pPr>
    </w:p>
    <w:p>
      <w:pPr>
        <w:jc w:val="both"/>
        <w:ind w:firstLine="656"/>
        <w:spacing w:after="0" w:line="250" w:lineRule="auto"/>
        <w:tabs>
          <w:tab w:leader="none" w:pos="1175"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34" w:lineRule="exact"/>
        <w:rPr>
          <w:rFonts w:ascii="Arial" w:cs="Arial" w:eastAsia="Arial" w:hAnsi="Arial"/>
          <w:sz w:val="22"/>
          <w:szCs w:val="22"/>
          <w:color w:val="auto"/>
        </w:rPr>
      </w:pPr>
    </w:p>
    <w:p>
      <w:pPr>
        <w:ind w:left="1120" w:hanging="464"/>
        <w:spacing w:after="0"/>
        <w:tabs>
          <w:tab w:leader="none" w:pos="11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165" w:lineRule="exact"/>
        <w:rPr>
          <w:rFonts w:ascii="Arial" w:cs="Arial" w:eastAsia="Arial" w:hAnsi="Arial"/>
          <w:sz w:val="22"/>
          <w:szCs w:val="22"/>
          <w:color w:val="auto"/>
        </w:rPr>
      </w:pPr>
    </w:p>
    <w:p>
      <w:pPr>
        <w:ind w:left="1080" w:hanging="424"/>
        <w:spacing w:after="0"/>
        <w:tabs>
          <w:tab w:leader="none" w:pos="1080"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656"/>
        <w:spacing w:after="0" w:line="271" w:lineRule="auto"/>
        <w:tabs>
          <w:tab w:leader="none" w:pos="1141"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13" w:lineRule="exact"/>
        <w:rPr>
          <w:rFonts w:ascii="Arial" w:cs="Arial" w:eastAsia="Arial" w:hAnsi="Arial"/>
          <w:sz w:val="21"/>
          <w:szCs w:val="21"/>
          <w:color w:val="auto"/>
        </w:rPr>
      </w:pPr>
    </w:p>
    <w:p>
      <w:pPr>
        <w:ind w:left="1120" w:hanging="464"/>
        <w:spacing w:after="0"/>
        <w:tabs>
          <w:tab w:leader="none" w:pos="1120"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177" w:lineRule="exact"/>
        <w:rPr>
          <w:rFonts w:ascii="Arial" w:cs="Arial" w:eastAsia="Arial" w:hAnsi="Arial"/>
          <w:sz w:val="21"/>
          <w:szCs w:val="21"/>
          <w:color w:val="auto"/>
        </w:rPr>
      </w:pPr>
    </w:p>
    <w:p>
      <w:pPr>
        <w:jc w:val="both"/>
        <w:ind w:firstLine="656"/>
        <w:spacing w:after="0" w:line="247" w:lineRule="auto"/>
        <w:tabs>
          <w:tab w:leader="none" w:pos="1189"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5</w:t>
      </w:r>
    </w:p>
    <w:p>
      <w:pPr>
        <w:sectPr>
          <w:pgSz w:w="11900" w:h="16838" w:orient="portrait"/>
          <w:cols w:equalWidth="0" w:num="1">
            <w:col w:w="11420"/>
          </w:cols>
          <w:pgMar w:left="240" w:top="510" w:right="23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22"/>
          <w:szCs w:val="22"/>
          <w:color w:val="auto"/>
        </w:rPr>
        <w:t>bring any such claim and release the Company, any Related Corporation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34" w:lineRule="exact"/>
        <w:rPr>
          <w:sz w:val="20"/>
          <w:szCs w:val="20"/>
          <w:color w:val="auto"/>
        </w:rPr>
      </w:pPr>
    </w:p>
    <w:p>
      <w:pPr>
        <w:jc w:val="both"/>
        <w:ind w:firstLine="656"/>
        <w:spacing w:after="0" w:line="288" w:lineRule="auto"/>
        <w:tabs>
          <w:tab w:leader="none" w:pos="1078" w:val="left"/>
        </w:tabs>
        <w:numPr>
          <w:ilvl w:val="0"/>
          <w:numId w:val="32"/>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(e.g.,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06" w:lineRule="exact"/>
        <w:rPr>
          <w:rFonts w:ascii="Arial" w:cs="Arial" w:eastAsia="Arial" w:hAnsi="Arial"/>
          <w:sz w:val="19"/>
          <w:szCs w:val="19"/>
          <w:color w:val="auto"/>
        </w:rPr>
      </w:pPr>
    </w:p>
    <w:p>
      <w:pPr>
        <w:jc w:val="both"/>
        <w:ind w:firstLine="656"/>
        <w:spacing w:after="0" w:line="250" w:lineRule="auto"/>
        <w:tabs>
          <w:tab w:leader="none" w:pos="1175" w:val="left"/>
        </w:tabs>
        <w:numPr>
          <w:ilvl w:val="0"/>
          <w:numId w:val="32"/>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34" w:lineRule="exact"/>
        <w:rPr>
          <w:rFonts w:ascii="Arial" w:cs="Arial" w:eastAsia="Arial" w:hAnsi="Arial"/>
          <w:sz w:val="22"/>
          <w:szCs w:val="22"/>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112" w:lineRule="exact"/>
        <w:rPr>
          <w:sz w:val="20"/>
          <w:szCs w:val="20"/>
          <w:color w:val="auto"/>
        </w:rPr>
      </w:pPr>
    </w:p>
    <w:p>
      <w:pPr>
        <w:ind w:left="1180" w:hanging="524"/>
        <w:spacing w:after="0"/>
        <w:tabs>
          <w:tab w:leader="none" w:pos="11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part of normal or expected compensation or salary for 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w:t>
      </w:r>
    </w:p>
    <w:p>
      <w:pPr>
        <w:spacing w:after="0" w:line="93" w:lineRule="exact"/>
        <w:rPr>
          <w:rFonts w:ascii="Arial" w:cs="Arial" w:eastAsia="Arial" w:hAnsi="Arial"/>
          <w:sz w:val="19"/>
          <w:szCs w:val="19"/>
          <w:color w:val="auto"/>
        </w:rPr>
      </w:pPr>
    </w:p>
    <w:p>
      <w:pPr>
        <w:jc w:val="both"/>
        <w:ind w:firstLine="656"/>
        <w:spacing w:after="0" w:line="250" w:lineRule="auto"/>
        <w:tabs>
          <w:tab w:leader="none" w:pos="1182" w:val="left"/>
        </w:tabs>
        <w:numPr>
          <w:ilvl w:val="0"/>
          <w:numId w:val="33"/>
        </w:numPr>
        <w:rPr>
          <w:rFonts w:ascii="Arial" w:cs="Arial" w:eastAsia="Arial" w:hAnsi="Arial"/>
          <w:sz w:val="22"/>
          <w:szCs w:val="22"/>
          <w:color w:val="auto"/>
        </w:rPr>
      </w:pPr>
      <w:r>
        <w:rPr>
          <w:rFonts w:ascii="Arial" w:cs="Arial" w:eastAsia="Arial" w:hAnsi="Arial"/>
          <w:sz w:val="22"/>
          <w:szCs w:val="22"/>
          <w:color w:val="auto"/>
        </w:rPr>
        <w:t>you acknowledge and agree that 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23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11.No Advice Regarding Grant</w:t>
      </w:r>
    </w:p>
    <w:p>
      <w:pPr>
        <w:spacing w:after="0" w:line="1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6</w:t>
      </w:r>
    </w:p>
    <w:p>
      <w:pPr>
        <w:sectPr>
          <w:pgSz w:w="11900" w:h="16838" w:orient="portrait"/>
          <w:cols w:equalWidth="0" w:num="1">
            <w:col w:w="11420"/>
          </w:cols>
          <w:pgMar w:left="240" w:top="510"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your specific situation or had the opportunity to consult with such advisors but chose not to do so.</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12.</w:t>
      </w:r>
      <w:r>
        <w:rPr>
          <w:rFonts w:ascii="Arial" w:cs="Arial" w:eastAsia="Arial" w:hAnsi="Arial"/>
          <w:sz w:val="22"/>
          <w:szCs w:val="22"/>
          <w:b w:val="1"/>
          <w:bCs w:val="1"/>
          <w:i w:val="1"/>
          <w:iCs w:val="1"/>
          <w:color w:val="auto"/>
        </w:rPr>
        <w:t>Data Privacy</w:t>
      </w:r>
    </w:p>
    <w:p>
      <w:pPr>
        <w:spacing w:after="0" w:line="1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3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13.Electronic Delivery and Participation</w:t>
      </w:r>
    </w:p>
    <w:p>
      <w:pPr>
        <w:spacing w:after="0" w:line="1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may, in its sole discretion, decide to deliver any documents related to current or future participation in the Plan by electronic means. You hereby consent to</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7</w:t>
      </w:r>
    </w:p>
    <w:p>
      <w:pPr>
        <w:sectPr>
          <w:pgSz w:w="11900" w:h="16838" w:orient="portrait"/>
          <w:cols w:equalWidth="0" w:num="1">
            <w:col w:w="11420"/>
          </w:cols>
          <w:pgMar w:left="240" w:top="510" w:right="2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22"/>
          <w:szCs w:val="22"/>
          <w:color w:val="auto"/>
        </w:rPr>
        <w:t>receive such documents by electronic delivery and agree to participate in the Plan through an on-line or electronic system established and maintained by the Company or a third party designated by the Company.</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14.Language</w:t>
      </w:r>
    </w:p>
    <w:p>
      <w:pPr>
        <w:spacing w:after="0" w:line="1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15.General Provisions</w:t>
      </w:r>
    </w:p>
    <w:p>
      <w:pPr>
        <w:spacing w:after="0" w:line="11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15.2 Section 409A</w:t>
      </w:r>
      <w:r>
        <w:rPr>
          <w:rFonts w:ascii="Arial" w:cs="Arial" w:eastAsia="Arial" w:hAnsi="Arial"/>
          <w:sz w:val="19"/>
          <w:szCs w:val="19"/>
          <w:color w:val="auto"/>
        </w:rPr>
        <w:t>. For purposes of U.S. taxpayers, the settlement of the Units is intended to either be exempt from</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409A of the Code under the “short-term deferral” exception, and in any event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The Company makes no representation or covenant to ensure that the Units, settlement of the Units or other payment hereunder are exempt from or compliant with Section 409A of the Code and will have no liability to you or any other party if the settlement of the Units or other payment hereunder that is intended to be exempt from, or compliant with, Section 409A of the Code, is not so exempt or compliant or for any action taken by the Plan Administrator with respect thereto.</w:t>
      </w:r>
    </w:p>
    <w:p>
      <w:pPr>
        <w:spacing w:after="0" w:line="9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15"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26" w:lineRule="exact"/>
        <w:rPr>
          <w:sz w:val="20"/>
          <w:szCs w:val="20"/>
          <w:color w:val="auto"/>
        </w:rPr>
      </w:pPr>
    </w:p>
    <w:p>
      <w:pPr>
        <w:ind w:left="660"/>
        <w:spacing w:after="0"/>
        <w:tabs>
          <w:tab w:leader="none" w:pos="1200" w:val="left"/>
          <w:tab w:leader="none" w:pos="2100" w:val="left"/>
        </w:tabs>
        <w:rPr>
          <w:sz w:val="20"/>
          <w:szCs w:val="20"/>
          <w:color w:val="auto"/>
        </w:rPr>
      </w:pPr>
      <w:r>
        <w:rPr>
          <w:rFonts w:ascii="Arial" w:cs="Arial" w:eastAsia="Arial" w:hAnsi="Arial"/>
          <w:sz w:val="22"/>
          <w:szCs w:val="22"/>
          <w:b w:val="1"/>
          <w:bCs w:val="1"/>
          <w:color w:val="auto"/>
        </w:rPr>
        <w:t>15.5</w:t>
        <w:tab/>
        <w:t>Notice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Any notice required or permitted hereunder shall be made in writing and sent to the following address:</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USA 99019</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8</w:t>
      </w:r>
    </w:p>
    <w:p>
      <w:pPr>
        <w:sectPr>
          <w:pgSz w:w="11900" w:h="16838" w:orient="portrait"/>
          <w:cols w:equalWidth="0" w:num="1">
            <w:col w:w="11420"/>
          </w:cols>
          <w:pgMar w:left="240" w:top="510" w:right="239" w:bottom="1440" w:gutter="0" w:footer="0" w:header="0"/>
        </w:sectPr>
      </w:pPr>
    </w:p>
    <w:bookmarkStart w:id="66" w:name="page67"/>
    <w:bookmarkEnd w:id="66"/>
    <w:p>
      <w:pPr>
        <w:ind w:left="80"/>
        <w:spacing w:after="0"/>
        <w:rPr>
          <w:sz w:val="20"/>
          <w:szCs w:val="20"/>
          <w:color w:val="auto"/>
        </w:rPr>
      </w:pPr>
      <w:r>
        <w:rPr>
          <w:rFonts w:ascii="Arial" w:cs="Arial" w:eastAsia="Arial" w:hAnsi="Arial"/>
          <w:sz w:val="22"/>
          <w:szCs w:val="22"/>
          <w:b w:val="1"/>
          <w:bCs w:val="1"/>
          <w:color w:val="auto"/>
        </w:rPr>
        <w:t>16.Appendix A</w:t>
      </w:r>
    </w:p>
    <w:p>
      <w:pPr>
        <w:spacing w:after="0" w:line="3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A to this Agreement for your country (“</w:t>
      </w:r>
      <w:r>
        <w:rPr>
          <w:rFonts w:ascii="Arial" w:cs="Arial" w:eastAsia="Arial" w:hAnsi="Arial"/>
          <w:sz w:val="22"/>
          <w:szCs w:val="22"/>
          <w:b w:val="1"/>
          <w:bCs w:val="1"/>
          <w:i w:val="1"/>
          <w:iCs w:val="1"/>
          <w:color w:val="auto"/>
        </w:rPr>
        <w:t>Appendix A</w:t>
      </w:r>
      <w:r>
        <w:rPr>
          <w:rFonts w:ascii="Arial" w:cs="Arial" w:eastAsia="Arial" w:hAnsi="Arial"/>
          <w:sz w:val="22"/>
          <w:szCs w:val="22"/>
          <w:color w:val="auto"/>
        </w:rPr>
        <w:t>”). Moreover, if you relocate to one of the countries included in Appendix A, the special terms and conditions for such country will apply to you, to the extent the Company determines that the application of such terms and conditions is necessary or advisable for legal or administrative reasons. Appendix A constitutes part of this Agreement.</w:t>
      </w:r>
    </w:p>
    <w:p>
      <w:pPr>
        <w:spacing w:after="0" w:line="29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17.Imposition of Other Requirements</w:t>
      </w:r>
    </w:p>
    <w:p>
      <w:pPr>
        <w:spacing w:after="0" w:line="3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3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18.Waiver</w:t>
      </w:r>
    </w:p>
    <w:p>
      <w:pPr>
        <w:spacing w:after="0" w:line="226" w:lineRule="exact"/>
        <w:rPr>
          <w:sz w:val="20"/>
          <w:szCs w:val="20"/>
          <w:color w:val="auto"/>
        </w:rPr>
      </w:pPr>
    </w:p>
    <w:p>
      <w:pPr>
        <w:jc w:val="both"/>
        <w:ind w:right="640"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9</w:t>
      </w:r>
    </w:p>
    <w:p>
      <w:pPr>
        <w:sectPr>
          <w:pgSz w:w="11900" w:h="16838" w:orient="portrait"/>
          <w:cols w:equalWidth="0" w:num="1">
            <w:col w:w="11420"/>
          </w:cols>
          <w:pgMar w:left="240" w:top="97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APPENDIX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INCENTIVE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 PARTICIPANTS (EXCLUDING FRANCE)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This Appendix A includes additional terms and conditions that govern the grant of the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under the Itron, Inc.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xml:space="preserve">) in the countries listed below. Capitalized terms not expressly defined in this Appendix A but defined in the Plan or the Restricted Stock Unit Award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same definitions as in the Plan and/or the Agreement, as applicable.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Appendix A also includes information regarding exchange control and other issues of which you should be aware with respect to your participation in the Plan. The information is based on the exchange control, securities and other laws in effect in the respective countries as of February 2012. Such laws are often complex and change frequently. As a result, the Company strongly recommends that you not rely on the information herein as the only source of information relating to the consequences of participation in the Plan because the information may be out of date at the time that the Award vests or the Shares acquired under the Plan are sold.</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or if you transfer employment or residency to another country after the Award is granted, the information contained herein may not be applicable to you.</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10</w:t>
      </w:r>
    </w:p>
    <w:p>
      <w:pPr>
        <w:sectPr>
          <w:pgSz w:w="11900" w:h="16838" w:orient="portrait"/>
          <w:cols w:equalWidth="0" w:num="1">
            <w:col w:w="11420"/>
          </w:cols>
          <w:pgMar w:left="240" w:top="504"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2"/>
          <w:szCs w:val="22"/>
          <w:b w:val="1"/>
          <w:bCs w:val="1"/>
          <w:u w:val="single" w:color="auto"/>
          <w:color w:val="auto"/>
        </w:rPr>
        <w:t>ARGENTINA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 Neither the Award nor the underlying Shares are publicly offered or listed on any stock exchange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Argentina. The offer is private and not subject to the supervision of any Argentine governmental authority.</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In the event that you transfer proceeds in excess of US$2,000,000 from the sale of Shares into</w:t>
      </w:r>
      <w:r>
        <w:rPr>
          <w:rFonts w:ascii="Arial" w:cs="Arial" w:eastAsia="Arial" w:hAnsi="Arial"/>
          <w:sz w:val="21"/>
          <w:szCs w:val="21"/>
          <w:b w:val="1"/>
          <w:bCs w:val="1"/>
          <w:color w:val="auto"/>
        </w:rPr>
        <w:t xml:space="preserve"> </w:t>
      </w:r>
      <w:r>
        <w:rPr>
          <w:rFonts w:ascii="Arial" w:cs="Arial" w:eastAsia="Arial" w:hAnsi="Arial"/>
          <w:sz w:val="21"/>
          <w:szCs w:val="21"/>
          <w:color w:val="auto"/>
        </w:rPr>
        <w:t>Argentina in a single month, you will be required to place 30% of any proceeds in excess of US$2,000,000 in a non-interest-bearing dollar-denominated mandatory deposit account for a holding period of 365 days.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AUSTRALIA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Australian Addendum</w:t>
      </w:r>
      <w:r>
        <w:rPr>
          <w:rFonts w:ascii="Arial" w:cs="Arial" w:eastAsia="Arial" w:hAnsi="Arial"/>
          <w:sz w:val="21"/>
          <w:szCs w:val="21"/>
          <w:color w:val="auto"/>
        </w:rPr>
        <w:t>. The Award is granted pursuant to the Australian Addendum which is an addendum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and the Award granted under the Plan are subject to the terms and conditions as stated in the Australian Addendum and the Offer Document, in addition to the Plan, the Award Notice, and the Agreement. The Australian Addendum is attached here as Annex 1 and the Offer Document is attached here as Annex 2.</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If you acquire Shares under the Plan and subsequently offer the Shares for sale to a person or entity</w:t>
      </w:r>
      <w:r>
        <w:rPr>
          <w:rFonts w:ascii="Arial" w:cs="Arial" w:eastAsia="Arial" w:hAnsi="Arial"/>
          <w:sz w:val="22"/>
          <w:szCs w:val="22"/>
          <w:b w:val="1"/>
          <w:bCs w:val="1"/>
          <w:color w:val="auto"/>
        </w:rPr>
        <w:t xml:space="preserve"> </w:t>
      </w:r>
      <w:r>
        <w:rPr>
          <w:rFonts w:ascii="Arial" w:cs="Arial" w:eastAsia="Arial" w:hAnsi="Arial"/>
          <w:sz w:val="22"/>
          <w:szCs w:val="22"/>
          <w:color w:val="auto"/>
        </w:rPr>
        <w:t>resident in Australia, such an offer may be subject to disclosure requirements under Australian law and you should obtain legal advice regarding any applicable disclosure requirements prior to making any such offer.</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11</w:t>
      </w:r>
    </w:p>
    <w:p>
      <w:pPr>
        <w:sectPr>
          <w:pgSz w:w="11900" w:h="16838" w:orient="portrait"/>
          <w:cols w:equalWidth="0" w:num="1">
            <w:col w:w="11420"/>
          </w:cols>
          <w:pgMar w:left="240" w:top="50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u w:val="single" w:color="auto"/>
          <w:color w:val="auto"/>
        </w:rPr>
        <w:t>Annex 1 to Australia Section of Appendix 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AUSTRALIAN ADDENDUM</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INCENTIVE PLAN</w:t>
      </w: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This addendum (the </w:t>
      </w:r>
      <w:r>
        <w:rPr>
          <w:rFonts w:ascii="Arial" w:cs="Arial" w:eastAsia="Arial" w:hAnsi="Arial"/>
          <w:sz w:val="22"/>
          <w:szCs w:val="22"/>
          <w:b w:val="1"/>
          <w:bCs w:val="1"/>
          <w:i w:val="1"/>
          <w:iCs w:val="1"/>
          <w:color w:val="auto"/>
        </w:rPr>
        <w:t>“Australian Addendum”</w:t>
      </w:r>
      <w:r>
        <w:rPr>
          <w:rFonts w:ascii="Arial" w:cs="Arial" w:eastAsia="Arial" w:hAnsi="Arial"/>
          <w:sz w:val="22"/>
          <w:szCs w:val="22"/>
          <w:color w:val="auto"/>
        </w:rPr>
        <w:t xml:space="preserve">) to the Itron, Inc. 2010 Stock Incentive Plan, as amended from time to time (the </w:t>
      </w:r>
      <w:r>
        <w:rPr>
          <w:rFonts w:ascii="Arial" w:cs="Arial" w:eastAsia="Arial" w:hAnsi="Arial"/>
          <w:sz w:val="22"/>
          <w:szCs w:val="22"/>
          <w:b w:val="1"/>
          <w:bCs w:val="1"/>
          <w:i w:val="1"/>
          <w:iCs w:val="1"/>
          <w:color w:val="auto"/>
        </w:rPr>
        <w:t>“U.S. Plan”</w:t>
      </w:r>
      <w:r>
        <w:rPr>
          <w:rFonts w:ascii="Arial" w:cs="Arial" w:eastAsia="Arial" w:hAnsi="Arial"/>
          <w:sz w:val="22"/>
          <w:szCs w:val="22"/>
          <w:color w:val="auto"/>
        </w:rPr>
        <w:t>) is adopted to set forth certain rules which, together with those provisions of the U.S. Plan which are supplemented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Australian Addendum, will:</w:t>
      </w:r>
    </w:p>
    <w:p>
      <w:pPr>
        <w:spacing w:after="0" w:line="186"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govern the operation of the Plan (as defined below) with respect to Australian Offerees (as defined below), and</w:t>
      </w:r>
    </w:p>
    <w:p>
      <w:pPr>
        <w:spacing w:after="0" w:line="25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ensure compliance of the Plan with the ASIC Class Order 03/184 (the </w:t>
      </w:r>
      <w:r>
        <w:rPr>
          <w:rFonts w:ascii="Arial" w:cs="Arial" w:eastAsia="Arial" w:hAnsi="Arial"/>
          <w:sz w:val="22"/>
          <w:szCs w:val="22"/>
          <w:b w:val="1"/>
          <w:bCs w:val="1"/>
          <w:i w:val="1"/>
          <w:iCs w:val="1"/>
          <w:color w:val="auto"/>
        </w:rPr>
        <w:t>“Class Order”</w:t>
      </w:r>
      <w:r>
        <w:rPr>
          <w:rFonts w:ascii="Arial" w:cs="Arial" w:eastAsia="Arial" w:hAnsi="Arial"/>
          <w:sz w:val="22"/>
          <w:szCs w:val="22"/>
          <w:color w:val="auto"/>
        </w:rPr>
        <w:t xml:space="preserve">), relevant provisions of the </w:t>
      </w:r>
      <w:r>
        <w:rPr>
          <w:rFonts w:ascii="Arial" w:cs="Arial" w:eastAsia="Arial" w:hAnsi="Arial"/>
          <w:sz w:val="22"/>
          <w:szCs w:val="22"/>
          <w:i w:val="1"/>
          <w:iCs w:val="1"/>
          <w:color w:val="auto"/>
        </w:rPr>
        <w:t xml:space="preserve">Corporations Act </w:t>
      </w:r>
      <w:r>
        <w:rPr>
          <w:rFonts w:ascii="Arial" w:cs="Arial" w:eastAsia="Arial" w:hAnsi="Arial"/>
          <w:sz w:val="22"/>
          <w:szCs w:val="22"/>
          <w:color w:val="auto"/>
        </w:rPr>
        <w:t>2001 and ASIC Regulatory Guide 49.</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any conflict between these provisions and the U.S. Plan, these provisions shall prevail.</w:t>
      </w:r>
    </w:p>
    <w:p>
      <w:pPr>
        <w:spacing w:after="0" w:line="21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Any capitalized term used in this Australian Addendum without definition shall have the meaning ascribed to such term in the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purposes of this Australian Addendum: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“ASIC” </w:t>
      </w:r>
      <w:r>
        <w:rPr>
          <w:rFonts w:ascii="Arial" w:cs="Arial" w:eastAsia="Arial" w:hAnsi="Arial"/>
          <w:sz w:val="22"/>
          <w:szCs w:val="22"/>
          <w:color w:val="auto"/>
        </w:rPr>
        <w:t>means the Australian Securities and Investments Commission;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“Associated Body Corporate” </w:t>
      </w:r>
      <w:r>
        <w:rPr>
          <w:rFonts w:ascii="Arial" w:cs="Arial" w:eastAsia="Arial" w:hAnsi="Arial"/>
          <w:sz w:val="22"/>
          <w:szCs w:val="22"/>
          <w:color w:val="auto"/>
        </w:rPr>
        <w:t>means (as determined in accordance with the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Corporations Act 2001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body corporate that is a related body corporate of the Company; 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body corporate that has voting power in the Company of not less than 20%; 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body corporate in which the Company has voting power of not less than 20%.</w:t>
      </w:r>
    </w:p>
    <w:p>
      <w:pPr>
        <w:spacing w:after="0" w:line="220" w:lineRule="exact"/>
        <w:rPr>
          <w:sz w:val="20"/>
          <w:szCs w:val="20"/>
          <w:color w:val="auto"/>
        </w:rPr>
      </w:pPr>
    </w:p>
    <w:p>
      <w:pPr>
        <w:ind w:left="660" w:right="20" w:hanging="647"/>
        <w:spacing w:after="0" w:line="263" w:lineRule="auto"/>
        <w:rPr>
          <w:sz w:val="20"/>
          <w:szCs w:val="20"/>
          <w:color w:val="auto"/>
        </w:rPr>
      </w:pPr>
      <w:r>
        <w:rPr>
          <w:rFonts w:ascii="Arial" w:cs="Arial" w:eastAsia="Arial" w:hAnsi="Arial"/>
          <w:sz w:val="22"/>
          <w:szCs w:val="22"/>
          <w:b w:val="1"/>
          <w:bCs w:val="1"/>
          <w:i w:val="1"/>
          <w:iCs w:val="1"/>
          <w:color w:val="auto"/>
        </w:rPr>
        <w:t xml:space="preserve">“Australian Offeree” </w:t>
      </w:r>
      <w:r>
        <w:rPr>
          <w:rFonts w:ascii="Arial" w:cs="Arial" w:eastAsia="Arial" w:hAnsi="Arial"/>
          <w:sz w:val="22"/>
          <w:szCs w:val="22"/>
          <w:color w:val="auto"/>
        </w:rPr>
        <w:t>means any person to whom an offer or invitation of Shares (as defined below) and/or Restricted Stock Units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is made in Australia under the Plan;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12</w:t>
      </w:r>
    </w:p>
    <w:p>
      <w:pPr>
        <w:sectPr>
          <w:pgSz w:w="11900" w:h="16838" w:orient="portrait"/>
          <w:cols w:equalWidth="0" w:num="1">
            <w:col w:w="11420"/>
          </w:cols>
          <w:pgMar w:left="240" w:top="504" w:right="239" w:bottom="1440" w:gutter="0" w:footer="0" w:header="0"/>
        </w:sectPr>
      </w:pPr>
    </w:p>
    <w:bookmarkStart w:id="70" w:name="page71"/>
    <w:bookmarkEnd w:id="70"/>
    <w:p>
      <w:pPr>
        <w:ind w:right="1660"/>
        <w:spacing w:after="0" w:line="519" w:lineRule="auto"/>
        <w:rPr>
          <w:sz w:val="20"/>
          <w:szCs w:val="20"/>
          <w:color w:val="auto"/>
        </w:rPr>
      </w:pPr>
      <w:r>
        <w:rPr>
          <w:rFonts w:ascii="Arial" w:cs="Arial" w:eastAsia="Arial" w:hAnsi="Arial"/>
          <w:sz w:val="19"/>
          <w:szCs w:val="19"/>
          <w:b w:val="1"/>
          <w:bCs w:val="1"/>
          <w:i w:val="1"/>
          <w:iCs w:val="1"/>
          <w:color w:val="auto"/>
        </w:rPr>
        <w:t xml:space="preserve">“Offer” </w:t>
      </w:r>
      <w:r>
        <w:rPr>
          <w:rFonts w:ascii="Arial" w:cs="Arial" w:eastAsia="Arial" w:hAnsi="Arial"/>
          <w:sz w:val="19"/>
          <w:szCs w:val="19"/>
          <w:color w:val="auto"/>
        </w:rPr>
        <w:t>means an offer made in Australia to Australian Offerees to acquire Shares under the terms of the Plan;</w:t>
      </w:r>
      <w:r>
        <w:rPr>
          <w:rFonts w:ascii="Arial" w:cs="Arial" w:eastAsia="Arial" w:hAnsi="Arial"/>
          <w:sz w:val="19"/>
          <w:szCs w:val="19"/>
          <w:b w:val="1"/>
          <w:bCs w:val="1"/>
          <w:i w:val="1"/>
          <w:iCs w:val="1"/>
          <w:color w:val="auto"/>
        </w:rPr>
        <w:t xml:space="preserve"> “Plan” </w:t>
      </w:r>
      <w:r>
        <w:rPr>
          <w:rFonts w:ascii="Arial" w:cs="Arial" w:eastAsia="Arial" w:hAnsi="Arial"/>
          <w:sz w:val="19"/>
          <w:szCs w:val="19"/>
          <w:color w:val="auto"/>
        </w:rPr>
        <w:t>means the U.S. Plan, as supplemented for implementation in Australia by the Australian Addendum; and</w:t>
      </w:r>
    </w:p>
    <w:p>
      <w:pPr>
        <w:ind w:left="660" w:hanging="647"/>
        <w:spacing w:after="0" w:line="263" w:lineRule="auto"/>
        <w:rPr>
          <w:sz w:val="20"/>
          <w:szCs w:val="20"/>
          <w:color w:val="auto"/>
        </w:rPr>
      </w:pPr>
      <w:r>
        <w:rPr>
          <w:rFonts w:ascii="Arial" w:cs="Arial" w:eastAsia="Arial" w:hAnsi="Arial"/>
          <w:sz w:val="22"/>
          <w:szCs w:val="22"/>
          <w:b w:val="1"/>
          <w:bCs w:val="1"/>
          <w:i w:val="1"/>
          <w:iCs w:val="1"/>
          <w:color w:val="auto"/>
        </w:rPr>
        <w:t xml:space="preserve">“Restricted Stock Units” </w:t>
      </w:r>
      <w:r>
        <w:rPr>
          <w:rFonts w:ascii="Arial" w:cs="Arial" w:eastAsia="Arial" w:hAnsi="Arial"/>
          <w:sz w:val="22"/>
          <w:szCs w:val="22"/>
          <w:color w:val="auto"/>
        </w:rPr>
        <w:t>means an unfunded promise by the Company to deliver Shares, following the fulfilment of specified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conditions, as determined by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“Shares” </w:t>
      </w:r>
      <w:r>
        <w:rPr>
          <w:rFonts w:ascii="Arial" w:cs="Arial" w:eastAsia="Arial" w:hAnsi="Arial"/>
          <w:sz w:val="22"/>
          <w:szCs w:val="22"/>
          <w:color w:val="auto"/>
        </w:rPr>
        <w:t>means shares of common stock of the Company; 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“Subsidiary” </w:t>
      </w:r>
      <w:r>
        <w:rPr>
          <w:rFonts w:ascii="Arial" w:cs="Arial" w:eastAsia="Arial" w:hAnsi="Arial"/>
          <w:sz w:val="22"/>
          <w:szCs w:val="22"/>
          <w:color w:val="auto"/>
        </w:rPr>
        <w:t>means any Associated Body Corporate employing Australian Offerees.</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1"/>
          <w:szCs w:val="21"/>
          <w:b w:val="1"/>
          <w:bCs w:val="1"/>
          <w:color w:val="auto"/>
        </w:rPr>
        <w:t>FORM OF AWARDS GOVERNED BY THIS ADDENDUM</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Australian Addendum governs the grant of Restricted Stock Units under the Plan. All Restricted Stock Units will be granted to Australian Offerees at no cost to them.</w:t>
      </w:r>
    </w:p>
    <w:p>
      <w:pPr>
        <w:spacing w:after="0" w:line="16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AUSTRALIAN OFFEREES</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In Australia, an Offer under the Plan may be extended only to Australian Offerees who at the time of the Offer are full or part-time employees or directors of the Company or a Subsidiary and who meet the eligibility requirements of the Plan.</w:t>
      </w:r>
    </w:p>
    <w:p>
      <w:pPr>
        <w:spacing w:after="0" w:line="14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NO CONTRIBUTION PLAN OR TRUST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 Offer under the Plan must not involve a contribution plan or any offer, issue or sale being made through a trust.</w:t>
      </w:r>
    </w:p>
    <w:p>
      <w:pPr>
        <w:spacing w:after="0" w:line="21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AUSTRALIAN OFFER DOCUMENT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6.1COPY OF PLAN</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Offer made in Australia to participate in the Plan must be in writing (</w:t>
      </w:r>
      <w:r>
        <w:rPr>
          <w:rFonts w:ascii="Arial" w:cs="Arial" w:eastAsia="Arial" w:hAnsi="Arial"/>
          <w:sz w:val="19"/>
          <w:szCs w:val="19"/>
          <w:b w:val="1"/>
          <w:bCs w:val="1"/>
          <w:i w:val="1"/>
          <w:iCs w:val="1"/>
          <w:color w:val="auto"/>
        </w:rPr>
        <w:t>“Offer Document”</w:t>
      </w:r>
      <w:r>
        <w:rPr>
          <w:rFonts w:ascii="Arial" w:cs="Arial" w:eastAsia="Arial" w:hAnsi="Arial"/>
          <w:sz w:val="19"/>
          <w:szCs w:val="19"/>
          <w:color w:val="auto"/>
        </w:rPr>
        <w:t>) and must include or be accompanied by a copy of the rules of the Plan (or a summary). If a summary of the Plan is provided with the Offer, the Offer Document must include an undertaking that, during the period (</w:t>
      </w:r>
      <w:r>
        <w:rPr>
          <w:rFonts w:ascii="Arial" w:cs="Arial" w:eastAsia="Arial" w:hAnsi="Arial"/>
          <w:sz w:val="19"/>
          <w:szCs w:val="19"/>
          <w:b w:val="1"/>
          <w:bCs w:val="1"/>
          <w:i w:val="1"/>
          <w:iCs w:val="1"/>
          <w:color w:val="auto"/>
        </w:rPr>
        <w:t>“Offer Period”</w:t>
      </w:r>
      <w:r>
        <w:rPr>
          <w:rFonts w:ascii="Arial" w:cs="Arial" w:eastAsia="Arial" w:hAnsi="Arial"/>
          <w:sz w:val="19"/>
          <w:szCs w:val="19"/>
          <w:color w:val="auto"/>
        </w:rPr>
        <w:t>) in which Restricted Stock Units may be granted or Shares may be acquired under the Plan, the Company or its Subsidiary will, within a reasonable time of an Australian Offeree so requesting, provide the Australian Offeree with a copy of the rules of the Plan, without charge. The Company must take reasonable steps to ensure that any Australian Offeree to whom an Offer is made is given a copy of the Offer Document.</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13</w:t>
      </w:r>
    </w:p>
    <w:p>
      <w:pPr>
        <w:sectPr>
          <w:pgSz w:w="11900" w:h="16838" w:orient="portrait"/>
          <w:cols w:equalWidth="0" w:num="1">
            <w:col w:w="11420"/>
          </w:cols>
          <w:pgMar w:left="240" w:top="510" w:right="239" w:bottom="1440" w:gutter="0" w:footer="0" w:header="0"/>
        </w:sectPr>
      </w:pPr>
    </w:p>
    <w:bookmarkStart w:id="71" w:name="page72"/>
    <w:bookmarkEnd w:id="71"/>
    <w:p>
      <w:pPr>
        <w:jc w:val="both"/>
        <w:spacing w:after="0" w:line="253" w:lineRule="auto"/>
        <w:rPr>
          <w:sz w:val="20"/>
          <w:szCs w:val="20"/>
          <w:color w:val="auto"/>
        </w:rPr>
      </w:pPr>
      <w:r>
        <w:rPr>
          <w:rFonts w:ascii="Arial" w:cs="Arial" w:eastAsia="Arial" w:hAnsi="Arial"/>
          <w:sz w:val="22"/>
          <w:szCs w:val="22"/>
          <w:color w:val="auto"/>
        </w:rPr>
        <w:t>Further, the Offer Document must include a statement to the effect that any advice given by the person in connection with the Offer is general advice only, and that employees should consider obtaining their own financial product advice from an independent person who is licensed by ASIC to give such advice.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6.2AUSTRALIAN DOLLAR EQUIVALENT OF RESTRICTED STOCK UNIT ISSUE PRICE</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For the Offer of Restricted Stock Units, the Offer Document must specify the Australian dollar equivalent of the issue price of the underlying Shares, the subject of the Offer Document (</w:t>
      </w:r>
      <w:r>
        <w:rPr>
          <w:rFonts w:ascii="Arial" w:cs="Arial" w:eastAsia="Arial" w:hAnsi="Arial"/>
          <w:sz w:val="22"/>
          <w:szCs w:val="22"/>
          <w:b w:val="1"/>
          <w:bCs w:val="1"/>
          <w:i w:val="1"/>
          <w:iCs w:val="1"/>
          <w:color w:val="auto"/>
        </w:rPr>
        <w:t>“Issue Price”</w:t>
      </w:r>
      <w:r>
        <w:rPr>
          <w:rFonts w:ascii="Arial" w:cs="Arial" w:eastAsia="Arial" w:hAnsi="Arial"/>
          <w:sz w:val="22"/>
          <w:szCs w:val="22"/>
          <w:color w:val="auto"/>
        </w:rPr>
        <w:t>), if any, as at the date of the Offer.</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6.3</w:t>
        <w:tab/>
        <w:t>UPDATED PRICING INFORMATION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Offer Document must include an undertaking by the Company that, and an explanation of the way in which, the Company or its Subsidiary will (during the Offer Period and within a reasonable period of an Australian Offeree so requesting) make available to the Australian Offeree the following information:</w:t>
      </w:r>
    </w:p>
    <w:p>
      <w:pPr>
        <w:spacing w:after="0" w:line="186" w:lineRule="exact"/>
        <w:rPr>
          <w:sz w:val="20"/>
          <w:szCs w:val="20"/>
          <w:color w:val="auto"/>
        </w:rPr>
      </w:pPr>
    </w:p>
    <w:p>
      <w:pPr>
        <w:ind w:left="1820" w:firstLine="1294"/>
        <w:spacing w:after="0" w:line="263" w:lineRule="auto"/>
        <w:tabs>
          <w:tab w:leader="none" w:pos="358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Australian dollar equivalent of the current Fair Market Value of Share as at the date of the Australian Offeree’s request; and</w:t>
      </w:r>
    </w:p>
    <w:p>
      <w:pPr>
        <w:spacing w:after="0" w:line="175" w:lineRule="exact"/>
        <w:rPr>
          <w:sz w:val="20"/>
          <w:szCs w:val="20"/>
          <w:color w:val="auto"/>
        </w:rPr>
      </w:pPr>
    </w:p>
    <w:p>
      <w:pPr>
        <w:ind w:left="1820" w:right="20" w:firstLine="1296"/>
        <w:spacing w:after="0" w:line="263" w:lineRule="auto"/>
        <w:rPr>
          <w:sz w:val="20"/>
          <w:szCs w:val="20"/>
          <w:color w:val="auto"/>
        </w:rPr>
      </w:pPr>
      <w:r>
        <w:rPr>
          <w:rFonts w:ascii="Arial" w:cs="Arial" w:eastAsia="Arial" w:hAnsi="Arial"/>
          <w:sz w:val="22"/>
          <w:szCs w:val="22"/>
          <w:color w:val="auto"/>
        </w:rPr>
        <w:t>(b) the Australian dollar equivalent of the Issue Price, if any, as at the date of the Australian Offeree’s request.</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For the purposes of this clause 6.3 and as defined in Section 2 of the U.S. Plan, the current Fair Market Value of a Share shall be determined as follows:</w:t>
      </w:r>
    </w:p>
    <w:p>
      <w:pPr>
        <w:spacing w:after="0" w:line="175" w:lineRule="exact"/>
        <w:rPr>
          <w:sz w:val="20"/>
          <w:szCs w:val="20"/>
          <w:color w:val="auto"/>
        </w:rPr>
      </w:pPr>
    </w:p>
    <w:p>
      <w:pPr>
        <w:ind w:left="3380" w:hanging="414"/>
        <w:spacing w:after="0"/>
        <w:tabs>
          <w:tab w:leader="none" w:pos="33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good faith by the Plan Administrator; or</w:t>
      </w:r>
    </w:p>
    <w:p>
      <w:pPr>
        <w:spacing w:after="0" w:line="219" w:lineRule="exact"/>
        <w:rPr>
          <w:rFonts w:ascii="Arial" w:cs="Arial" w:eastAsia="Arial" w:hAnsi="Arial"/>
          <w:sz w:val="22"/>
          <w:szCs w:val="22"/>
          <w:color w:val="auto"/>
        </w:rPr>
      </w:pPr>
    </w:p>
    <w:p>
      <w:pPr>
        <w:ind w:left="1820" w:right="20" w:firstLine="1146"/>
        <w:spacing w:after="0" w:line="343" w:lineRule="auto"/>
        <w:tabs>
          <w:tab w:leader="none" w:pos="35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the Common Stock is listed on the NASDAQ Global Select Market, the closing sales price for the Common Stock as reported by the NASDAQ Global Select Market for a single trading day; or</w:t>
      </w:r>
    </w:p>
    <w:p>
      <w:pPr>
        <w:spacing w:after="0" w:line="104" w:lineRule="exact"/>
        <w:rPr>
          <w:rFonts w:ascii="Arial" w:cs="Arial" w:eastAsia="Arial" w:hAnsi="Arial"/>
          <w:sz w:val="19"/>
          <w:szCs w:val="19"/>
          <w:color w:val="auto"/>
        </w:rPr>
      </w:pPr>
    </w:p>
    <w:p>
      <w:pPr>
        <w:jc w:val="both"/>
        <w:ind w:left="1820" w:firstLine="1146"/>
        <w:spacing w:after="0" w:line="253" w:lineRule="auto"/>
        <w:tabs>
          <w:tab w:leader="none" w:pos="3582"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the Common Stock is listed on the New York Stock Exchange or the American Stock Exchange, the closing sales price for the Common Stock as such price is officially quoted in the composite tape of transactions on such exchange for a single trading day.</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For methods (ii) and (iii), if there is no such reported price for the Common Stock for the date in question, then such price on the last preceding date for which such price exists shall be determinative of Fair Market Value.</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Please note that for Australian tax purposes, market value is defined differently, as described in the applicable Offer Document or tax summary.</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14</w:t>
      </w:r>
    </w:p>
    <w:p>
      <w:pPr>
        <w:sectPr>
          <w:pgSz w:w="11900" w:h="16838" w:orient="portrait"/>
          <w:cols w:equalWidth="0" w:num="1">
            <w:col w:w="11420"/>
          </w:cols>
          <w:pgMar w:left="240" w:top="510"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22"/>
          <w:szCs w:val="22"/>
          <w:b w:val="1"/>
          <w:bCs w:val="1"/>
          <w:color w:val="auto"/>
        </w:rPr>
        <w:t>6.4EXCHANGE RATE FOR AUSTRALIA DOLLAR EQUIVALENT OF ISSUE PRICE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purposes of clauses 6.2 and 6.3, the Australian dollar equivalent of the Issue Price and current Fair Market Value of a Share shall be calculated by reference to the Australian/U.S. dollar exchange rate published by an Australian bank no earlier than on the previous business day.</w:t>
      </w:r>
    </w:p>
    <w:p>
      <w:pPr>
        <w:spacing w:after="0" w:line="39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LOAN OR FINANCIAL ASSISTANCE</w:t>
      </w:r>
    </w:p>
    <w:p>
      <w:pPr>
        <w:spacing w:after="0" w:line="23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the Company or Subsidiary offers an Australian Offeree any loan or other financial assistance for the purpose of acquiring the Shares to which the Offer relates, the Offer Document must disclose the conditions, obligations and risks associated with such loan or financial assistance.</w:t>
      </w:r>
    </w:p>
    <w:p>
      <w:pPr>
        <w:spacing w:after="0" w:line="18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 ON CAPITAL RAISING: 5% LIMIT</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the case of any Offer that will involve the issue of Shares or a right to acquire Shares, including Restricted Stock Units, the number of Shares that are the subject of the Offer under the Plan when aggregated with:</w:t>
      </w:r>
    </w:p>
    <w:p>
      <w:pPr>
        <w:spacing w:after="0" w:line="175" w:lineRule="exact"/>
        <w:rPr>
          <w:sz w:val="20"/>
          <w:szCs w:val="20"/>
          <w:color w:val="auto"/>
        </w:rPr>
      </w:pPr>
    </w:p>
    <w:p>
      <w:pPr>
        <w:jc w:val="both"/>
        <w:ind w:left="1300" w:right="20" w:hanging="644"/>
        <w:spacing w:after="0" w:line="253" w:lineRule="auto"/>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number of Shares in the same class which would be issued to Australian Offerees were each outstanding Offer of Shares or Restricted Stock Units under the Plan or any other employee share scheme of the Company, to be accepted; and</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number of Shares in the same class issued during the previous five years pursuant to the Plan or any other employee share scheme extended only to employees or directors of the Company and of its Associated Bodies Corporate;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but not including any Offer made or Shares issued by way of or as a result of:</w:t>
      </w:r>
    </w:p>
    <w:p>
      <w:pPr>
        <w:spacing w:after="0" w:line="22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 offer or invitation to a person situated at the time of receipt of the offer or invitation outside Australia; or</w:t>
      </w:r>
    </w:p>
    <w:p>
      <w:pPr>
        <w:spacing w:after="0" w:line="231"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 offer that was an excluded offer or invitation within the meaning of the </w:t>
      </w:r>
      <w:r>
        <w:rPr>
          <w:rFonts w:ascii="Arial" w:cs="Arial" w:eastAsia="Arial" w:hAnsi="Arial"/>
          <w:sz w:val="22"/>
          <w:szCs w:val="22"/>
          <w:i w:val="1"/>
          <w:iCs w:val="1"/>
          <w:color w:val="auto"/>
        </w:rPr>
        <w:t>Corporations Act</w:t>
      </w:r>
      <w:r>
        <w:rPr>
          <w:rFonts w:ascii="Arial" w:cs="Arial" w:eastAsia="Arial" w:hAnsi="Arial"/>
          <w:sz w:val="22"/>
          <w:szCs w:val="22"/>
          <w:color w:val="auto"/>
        </w:rPr>
        <w:t xml:space="preserve"> 2001 as it existed prior to 13 March 2000;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an offer that did not need disclosure to investors because of section 708 of the </w:t>
      </w:r>
      <w:r>
        <w:rPr>
          <w:rFonts w:ascii="Arial" w:cs="Arial" w:eastAsia="Arial" w:hAnsi="Arial"/>
          <w:sz w:val="21"/>
          <w:szCs w:val="21"/>
          <w:i w:val="1"/>
          <w:iCs w:val="1"/>
          <w:color w:val="auto"/>
        </w:rPr>
        <w:t>Corporations Act</w:t>
      </w:r>
      <w:r>
        <w:rPr>
          <w:rFonts w:ascii="Arial" w:cs="Arial" w:eastAsia="Arial" w:hAnsi="Arial"/>
          <w:sz w:val="21"/>
          <w:szCs w:val="21"/>
          <w:color w:val="auto"/>
        </w:rPr>
        <w:t xml:space="preserve"> 2001; or</w:t>
      </w:r>
    </w:p>
    <w:p>
      <w:pPr>
        <w:spacing w:after="0" w:line="231" w:lineRule="exact"/>
        <w:rPr>
          <w:rFonts w:ascii="Arial" w:cs="Arial" w:eastAsia="Arial" w:hAnsi="Arial"/>
          <w:sz w:val="21"/>
          <w:szCs w:val="21"/>
          <w:color w:val="auto"/>
        </w:rPr>
      </w:pPr>
    </w:p>
    <w:p>
      <w:pPr>
        <w:ind w:left="1300" w:right="20" w:hanging="644"/>
        <w:spacing w:after="0" w:line="263" w:lineRule="auto"/>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 offer that did not require a Product Disclosure Statement because of section 1012D of the </w:t>
      </w:r>
      <w:r>
        <w:rPr>
          <w:rFonts w:ascii="Arial" w:cs="Arial" w:eastAsia="Arial" w:hAnsi="Arial"/>
          <w:sz w:val="22"/>
          <w:szCs w:val="22"/>
          <w:i w:val="1"/>
          <w:iCs w:val="1"/>
          <w:color w:val="auto"/>
        </w:rPr>
        <w:t>Corporations Act</w:t>
      </w:r>
      <w:r>
        <w:rPr>
          <w:rFonts w:ascii="Arial" w:cs="Arial" w:eastAsia="Arial" w:hAnsi="Arial"/>
          <w:sz w:val="22"/>
          <w:szCs w:val="22"/>
          <w:color w:val="auto"/>
        </w:rPr>
        <w:t xml:space="preserve"> 2001; 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(v)an offer made under a disclosure document or a Product Disclosure Statement,</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15</w:t>
      </w:r>
    </w:p>
    <w:p>
      <w:pPr>
        <w:sectPr>
          <w:pgSz w:w="11900" w:h="16838" w:orient="portrait"/>
          <w:cols w:equalWidth="0" w:num="1">
            <w:col w:w="11420"/>
          </w:cols>
          <w:pgMar w:left="240" w:top="504"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must not exceed 5% of the total number of issued Shares in the same class as at the time of the Offer.</w:t>
      </w:r>
    </w:p>
    <w:p>
      <w:pPr>
        <w:spacing w:after="0" w:line="21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LODGING OFFER DOCUMENTS WITH ASIC</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copy of the Offer Document (which need not contain details of the Offer particular to the Australian Offeree such as the identity or entitlement of the Australian Offeree) and each accompanying document must be filed with ASIC not later than seven days after the first distribution of such documents to an Australian Offeree.</w:t>
      </w:r>
    </w:p>
    <w:p>
      <w:pPr>
        <w:spacing w:after="0" w:line="18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UNDERTAKINGS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Company or Subsidiary must comply with any undertaking required to be made in the Offer Document by reason of the Class Order, including the undertaking to provide updated pricing information on request.</w:t>
      </w:r>
    </w:p>
    <w:p>
      <w:pPr>
        <w:spacing w:after="0" w:line="169" w:lineRule="exact"/>
        <w:rPr>
          <w:sz w:val="20"/>
          <w:szCs w:val="20"/>
          <w:color w:val="auto"/>
        </w:rPr>
      </w:pPr>
    </w:p>
    <w:p>
      <w:pPr>
        <w:ind w:left="5820"/>
        <w:spacing w:after="0"/>
        <w:tabs>
          <w:tab w:leader="none" w:pos="6120" w:val="left"/>
          <w:tab w:leader="none" w:pos="6460" w:val="left"/>
          <w:tab w:leader="none" w:pos="6780" w:val="left"/>
          <w:tab w:leader="none" w:pos="7100" w:val="left"/>
          <w:tab w:leader="none" w:pos="7420" w:val="left"/>
        </w:tabs>
        <w:rPr>
          <w:sz w:val="20"/>
          <w:szCs w:val="20"/>
          <w:color w:val="auto"/>
        </w:rPr>
      </w:pPr>
      <w:r>
        <w:rPr>
          <w:rFonts w:ascii="Arial" w:cs="Arial" w:eastAsia="Arial" w:hAnsi="Arial"/>
          <w:sz w:val="22"/>
          <w:szCs w:val="22"/>
          <w:b w:val="1"/>
          <w:bCs w:val="1"/>
          <w:color w:val="auto"/>
        </w:rPr>
        <w:t>*</w:t>
        <w:tab/>
        <w:t>*</w:t>
        <w:tab/>
        <w:t>*</w:t>
        <w:tab/>
        <w:t>*</w:t>
        <w:tab/>
        <w:t>*</w:t>
        <w:tab/>
        <w:t>*</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16</w:t>
      </w:r>
    </w:p>
    <w:p>
      <w:pPr>
        <w:sectPr>
          <w:pgSz w:w="11900" w:h="16838" w:orient="portrait"/>
          <w:cols w:equalWidth="0" w:num="1">
            <w:col w:w="11420"/>
          </w:cols>
          <w:pgMar w:left="240" w:top="51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u w:val="single" w:color="auto"/>
          <w:color w:val="auto"/>
        </w:rPr>
        <w:t>Annex 2 to Australia Section of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OFFER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OF RESTRICTED STOCK UNITS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Investment in shares involves a degree of risk. Employees who elect to participate in the Itron, Inc. 2010 Stock Incentive Plan should monitor their participation and consider all risk factors relevant to the purchase of shares of Itron, Inc. common stock under the Itron, Inc. 2010 Stock Incentive Plan as set out in this Offer Document and the attached documents.</w:t>
      </w:r>
    </w:p>
    <w:p>
      <w:pPr>
        <w:spacing w:after="0" w:line="18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The information contained in this Offer Document and the additional documents is general information only. It is not advice or information specific to your particular circumstances.</w:t>
      </w:r>
    </w:p>
    <w:p>
      <w:pPr>
        <w:spacing w:after="0" w:line="162" w:lineRule="exact"/>
        <w:rPr>
          <w:sz w:val="20"/>
          <w:szCs w:val="20"/>
          <w:color w:val="auto"/>
        </w:rPr>
      </w:pPr>
    </w:p>
    <w:p>
      <w:pPr>
        <w:ind w:right="60"/>
        <w:spacing w:after="0" w:line="293" w:lineRule="auto"/>
        <w:rPr>
          <w:sz w:val="20"/>
          <w:szCs w:val="20"/>
          <w:color w:val="auto"/>
        </w:rPr>
      </w:pPr>
      <w:r>
        <w:rPr>
          <w:rFonts w:ascii="Arial" w:cs="Arial" w:eastAsia="Arial" w:hAnsi="Arial"/>
          <w:sz w:val="21"/>
          <w:szCs w:val="21"/>
          <w:b w:val="1"/>
          <w:bCs w:val="1"/>
          <w:color w:val="auto"/>
        </w:rPr>
        <w:t>Employees should consider obtaining their own financial product advice from an independent person who is licensed by the Australian Securities and Investments Commission to give advice about participation in the Plan.</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17</w:t>
      </w:r>
    </w:p>
    <w:p>
      <w:pPr>
        <w:sectPr>
          <w:pgSz w:w="11900" w:h="16838" w:orient="portrait"/>
          <w:cols w:equalWidth="0" w:num="1">
            <w:col w:w="11420"/>
          </w:cols>
          <w:pgMar w:left="240" w:top="504"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b w:val="1"/>
          <w:bCs w:val="1"/>
          <w:color w:val="auto"/>
        </w:rPr>
        <w:t>OFFER OF RESTRICTED STOCK UNITS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AUSTRALIAN RESIDENT EMPLOYEES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INCENTIVE PLAN</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pleased to provide you with this offer to participate in the Itron, Inc. 2010 Stock Incentive Plan, as amended from time to time (the “</w:t>
      </w:r>
      <w:r>
        <w:rPr>
          <w:rFonts w:ascii="Arial" w:cs="Arial" w:eastAsia="Arial" w:hAnsi="Arial"/>
          <w:sz w:val="22"/>
          <w:szCs w:val="22"/>
          <w:b w:val="1"/>
          <w:bCs w:val="1"/>
          <w:i w:val="1"/>
          <w:iCs w:val="1"/>
          <w:color w:val="auto"/>
        </w:rPr>
        <w:t>U.S. Plan</w:t>
      </w:r>
      <w:r>
        <w:rPr>
          <w:rFonts w:ascii="Arial" w:cs="Arial" w:eastAsia="Arial" w:hAnsi="Arial"/>
          <w:sz w:val="22"/>
          <w:szCs w:val="22"/>
          <w:color w:val="auto"/>
        </w:rPr>
        <w:t>”), as supplemented for implementation in Australia by the Australian Addendum. This Offer Document sets out information regarding the grant of Restricted Stock Units over shares of Common Stock of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to Australian resident employees of the Company and its Subsidiaries.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Any capitalized terms not otherwise defined in this Offer Document shall have the definitions set forth in the U.S. Plan and Australian Addendum (collectively,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Company has adopted the U.S. Plan to enhance the long-term shareholder value of the Company by offering opportunities to selected persons to participate in the Company’s growth and success and to encourage such persons to remain in the service of the Company and its Related Corporations and to acquire and maintain stock ownership in the Company.</w:t>
      </w:r>
    </w:p>
    <w:p>
      <w:pPr>
        <w:spacing w:after="0" w:line="128"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OFFER</w:t>
      </w:r>
    </w:p>
    <w:p>
      <w:pPr>
        <w:spacing w:after="0" w:line="266" w:lineRule="exact"/>
        <w:rPr>
          <w:sz w:val="20"/>
          <w:szCs w:val="20"/>
          <w:color w:val="auto"/>
        </w:rPr>
      </w:pPr>
    </w:p>
    <w:p>
      <w:pPr>
        <w:ind w:left="60"/>
        <w:spacing w:after="0" w:line="263" w:lineRule="auto"/>
        <w:rPr>
          <w:sz w:val="20"/>
          <w:szCs w:val="20"/>
          <w:color w:val="auto"/>
        </w:rPr>
      </w:pPr>
      <w:r>
        <w:rPr>
          <w:rFonts w:ascii="Arial" w:cs="Arial" w:eastAsia="Arial" w:hAnsi="Arial"/>
          <w:sz w:val="22"/>
          <w:szCs w:val="22"/>
          <w:color w:val="auto"/>
        </w:rPr>
        <w:t>This is an Offer of Restricted Stock Units, as may be granted from time to time by the Company, to certain eligible employees of the Company and its Subsidiaries in accordance with the Plan.</w:t>
      </w:r>
    </w:p>
    <w:p>
      <w:pPr>
        <w:spacing w:after="0" w:line="209"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TERMS OF GRANT</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terms of the grant of the Restricted Stock Units are contained in the Plan, this Offer Document and the Restricted Stock Unit Award Notice and Agreement, including the country-specific Appendix thereto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By accepting the Restricted Stock Units, you will be bound by the rules of the Plan, this Offer Document and the Agreement.</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U.S. Plan is supplemented by the terms of the Australian Addendum to ensure that the Plan will comply with ASIC Class Order 03/184. If there is any inconsistency between the Offer Document or the Australian Addendum and any Additional Documents (as defined below), the terms of the Offer Document and the Australian Addendum will prevail to the extent of the inconsistency.</w:t>
      </w:r>
    </w:p>
    <w:p>
      <w:pPr>
        <w:spacing w:after="0" w:line="223"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DOCUMENTS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the information set out in this Offer Document, you are being provided with copies of the following documents:</w:t>
      </w:r>
    </w:p>
    <w:p>
      <w:pPr>
        <w:spacing w:after="0" w:line="295" w:lineRule="exact"/>
        <w:rPr>
          <w:sz w:val="20"/>
          <w:szCs w:val="20"/>
          <w:color w:val="auto"/>
        </w:rPr>
      </w:pPr>
    </w:p>
    <w:p>
      <w:pPr>
        <w:ind w:left="880" w:hanging="548"/>
        <w:spacing w:after="0"/>
        <w:tabs>
          <w:tab w:leader="none" w:pos="8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U.S. Plan;</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18</w:t>
      </w:r>
    </w:p>
    <w:p>
      <w:pPr>
        <w:sectPr>
          <w:pgSz w:w="11900" w:h="16838" w:orient="portrait"/>
          <w:cols w:equalWidth="0" w:num="1">
            <w:col w:w="11420"/>
          </w:cols>
          <w:pgMar w:left="240" w:top="504" w:right="239" w:bottom="1440" w:gutter="0" w:footer="0" w:header="0"/>
        </w:sectPr>
      </w:pPr>
    </w:p>
    <w:bookmarkStart w:id="76" w:name="page77"/>
    <w:bookmarkEnd w:id="76"/>
    <w:p>
      <w:pPr>
        <w:ind w:left="880" w:hanging="548"/>
        <w:spacing w:after="0"/>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U.S. Plan Prospectus;</w:t>
      </w:r>
    </w:p>
    <w:p>
      <w:pPr>
        <w:spacing w:after="0" w:line="260" w:lineRule="exact"/>
        <w:rPr>
          <w:rFonts w:ascii="Arial" w:cs="Arial" w:eastAsia="Arial" w:hAnsi="Arial"/>
          <w:sz w:val="22"/>
          <w:szCs w:val="22"/>
          <w:color w:val="auto"/>
        </w:rPr>
      </w:pPr>
    </w:p>
    <w:p>
      <w:pPr>
        <w:ind w:left="860" w:hanging="528"/>
        <w:spacing w:after="0"/>
        <w:tabs>
          <w:tab w:leader="none" w:pos="8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Australian Addendum;</w:t>
      </w:r>
    </w:p>
    <w:p>
      <w:pPr>
        <w:spacing w:after="0" w:line="260" w:lineRule="exact"/>
        <w:rPr>
          <w:rFonts w:ascii="Arial" w:cs="Arial" w:eastAsia="Arial" w:hAnsi="Arial"/>
          <w:sz w:val="22"/>
          <w:szCs w:val="22"/>
          <w:color w:val="auto"/>
        </w:rPr>
      </w:pPr>
    </w:p>
    <w:p>
      <w:pPr>
        <w:ind w:left="860" w:hanging="528"/>
        <w:spacing w:after="0"/>
        <w:tabs>
          <w:tab w:leader="none" w:pos="8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Agreement; and</w:t>
      </w:r>
    </w:p>
    <w:p>
      <w:pPr>
        <w:spacing w:after="0" w:line="260" w:lineRule="exact"/>
        <w:rPr>
          <w:rFonts w:ascii="Arial" w:cs="Arial" w:eastAsia="Arial" w:hAnsi="Arial"/>
          <w:sz w:val="22"/>
          <w:szCs w:val="22"/>
          <w:color w:val="auto"/>
        </w:rPr>
      </w:pPr>
    </w:p>
    <w:p>
      <w:pPr>
        <w:ind w:left="980" w:hanging="648"/>
        <w:spacing w:after="0"/>
        <w:tabs>
          <w:tab w:leader="none" w:pos="9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Restricted Stock Units - Employee Information Supplement for Australia (“</w:t>
      </w:r>
      <w:r>
        <w:rPr>
          <w:rFonts w:ascii="Arial" w:cs="Arial" w:eastAsia="Arial" w:hAnsi="Arial"/>
          <w:sz w:val="22"/>
          <w:szCs w:val="22"/>
          <w:b w:val="1"/>
          <w:bCs w:val="1"/>
          <w:i w:val="1"/>
          <w:iCs w:val="1"/>
          <w:color w:val="auto"/>
        </w:rPr>
        <w:t>Tax Summary</w:t>
      </w: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(collectively, the “</w:t>
      </w:r>
      <w:r>
        <w:rPr>
          <w:rFonts w:ascii="Arial" w:cs="Arial" w:eastAsia="Arial" w:hAnsi="Arial"/>
          <w:sz w:val="22"/>
          <w:szCs w:val="22"/>
          <w:b w:val="1"/>
          <w:bCs w:val="1"/>
          <w:i w:val="1"/>
          <w:iCs w:val="1"/>
          <w:color w:val="auto"/>
        </w:rPr>
        <w:t>Additional Documents</w:t>
      </w:r>
      <w:r>
        <w:rPr>
          <w:rFonts w:ascii="Arial" w:cs="Arial" w:eastAsia="Arial" w:hAnsi="Arial"/>
          <w:sz w:val="22"/>
          <w:szCs w:val="22"/>
          <w:color w:val="auto"/>
        </w:rPr>
        <w:t>”).</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Plan and the Agreement set out, among other details, the nature of your grant of Restricted Stock Units and the consequences of a change in the nature or status of your employment.</w:t>
      </w:r>
    </w:p>
    <w:p>
      <w:pPr>
        <w:spacing w:after="0" w:line="21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 xml:space="preserve">The Additional Documents provide further information to help you make an informed investment decision in relation to your participation in the Plan. Neither the U.S. Plan nor the U.S. Plan Prospectus is a prospectus for purposes of the Australian </w:t>
      </w:r>
      <w:r>
        <w:rPr>
          <w:rFonts w:ascii="Arial" w:cs="Arial" w:eastAsia="Arial" w:hAnsi="Arial"/>
          <w:sz w:val="22"/>
          <w:szCs w:val="22"/>
          <w:i w:val="1"/>
          <w:iCs w:val="1"/>
          <w:color w:val="auto"/>
        </w:rPr>
        <w:t xml:space="preserve">Corporations Act 2001 </w:t>
      </w:r>
      <w:r>
        <w:rPr>
          <w:rFonts w:ascii="Arial" w:cs="Arial" w:eastAsia="Arial" w:hAnsi="Arial"/>
          <w:sz w:val="22"/>
          <w:szCs w:val="22"/>
          <w:color w:val="auto"/>
        </w:rPr>
        <w:t>and neither has been modified to reflect the Australian Addendum.</w:t>
      </w:r>
    </w:p>
    <w:p>
      <w:pPr>
        <w:spacing w:after="0" w:line="22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RELIANCE ON STATEMENTS</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39"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ACCEPTING AN AWARD</w:t>
      </w:r>
    </w:p>
    <w:p>
      <w:pPr>
        <w:spacing w:after="0" w:line="2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Agreement sets out the key details of your Restricted Stock Units and what, if anything, you must do to accept the grant of the Restricted Stock Units.</w:t>
      </w:r>
    </w:p>
    <w:p>
      <w:pPr>
        <w:spacing w:after="0" w:line="209"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WHAT ARE THE MATERIAL TERMS OF THE RESTRICTED STOCK UNITS?</w:t>
      </w:r>
    </w:p>
    <w:p>
      <w:pPr>
        <w:spacing w:after="0" w:line="26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b w:val="1"/>
          <w:bCs w:val="1"/>
          <w:color w:val="auto"/>
        </w:rPr>
        <w:t>What are Restricted Stock Units?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Restricted Stock Units represent the right to receive Shares upon fulfilment of the vesting conditions set out in your Agreement. The Restricted Stock Units are considered “restricted” because they will be subject to forfeiture and restrictions on transfer until they vest.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When your Restricted Stock Units vest, you will be issued Shares. No Australian Offeree is granted a right to have Restricted Stock Units paid in cash.</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19</w:t>
      </w:r>
    </w:p>
    <w:p>
      <w:pPr>
        <w:sectPr>
          <w:pgSz w:w="11900" w:h="16838" w:orient="portrait"/>
          <w:cols w:equalWidth="0" w:num="1">
            <w:col w:w="11420"/>
          </w:cols>
          <w:pgMar w:left="240" w:top="510" w:right="239" w:bottom="1440" w:gutter="0" w:footer="0" w:header="0"/>
        </w:sectPr>
      </w:pPr>
    </w:p>
    <w:bookmarkStart w:id="77" w:name="page78"/>
    <w:bookmarkEnd w:id="77"/>
    <w:p>
      <w:pPr>
        <w:ind w:left="1540" w:hanging="884"/>
        <w:spacing w:after="0"/>
        <w:tabs>
          <w:tab w:leader="none" w:pos="15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Do I have to pay any money to receive the Restricted Stock Units?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pay no monetary consideration to receive the Restricted Stock Units, nor do you pay any price to receive the Shares upon vesting (however, you will be required to pay applicable taxes in connection with the Restricted Stock Units, as discussed in the Tax Summary).</w:t>
      </w:r>
    </w:p>
    <w:p>
      <w:pPr>
        <w:spacing w:after="0" w:line="180" w:lineRule="exact"/>
        <w:rPr>
          <w:sz w:val="20"/>
          <w:szCs w:val="20"/>
          <w:color w:val="auto"/>
        </w:rPr>
      </w:pPr>
    </w:p>
    <w:p>
      <w:pPr>
        <w:ind w:left="1700" w:hanging="1044"/>
        <w:spacing w:after="0"/>
        <w:tabs>
          <w:tab w:leader="none" w:pos="17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How many Shares will I receive upon vesting of my Restricted Stock Units?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details of your Restricted Stock Units and number of Shares subject to the Restricted Stock Units are set out in the Agreement.</w:t>
      </w:r>
    </w:p>
    <w:p>
      <w:pPr>
        <w:spacing w:after="0" w:line="28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(d)</w:t>
      </w:r>
      <w:r>
        <w:rPr>
          <w:sz w:val="20"/>
          <w:szCs w:val="20"/>
          <w:color w:val="auto"/>
        </w:rPr>
        <w:tab/>
      </w:r>
      <w:r>
        <w:rPr>
          <w:rFonts w:ascii="Arial" w:cs="Arial" w:eastAsia="Arial" w:hAnsi="Arial"/>
          <w:sz w:val="19"/>
          <w:szCs w:val="19"/>
          <w:b w:val="1"/>
          <w:bCs w:val="1"/>
          <w:color w:val="auto"/>
        </w:rPr>
        <w:t>When do I become a stockholder?</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are not a stockholder merely as a result of holding Restricted Stock Units and the Restricted Stock Units will not entitle you to vote or receive dividends, notices of stockholder meetings, proxy statements and other materials provided to stockholders until the restrictions lapse, at which time the Restricted Stock Units vest and will be paid out in Shares. You are not recorded as the owner of the Shares prior to vesting.</w:t>
      </w:r>
    </w:p>
    <w:p>
      <w:pPr>
        <w:spacing w:after="0" w:line="22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b w:val="1"/>
          <w:bCs w:val="1"/>
          <w:color w:val="auto"/>
        </w:rPr>
        <w:t>(e)</w:t>
      </w:r>
      <w:r>
        <w:rPr>
          <w:sz w:val="20"/>
          <w:szCs w:val="20"/>
          <w:color w:val="auto"/>
        </w:rPr>
        <w:tab/>
      </w:r>
      <w:r>
        <w:rPr>
          <w:rFonts w:ascii="Arial" w:cs="Arial" w:eastAsia="Arial" w:hAnsi="Arial"/>
          <w:sz w:val="19"/>
          <w:szCs w:val="19"/>
          <w:b w:val="1"/>
          <w:bCs w:val="1"/>
          <w:color w:val="auto"/>
        </w:rPr>
        <w:t>Can I transfer the Restricted Stock Units to someone else?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Restricted Stock Units are non-transferable until they vest; however, once Shares are issued upon vesting, the Shares will be freely tradeable (subject to Company policies and applicable laws regarding insider trading). Also, please note the possible disclosure obligations described below in Section 9.</w:t>
      </w:r>
    </w:p>
    <w:p>
      <w:pPr>
        <w:spacing w:after="0" w:line="22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WHAT IS A SHARE OF COMMON STOCK IN THE COMPANY?</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Common stock of a U.S. corporation is analogous to ordinary shares of an Australian corporation. Each holder of Common Stock is entitled to one vote for every share of Common Stock held in the Company.</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Dividends may be paid on the shares of Common Stock out of any funds of the Company legally available for dividends at the discretion of the board of directors of the Company.</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Shares are traded on the NASDAQ Global Select Market in the United States of America and are traded under the symbol “ITRI.”</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Shares are not liable to any further calls for payment of capital or for other assessment by the Company and have no sinking fund provisions, pre-emptive rights, conversion rights or redemption provisions.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20</w:t>
      </w:r>
    </w:p>
    <w:p>
      <w:pPr>
        <w:sectPr>
          <w:pgSz w:w="11900" w:h="16838" w:orient="portrait"/>
          <w:cols w:equalWidth="0" w:num="1">
            <w:col w:w="11420"/>
          </w:cols>
          <w:pgMar w:left="240" w:top="504" w:right="239" w:bottom="1440" w:gutter="0" w:footer="0" w:header="0"/>
        </w:sectPr>
      </w:pPr>
    </w:p>
    <w:bookmarkStart w:id="78" w:name="page79"/>
    <w:bookmarkEnd w:id="78"/>
    <w:p>
      <w:pPr>
        <w:ind w:left="620" w:right="20" w:hanging="612"/>
        <w:spacing w:after="0" w:line="269" w:lineRule="auto"/>
        <w:tabs>
          <w:tab w:leader="none" w:pos="6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HOW CAN I OBTAIN UPDATED INDICATIVE EXAMPLES OF THE CURRENT MARKET PRICE IN AUSTRALIAN DOLLARS?</w:t>
      </w:r>
    </w:p>
    <w:p>
      <w:pPr>
        <w:spacing w:after="0" w:line="16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Within a reasonable period following your request, the Company undertakes to provide you with the Australian dollar equivalent of the current market price of a Share (calculated as at the date of your request). For this purpose, the current market price of a Share shall be taken as the closing sales price for the Common Stock as reported by the NASDAQ Global Select Market on the trading day immediately prior to the date of your request. The Australian dollar equivalent will be calculated using the Australian/U.S. dollar exchange rate published by an Australian bank on the business day immediately prior to the date of your request. </w:t>
      </w:r>
      <w:r>
        <w:rPr>
          <w:rFonts w:ascii="Arial" w:cs="Arial" w:eastAsia="Arial" w:hAnsi="Arial"/>
          <w:sz w:val="19"/>
          <w:szCs w:val="19"/>
          <w:i w:val="1"/>
          <w:iCs w:val="1"/>
          <w:color w:val="auto"/>
        </w:rPr>
        <w:t>This will</w:t>
      </w:r>
      <w:r>
        <w:rPr>
          <w:rFonts w:ascii="Arial" w:cs="Arial" w:eastAsia="Arial" w:hAnsi="Arial"/>
          <w:sz w:val="19"/>
          <w:szCs w:val="19"/>
          <w:color w:val="auto"/>
        </w:rPr>
        <w:t xml:space="preserve"> </w:t>
      </w:r>
      <w:r>
        <w:rPr>
          <w:rFonts w:ascii="Arial" w:cs="Arial" w:eastAsia="Arial" w:hAnsi="Arial"/>
          <w:sz w:val="19"/>
          <w:szCs w:val="19"/>
          <w:i w:val="1"/>
          <w:iCs w:val="1"/>
          <w:color w:val="auto"/>
        </w:rPr>
        <w:t>not be a prediction of actual market value of a Share or the applicable exchange rate on the date the Shares are issued to you.</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You should direct your request to the Itron HR-Helpdesk by emailing </w:t>
      </w:r>
      <w:r>
        <w:rPr>
          <w:rFonts w:ascii="Arial" w:cs="Arial" w:eastAsia="Arial" w:hAnsi="Arial"/>
          <w:sz w:val="22"/>
          <w:szCs w:val="22"/>
          <w:color w:val="auto"/>
          <w:highlight w:val="yellow"/>
        </w:rPr>
        <w:t>HR-Helpdesk@itron.com.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9.WHAT ADDITIONAL RISK FACTORS APPLY TO AUSTRALIAN RESIDENTS' PARTICIPATION IN THE PLAN?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Australian Offerees should have regard to risk factors relevant to investment in securities generally and, in particular, to the holding of Shares. You should be aware that in addition to fluctuations in the Company’s stock price, the value of any Shares issued upon vesting of the Award will be affected by the U.S./Australian dollar exchange rate. Participation in the Plan involves certain risks related to fluctuations in this rate of exchange.</w:t>
      </w:r>
    </w:p>
    <w:p>
      <w:pPr>
        <w:spacing w:after="0" w:line="22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Please note that if you offer your Shares for sale to a person or entity resident in Australia, your offer may be subject to disclosure requirements under Australian law. Please obtain legal advice on your disclosure obligations prior to making any such offer.</w:t>
      </w:r>
    </w:p>
    <w:p>
      <w:pPr>
        <w:spacing w:after="0" w:line="13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PLAN MODIFICATION, TERMINATION ETC.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Board may amend, alter, suspend, discontinue or terminate the Plan, in accordance with the terms of the Plan.</w:t>
      </w:r>
    </w:p>
    <w:p>
      <w:pPr>
        <w:spacing w:after="0" w:line="254"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WHAT ARE THE AUSTRALIAN TAXATION CONSEQUENCES OF PARTICIPATION IN THE PLAN?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Please refer to the Tax Summary, </w:t>
      </w:r>
      <w:r>
        <w:rPr>
          <w:rFonts w:ascii="Arial" w:cs="Arial" w:eastAsia="Arial" w:hAnsi="Arial"/>
          <w:sz w:val="22"/>
          <w:szCs w:val="22"/>
          <w:i w:val="1"/>
          <w:iCs w:val="1"/>
          <w:color w:val="auto"/>
        </w:rPr>
        <w:t>i.e.</w:t>
      </w:r>
      <w:r>
        <w:rPr>
          <w:rFonts w:ascii="Arial" w:cs="Arial" w:eastAsia="Arial" w:hAnsi="Arial"/>
          <w:sz w:val="22"/>
          <w:szCs w:val="22"/>
          <w:color w:val="auto"/>
        </w:rPr>
        <w:t>, item (e) of the Additional Documents.</w:t>
      </w:r>
    </w:p>
    <w:p>
      <w:pPr>
        <w:spacing w:after="0" w:line="254"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WHAT ARE THE U.S. TAXATION CONSEQUENCES OF PARTICIPATION IN THE PLAN?</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Australian Offerees who are not U.S. citizens or U.S. tax residents should not be subject to U.S. tax by reason only of the grant and vesting of the Restricted Stock Units or the sale of Shares. However, liability for U.S. tax may accrue if an Australian Offeree is otherwise subject to U.S. tax.</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21</w:t>
      </w:r>
    </w:p>
    <w:p>
      <w:pPr>
        <w:sectPr>
          <w:pgSz w:w="11900" w:h="16838" w:orient="portrait"/>
          <w:cols w:equalWidth="0" w:num="1">
            <w:col w:w="11420"/>
          </w:cols>
          <w:pgMar w:left="240" w:top="504" w:right="239" w:bottom="1440" w:gutter="0" w:footer="0" w:header="0"/>
        </w:sectPr>
      </w:pPr>
    </w:p>
    <w:bookmarkStart w:id="79" w:name="page80"/>
    <w:bookmarkEnd w:id="79"/>
    <w:p>
      <w:pPr>
        <w:jc w:val="both"/>
        <w:spacing w:after="0" w:line="253" w:lineRule="auto"/>
        <w:rPr>
          <w:sz w:val="20"/>
          <w:szCs w:val="20"/>
          <w:color w:val="auto"/>
        </w:rPr>
      </w:pPr>
      <w:r>
        <w:rPr>
          <w:rFonts w:ascii="Arial" w:cs="Arial" w:eastAsia="Arial" w:hAnsi="Arial"/>
          <w:sz w:val="22"/>
          <w:szCs w:val="22"/>
          <w:color w:val="auto"/>
        </w:rPr>
        <w:t>The above is only an indication of the likely U.S. tax consequences for Australian Offerees who are granted Restricted Stock Units under the Plan. Each Australian Offeree should seek his or her own advice as to the U.S. tax consequences of participation in the Plan.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urge you to carefully review the information contained in this Offer Document and the Additional Documents</w:t>
      </w:r>
      <w:r>
        <w:rPr>
          <w:rFonts w:ascii="Arial" w:cs="Arial" w:eastAsia="Arial" w:hAnsi="Arial"/>
          <w:sz w:val="21"/>
          <w:szCs w:val="21"/>
          <w:color w:val="auto"/>
        </w:rPr>
        <w:t>.</w:t>
      </w:r>
    </w:p>
    <w:p>
      <w:pPr>
        <w:spacing w:after="0" w:line="266" w:lineRule="exact"/>
        <w:rPr>
          <w:sz w:val="20"/>
          <w:szCs w:val="20"/>
          <w:color w:val="auto"/>
        </w:rPr>
      </w:pPr>
    </w:p>
    <w:p>
      <w:pPr>
        <w:ind w:left="1960"/>
        <w:spacing w:after="0"/>
        <w:tabs>
          <w:tab w:leader="none" w:pos="2260" w:val="left"/>
          <w:tab w:leader="none" w:pos="2580" w:val="left"/>
          <w:tab w:leader="none" w:pos="2900" w:val="left"/>
          <w:tab w:leader="none" w:pos="3220" w:val="left"/>
          <w:tab w:leader="none" w:pos="3560" w:val="left"/>
        </w:tabs>
        <w:rPr>
          <w:sz w:val="20"/>
          <w:szCs w:val="20"/>
          <w:color w:val="auto"/>
        </w:rPr>
      </w:pPr>
      <w:r>
        <w:rPr>
          <w:rFonts w:ascii="Arial" w:cs="Arial" w:eastAsia="Arial" w:hAnsi="Arial"/>
          <w:sz w:val="22"/>
          <w:szCs w:val="22"/>
          <w:b w:val="1"/>
          <w:bCs w:val="1"/>
          <w:color w:val="auto"/>
        </w:rPr>
        <w:t>*</w:t>
        <w:tab/>
        <w:t>*</w:t>
        <w:tab/>
        <w:t>*</w:t>
        <w:tab/>
        <w:t>*</w:t>
        <w:tab/>
        <w:t>*</w:t>
        <w:tab/>
        <w:t>*</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22</w:t>
      </w:r>
    </w:p>
    <w:p>
      <w:pPr>
        <w:sectPr>
          <w:pgSz w:w="11900" w:h="16838" w:orient="portrait"/>
          <w:cols w:equalWidth="0" w:num="1">
            <w:col w:w="11420"/>
          </w:cols>
          <w:pgMar w:left="240" w:top="510"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u w:val="single" w:color="auto"/>
          <w:color w:val="auto"/>
        </w:rPr>
        <w:t>AUSTRIA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Consumer Protection Notification</w:t>
      </w:r>
      <w:r>
        <w:rPr>
          <w:rFonts w:ascii="Arial" w:cs="Arial" w:eastAsia="Arial" w:hAnsi="Arial"/>
          <w:sz w:val="22"/>
          <w:szCs w:val="22"/>
          <w:color w:val="auto"/>
        </w:rPr>
        <w:t>. You may be entitled to revoke acceptance of the Award on the basis of the Austrian Consumer</w:t>
      </w:r>
      <w:r>
        <w:rPr>
          <w:rFonts w:ascii="Arial" w:cs="Arial" w:eastAsia="Arial" w:hAnsi="Arial"/>
          <w:sz w:val="22"/>
          <w:szCs w:val="22"/>
          <w:b w:val="1"/>
          <w:bCs w:val="1"/>
          <w:color w:val="auto"/>
        </w:rPr>
        <w:t xml:space="preserve"> </w:t>
      </w:r>
      <w:r>
        <w:rPr>
          <w:rFonts w:ascii="Arial" w:cs="Arial" w:eastAsia="Arial" w:hAnsi="Arial"/>
          <w:sz w:val="22"/>
          <w:szCs w:val="22"/>
          <w:color w:val="auto"/>
        </w:rPr>
        <w:t>Protection Act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under the conditions listed below, if the Act is considered to be applicable to the Agreement and the Plan:</w:t>
      </w:r>
    </w:p>
    <w:p>
      <w:pPr>
        <w:spacing w:after="0" w:line="223" w:lineRule="exact"/>
        <w:rPr>
          <w:sz w:val="20"/>
          <w:szCs w:val="20"/>
          <w:color w:val="auto"/>
        </w:rPr>
      </w:pPr>
    </w:p>
    <w:p>
      <w:pPr>
        <w:ind w:right="20" w:firstLine="8"/>
        <w:spacing w:after="0" w:line="263" w:lineRule="auto"/>
        <w:tabs>
          <w:tab w:leader="none" w:pos="45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you accept the Award outside the business premises of the Company, you may be entitled to revoke your acceptance of the Award, provided the revocation is made within one (1) week after such acceptance of the Award.</w:t>
      </w:r>
    </w:p>
    <w:p>
      <w:pPr>
        <w:spacing w:after="0" w:line="215" w:lineRule="exact"/>
        <w:rPr>
          <w:rFonts w:ascii="Arial" w:cs="Arial" w:eastAsia="Arial" w:hAnsi="Arial"/>
          <w:sz w:val="22"/>
          <w:szCs w:val="22"/>
          <w:color w:val="auto"/>
        </w:rPr>
      </w:pPr>
    </w:p>
    <w:p>
      <w:pPr>
        <w:jc w:val="both"/>
        <w:ind w:firstLine="8"/>
        <w:spacing w:after="0" w:line="253" w:lineRule="auto"/>
        <w:tabs>
          <w:tab w:leader="none" w:pos="6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revocation must be in written form to be valid. It is sufficient if you return the Agreement to the Company or the Company’s representative with language which can be understood as a refusal to conclude or honor the Agreement, provided the revocation is sent within the period discussed above.</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If you hold Shares acquired under the Plan outside of Austria, you must submit a report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Austrian National Bank. An exemption applies if the value of the Shares as of any given quarter does not exceed €30,000,000 or if the value of the Shares in any given year as of December 31 does not exceed €5,000,000. If the former threshold is exceeded, quarterly obligations are imposed, whereas if the latter threshold is exceeded, annual reports must be given. The annual reporting date is December 31 and the deadline for filing the annual report is March 31 of the following year.</w:t>
      </w:r>
    </w:p>
    <w:p>
      <w:pPr>
        <w:spacing w:after="0" w:line="14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 separate reporting requirement applies when you sell Shares acquired under the Plan.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und/odder SI-Verpflichtungen</w:t>
      </w:r>
      <w:r>
        <w:rPr>
          <w:rFonts w:ascii="Arial" w:cs="Arial" w:eastAsia="Arial" w:hAnsi="Arial"/>
          <w:sz w:val="19"/>
          <w:szCs w:val="19"/>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BELGIUM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Tax Reporting Notification</w:t>
      </w:r>
      <w:r>
        <w:rPr>
          <w:rFonts w:ascii="Arial" w:cs="Arial" w:eastAsia="Arial" w:hAnsi="Arial"/>
          <w:sz w:val="22"/>
          <w:szCs w:val="22"/>
          <w:color w:val="auto"/>
        </w:rPr>
        <w:t>. If you are a Belgian resident, you are required to report any bank or brokerage accounts held outside</w:t>
      </w:r>
      <w:r>
        <w:rPr>
          <w:rFonts w:ascii="Arial" w:cs="Arial" w:eastAsia="Arial" w:hAnsi="Arial"/>
          <w:sz w:val="22"/>
          <w:szCs w:val="22"/>
          <w:b w:val="1"/>
          <w:bCs w:val="1"/>
          <w:color w:val="auto"/>
        </w:rPr>
        <w:t xml:space="preserve"> </w:t>
      </w:r>
      <w:r>
        <w:rPr>
          <w:rFonts w:ascii="Arial" w:cs="Arial" w:eastAsia="Arial" w:hAnsi="Arial"/>
          <w:sz w:val="22"/>
          <w:szCs w:val="22"/>
          <w:color w:val="auto"/>
        </w:rPr>
        <w:t>of Belgium on your annual tax return.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23</w:t>
      </w:r>
    </w:p>
    <w:p>
      <w:pPr>
        <w:sectPr>
          <w:pgSz w:w="11900" w:h="16838" w:orient="portrait"/>
          <w:cols w:equalWidth="0" w:num="1">
            <w:col w:w="11420"/>
          </w:cols>
          <w:pgMar w:left="240" w:top="50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u w:val="single" w:color="auto"/>
          <w:color w:val="auto"/>
        </w:rPr>
        <w:t>BRAZIL</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350" w:lineRule="auto"/>
        <w:rPr>
          <w:sz w:val="20"/>
          <w:szCs w:val="20"/>
          <w:color w:val="auto"/>
        </w:rPr>
      </w:pPr>
      <w:r>
        <w:rPr>
          <w:rFonts w:ascii="Arial" w:cs="Arial" w:eastAsia="Arial" w:hAnsi="Arial"/>
          <w:sz w:val="19"/>
          <w:szCs w:val="19"/>
          <w:b w:val="1"/>
          <w:bCs w:val="1"/>
          <w:color w:val="auto"/>
        </w:rPr>
        <w:t>Compliance with the Law</w:t>
      </w:r>
      <w:r>
        <w:rPr>
          <w:rFonts w:ascii="Arial" w:cs="Arial" w:eastAsia="Arial" w:hAnsi="Arial"/>
          <w:sz w:val="19"/>
          <w:szCs w:val="19"/>
          <w:color w:val="auto"/>
        </w:rPr>
        <w:t>. In accepting the grant of the Award, you acknowledge your agreement to comply with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Brazilian laws and to pay any and all applicable tax associated with the Award and the sale of the Shares acquired under the Plan.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If you are a resident or domiciled in Brazil, you will be required to submit an annual declaration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assets and rights held outside of Brazil to the Central Bank of Brazil if the aggregate value of such assets and rights is equal to or greater than US$100,000. Assets and rights that must be reported include Shares acquired under the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CANADA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This provision supplements Section 1 of the Agreement:</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 of the Award does not provide any right for you to receive a cash payment and the Vested Units will be settled in Shares only.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The following provision replaces Section 10(j) of the Agreement:</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earlier of (a) the date on which your employment is terminated, or (b) the date on which you receive a notice of termination;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CHILE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Neither the Company nor Shares acquired under the Plan are registered with the Chilean Registry of</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or under the control of the Chilean Superintendence of Securities.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24</w:t>
      </w:r>
    </w:p>
    <w:p>
      <w:pPr>
        <w:sectPr>
          <w:pgSz w:w="11900" w:h="16838" w:orient="portrait"/>
          <w:cols w:equalWidth="0" w:num="1">
            <w:col w:w="11420"/>
          </w:cols>
          <w:pgMar w:left="240" w:top="504" w:right="239" w:bottom="1440" w:gutter="0" w:footer="0" w:header="0"/>
        </w:sectPr>
      </w:pPr>
    </w:p>
    <w:bookmarkStart w:id="82" w:name="page83"/>
    <w:bookmarkEnd w:id="82"/>
    <w:p>
      <w:pPr>
        <w:jc w:val="both"/>
        <w:spacing w:after="0" w:line="261"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Exchange control reporting requirements may apply if the value of any Shares acquired upon</w:t>
      </w:r>
      <w:r>
        <w:rPr>
          <w:rFonts w:ascii="Arial" w:cs="Arial" w:eastAsia="Arial" w:hAnsi="Arial"/>
          <w:sz w:val="21"/>
          <w:szCs w:val="21"/>
          <w:b w:val="1"/>
          <w:bCs w:val="1"/>
          <w:color w:val="auto"/>
        </w:rPr>
        <w:t xml:space="preserve"> </w:t>
      </w:r>
      <w:r>
        <w:rPr>
          <w:rFonts w:ascii="Arial" w:cs="Arial" w:eastAsia="Arial" w:hAnsi="Arial"/>
          <w:sz w:val="21"/>
          <w:szCs w:val="21"/>
          <w:color w:val="auto"/>
        </w:rPr>
        <w:t>settlement of Vested Units exceeds US$10,000 although it is not clear whether this requirement also applies in the case where no funds are remitted from Chile to acquire the Shares; however, if the Central Bank of Chile considers the acquisition of Shares for no consideration to be an “investment operation” the requirement will apply. In any case, additional reporting requirements will apply your aggregate investments abroad exceed US$5,000,000 at any time in a calendar year. If you repatriate funds related to the Plan (</w:t>
      </w:r>
      <w:r>
        <w:rPr>
          <w:rFonts w:ascii="Arial" w:cs="Arial" w:eastAsia="Arial" w:hAnsi="Arial"/>
          <w:sz w:val="21"/>
          <w:szCs w:val="21"/>
          <w:i w:val="1"/>
          <w:iCs w:val="1"/>
          <w:color w:val="auto"/>
        </w:rPr>
        <w:t>e.g.</w:t>
      </w:r>
      <w:r>
        <w:rPr>
          <w:rFonts w:ascii="Arial" w:cs="Arial" w:eastAsia="Arial" w:hAnsi="Arial"/>
          <w:sz w:val="21"/>
          <w:szCs w:val="21"/>
          <w:color w:val="auto"/>
        </w:rPr>
        <w:t>, sale proceeds) to Chile and the amount of such funds exceeds $10,000, such repatriation must be effected through a commercial bank or a registered foreign exchange office.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Tax Reporting and Registration Notification. </w:t>
      </w:r>
      <w:r>
        <w:rPr>
          <w:rFonts w:ascii="Arial" w:cs="Arial" w:eastAsia="Arial" w:hAnsi="Arial"/>
          <w:sz w:val="19"/>
          <w:szCs w:val="19"/>
          <w:color w:val="auto"/>
        </w:rPr>
        <w:t>You must file Tax Form 1851 “Annual Sworn Statement Regarding Investments</w:t>
      </w:r>
      <w:r>
        <w:rPr>
          <w:rFonts w:ascii="Arial" w:cs="Arial" w:eastAsia="Arial" w:hAnsi="Arial"/>
          <w:sz w:val="19"/>
          <w:szCs w:val="19"/>
          <w:b w:val="1"/>
          <w:bCs w:val="1"/>
          <w:color w:val="auto"/>
        </w:rPr>
        <w:t xml:space="preserve"> </w:t>
      </w:r>
      <w:r>
        <w:rPr>
          <w:rFonts w:ascii="Arial" w:cs="Arial" w:eastAsia="Arial" w:hAnsi="Arial"/>
          <w:sz w:val="19"/>
          <w:szCs w:val="19"/>
          <w:color w:val="auto"/>
        </w:rPr>
        <w:t>Held Abroad” in relation to any Shares acquired under the Plan that are held abroad. In addition, if you wish to receive credit in Chile for any tax paid abroad on any dividends received pursuant to the Shares, you must register the acquisition of Shares with the Chilean Internal Revenue Service (the “</w:t>
      </w:r>
      <w:r>
        <w:rPr>
          <w:rFonts w:ascii="Arial" w:cs="Arial" w:eastAsia="Arial" w:hAnsi="Arial"/>
          <w:sz w:val="19"/>
          <w:szCs w:val="19"/>
          <w:b w:val="1"/>
          <w:bCs w:val="1"/>
          <w:i w:val="1"/>
          <w:iCs w:val="1"/>
          <w:color w:val="auto"/>
        </w:rPr>
        <w:t>CIRS</w:t>
      </w:r>
      <w:r>
        <w:rPr>
          <w:rFonts w:ascii="Arial" w:cs="Arial" w:eastAsia="Arial" w:hAnsi="Arial"/>
          <w:sz w:val="19"/>
          <w:szCs w:val="19"/>
          <w:color w:val="auto"/>
        </w:rPr>
        <w:t>”) and also file Tax Form 1853 “Annual Sworn Statement Regarding Credits for Taxes Paid Abroad.” These forms must be submitted through the CIRS web page at www.sii.cl.</w:t>
      </w:r>
    </w:p>
    <w:p>
      <w:pPr>
        <w:spacing w:after="0" w:line="1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Registration of the acquisition of Shares with the CIRS will also provide evidence of the acquisition price of the Shares which you will need when the Shares are sold. It may also be possible for you to provide other evidence in the form of the Agreement or a report of the price paid for the Shares and the number of Shares acquired and sold; however, neither the Company nor Fidelity (or any other stock plan service provider designated by the Company) are under any obligation to provide you with such a report. </w:t>
      </w:r>
      <w:r>
        <w:rPr>
          <w:rFonts w:ascii="Arial" w:cs="Arial" w:eastAsia="Arial" w:hAnsi="Arial"/>
          <w:sz w:val="19"/>
          <w:szCs w:val="19"/>
          <w:i w:val="1"/>
          <w:iCs w:val="1"/>
          <w:color w:val="auto"/>
        </w:rPr>
        <w:t>You should consult with your personal legal and tax advisors regarding how to register with the CIRS (if desired).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CHINA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This provision supplements Section 1 of the Agreement.</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To facilitate compliance with applicable laws or regulations in China, you agree and acknowledge that the Company or the Agent is entitled to (a) immediately sell all Shares issued to you upon settlement of the Vested Units (on your behalf pursuant to this authorization), either at the time the Vested Units are settled or when you cease employment with the Employer, the Company or a Related Corporation, or (b) require that any Shares acquired under the Plan be held with the Agent until the Shares are sold. You also agree to sign any forms and/or consents required by the Agent to effectuate the sale of Shares in case you cease employment and you acknowledge that the Agent is under no obligation to arrange for the sale of the Shares at any particular price. In any event, when the Shares acquired under the Plan are sold, the proceeds of the sale of the Shares, less any applicable Tax-Related Items and broker’s fees or commissions, will be remitted to you in accordance with applicable exchange control law and regulations, as further described below.</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25</w:t>
      </w:r>
    </w:p>
    <w:p>
      <w:pPr>
        <w:sectPr>
          <w:pgSz w:w="11900" w:h="16838" w:orient="portrait"/>
          <w:cols w:equalWidth="0" w:num="1">
            <w:col w:w="11420"/>
          </w:cols>
          <w:pgMar w:left="240" w:top="720" w:right="239" w:bottom="1440" w:gutter="0" w:footer="0" w:header="0"/>
        </w:sectPr>
      </w:pPr>
    </w:p>
    <w:bookmarkStart w:id="83" w:name="page84"/>
    <w:bookmarkEnd w:id="83"/>
    <w:p>
      <w:pPr>
        <w:jc w:val="both"/>
        <w:spacing w:after="0" w:line="288" w:lineRule="auto"/>
        <w:rPr>
          <w:sz w:val="20"/>
          <w:szCs w:val="20"/>
          <w:color w:val="auto"/>
        </w:rPr>
      </w:pPr>
      <w:r>
        <w:rPr>
          <w:rFonts w:ascii="Arial" w:cs="Arial" w:eastAsia="Arial" w:hAnsi="Arial"/>
          <w:sz w:val="19"/>
          <w:szCs w:val="19"/>
          <w:b w:val="1"/>
          <w:bCs w:val="1"/>
          <w:color w:val="auto"/>
        </w:rPr>
        <w:t>Exchange Control Requirements</w:t>
      </w:r>
      <w:r>
        <w:rPr>
          <w:rFonts w:ascii="Arial" w:cs="Arial" w:eastAsia="Arial" w:hAnsi="Arial"/>
          <w:sz w:val="19"/>
          <w:szCs w:val="19"/>
          <w:color w:val="auto"/>
        </w:rPr>
        <w:t>. 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acquired under the Plan to China. You further understand that, under local law, such repatriation of the cash proceeds may need to be effectuated through a special exchange control account established by the Company, a Related Corporation or the Employer, and you hereby consent and agree that any cash proceeds from the sale of Shares acquired under the Plan may be transferred to such special account prior to being delivered to you. You also understand that the Company will deliver the proceeds to you as soon as possible, but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in under no obligation to secure any particular exchange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Upon request of the Czech National Bank (the “</w:t>
      </w:r>
      <w:r>
        <w:rPr>
          <w:rFonts w:ascii="Arial" w:cs="Arial" w:eastAsia="Arial" w:hAnsi="Arial"/>
          <w:sz w:val="19"/>
          <w:szCs w:val="19"/>
          <w:b w:val="1"/>
          <w:bCs w:val="1"/>
          <w:i w:val="1"/>
          <w:iCs w:val="1"/>
          <w:color w:val="auto"/>
        </w:rPr>
        <w:t>CNB</w:t>
      </w:r>
      <w:r>
        <w:rPr>
          <w:rFonts w:ascii="Arial" w:cs="Arial" w:eastAsia="Arial" w:hAnsi="Arial"/>
          <w:sz w:val="19"/>
          <w:szCs w:val="19"/>
          <w:color w:val="auto"/>
        </w:rPr>
        <w:t>”), you may need to report the following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CNB: foreign direct investments, financial credits from abroad, investment in foreign securities and associated collection and payments (Shares and proceeds from the sale of Shares may be included in this reporting requirement).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GERMANY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You must report any cross-border payments in excess of €12,500 to the German Federal Bank on</w:t>
      </w:r>
      <w:r>
        <w:rPr>
          <w:rFonts w:ascii="Arial" w:cs="Arial" w:eastAsia="Arial" w:hAnsi="Arial"/>
          <w:sz w:val="22"/>
          <w:szCs w:val="22"/>
          <w:b w:val="1"/>
          <w:bCs w:val="1"/>
          <w:color w:val="auto"/>
        </w:rPr>
        <w:t xml:space="preserve"> </w:t>
      </w:r>
      <w:r>
        <w:rPr>
          <w:rFonts w:ascii="Arial" w:cs="Arial" w:eastAsia="Arial" w:hAnsi="Arial"/>
          <w:sz w:val="22"/>
          <w:szCs w:val="22"/>
          <w:color w:val="auto"/>
        </w:rPr>
        <w:t>a monthly basis. You must also report to the German Federal Bank any receivables or payables or debts in foreign currency exceeding €5,000,000 in any month.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HUNGARY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26</w:t>
      </w:r>
    </w:p>
    <w:p>
      <w:pPr>
        <w:sectPr>
          <w:pgSz w:w="11900" w:h="16838" w:orient="portrait"/>
          <w:cols w:equalWidth="0" w:num="1">
            <w:col w:w="11420"/>
          </w:cols>
          <w:pgMar w:left="240" w:top="760"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u w:val="single" w:color="auto"/>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You understand that you must repatriate any proceeds from the sale of Shares acquired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to India within ninety (90) days of receipt. You will receive a foreign inward remittance certificate (</w:t>
      </w:r>
      <w:r>
        <w:rPr>
          <w:rFonts w:ascii="Arial" w:cs="Arial" w:eastAsia="Arial" w:hAnsi="Arial"/>
          <w:sz w:val="21"/>
          <w:szCs w:val="21"/>
          <w:b w:val="1"/>
          <w:bCs w:val="1"/>
          <w:i w:val="1"/>
          <w:iCs w:val="1"/>
          <w:color w:val="auto"/>
        </w:rPr>
        <w:t>“FIRC”</w:t>
      </w:r>
      <w:r>
        <w:rPr>
          <w:rFonts w:ascii="Arial" w:cs="Arial" w:eastAsia="Arial" w:hAnsi="Arial"/>
          <w:sz w:val="21"/>
          <w:szCs w:val="21"/>
          <w:color w:val="auto"/>
        </w:rPr>
        <w:t>) from the bank where you deposit the foreign currency. You should maintain the FIRC as evidence of the repatriation of the proceeds in the event the Reserve Bank of India or the Employer requests proof of repatriation.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INDONESIA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remit funds (including proceeds from the sale of Shares) into Indonesia, the Indonesian</w:t>
      </w:r>
      <w:r>
        <w:rPr>
          <w:rFonts w:ascii="Arial" w:cs="Arial" w:eastAsia="Arial" w:hAnsi="Arial"/>
          <w:sz w:val="19"/>
          <w:szCs w:val="19"/>
          <w:b w:val="1"/>
          <w:bCs w:val="1"/>
          <w:color w:val="auto"/>
        </w:rPr>
        <w:t xml:space="preserve"> </w:t>
      </w:r>
      <w:r>
        <w:rPr>
          <w:rFonts w:ascii="Arial" w:cs="Arial" w:eastAsia="Arial" w:hAnsi="Arial"/>
          <w:sz w:val="19"/>
          <w:szCs w:val="19"/>
          <w:color w:val="auto"/>
        </w:rPr>
        <w:t>bank through which the transaction is made will submit a report of the transaction to the Bank of Indonesia for statistical reporting purposes. For transactions of US$10,000 or more, a more detailed description of the transaction must be included in the report and you may be required to provide information about the transaction (</w:t>
      </w:r>
      <w:r>
        <w:rPr>
          <w:rFonts w:ascii="Arial" w:cs="Arial" w:eastAsia="Arial" w:hAnsi="Arial"/>
          <w:sz w:val="19"/>
          <w:szCs w:val="19"/>
          <w:i w:val="1"/>
          <w:iCs w:val="1"/>
          <w:color w:val="auto"/>
        </w:rPr>
        <w:t>e.g.</w:t>
      </w:r>
      <w:r>
        <w:rPr>
          <w:rFonts w:ascii="Arial" w:cs="Arial" w:eastAsia="Arial" w:hAnsi="Arial"/>
          <w:sz w:val="19"/>
          <w:szCs w:val="19"/>
          <w:color w:val="auto"/>
        </w:rPr>
        <w:t>, the relationship between you and the transferor of the funds, the source of the funds, etc.) to the bank in order for the bank to complete the report.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ITALY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This provision replaces Section 12 of the Agreement:</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i w:val="1"/>
          <w:iCs w:val="1"/>
          <w:color w:val="auto"/>
        </w:rPr>
        <w:t>You understand that the Employer, the Company and any Related Corporation may hold certain personal information about you, including, but not limited to, your name, home address and telephone number, date of birth, social insurance number or other identification number, salary, nationality, job title, any shares of stock or directorships held in the Company or any Related Corporation, details of all Awards or any other entitlement to shares of stock awarded, canceled, exercised, vested, unvested or outstanding in your favor and will process such data for the exclusive purpose of implementing, managing and administering the Plan (“Data”) and in compliance with applicable laws and regulations.</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You also understand that providing the Company with Data is mandatory for compliance with local law and necessary for the performance of the Plan and that your refusal to provide such Data would make it impossible for the Company to perform its contractual obligations and may affect your ability to participate in the Plan. The controller of personal data processing is Itron, Inc. with registered offices at 2111 N. Molter Road, Liberty Lake, Washington 99019, U.S.A., and, pursuant to Legislative Decree no.</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27</w:t>
      </w:r>
    </w:p>
    <w:p>
      <w:pPr>
        <w:sectPr>
          <w:pgSz w:w="11900" w:h="16838" w:orient="portrait"/>
          <w:cols w:equalWidth="0" w:num="1">
            <w:col w:w="11420"/>
          </w:cols>
          <w:pgMar w:left="240" w:top="504" w:right="2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22"/>
          <w:szCs w:val="22"/>
          <w:b w:val="1"/>
          <w:bCs w:val="1"/>
          <w:i w:val="1"/>
          <w:iCs w:val="1"/>
          <w:color w:val="auto"/>
        </w:rPr>
        <w:t>196/2003, its representative in Italy is Baerbel Wouters, with registered offices at Via Gorky, 105, 20092 Cinisello Balsamo, Milan, Italy.</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You understand that Data will not be publicized, but it may be accessible by the Employer and its internal and external personnel in charge of processing of such Data and by the data processor (the “Processor”), if any. An updated list of Processors and other transferees of Data is available upon request from the Employer. Furthermore, Data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any Related Corporation will transfer Data among themselves as necessary for the purpose of implementing, administering and managing your participation in the Plan, and that the Company and/or any Related Corporation may each further transfer Data to third parties assisting the Company in the implementation, administration, and management of the Plan, including any requisite transfer of Data to a broker or other third party with whom you may elect to deposit any Shares acquired upon vesting of the Units. Such recipients may receive, possess, use, retain, and transfer Data in electronic or other form, for the sole purpose of implementing, administering, and managing your participation in the Plan. You understand that these recipients may be acting as controllers, Processors or persons in charge of processing, as the case may be, in accordance with local law and may be located in or outside the European Economic Area in countries such as in the United States that might not provide the same level of protection as intended under Italian data privacy laws.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the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 You should contact the Employer in this regard.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Furthermore, you are aware that Data will not be used for direct marketing purposes. In addition, Data provided can be reviewed and questions or complaints can be addressed by contacting your human resources department.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28</w:t>
      </w:r>
    </w:p>
    <w:p>
      <w:pPr>
        <w:sectPr>
          <w:pgSz w:w="11900" w:h="16838" w:orient="portrait"/>
          <w:cols w:equalWidth="0" w:num="1">
            <w:col w:w="11420"/>
          </w:cols>
          <w:pgMar w:left="240" w:top="510" w:right="239" w:bottom="1440" w:gutter="0" w:footer="0" w:header="0"/>
        </w:sectPr>
      </w:pPr>
    </w:p>
    <w:bookmarkStart w:id="86" w:name="page87"/>
    <w:bookmarkEnd w:id="86"/>
    <w:p>
      <w:pPr>
        <w:jc w:val="both"/>
        <w:spacing w:after="0" w:line="256" w:lineRule="auto"/>
        <w:rPr>
          <w:sz w:val="20"/>
          <w:szCs w:val="20"/>
          <w:color w:val="auto"/>
        </w:rPr>
      </w:pPr>
      <w:r>
        <w:rPr>
          <w:rFonts w:ascii="Arial" w:cs="Arial" w:eastAsia="Arial" w:hAnsi="Arial"/>
          <w:sz w:val="22"/>
          <w:szCs w:val="22"/>
          <w:b w:val="1"/>
          <w:bCs w:val="1"/>
          <w:color w:val="auto"/>
        </w:rPr>
        <w:t>Plan Document Acknowledgment</w:t>
      </w:r>
      <w:r>
        <w:rPr>
          <w:rFonts w:ascii="Arial" w:cs="Arial" w:eastAsia="Arial" w:hAnsi="Arial"/>
          <w:sz w:val="22"/>
          <w:szCs w:val="22"/>
          <w:color w:val="auto"/>
        </w:rPr>
        <w:t>. In accepting the grant of the Award, you acknowledge that you have received a copy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the Agreement and have reviewed the Plan and the Agreement, including this Appendix A, in their entirety and fully understand and accept all provisions of the Plan and the Agreement, including this Appendix A.</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You further acknowledge that you have read and specifically and expressly approve the following sections of the Agreement and this Appendix A: Section 1: Vesting; Section 3: Change in Control Transaction; Section 9: Responsibility for Taxes; Section 10: Nature of Grant; Section 13: Electronic Delivery and Participation; Section 14: Language; Section 15.3: Governing Law and Choice of Venue; Section 17: Imposition of Other Requirements; and the Data Privacy provision above.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You are required to report in your annual tax return: (a) any transfers of cash or Shares to or from</w:t>
      </w:r>
      <w:r>
        <w:rPr>
          <w:rFonts w:ascii="Arial" w:cs="Arial" w:eastAsia="Arial" w:hAnsi="Arial"/>
          <w:sz w:val="21"/>
          <w:szCs w:val="21"/>
          <w:b w:val="1"/>
          <w:bCs w:val="1"/>
          <w:color w:val="auto"/>
        </w:rPr>
        <w:t xml:space="preserve"> </w:t>
      </w:r>
      <w:r>
        <w:rPr>
          <w:rFonts w:ascii="Arial" w:cs="Arial" w:eastAsia="Arial" w:hAnsi="Arial"/>
          <w:sz w:val="21"/>
          <w:szCs w:val="21"/>
          <w:color w:val="auto"/>
        </w:rPr>
        <w:t>Italy exceeding €10,000; (b) any foreign investments or investments held outside of Italy exceeding €10,000 if such investments (e.g., Shares) may give rise to taxable income in Italy; and (c) the amount of the transfers to and from Italy which have had an impact during the calendar year on your foreign investments or investments held outside of Italy. You may be exempt from the requirement in (a) if the transfer or investment is made through an authorized broker resident in Italy, as the broker will generally comply with the reporting obligation on your behalf.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KOREA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If you realize US$500,000 or more from the sale of Shares in a single transaction, you must</w:t>
      </w:r>
      <w:r>
        <w:rPr>
          <w:rFonts w:ascii="Arial" w:cs="Arial" w:eastAsia="Arial" w:hAnsi="Arial"/>
          <w:sz w:val="22"/>
          <w:szCs w:val="22"/>
          <w:b w:val="1"/>
          <w:bCs w:val="1"/>
          <w:color w:val="auto"/>
        </w:rPr>
        <w:t xml:space="preserve"> </w:t>
      </w:r>
      <w:r>
        <w:rPr>
          <w:rFonts w:ascii="Arial" w:cs="Arial" w:eastAsia="Arial" w:hAnsi="Arial"/>
          <w:sz w:val="22"/>
          <w:szCs w:val="22"/>
          <w:color w:val="auto"/>
        </w:rPr>
        <w:t>repatriate the sale proceeds to Korea within eighteen (18) months of the sale.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LUXEMBOURG</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You are required to report any inward or outward remittances of funds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Banque Central de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Luxembourg </w:t>
      </w:r>
      <w:r>
        <w:rPr>
          <w:rFonts w:ascii="Arial" w:cs="Arial" w:eastAsia="Arial" w:hAnsi="Arial"/>
          <w:sz w:val="19"/>
          <w:szCs w:val="19"/>
          <w:color w:val="auto"/>
        </w:rPr>
        <w:t>and/or the</w:t>
      </w:r>
      <w:r>
        <w:rPr>
          <w:rFonts w:ascii="Arial" w:cs="Arial" w:eastAsia="Arial" w:hAnsi="Arial"/>
          <w:sz w:val="19"/>
          <w:szCs w:val="19"/>
          <w:i w:val="1"/>
          <w:iCs w:val="1"/>
          <w:color w:val="auto"/>
        </w:rPr>
        <w:t xml:space="preserve"> Service Central de La Statistique et des Études Économiques </w:t>
      </w:r>
      <w:r>
        <w:rPr>
          <w:rFonts w:ascii="Arial" w:cs="Arial" w:eastAsia="Arial" w:hAnsi="Arial"/>
          <w:sz w:val="19"/>
          <w:szCs w:val="19"/>
          <w:color w:val="auto"/>
        </w:rPr>
        <w:t>within fifteen (15) working days following the</w:t>
      </w:r>
      <w:r>
        <w:rPr>
          <w:rFonts w:ascii="Arial" w:cs="Arial" w:eastAsia="Arial" w:hAnsi="Arial"/>
          <w:sz w:val="19"/>
          <w:szCs w:val="19"/>
          <w:i w:val="1"/>
          <w:iCs w:val="1"/>
          <w:color w:val="auto"/>
        </w:rPr>
        <w:t xml:space="preserve"> </w:t>
      </w:r>
      <w:r>
        <w:rPr>
          <w:rFonts w:ascii="Arial" w:cs="Arial" w:eastAsia="Arial" w:hAnsi="Arial"/>
          <w:sz w:val="19"/>
          <w:szCs w:val="19"/>
          <w:color w:val="auto"/>
        </w:rPr>
        <w:t>month during the transaction occurred. If a Luxembourg financial institution is involved in the transaction, it generally will fulfill the reporting obligation on your behalf; otherwise, you will have to report the transaction yourself.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29</w:t>
      </w:r>
    </w:p>
    <w:p>
      <w:pPr>
        <w:sectPr>
          <w:pgSz w:w="11900" w:h="16838" w:orient="portrait"/>
          <w:cols w:equalWidth="0" w:num="1">
            <w:col w:w="11420"/>
          </w:cols>
          <w:pgMar w:left="240" w:top="504"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u w:val="single" w:color="auto"/>
          <w:color w:val="auto"/>
        </w:rPr>
        <w:t>MALAYSIA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Law Notification</w:t>
      </w:r>
      <w:r>
        <w:rPr>
          <w:rFonts w:ascii="Arial" w:cs="Arial" w:eastAsia="Arial" w:hAnsi="Arial"/>
          <w:sz w:val="22"/>
          <w:szCs w:val="22"/>
          <w:color w:val="auto"/>
        </w:rPr>
        <w:t>. You should be aware of the Malaysian insider trading rules summarized below.</w:t>
      </w:r>
    </w:p>
    <w:p>
      <w:pPr>
        <w:spacing w:after="0" w:line="266"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Under the Malaysian Capital Markets and Services Act, 2007, you are prohibited from acquiring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an Award) or selling Shares when you are in possession of information which is not generally available and which you know or should know will have a material effect on the Company’s stock price once such information is generally available.</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Director Notification Obligation</w:t>
      </w:r>
      <w:r>
        <w:rPr>
          <w:rFonts w:ascii="Arial" w:cs="Arial" w:eastAsia="Arial" w:hAnsi="Arial"/>
          <w:sz w:val="22"/>
          <w:szCs w:val="22"/>
          <w:color w:val="auto"/>
        </w:rPr>
        <w:t>. If you are a director of a Malaysian Related Corporation, you are subject to certain notification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under the Malaysian Companies Act, 1965. Among these requirements is an obligation to notify the Malaysian Related Corporation in writing when you acquire or dispose of an interest (</w:t>
      </w:r>
      <w:r>
        <w:rPr>
          <w:rFonts w:ascii="Arial" w:cs="Arial" w:eastAsia="Arial" w:hAnsi="Arial"/>
          <w:sz w:val="22"/>
          <w:szCs w:val="22"/>
          <w:i w:val="1"/>
          <w:iCs w:val="1"/>
          <w:color w:val="auto"/>
        </w:rPr>
        <w:t>e.g.</w:t>
      </w:r>
      <w:r>
        <w:rPr>
          <w:rFonts w:ascii="Arial" w:cs="Arial" w:eastAsia="Arial" w:hAnsi="Arial"/>
          <w:sz w:val="22"/>
          <w:szCs w:val="22"/>
          <w:color w:val="auto"/>
        </w:rPr>
        <w:t>, an Award or Shares) in the Company or a Related Corporation. Such notifications must be made within fourteen (14) days of acquiring or disposing of any interest in the Company or a Related Corporation.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MEXICO</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Acknowledgement of the Agreement. </w:t>
      </w:r>
      <w:r>
        <w:rPr>
          <w:rFonts w:ascii="Arial" w:cs="Arial" w:eastAsia="Arial" w:hAnsi="Arial"/>
          <w:sz w:val="22"/>
          <w:szCs w:val="22"/>
          <w:color w:val="auto"/>
        </w:rPr>
        <w:t>By accepting the Award, you acknowledge that you have received a copy of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Notice, and the Agreement, including this Appendix A, which you have reviewed. You acknowledge further that you accept all the provisions of the Plan, the Award Notice, and the Agreement, including this Appendix A. You also acknowledge that you have read and specifically and expressly approve the terms and conditions set forth in the “Nature of Grant” section of the Agreement, which clearly provide as follows:</w:t>
      </w:r>
    </w:p>
    <w:p>
      <w:pPr>
        <w:spacing w:after="0" w:line="193"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Your participation in the Plan does not constitute an acquired right;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Plan and your participation in it are offered by the Company on a wholly discretionary basis;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Your participation in the Plan is voluntary; and</w:t>
      </w:r>
    </w:p>
    <w:p>
      <w:pPr>
        <w:spacing w:after="0" w:line="219"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and its Related Corporations are not responsible for any decrease in the value of any Shares acquired upon settlement of the Award.</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Labor Law Acknowledgement and Policy Statement. </w:t>
      </w:r>
      <w:r>
        <w:rPr>
          <w:rFonts w:ascii="Arial" w:cs="Arial" w:eastAsia="Arial" w:hAnsi="Arial"/>
          <w:sz w:val="21"/>
          <w:szCs w:val="21"/>
          <w:color w:val="auto"/>
        </w:rPr>
        <w:t>By accepting the Award, you acknowledge that Itron, Inc., with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offices at 2111 N. Molter Road, Liberty Lake, Washington 99019, United States of America, is solely responsible for the administration of the Plan. You further acknowledge that your participation in the Plan, the grant of the Award</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30</w:t>
      </w:r>
    </w:p>
    <w:p>
      <w:pPr>
        <w:sectPr>
          <w:pgSz w:w="11900" w:h="16838" w:orient="portrait"/>
          <w:cols w:equalWidth="0" w:num="1">
            <w:col w:w="11420"/>
          </w:cols>
          <w:pgMar w:left="240" w:top="504" w:right="239" w:bottom="1440" w:gutter="0" w:footer="0" w:header="0"/>
        </w:sectPr>
      </w:pPr>
    </w:p>
    <w:bookmarkStart w:id="88" w:name="page89"/>
    <w:bookmarkEnd w:id="88"/>
    <w:p>
      <w:pPr>
        <w:jc w:val="both"/>
        <w:spacing w:after="0" w:line="294" w:lineRule="auto"/>
        <w:rPr>
          <w:sz w:val="20"/>
          <w:szCs w:val="20"/>
          <w:color w:val="auto"/>
        </w:rPr>
      </w:pPr>
      <w:r>
        <w:rPr>
          <w:rFonts w:ascii="Arial" w:cs="Arial" w:eastAsia="Arial" w:hAnsi="Arial"/>
          <w:sz w:val="19"/>
          <w:szCs w:val="19"/>
          <w:color w:val="auto"/>
        </w:rPr>
        <w:t>and any acquisition of Shares under the Plan do not constitute an employment relationship between you and Itron, Inc. because you are participating in the Plan on a wholly commercial basis and your sole employer is [Itron Servicios, S.A. de C.V., or Actaris Servicios México S.A. de C.V.] (“</w:t>
      </w:r>
      <w:r>
        <w:rPr>
          <w:rFonts w:ascii="Arial" w:cs="Arial" w:eastAsia="Arial" w:hAnsi="Arial"/>
          <w:sz w:val="19"/>
          <w:szCs w:val="19"/>
          <w:b w:val="1"/>
          <w:bCs w:val="1"/>
          <w:i w:val="1"/>
          <w:iCs w:val="1"/>
          <w:color w:val="auto"/>
        </w:rPr>
        <w:t>Itron-Mexico</w:t>
      </w:r>
      <w:r>
        <w:rPr>
          <w:rFonts w:ascii="Arial" w:cs="Arial" w:eastAsia="Arial" w:hAnsi="Arial"/>
          <w:sz w:val="19"/>
          <w:szCs w:val="19"/>
          <w:color w:val="auto"/>
        </w:rPr>
        <w:t>”). Based on the foregoing, you expressly acknowledge that the Plan and the benefits that you may derive from participation in the Plan do not establish any rights between you and your Employer, Itron-Mexico, and do not form part of the employment conditions and/or benefits provided by Itron-Mexico, and any modification of the Plan or its termination shall not constitute a change or impairment of the terms and conditions of your employment.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further understand that your participation in the Plan is the result of a unilateral and discretionary decision of the Company; therefore, the Company reserves the absolute right to amend and/or discontinue your participation in the Plan at any time, without any liability to you.</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Itron, Inc. for any compensation or damages regarding any provision of the Plan or the benefits derived under the Plan, and you therefore grant a full and broad release to the Company, its Related Corporations, branches, representation offices, shareholders, officers, agents or legal representatives, with respect to any claim that may arise.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i w:val="1"/>
          <w:iCs w:val="1"/>
          <w:color w:val="auto"/>
        </w:rPr>
        <w:t xml:space="preserve">Reconocimiento del Acuerdo. </w:t>
      </w:r>
      <w:r>
        <w:rPr>
          <w:rFonts w:ascii="Arial" w:cs="Arial" w:eastAsia="Arial" w:hAnsi="Arial"/>
          <w:sz w:val="22"/>
          <w:szCs w:val="22"/>
          <w:i w:val="1"/>
          <w:iCs w:val="1"/>
          <w:color w:val="auto"/>
        </w:rPr>
        <w:t>Al aceptar el Premio, usted reconoce que ha recibido una copia del Plan, la notificación del Premio,</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y el Acuerdo, inclusive este anexo A, el cual ha tenido oportunidad de revisar. Usted reconoce, además, que acepta todas las disposiciones del Plan, la Notificación del Premio y el Acuerdo, incluyendo este anexo A. Usted también reconoce que ha leído y de forma expresa aprueba los términos y condiciones establecidos en la seccion denominada “Naturaleza del Premio” del Acuerdo, que claramente dispone lo siguiente:</w:t>
      </w:r>
    </w:p>
    <w:p>
      <w:pPr>
        <w:spacing w:after="0" w:line="138"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i w:val="1"/>
          <w:iCs w:val="1"/>
          <w:color w:val="auto"/>
        </w:rPr>
      </w:pPr>
      <w:r>
        <w:rPr>
          <w:rFonts w:ascii="Arial" w:cs="Arial" w:eastAsia="Arial" w:hAnsi="Arial"/>
          <w:sz w:val="22"/>
          <w:szCs w:val="22"/>
          <w:i w:val="1"/>
          <w:iCs w:val="1"/>
          <w:color w:val="auto"/>
        </w:rPr>
        <w:t>Su participación en el Plan no constituye un derecho adquirido;</w:t>
      </w:r>
    </w:p>
    <w:p>
      <w:pPr>
        <w:spacing w:after="0" w:line="165" w:lineRule="exact"/>
        <w:rPr>
          <w:rFonts w:ascii="Arial" w:cs="Arial" w:eastAsia="Arial" w:hAnsi="Arial"/>
          <w:sz w:val="22"/>
          <w:szCs w:val="22"/>
          <w:i w:val="1"/>
          <w:iCs w:val="1"/>
          <w:color w:val="auto"/>
        </w:rPr>
      </w:pPr>
    </w:p>
    <w:p>
      <w:pPr>
        <w:ind w:left="660" w:hanging="652"/>
        <w:spacing w:after="0"/>
        <w:tabs>
          <w:tab w:leader="none" w:pos="660" w:val="left"/>
        </w:tabs>
        <w:numPr>
          <w:ilvl w:val="0"/>
          <w:numId w:val="65"/>
        </w:numPr>
        <w:rPr>
          <w:rFonts w:ascii="Arial" w:cs="Arial" w:eastAsia="Arial" w:hAnsi="Arial"/>
          <w:sz w:val="22"/>
          <w:szCs w:val="22"/>
          <w:i w:val="1"/>
          <w:iCs w:val="1"/>
          <w:color w:val="auto"/>
        </w:rPr>
      </w:pPr>
      <w:r>
        <w:rPr>
          <w:rFonts w:ascii="Arial" w:cs="Arial" w:eastAsia="Arial" w:hAnsi="Arial"/>
          <w:sz w:val="22"/>
          <w:szCs w:val="22"/>
          <w:i w:val="1"/>
          <w:iCs w:val="1"/>
          <w:color w:val="auto"/>
        </w:rPr>
        <w:t>El Plan y su participación en el Plan se ofrecen por la Compañía en forma totalmente discrecional;</w:t>
      </w:r>
    </w:p>
    <w:p>
      <w:pPr>
        <w:spacing w:after="0" w:line="165" w:lineRule="exact"/>
        <w:rPr>
          <w:rFonts w:ascii="Arial" w:cs="Arial" w:eastAsia="Arial" w:hAnsi="Arial"/>
          <w:sz w:val="22"/>
          <w:szCs w:val="22"/>
          <w:i w:val="1"/>
          <w:iCs w:val="1"/>
          <w:color w:val="auto"/>
        </w:rPr>
      </w:pPr>
    </w:p>
    <w:p>
      <w:pPr>
        <w:ind w:left="660" w:hanging="652"/>
        <w:spacing w:after="0"/>
        <w:tabs>
          <w:tab w:leader="none" w:pos="660" w:val="left"/>
        </w:tabs>
        <w:numPr>
          <w:ilvl w:val="0"/>
          <w:numId w:val="65"/>
        </w:numPr>
        <w:rPr>
          <w:rFonts w:ascii="Arial" w:cs="Arial" w:eastAsia="Arial" w:hAnsi="Arial"/>
          <w:sz w:val="22"/>
          <w:szCs w:val="22"/>
          <w:i w:val="1"/>
          <w:iCs w:val="1"/>
          <w:color w:val="auto"/>
        </w:rPr>
      </w:pPr>
      <w:r>
        <w:rPr>
          <w:rFonts w:ascii="Arial" w:cs="Arial" w:eastAsia="Arial" w:hAnsi="Arial"/>
          <w:sz w:val="22"/>
          <w:szCs w:val="22"/>
          <w:i w:val="1"/>
          <w:iCs w:val="1"/>
          <w:color w:val="auto"/>
        </w:rPr>
        <w:t>Su participación en el Plan es voluntaria; y</w:t>
      </w:r>
    </w:p>
    <w:p>
      <w:pPr>
        <w:spacing w:after="0" w:line="165" w:lineRule="exact"/>
        <w:rPr>
          <w:rFonts w:ascii="Arial" w:cs="Arial" w:eastAsia="Arial" w:hAnsi="Arial"/>
          <w:sz w:val="22"/>
          <w:szCs w:val="22"/>
          <w:i w:val="1"/>
          <w:iCs w:val="1"/>
          <w:color w:val="auto"/>
        </w:rPr>
      </w:pPr>
    </w:p>
    <w:p>
      <w:pPr>
        <w:ind w:left="660" w:right="20" w:hanging="652"/>
        <w:spacing w:after="0" w:line="263" w:lineRule="auto"/>
        <w:tabs>
          <w:tab w:leader="none" w:pos="660" w:val="left"/>
        </w:tabs>
        <w:numPr>
          <w:ilvl w:val="0"/>
          <w:numId w:val="65"/>
        </w:numPr>
        <w:rPr>
          <w:rFonts w:ascii="Arial" w:cs="Arial" w:eastAsia="Arial" w:hAnsi="Arial"/>
          <w:sz w:val="22"/>
          <w:szCs w:val="22"/>
          <w:i w:val="1"/>
          <w:iCs w:val="1"/>
          <w:color w:val="auto"/>
        </w:rPr>
      </w:pPr>
      <w:r>
        <w:rPr>
          <w:rFonts w:ascii="Arial" w:cs="Arial" w:eastAsia="Arial" w:hAnsi="Arial"/>
          <w:sz w:val="22"/>
          <w:szCs w:val="22"/>
          <w:i w:val="1"/>
          <w:iCs w:val="1"/>
          <w:color w:val="auto"/>
        </w:rPr>
        <w:t>La Compañía y sus Subsidiarias o Afiliadas no son responsables de ninguna disminución en el valor de las acciones adquiridas en la obtención del Premio.</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 xml:space="preserve">Reconocimiento de Ausencia de Relación Laboral y Declaración de la Política. </w:t>
      </w:r>
      <w:r>
        <w:rPr>
          <w:rFonts w:ascii="Arial" w:cs="Arial" w:eastAsia="Arial" w:hAnsi="Arial"/>
          <w:sz w:val="19"/>
          <w:szCs w:val="19"/>
          <w:i w:val="1"/>
          <w:iCs w:val="1"/>
          <w:color w:val="auto"/>
        </w:rPr>
        <w:t>Al aceptar el Premio, usted reconoce que Itron,</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Inc, con domicilio social en 2111 N. Molter Road, Liberty Lake, Washington 99019, Estados Unidos de América, es el único responsable de la administración del Plan. Además, usted acepta que su participación en el Plan, la concesión del Premio y cualquier adquisición de acciones en el marco del Plan no constituyen una relación laboral entre usted y Itron, Inc. porque usted está participando en el Plan en su totalidad sobre una base comercial y su único empleador es [Itron Servicios, S.A. de C.V., or</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31</w:t>
      </w:r>
    </w:p>
    <w:p>
      <w:pPr>
        <w:sectPr>
          <w:pgSz w:w="11900" w:h="16838" w:orient="portrait"/>
          <w:cols w:equalWidth="0" w:num="1">
            <w:col w:w="11420"/>
          </w:cols>
          <w:pgMar w:left="240" w:top="726" w:right="239" w:bottom="1440" w:gutter="0" w:footer="0" w:header="0"/>
        </w:sectPr>
      </w:pPr>
    </w:p>
    <w:bookmarkStart w:id="89" w:name="page90"/>
    <w:bookmarkEnd w:id="89"/>
    <w:p>
      <w:pPr>
        <w:jc w:val="both"/>
        <w:spacing w:after="0" w:line="248" w:lineRule="auto"/>
        <w:rPr>
          <w:sz w:val="20"/>
          <w:szCs w:val="20"/>
          <w:color w:val="auto"/>
        </w:rPr>
      </w:pPr>
      <w:r>
        <w:rPr>
          <w:rFonts w:ascii="Arial" w:cs="Arial" w:eastAsia="Arial" w:hAnsi="Arial"/>
          <w:sz w:val="22"/>
          <w:szCs w:val="22"/>
          <w:i w:val="1"/>
          <w:iCs w:val="1"/>
          <w:color w:val="auto"/>
        </w:rPr>
        <w:t>Actaris Servicios México S.A. de C.V.] (“</w:t>
      </w:r>
      <w:r>
        <w:rPr>
          <w:rFonts w:ascii="Arial" w:cs="Arial" w:eastAsia="Arial" w:hAnsi="Arial"/>
          <w:sz w:val="22"/>
          <w:szCs w:val="22"/>
          <w:b w:val="1"/>
          <w:bCs w:val="1"/>
          <w:i w:val="1"/>
          <w:iCs w:val="1"/>
          <w:color w:val="auto"/>
        </w:rPr>
        <w:t>Itron-Mexico</w:t>
      </w:r>
      <w:r>
        <w:rPr>
          <w:rFonts w:ascii="Arial" w:cs="Arial" w:eastAsia="Arial" w:hAnsi="Arial"/>
          <w:sz w:val="22"/>
          <w:szCs w:val="22"/>
          <w:i w:val="1"/>
          <w:iCs w:val="1"/>
          <w:color w:val="auto"/>
        </w:rPr>
        <w:t>”). Derivado de lo anterior, usted expresamente reconoce que el Plan y los beneficios que pueden derivarse de la participación en el Plan no establece ningún derecho entre usted y su Empleador, Itron-Mexico, y que no forman parte de las condiciones de empleo y / o prestaciones previstas por Itron-Mexico, y cualquier modificación del Plan o la terminación de su contrato no constituirá un cambio o deterioro de los términos y condiciones de su empleo.</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Además, usted receonoce que su participación en el Plan es derivada de una decisión discrecional y unilateral de la Compañía, por lo que la Compañía se reserva el derecho absoluto a modificar y / o suspender su participación en el Plan en cualquier momento, sin responsabilidad alguna para con usted.</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Finalmente, usted manifiesta que no se reserva ninguna acción o derecho que origine una demanda en contra de Itron, Inc., por cualquier compensación o daño en relación con cualquier disposición del Plan o de los beneficios derivados del mismo, y en consecuencia usted otorga un amplio y total finiquito a la Compañía, sus Subsidiarias o Afiliadas, sucursales, oficinas de representación, sus accionistas, directores, agentes y representantes legales con respecto a cualquier demanda que pudiera surgir.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ind w:right="40"/>
        <w:spacing w:after="0" w:line="256" w:lineRule="auto"/>
        <w:rPr>
          <w:sz w:val="20"/>
          <w:szCs w:val="20"/>
          <w:color w:val="auto"/>
        </w:rPr>
      </w:pPr>
      <w:r>
        <w:rPr>
          <w:rFonts w:ascii="Arial" w:cs="Arial" w:eastAsia="Arial" w:hAnsi="Arial"/>
          <w:sz w:val="22"/>
          <w:szCs w:val="22"/>
          <w:b w:val="1"/>
          <w:bCs w:val="1"/>
          <w:color w:val="auto"/>
        </w:rPr>
        <w:t>Securities Law Notification</w:t>
      </w:r>
      <w:r>
        <w:rPr>
          <w:rFonts w:ascii="Arial" w:cs="Arial" w:eastAsia="Arial" w:hAnsi="Arial"/>
          <w:sz w:val="22"/>
          <w:szCs w:val="22"/>
          <w:color w:val="auto"/>
        </w:rPr>
        <w:t>. You should be aware of the Dutch insider-trading rules which may impact the sale of Shares acquired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In particular, you may be prohibited from effectuating certain transactions if you have inside information about the Company.</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Under Article 5:56 of the Dutch Financial Supervision Act, anyone who has "insider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the Company or a Related Corporation in the Netherlands who has inside information as described herein.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Given the broad scope of the definition of inside information, certain employees working at the Company or a Related Corporation in the Netherlands may have inside information and, thus, would be prohibited from effectuating a transaction in securities in the Netherlands at a time when they have such inside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If you are uncertain whether the insider-trading rules apply to you, you should consult your personal legal advisor.</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32</w:t>
      </w:r>
    </w:p>
    <w:p>
      <w:pPr>
        <w:sectPr>
          <w:pgSz w:w="11900" w:h="16838" w:orient="portrait"/>
          <w:cols w:equalWidth="0" w:num="1">
            <w:col w:w="11420"/>
          </w:cols>
          <w:pgMar w:left="240" w:top="726"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u w:val="single" w:color="auto"/>
          <w:color w:val="auto"/>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If you transfer funds in excess of €15,000 into Poland in connection with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acquired under the Plan, the funds must be transferred via a bank account. You are required to retain the documents connected with a foreign exchange transaction for a period of five (5) years, as measured from the end of the year in which such transaction occurred. Additionally, if you hold Shares acquired under the Plan and/or keep a bank account abroad, you may have reporting duties to the National Bank of Poland depending on the value of your assets held abroad. </w:t>
      </w:r>
      <w:r>
        <w:rPr>
          <w:rFonts w:ascii="Arial" w:cs="Arial" w:eastAsia="Arial" w:hAnsi="Arial"/>
          <w:sz w:val="19"/>
          <w:szCs w:val="19"/>
          <w:i w:val="1"/>
          <w:iCs w:val="1"/>
          <w:color w:val="auto"/>
        </w:rPr>
        <w:t>You should consult with your personal</w:t>
      </w:r>
      <w:r>
        <w:rPr>
          <w:rFonts w:ascii="Arial" w:cs="Arial" w:eastAsia="Arial" w:hAnsi="Arial"/>
          <w:sz w:val="19"/>
          <w:szCs w:val="19"/>
          <w:color w:val="auto"/>
        </w:rPr>
        <w:t xml:space="preserve"> </w:t>
      </w:r>
      <w:r>
        <w:rPr>
          <w:rFonts w:ascii="Arial" w:cs="Arial" w:eastAsia="Arial" w:hAnsi="Arial"/>
          <w:sz w:val="19"/>
          <w:szCs w:val="19"/>
          <w:i w:val="1"/>
          <w:iCs w:val="1"/>
          <w:color w:val="auto"/>
        </w:rPr>
        <w:t>legal advisor to determine what you must do to fulfill any applicable reporting duties.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PORTUGAL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Exchange Control Notification</w:t>
      </w:r>
      <w:r>
        <w:rPr>
          <w:rFonts w:ascii="Arial" w:cs="Arial" w:eastAsia="Arial" w:hAnsi="Arial"/>
          <w:sz w:val="22"/>
          <w:szCs w:val="22"/>
          <w:color w:val="auto"/>
        </w:rPr>
        <w:t>. If you acquire Shares upon settlement of the Vested Units, the acquisition of the Shares should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reported to the </w:t>
      </w:r>
      <w:r>
        <w:rPr>
          <w:rFonts w:ascii="Arial" w:cs="Arial" w:eastAsia="Arial" w:hAnsi="Arial"/>
          <w:sz w:val="22"/>
          <w:szCs w:val="22"/>
          <w:i w:val="1"/>
          <w:iCs w:val="1"/>
          <w:color w:val="auto"/>
        </w:rPr>
        <w:t>Banco de Portugal</w:t>
      </w:r>
      <w:r>
        <w:rPr>
          <w:rFonts w:ascii="Arial" w:cs="Arial" w:eastAsia="Arial" w:hAnsi="Arial"/>
          <w:sz w:val="22"/>
          <w:szCs w:val="22"/>
          <w:color w:val="auto"/>
        </w:rPr>
        <w:t xml:space="preserve"> for statistical purposes. If the Shares are deposited with a commercial bank or financial intermediary in Portugal, such bank or financial intermediary will submit the report on your behalf. If the Shares are not deposited with a commercial bank or financial intermediary in Portugal, you are responsible for submitting the report to the </w:t>
      </w:r>
      <w:r>
        <w:rPr>
          <w:rFonts w:ascii="Arial" w:cs="Arial" w:eastAsia="Arial" w:hAnsi="Arial"/>
          <w:sz w:val="22"/>
          <w:szCs w:val="22"/>
          <w:i w:val="1"/>
          <w:iCs w:val="1"/>
          <w:color w:val="auto"/>
        </w:rPr>
        <w:t>Banco de</w:t>
      </w:r>
      <w:r>
        <w:rPr>
          <w:rFonts w:ascii="Arial" w:cs="Arial" w:eastAsia="Arial" w:hAnsi="Arial"/>
          <w:sz w:val="22"/>
          <w:szCs w:val="22"/>
          <w:color w:val="auto"/>
        </w:rPr>
        <w:t xml:space="preserve"> </w:t>
      </w:r>
      <w:r>
        <w:rPr>
          <w:rFonts w:ascii="Arial" w:cs="Arial" w:eastAsia="Arial" w:hAnsi="Arial"/>
          <w:sz w:val="22"/>
          <w:szCs w:val="22"/>
          <w:i w:val="1"/>
          <w:iCs w:val="1"/>
          <w:color w:val="auto"/>
        </w:rPr>
        <w:t>Portugal</w:t>
      </w:r>
      <w:r>
        <w:rPr>
          <w:rFonts w:ascii="Arial" w:cs="Arial" w:eastAsia="Arial" w:hAnsi="Arial"/>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RUSSIA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16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You must repatriate to Russia the proceeds from the sale of Shares and any cash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in relation to the Shares within a reasonably short time of receipt. Such funds must be initially credited to you through a foreign currency account opened in your name at an authorized bank in Russia. After the funds are initially received in Russia, they may be further remitted to foreign banks subject to the following limitations: (i) the foreign account may be opened only for individuals; (ii) the foreign account may not be used for business activities; and (iii) you must give notice to the Russian tax authorities about the opening or closing of each foreign account within one month of the account opening or closing, as applicable.</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Securities Law Notification</w:t>
      </w:r>
      <w:r>
        <w:rPr>
          <w:rFonts w:ascii="Arial" w:cs="Arial" w:eastAsia="Arial" w:hAnsi="Arial"/>
          <w:sz w:val="19"/>
          <w:szCs w:val="19"/>
          <w:color w:val="auto"/>
        </w:rPr>
        <w:t>. The Agreement, the Plan and all other materials you may receive regarding the Award and</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do not constitute advertising or an offering of securities in Russia. The issuance of Shares under the Plan has not and will not be registered in Russia and, therefore, the Shares described in any Plan documents may not be offered or placed in public circulation in Russia. In no event will Shares be delivered to you in Russia; all Shares acquired under the Plan will be maintained on your behalf in the United States. You are not permitted to sell Shares directly to a Russian legal entity or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33</w:t>
      </w:r>
    </w:p>
    <w:p>
      <w:pPr>
        <w:sectPr>
          <w:pgSz w:w="11900" w:h="16838" w:orient="portrait"/>
          <w:cols w:equalWidth="0" w:num="1">
            <w:col w:w="11420"/>
          </w:cols>
          <w:pgMar w:left="240" w:top="504"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resident</w:t>
      </w:r>
      <w:r>
        <w:rPr>
          <w:rFonts w:ascii="Arial" w:cs="Arial" w:eastAsia="Arial" w:hAnsi="Arial"/>
          <w:sz w:val="19"/>
          <w:szCs w:val="19"/>
          <w:color w:val="auto"/>
        </w:rPr>
        <w: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SINGAPORE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grant of the Award is being made pursuant to the “Qualifying Person” exemption”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273(1)(f) of the Securities and Futures Act (Chapter 289, 2006 Ed.) (“SFA”). The Plan has not been lodged or registered as a prospectus with the Monetary Authority of Singapore. You should note that the Award is subject to section 257 of the SFA and you will not be able to make (i) any subsequent sale of the Shares in Singapore or (ii) any offer of such subsequent sale of the Shares subject to the Award in Singapore, unless such sale or offer in is made pursuant to the exemptions under Part XIII Division 1 Subdivision (4) (other than section 280) of the SFA. The Shares are currently traded on the NASDAQ Global Select Market, which is located outside of Singapore, under the ticker symbol “ITRI” and Shares acquired under the Plan may be sold through this exchange.</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Director Notification Requirement. </w:t>
      </w:r>
      <w:r>
        <w:rPr>
          <w:rFonts w:ascii="Arial" w:cs="Arial" w:eastAsia="Arial" w:hAnsi="Arial"/>
          <w:sz w:val="22"/>
          <w:szCs w:val="22"/>
          <w:color w:val="auto"/>
        </w:rPr>
        <w:t>If you are a director, associate director or shadow director</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of a Singapore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you are subject to certain notification requirements under the Singapore Companies Act, regardless of whether you are a Singapore resident or employed in Singapore. Among these requirements is the obligation to notify the Singapore Related Corporation in writing when you receive or dispose of an interest (</w:t>
      </w:r>
      <w:r>
        <w:rPr>
          <w:rFonts w:ascii="Arial" w:cs="Arial" w:eastAsia="Arial" w:hAnsi="Arial"/>
          <w:sz w:val="22"/>
          <w:szCs w:val="22"/>
          <w:i w:val="1"/>
          <w:iCs w:val="1"/>
          <w:color w:val="auto"/>
        </w:rPr>
        <w:t>e.g.,</w:t>
      </w:r>
      <w:r>
        <w:rPr>
          <w:rFonts w:ascii="Arial" w:cs="Arial" w:eastAsia="Arial" w:hAnsi="Arial"/>
          <w:sz w:val="22"/>
          <w:szCs w:val="22"/>
          <w:color w:val="auto"/>
        </w:rPr>
        <w:t xml:space="preserve"> Units, Shares) in the Company or a Related Corporation. These notifications must be made within two (2) business days of acquiring or disposing of any interest in the Company or any Related Corporation or within two (2) business days of becoming a director, associate director or shadow director if such an interest exists at that time.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for Taxes</w:t>
      </w:r>
      <w:r>
        <w:rPr>
          <w:rFonts w:ascii="Arial" w:cs="Arial" w:eastAsia="Arial" w:hAnsi="Arial"/>
          <w:sz w:val="22"/>
          <w:szCs w:val="22"/>
          <w:color w:val="auto"/>
        </w:rPr>
        <w:t>. The following provision supplements Section 9 of the Agreement:</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accepting the grant of the Award, you agree that, immediately upon vesting of the Award, you will notify the Employer of the amount of any gain realized. If you fail to advise the Employer of the gain realized upon vesting, you may be liable for a fine. You will be solely responsible paying any difference the actual tax liability resulting from the Award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0" w:right="80" w:hanging="412"/>
        <w:spacing w:after="0" w:line="217" w:lineRule="auto"/>
        <w:tabs>
          <w:tab w:leader="none" w:pos="42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A shadow director is an individual who is not on the board of directors of the Singapore Related Corporation but who has sufficient control so that the board of directors of the Singapore Related Corporation acts in accordance with the directions and instructions of the individual.</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34</w:t>
      </w:r>
    </w:p>
    <w:p>
      <w:pPr>
        <w:sectPr>
          <w:pgSz w:w="11900" w:h="16838" w:orient="portrait"/>
          <w:cols w:equalWidth="0" w:num="1">
            <w:col w:w="11420"/>
          </w:cols>
          <w:pgMar w:left="240" w:top="726" w:right="2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amount withheld by the Company or the Employer.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You are solely responsible for ensuring compliance with any applicable exchange control laws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regulations in South Africa. </w:t>
      </w:r>
      <w:r>
        <w:rPr>
          <w:rFonts w:ascii="Arial" w:cs="Arial" w:eastAsia="Arial" w:hAnsi="Arial"/>
          <w:sz w:val="21"/>
          <w:szCs w:val="21"/>
          <w:i w:val="1"/>
          <w:iCs w:val="1"/>
          <w:color w:val="auto"/>
        </w:rPr>
        <w:t>Because exchange control regulations change frequently and without notice, you should consult</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your legal advisor prior to the acquisition or sale of Shares to ensure compliance with current regulations. </w:t>
      </w:r>
      <w:r>
        <w:rPr>
          <w:rFonts w:ascii="Arial" w:cs="Arial" w:eastAsia="Arial" w:hAnsi="Arial"/>
          <w:sz w:val="21"/>
          <w:szCs w:val="21"/>
          <w:color w:val="auto"/>
        </w:rPr>
        <w:t>Neither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nor the Employer has any obligation to obtain any applicable exchange control approval or complete any applicable exchange control filings on your behalf. You (not the Company nor the Employer) will be liable for any fines or penalties resulting from your failure to comply with any applicable requirements.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SPAIN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Grant</w:t>
      </w:r>
      <w:r>
        <w:rPr>
          <w:rFonts w:ascii="Arial" w:cs="Arial" w:eastAsia="Arial" w:hAnsi="Arial"/>
          <w:sz w:val="22"/>
          <w:szCs w:val="22"/>
          <w:color w:val="auto"/>
        </w:rPr>
        <w:t>. The following provision supplements Section 10 of the Agreement:</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the grant of the Award, you consent to participation in the Plan and acknowledge that you have received a copy of the Plan.</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You understand that the Company has unilaterally, gratuitously and in its sole discretion decided to grant Awards to individuals who may be employees of the Company or a Related Corporation throughout the world. The decision is limited and entered into based upon the express assumption and condition that any grant will not bind the Company or a Related Corporation, other than as expressly set forth in the Agreement. Consequently, you understand that the Award is granted on the assumption and condition that the Award and any Shares acquired upon settlement of the Vested Units are not part of any employment contract (whether with the Company or a Related Corporation) and shall not be considered a mandatory benefit, salary for any purpose (including severance compensation), or any other right whatsoever.</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Additionally, you understand that the vesting of the Award is expressly conditioned on your continued and active rendering of service to the Company or a Related Corporation such that if your employment terminates for any reason (including for the reasons listed below but excluding the reasons specified in Section 2 of the Agreement), the Award will cease vesting immediately effective as of the date of termination of your employment. This will be the case, for example, even if (1) you are considered to be unfairly dismissed without good cause; (2) you are dismissed for disciplinary or objective reasons or due to a collective dismissal; (3) you terminate employment due to a change of work location, duties or any other employment or contractual condition; (4) you terminate employment due to unilateral breach of contract of the Company or any of its Related Corporations; or (5) your employment terminates for any other reason (excluding the reasons specified in Section 2 of the Agreement). Consequently, upon termination of your employment for any of the above reasons, you will automatically lose any rights to the Award granted to you to the extent that</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35</w:t>
      </w:r>
    </w:p>
    <w:p>
      <w:pPr>
        <w:sectPr>
          <w:pgSz w:w="11900" w:h="16838" w:orient="portrait"/>
          <w:cols w:equalWidth="0" w:num="1">
            <w:col w:w="11420"/>
          </w:cols>
          <w:pgMar w:left="240" w:top="510" w:right="239" w:bottom="1440" w:gutter="0" w:footer="0" w:header="0"/>
        </w:sectPr>
      </w:pPr>
    </w:p>
    <w:bookmarkStart w:id="93" w:name="page94"/>
    <w:bookmarkEnd w:id="93"/>
    <w:p>
      <w:pPr>
        <w:jc w:val="both"/>
        <w:spacing w:after="0" w:line="263" w:lineRule="auto"/>
        <w:rPr>
          <w:sz w:val="20"/>
          <w:szCs w:val="20"/>
          <w:color w:val="auto"/>
        </w:rPr>
      </w:pPr>
      <w:r>
        <w:rPr>
          <w:rFonts w:ascii="Arial" w:cs="Arial" w:eastAsia="Arial" w:hAnsi="Arial"/>
          <w:sz w:val="22"/>
          <w:szCs w:val="22"/>
          <w:color w:val="auto"/>
        </w:rPr>
        <w:t>the Units subject to the Award have not yet become Vested Units as of the date of your termination of employment, as described in the Agreement.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You acknowledge that you have read and specifically accept the conditions referred to in Section 1 of the Agreement.</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Finally, you understand that this grant would not be made to you but for the assumptions and conditions referred to herein; thus, you acknowledge and freely accept that should any or all of the assumptions be mistaken or should any of the conditions not be met for any reason, then the grant of the Award shall be null and void.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You must declare the acquisition, ownership and disposition of stock in a foreign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Shares acquired under the Plan) to the </w:t>
      </w:r>
      <w:r>
        <w:rPr>
          <w:rFonts w:ascii="Arial" w:cs="Arial" w:eastAsia="Arial" w:hAnsi="Arial"/>
          <w:sz w:val="19"/>
          <w:szCs w:val="19"/>
          <w:i w:val="1"/>
          <w:iCs w:val="1"/>
          <w:color w:val="auto"/>
        </w:rPr>
        <w:t>Spanish Dirección General de Comercio e Inversiones</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DGCI</w:t>
      </w:r>
      <w:r>
        <w:rPr>
          <w:rFonts w:ascii="Arial" w:cs="Arial" w:eastAsia="Arial" w:hAnsi="Arial"/>
          <w:sz w:val="19"/>
          <w:szCs w:val="19"/>
          <w:color w:val="auto"/>
        </w:rPr>
        <w:t>”), the Bureau for Commerce and Investments, which is a department of the Ministry of Industry, Tourism and Commerce, for statistical purposes. Generally, the declaration must be filed in January; however, if the value of the Shares acquired under the Plan or the amount of the sale proceeds exceeds €1,502,530, the declaration must be filed within one month of the acquisition or sale, as applicable.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When receiving foreign currency payments derived from the ownership of Shares (</w:t>
      </w:r>
      <w:r>
        <w:rPr>
          <w:rFonts w:ascii="Arial" w:cs="Arial" w:eastAsia="Arial" w:hAnsi="Arial"/>
          <w:sz w:val="22"/>
          <w:szCs w:val="22"/>
          <w:i w:val="1"/>
          <w:iCs w:val="1"/>
          <w:color w:val="auto"/>
        </w:rPr>
        <w:t>i.e.</w:t>
      </w:r>
      <w:r>
        <w:rPr>
          <w:rFonts w:ascii="Arial" w:cs="Arial" w:eastAsia="Arial" w:hAnsi="Arial"/>
          <w:sz w:val="22"/>
          <w:szCs w:val="22"/>
          <w:color w:val="auto"/>
        </w:rPr>
        <w:t>, dividends or sale proceeds) exceeding €50,000, you must inform the financial institution receiving the payment of the basis upon which such payment is made. You will need to provide the following information: (i) your name, address, and tax identification number; (ii) the name and corporate domicile of the Company; (iii) the amount of the payment and the currency used; (iv) the country of origin; (v) the reasons for the payment; and (vi) any further information that may be required.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SWEDEN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Securities Law Notification</w:t>
      </w:r>
      <w:r>
        <w:rPr>
          <w:rFonts w:ascii="Arial" w:cs="Arial" w:eastAsia="Arial" w:hAnsi="Arial"/>
          <w:sz w:val="22"/>
          <w:szCs w:val="22"/>
          <w:color w:val="auto"/>
        </w:rPr>
        <w:t>. The grant of the restricted stock units under the Plan is considered a private offering in Switzerland</w:t>
      </w:r>
      <w:r>
        <w:rPr>
          <w:rFonts w:ascii="Arial" w:cs="Arial" w:eastAsia="Arial" w:hAnsi="Arial"/>
          <w:sz w:val="22"/>
          <w:szCs w:val="22"/>
          <w:b w:val="1"/>
          <w:bCs w:val="1"/>
          <w:color w:val="auto"/>
        </w:rPr>
        <w:t xml:space="preserve"> </w:t>
      </w:r>
      <w:r>
        <w:rPr>
          <w:rFonts w:ascii="Arial" w:cs="Arial" w:eastAsia="Arial" w:hAnsi="Arial"/>
          <w:sz w:val="22"/>
          <w:szCs w:val="22"/>
          <w:color w:val="auto"/>
        </w:rPr>
        <w:t>and is, therefore, not subject to registration in Switzerland.</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36</w:t>
      </w:r>
    </w:p>
    <w:p>
      <w:pPr>
        <w:sectPr>
          <w:pgSz w:w="11900" w:h="16838" w:orient="portrait"/>
          <w:cols w:equalWidth="0" w:num="1">
            <w:col w:w="11420"/>
          </w:cols>
          <w:pgMar w:left="240" w:top="726"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u w:val="single" w:color="auto"/>
          <w:color w:val="auto"/>
        </w:rPr>
        <w:t>THAILAND</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5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Exchange Control Notification</w:t>
      </w:r>
      <w:r>
        <w:rPr>
          <w:rFonts w:ascii="Arial" w:cs="Arial" w:eastAsia="Arial" w:hAnsi="Arial"/>
          <w:sz w:val="19"/>
          <w:szCs w:val="19"/>
          <w:color w:val="auto"/>
        </w:rPr>
        <w:t>. You must repatriate any funds received pursuant to the Plan (</w:t>
      </w:r>
      <w:r>
        <w:rPr>
          <w:rFonts w:ascii="Arial" w:cs="Arial" w:eastAsia="Arial" w:hAnsi="Arial"/>
          <w:sz w:val="19"/>
          <w:szCs w:val="19"/>
          <w:i w:val="1"/>
          <w:iCs w:val="1"/>
          <w:color w:val="auto"/>
        </w:rPr>
        <w:t>e.g.</w:t>
      </w:r>
      <w:r>
        <w:rPr>
          <w:rFonts w:ascii="Arial" w:cs="Arial" w:eastAsia="Arial" w:hAnsi="Arial"/>
          <w:sz w:val="19"/>
          <w:szCs w:val="19"/>
          <w:color w:val="auto"/>
        </w:rPr>
        <w:t>, proceeds from the sale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Thailand immediately upon receipt, and convert such funds to Thai Baht or deposit the funds in a foreign exchange account with a commercial bank in Thailand within 360 days of repatriation. If the amount of the funds is US$50,000 or more, you must report the inward remittance by submitting a Foreign Exchange Transaction Form to an authorized agent (</w:t>
      </w:r>
      <w:r>
        <w:rPr>
          <w:rFonts w:ascii="Arial" w:cs="Arial" w:eastAsia="Arial" w:hAnsi="Arial"/>
          <w:sz w:val="19"/>
          <w:szCs w:val="19"/>
          <w:i w:val="1"/>
          <w:iCs w:val="1"/>
          <w:color w:val="auto"/>
        </w:rPr>
        <w:t>i.e.</w:t>
      </w:r>
      <w:r>
        <w:rPr>
          <w:rFonts w:ascii="Arial" w:cs="Arial" w:eastAsia="Arial" w:hAnsi="Arial"/>
          <w:sz w:val="19"/>
          <w:szCs w:val="19"/>
          <w:color w:val="auto"/>
        </w:rPr>
        <w:t>, a commercial bank authorized by the Bank of Thailand to engage in the purchase, exchange and withdrawal of foreign currency).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This provision supplements Section 1 of the Agreement:</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grant of the Award does not provide any right for you to receive a cash payment and the Vested Units will be settled in Shares only.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for Taxes</w:t>
      </w:r>
      <w:r>
        <w:rPr>
          <w:rFonts w:ascii="Arial" w:cs="Arial" w:eastAsia="Arial" w:hAnsi="Arial"/>
          <w:sz w:val="22"/>
          <w:szCs w:val="22"/>
          <w:color w:val="auto"/>
        </w:rPr>
        <w:t>. The following provision supplements Section 9 of the Agreement:</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If payment or withholding of the income tax due is not made within ninety (90) days of the event giving rise to the liability or such other period specified in Section 222(1)(c) of the U.K. Income Tax (Earnings and Pensions) Act 2003 (the </w:t>
      </w:r>
      <w:r>
        <w:rPr>
          <w:rFonts w:ascii="Arial" w:cs="Arial" w:eastAsia="Arial" w:hAnsi="Arial"/>
          <w:sz w:val="19"/>
          <w:szCs w:val="19"/>
          <w:b w:val="1"/>
          <w:bCs w:val="1"/>
          <w:i w:val="1"/>
          <w:iCs w:val="1"/>
          <w:color w:val="auto"/>
        </w:rPr>
        <w:t>“Due Date”</w:t>
      </w:r>
      <w:r>
        <w:rPr>
          <w:rFonts w:ascii="Arial" w:cs="Arial" w:eastAsia="Arial" w:hAnsi="Arial"/>
          <w:sz w:val="19"/>
          <w:szCs w:val="19"/>
          <w:color w:val="auto"/>
        </w:rPr>
        <w:t>), the amount of any uncollected income tax will constitute a loan owed by you to the Employer, effective on the Due Date. You agree that the loan will bear interest at the then-current official rate of Her Majesty’s Revenue and Customs (</w:t>
      </w:r>
      <w:r>
        <w:rPr>
          <w:rFonts w:ascii="Arial" w:cs="Arial" w:eastAsia="Arial" w:hAnsi="Arial"/>
          <w:sz w:val="19"/>
          <w:szCs w:val="19"/>
          <w:b w:val="1"/>
          <w:bCs w:val="1"/>
          <w:i w:val="1"/>
          <w:iCs w:val="1"/>
          <w:color w:val="auto"/>
        </w:rPr>
        <w:t>“HMRC”</w:t>
      </w:r>
      <w:r>
        <w:rPr>
          <w:rFonts w:ascii="Arial" w:cs="Arial" w:eastAsia="Arial" w:hAnsi="Arial"/>
          <w:sz w:val="19"/>
          <w:szCs w:val="19"/>
          <w:color w:val="auto"/>
        </w:rPr>
        <w:t>), it will be immediately due and repayable, and the Company or the Employer may recover it at any time thereafter by any of the means referred to in Section 9.2 of the Agreement. Notwithstanding the foregoing, if you are a director or executive officer of the Company (within the meaning of Section 13(k) of the Exchange Act), you will not be eligible for such a loan to cover the income tax due. In the event that you are a director or executive officer and the income tax due is not collected from or paid by you by the Due Date, the amount of any uncollected income tax will constitute a benefit to you on which additional income tax and national insurance contributions will be payable. You acknowledge that the Company or the Employer may recover such amounts from you by any of the means referred to in Section 9.2 of the Agreement. However, you are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37</w:t>
      </w:r>
    </w:p>
    <w:p>
      <w:pPr>
        <w:sectPr>
          <w:pgSz w:w="11900" w:h="16838" w:orient="portrait"/>
          <w:cols w:equalWidth="0" w:num="1">
            <w:col w:w="11420"/>
          </w:cols>
          <w:pgMar w:left="240" w:top="504" w:right="23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22"/>
          <w:szCs w:val="22"/>
          <w:color w:val="auto"/>
        </w:rPr>
        <w:t>also responsible for reporting and paying any income tax and national insurance contributions due on this additional benefit directly to HMRC under the self-assessment regime.</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Joint Election</w:t>
      </w:r>
      <w:r>
        <w:rPr>
          <w:rFonts w:ascii="Arial" w:cs="Arial" w:eastAsia="Arial" w:hAnsi="Arial"/>
          <w:sz w:val="22"/>
          <w:szCs w:val="22"/>
          <w:color w:val="auto"/>
        </w:rPr>
        <w:t>. As a condition of your participation in the Plan, you agree to accept any liability for secondary Class 1 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insurance contributions (the </w:t>
      </w:r>
      <w:r>
        <w:rPr>
          <w:rFonts w:ascii="Arial" w:cs="Arial" w:eastAsia="Arial" w:hAnsi="Arial"/>
          <w:sz w:val="22"/>
          <w:szCs w:val="22"/>
          <w:b w:val="1"/>
          <w:bCs w:val="1"/>
          <w:i w:val="1"/>
          <w:iCs w:val="1"/>
          <w:color w:val="auto"/>
        </w:rPr>
        <w:t>“Employer’s Liability”</w:t>
      </w:r>
      <w:r>
        <w:rPr>
          <w:rFonts w:ascii="Arial" w:cs="Arial" w:eastAsia="Arial" w:hAnsi="Arial"/>
          <w:sz w:val="22"/>
          <w:szCs w:val="22"/>
          <w:color w:val="auto"/>
        </w:rPr>
        <w:t xml:space="preserve">) which may be payable by the Company and/or the Employer in connection with the Award and any event giving rise to Tax-Related Items. To accomplish the foregoing, you agree to execute the following joint election with the Company (the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the form of such Joint Election being formally approved by HMRC, and any other consent or elections required to accomplish the transfer of the Employer’s Liability to you. You further agree to execute such other joint elections as may be required between yourself and any successor to the Company and/or the Employer. You further agree that the Company and/or the Employer may collect the Employer’s Liability by any of the means set forth in Section 9.2 of the Agreement.</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you do not enter into a Joint Election prior to vesting of the Award or any other event giving rise to Tax-Related Items, you will forfeit the Units and any benefits in connection with the Award, and any Shares that have been issued will be returned to the Company at no cost to the Company, without any liability to the Company and/or the Employer.</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38</w:t>
      </w:r>
    </w:p>
    <w:p>
      <w:pPr>
        <w:sectPr>
          <w:pgSz w:w="11900" w:h="16838" w:orient="portrait"/>
          <w:cols w:equalWidth="0" w:num="1">
            <w:col w:w="11420"/>
          </w:cols>
          <w:pgMar w:left="240" w:top="510" w:right="239" w:bottom="1440" w:gutter="0" w:footer="0" w:header="0"/>
        </w:sectPr>
      </w:pPr>
    </w:p>
    <w:bookmarkStart w:id="96" w:name="page97"/>
    <w:bookmarkEnd w:id="96"/>
    <w:p>
      <w:pPr>
        <w:jc w:val="center"/>
        <w:ind w:right="80"/>
        <w:spacing w:after="0"/>
        <w:rPr>
          <w:sz w:val="20"/>
          <w:szCs w:val="20"/>
          <w:color w:val="auto"/>
        </w:rPr>
      </w:pPr>
      <w:r>
        <w:rPr>
          <w:rFonts w:ascii="Arial" w:cs="Arial" w:eastAsia="Arial" w:hAnsi="Arial"/>
          <w:sz w:val="25"/>
          <w:szCs w:val="25"/>
          <w:b w:val="1"/>
          <w:bCs w:val="1"/>
          <w:color w:val="auto"/>
        </w:rPr>
        <w:t>ITRON,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54875"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840"/>
        <w:spacing w:after="0"/>
        <w:rPr>
          <w:sz w:val="20"/>
          <w:szCs w:val="20"/>
          <w:color w:val="auto"/>
        </w:rPr>
      </w:pPr>
      <w:r>
        <w:rPr>
          <w:rFonts w:ascii="Arial" w:cs="Arial" w:eastAsia="Arial" w:hAnsi="Arial"/>
          <w:sz w:val="25"/>
          <w:szCs w:val="25"/>
          <w:b w:val="1"/>
          <w:bCs w:val="1"/>
          <w:color w:val="auto"/>
        </w:rPr>
        <w:t>Important Note on the Joint Election to Transfer</w:t>
      </w:r>
    </w:p>
    <w:p>
      <w:pPr>
        <w:spacing w:after="0" w:line="42" w:lineRule="exact"/>
        <w:rPr>
          <w:sz w:val="20"/>
          <w:szCs w:val="20"/>
          <w:color w:val="auto"/>
        </w:rPr>
      </w:pPr>
    </w:p>
    <w:p>
      <w:pPr>
        <w:ind w:left="3120"/>
        <w:spacing w:after="0"/>
        <w:rPr>
          <w:sz w:val="20"/>
          <w:szCs w:val="20"/>
          <w:color w:val="auto"/>
        </w:rPr>
      </w:pPr>
      <w:r>
        <w:rPr>
          <w:rFonts w:ascii="Arial" w:cs="Arial" w:eastAsia="Arial" w:hAnsi="Arial"/>
          <w:sz w:val="25"/>
          <w:szCs w:val="25"/>
          <w:b w:val="1"/>
          <w:bCs w:val="1"/>
          <w:color w:val="auto"/>
        </w:rPr>
        <w:t>Employer National Insurance Contributions</w:t>
      </w:r>
    </w:p>
    <w:p>
      <w:pPr>
        <w:spacing w:after="0" w:line="200" w:lineRule="exact"/>
        <w:rPr>
          <w:sz w:val="20"/>
          <w:szCs w:val="20"/>
          <w:color w:val="auto"/>
        </w:rPr>
      </w:pPr>
    </w:p>
    <w:p>
      <w:pPr>
        <w:spacing w:after="0" w:line="29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As a condition of participation in the Itron, Inc. 2010 Stock Incentive Plan (the “Plan”) and the vesting of the restricted stock unit award (the “Award”) that has been granted to you by Itron, Inc. (the “Company”), you are required to enter into a joint election to transfer to you any liability for employer national insurance contributions (the “Employer’s Liability”) that may arise in connection with the Award, or in connection with future restricted stock unit awards, granted to you by the Company under the Plan (the “Joint Election”).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If you do not agree to enter into the Joint Election, the Award will be worthless, as (under the terms of the Restricted Stock Unit Award Agreement) you will not be able to vest in the Award or receive any benefit in connection with the Award.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entering into the Joint Election:</w:t>
      </w:r>
    </w:p>
    <w:p>
      <w:pPr>
        <w:spacing w:after="0" w:line="216" w:lineRule="exact"/>
        <w:rPr>
          <w:sz w:val="20"/>
          <w:szCs w:val="20"/>
          <w:color w:val="auto"/>
        </w:rPr>
      </w:pPr>
    </w:p>
    <w:p>
      <w:pPr>
        <w:jc w:val="both"/>
        <w:ind w:left="660" w:hanging="328"/>
        <w:spacing w:after="0" w:line="247" w:lineRule="auto"/>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you agree that any Employer’s Liability that may arise in connection with or pursuant to the vesting of the Award (and the acquisition of shares of the Company’s common stock) or other taxable events in connection with the Award will be transferred to you; and</w:t>
      </w:r>
    </w:p>
    <w:p>
      <w:pPr>
        <w:spacing w:after="0" w:line="2" w:lineRule="exact"/>
        <w:rPr>
          <w:rFonts w:ascii="Arial" w:cs="Arial" w:eastAsia="Arial" w:hAnsi="Arial"/>
          <w:sz w:val="20"/>
          <w:szCs w:val="20"/>
          <w:b w:val="1"/>
          <w:bCs w:val="1"/>
          <w:color w:val="auto"/>
        </w:rPr>
      </w:pPr>
    </w:p>
    <w:p>
      <w:pPr>
        <w:ind w:left="660" w:hanging="328"/>
        <w:spacing w:after="0" w:line="247" w:lineRule="auto"/>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you authorise the Company and/or your employer to recover an amount sufficient to cover this liability by any method set forth in the Restricted Stock Unit Award Agreement and/or the Joint Election.</w:t>
      </w:r>
    </w:p>
    <w:p>
      <w:pPr>
        <w:spacing w:after="0" w:line="200" w:lineRule="exact"/>
        <w:rPr>
          <w:sz w:val="20"/>
          <w:szCs w:val="20"/>
          <w:color w:val="auto"/>
        </w:rPr>
      </w:pPr>
    </w:p>
    <w:p>
      <w:pPr>
        <w:spacing w:after="0" w:line="207"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i w:val="1"/>
          <w:iCs w:val="1"/>
          <w:color w:val="auto"/>
        </w:rPr>
        <w:t>Indicating your acceptance of the Restricted Stock Unit Award Agreement indicates your agreement to be bound by the terms of the Joint Election.</w:t>
      </w:r>
    </w:p>
    <w:p>
      <w:pPr>
        <w:spacing w:after="0" w:line="200" w:lineRule="exact"/>
        <w:rPr>
          <w:sz w:val="20"/>
          <w:szCs w:val="20"/>
          <w:color w:val="auto"/>
        </w:rPr>
      </w:pPr>
    </w:p>
    <w:p>
      <w:pPr>
        <w:spacing w:after="0" w:line="208" w:lineRule="exact"/>
        <w:rPr>
          <w:sz w:val="20"/>
          <w:szCs w:val="20"/>
          <w:color w:val="auto"/>
        </w:rPr>
      </w:pPr>
    </w:p>
    <w:p>
      <w:pPr>
        <w:jc w:val="center"/>
        <w:spacing w:after="0" w:line="268" w:lineRule="auto"/>
        <w:rPr>
          <w:sz w:val="20"/>
          <w:szCs w:val="20"/>
          <w:color w:val="auto"/>
        </w:rPr>
      </w:pPr>
      <w:r>
        <w:rPr>
          <w:rFonts w:ascii="Arial" w:cs="Arial" w:eastAsia="Arial" w:hAnsi="Arial"/>
          <w:sz w:val="25"/>
          <w:szCs w:val="25"/>
          <w:b w:val="1"/>
          <w:bCs w:val="1"/>
          <w:color w:val="auto"/>
        </w:rPr>
        <w:t>Please read the terms of the Joint Election carefully before accepting the Restricted Stock Unit Award Agreement and the Joint Election.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Please print and keep a copy of the Joint Election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your records.</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39</w:t>
      </w:r>
    </w:p>
    <w:p>
      <w:pPr>
        <w:sectPr>
          <w:pgSz w:w="11900" w:h="16838" w:orient="portrait"/>
          <w:cols w:equalWidth="0" w:num="1">
            <w:col w:w="11420"/>
          </w:cols>
          <w:pgMar w:left="240" w:top="487" w:right="239" w:bottom="1440" w:gutter="0" w:footer="0" w:header="0"/>
        </w:sectPr>
      </w:pPr>
    </w:p>
    <w:bookmarkStart w:id="97" w:name="page98"/>
    <w:bookmarkEnd w:id="97"/>
    <w:p>
      <w:pPr>
        <w:jc w:val="center"/>
        <w:ind w:right="60"/>
        <w:spacing w:after="0"/>
        <w:rPr>
          <w:sz w:val="20"/>
          <w:szCs w:val="20"/>
          <w:color w:val="auto"/>
        </w:rPr>
      </w:pPr>
      <w:r>
        <w:rPr>
          <w:rFonts w:ascii="Arial" w:cs="Arial" w:eastAsia="Arial" w:hAnsi="Arial"/>
          <w:sz w:val="22"/>
          <w:szCs w:val="22"/>
          <w:b w:val="1"/>
          <w:bCs w:val="1"/>
          <w:color w:val="auto"/>
        </w:rPr>
        <w:t>ITRON,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2010 STOCK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Employees in the United Kingdom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ELECTION TO TRANSFER THE EMPLOYER’S SECONDARY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CLASS 1 NATIONAL INSURANCE LIABILITY TO THE EMPLOYEE</w:t>
      </w:r>
    </w:p>
    <w:p>
      <w:pPr>
        <w:spacing w:after="0" w:line="27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Election is between:</w:t>
      </w:r>
    </w:p>
    <w:p>
      <w:pPr>
        <w:spacing w:after="0" w:line="203" w:lineRule="exact"/>
        <w:rPr>
          <w:rFonts w:ascii="Arial" w:cs="Arial" w:eastAsia="Arial" w:hAnsi="Arial"/>
          <w:sz w:val="18"/>
          <w:szCs w:val="18"/>
          <w:b w:val="1"/>
          <w:bCs w:val="1"/>
          <w:color w:val="auto"/>
        </w:rPr>
      </w:pPr>
    </w:p>
    <w:p>
      <w:pPr>
        <w:jc w:val="both"/>
        <w:ind w:left="1300" w:hanging="644"/>
        <w:spacing w:after="0" w:line="269"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You, the individual who has obtained access to this Election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who is employed by one of the employing companies listed in the attached schedule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xml:space="preserve">), and who is eligible to receive a restricted stock unit award pursuant to the terms and conditions of the Itron, Inc. 2010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w:t>
      </w:r>
    </w:p>
    <w:p>
      <w:pPr>
        <w:spacing w:after="0" w:line="168"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Itron, Inc. of 2111 N. Molter Road, Lake Liberty, Washington 99019, U.S.A.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may grant restricted stock unit awards under the Plan and is entering this Election on behalf of the Employer.</w:t>
      </w:r>
    </w:p>
    <w:p>
      <w:pPr>
        <w:spacing w:after="0" w:line="153"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Election</w:t>
      </w:r>
    </w:p>
    <w:p>
      <w:pPr>
        <w:spacing w:after="0" w:line="225" w:lineRule="exact"/>
        <w:rPr>
          <w:rFonts w:ascii="Arial" w:cs="Arial" w:eastAsia="Arial" w:hAnsi="Arial"/>
          <w:sz w:val="18"/>
          <w:szCs w:val="18"/>
          <w:b w:val="1"/>
          <w:bCs w:val="1"/>
          <w:color w:val="auto"/>
        </w:rPr>
      </w:pPr>
    </w:p>
    <w:p>
      <w:pPr>
        <w:ind w:left="1300" w:hanging="648"/>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 xml:space="preserve">2.1This Election relates to the Employer’s secondary Class 1 national insurance contributions (the </w:t>
      </w:r>
      <w:r>
        <w:rPr>
          <w:rFonts w:ascii="Arial" w:cs="Arial" w:eastAsia="Arial" w:hAnsi="Arial"/>
          <w:sz w:val="18"/>
          <w:szCs w:val="18"/>
          <w:b w:val="1"/>
          <w:bCs w:val="1"/>
          <w:i w:val="1"/>
          <w:iCs w:val="1"/>
          <w:color w:val="auto"/>
        </w:rPr>
        <w:t>“Employer’s Liability”</w:t>
      </w:r>
      <w:r>
        <w:rPr>
          <w:rFonts w:ascii="Arial" w:cs="Arial" w:eastAsia="Arial" w:hAnsi="Arial"/>
          <w:sz w:val="18"/>
          <w:szCs w:val="18"/>
          <w:color w:val="auto"/>
        </w:rPr>
        <w:t xml:space="preserve">) which may arise on the occurrence of a </w:t>
      </w:r>
      <w:r>
        <w:rPr>
          <w:rFonts w:ascii="Arial" w:cs="Arial" w:eastAsia="Arial" w:hAnsi="Arial"/>
          <w:sz w:val="18"/>
          <w:szCs w:val="18"/>
          <w:b w:val="1"/>
          <w:bCs w:val="1"/>
          <w:i w:val="1"/>
          <w:iCs w:val="1"/>
          <w:color w:val="auto"/>
        </w:rPr>
        <w:t>"Taxable Event"</w:t>
      </w:r>
      <w:r>
        <w:rPr>
          <w:rFonts w:ascii="Arial" w:cs="Arial" w:eastAsia="Arial" w:hAnsi="Arial"/>
          <w:sz w:val="18"/>
          <w:szCs w:val="18"/>
          <w:color w:val="auto"/>
        </w:rPr>
        <w:t xml:space="preserve"> pursuant to section 4(4)(a) or paragraph 3B(1A) of Schedule 1 of the Social Security Contributions and Benefits Act 1992, including but not limited to:</w:t>
      </w:r>
    </w:p>
    <w:p>
      <w:pPr>
        <w:spacing w:after="0" w:line="190" w:lineRule="exact"/>
        <w:rPr>
          <w:rFonts w:ascii="Arial" w:cs="Arial" w:eastAsia="Arial" w:hAnsi="Arial"/>
          <w:sz w:val="18"/>
          <w:szCs w:val="18"/>
          <w:b w:val="1"/>
          <w:bCs w:val="1"/>
          <w:color w:val="auto"/>
        </w:rPr>
      </w:pPr>
    </w:p>
    <w:p>
      <w:pPr>
        <w:ind w:left="1960" w:hanging="655"/>
        <w:spacing w:after="0"/>
        <w:tabs>
          <w:tab w:leader="none" w:pos="19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acquisition of securities pursuant to the restricted stock unit award (pursuant to section 477(3)(a) ITEPA); and/or</w:t>
      </w:r>
    </w:p>
    <w:p>
      <w:pPr>
        <w:spacing w:after="0" w:line="225" w:lineRule="exact"/>
        <w:rPr>
          <w:rFonts w:ascii="Arial" w:cs="Arial" w:eastAsia="Arial" w:hAnsi="Arial"/>
          <w:sz w:val="18"/>
          <w:szCs w:val="18"/>
          <w:color w:val="auto"/>
        </w:rPr>
      </w:pPr>
    </w:p>
    <w:p>
      <w:pPr>
        <w:ind w:left="1960" w:right="20" w:hanging="655"/>
        <w:spacing w:after="0" w:line="262" w:lineRule="auto"/>
        <w:tabs>
          <w:tab w:leader="none" w:pos="19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assignment or release of the restricted stock unit award in return for consideration (pursuant to section 477(3)(b) ITEPA); and/or</w:t>
      </w:r>
    </w:p>
    <w:p>
      <w:pPr>
        <w:spacing w:after="0" w:line="196" w:lineRule="exact"/>
        <w:rPr>
          <w:rFonts w:ascii="Arial" w:cs="Arial" w:eastAsia="Arial" w:hAnsi="Arial"/>
          <w:sz w:val="18"/>
          <w:szCs w:val="18"/>
          <w:color w:val="auto"/>
        </w:rPr>
      </w:pPr>
    </w:p>
    <w:p>
      <w:pPr>
        <w:ind w:left="1960" w:right="20" w:hanging="655"/>
        <w:spacing w:after="0" w:line="262" w:lineRule="auto"/>
        <w:tabs>
          <w:tab w:leader="none" w:pos="19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receipt of a benefit in connection with the restricted stock unit award other than a benefit within (i) or (ii) above (pursuant to section 477(3)(c) ITEPA).</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this Election, ITEPA means the Income Tax (Earnings and Pensions) Act 2003.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This Election is made in accordance with paragraph 3B(1) of Schedule 1 to the Social Security Contributions and Benefits Act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1992.</w:t>
      </w:r>
    </w:p>
    <w:p>
      <w:pPr>
        <w:spacing w:after="0" w:line="225" w:lineRule="exact"/>
        <w:rPr>
          <w:sz w:val="20"/>
          <w:szCs w:val="20"/>
          <w:color w:val="auto"/>
        </w:rPr>
      </w:pPr>
    </w:p>
    <w:p>
      <w:pPr>
        <w:ind w:left="1300" w:hanging="647"/>
        <w:spacing w:after="0" w:line="262"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This Election applies to all restricted stock unit awards granted to the Employee under the Plan, on or after 6 May 2010 up to the termination date of the Plan.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40</w:t>
      </w:r>
    </w:p>
    <w:p>
      <w:pPr>
        <w:sectPr>
          <w:pgSz w:w="11900" w:h="16838" w:orient="portrait"/>
          <w:cols w:equalWidth="0" w:num="1">
            <w:col w:w="11420"/>
          </w:cols>
          <w:pgMar w:left="240" w:top="499" w:right="239" w:bottom="1440" w:gutter="0" w:footer="0" w:header="0"/>
        </w:sectPr>
      </w:pPr>
    </w:p>
    <w:bookmarkStart w:id="98" w:name="page99"/>
    <w:bookmarkEnd w:id="98"/>
    <w:p>
      <w:pPr>
        <w:jc w:val="both"/>
        <w:ind w:left="1292" w:hanging="647"/>
        <w:spacing w:after="0" w:line="256"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This Election does not apply in relation to any liability, or any part of any liability, arising as a result of regulations being given retrospective effect by virtue of section 4B(2) of either the Social Security Contributions and Benefits Act 1992, or the Social Security Contributions and Benefits (Northern Ireland) Act 1992.</w:t>
      </w:r>
    </w:p>
    <w:p>
      <w:pPr>
        <w:spacing w:after="0" w:line="202" w:lineRule="exact"/>
        <w:rPr>
          <w:sz w:val="20"/>
          <w:szCs w:val="20"/>
          <w:color w:val="auto"/>
        </w:rPr>
      </w:pPr>
    </w:p>
    <w:p>
      <w:pPr>
        <w:jc w:val="both"/>
        <w:ind w:left="1292" w:hanging="647"/>
        <w:spacing w:after="0" w:line="256"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This Election will not apply to the extent that it relates to relevant employment income which is employment income of the earner by virtue of Chapter 3A of Part 7 of ITEPA 2003 (employment income: securities with artificially depressed market value).</w:t>
      </w:r>
    </w:p>
    <w:p>
      <w:pPr>
        <w:spacing w:after="0" w:line="180" w:lineRule="exact"/>
        <w:rPr>
          <w:sz w:val="20"/>
          <w:szCs w:val="20"/>
          <w:color w:val="auto"/>
        </w:rPr>
      </w:pPr>
    </w:p>
    <w:p>
      <w:pPr>
        <w:ind w:left="652" w:hanging="652"/>
        <w:spacing w:after="0"/>
        <w:tabs>
          <w:tab w:leader="none" w:pos="6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Election</w:t>
      </w:r>
    </w:p>
    <w:p>
      <w:pPr>
        <w:spacing w:after="0" w:line="247" w:lineRule="exact"/>
        <w:rPr>
          <w:sz w:val="20"/>
          <w:szCs w:val="20"/>
          <w:color w:val="auto"/>
        </w:rPr>
      </w:pPr>
    </w:p>
    <w:p>
      <w:pPr>
        <w:jc w:val="both"/>
        <w:ind w:left="1292"/>
        <w:spacing w:after="0" w:line="254" w:lineRule="auto"/>
        <w:rPr>
          <w:sz w:val="20"/>
          <w:szCs w:val="20"/>
          <w:color w:val="auto"/>
        </w:rPr>
      </w:pPr>
      <w:r>
        <w:rPr>
          <w:rFonts w:ascii="Arial" w:cs="Arial" w:eastAsia="Arial" w:hAnsi="Arial"/>
          <w:sz w:val="18"/>
          <w:szCs w:val="18"/>
          <w:color w:val="auto"/>
        </w:rPr>
        <w:t>The Employee and the Company jointly elect that the entire liability of the Employer to pay the Employer’s Liability on the Taxable Event is hereby transferred to the Employee. The Employee understands that by clicking on the acceptance of the Restricted Stock Unit Award button where indicated, he or she will become personally liable for the Employer’s Liability covered by this Election.</w:t>
      </w:r>
    </w:p>
    <w:p>
      <w:pPr>
        <w:spacing w:after="0" w:line="182" w:lineRule="exact"/>
        <w:rPr>
          <w:sz w:val="20"/>
          <w:szCs w:val="20"/>
          <w:color w:val="auto"/>
        </w:rPr>
      </w:pPr>
    </w:p>
    <w:p>
      <w:pPr>
        <w:ind w:left="652" w:hanging="652"/>
        <w:spacing w:after="0"/>
        <w:tabs>
          <w:tab w:leader="none" w:pos="6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the Employer’s Liability</w:t>
      </w:r>
    </w:p>
    <w:p>
      <w:pPr>
        <w:spacing w:after="0" w:line="247" w:lineRule="exact"/>
        <w:rPr>
          <w:rFonts w:ascii="Arial" w:cs="Arial" w:eastAsia="Arial" w:hAnsi="Arial"/>
          <w:sz w:val="18"/>
          <w:szCs w:val="18"/>
          <w:b w:val="1"/>
          <w:bCs w:val="1"/>
          <w:color w:val="auto"/>
        </w:rPr>
      </w:pPr>
    </w:p>
    <w:p>
      <w:pPr>
        <w:ind w:left="1292" w:hanging="648"/>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4.1Notwithstanding that pursuant to this Election, the Employer’s Liability is transferred to the Employee, the Employee authorises the Employer and the Employer agrees, to remit the Employer’s Liability to Her Majesty’s Revenue and Customs (</w:t>
      </w:r>
      <w:r>
        <w:rPr>
          <w:rFonts w:ascii="Arial" w:cs="Arial" w:eastAsia="Arial" w:hAnsi="Arial"/>
          <w:sz w:val="18"/>
          <w:szCs w:val="18"/>
          <w:b w:val="1"/>
          <w:bCs w:val="1"/>
          <w:i w:val="1"/>
          <w:iCs w:val="1"/>
          <w:color w:val="auto"/>
        </w:rPr>
        <w:t>“HMRC”</w:t>
      </w:r>
      <w:r>
        <w:rPr>
          <w:rFonts w:ascii="Arial" w:cs="Arial" w:eastAsia="Arial" w:hAnsi="Arial"/>
          <w:sz w:val="18"/>
          <w:szCs w:val="18"/>
          <w:color w:val="auto"/>
        </w:rPr>
        <w:t>) on behalf of the Employee within 14 days following the end of the UK Income Tax month during which the Taxable Event occurs, or within 17 days following the end of the UK Income Tax month during which the Taxable Event occurs, if submitted electronically. The Employee agrees to pay to the Employer the Employer’s Liability on demand at any time on or after the Taxable Event.</w:t>
      </w:r>
    </w:p>
    <w:p>
      <w:pPr>
        <w:spacing w:after="0" w:line="208" w:lineRule="exact"/>
        <w:rPr>
          <w:rFonts w:ascii="Arial" w:cs="Arial" w:eastAsia="Arial" w:hAnsi="Arial"/>
          <w:sz w:val="18"/>
          <w:szCs w:val="18"/>
          <w:b w:val="1"/>
          <w:bCs w:val="1"/>
          <w:color w:val="auto"/>
        </w:rPr>
      </w:pPr>
    </w:p>
    <w:p>
      <w:pPr>
        <w:ind w:left="1292" w:hanging="648"/>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4.2Without limitation to Clause 4.1 above, the Employee hereby authorises the Company and/or the Employer to collect the Employer’s Liability from the Employee at any time on or after the Taxable Event:</w:t>
      </w:r>
    </w:p>
    <w:p>
      <w:pPr>
        <w:spacing w:after="0" w:line="196" w:lineRule="exact"/>
        <w:rPr>
          <w:rFonts w:ascii="Arial" w:cs="Arial" w:eastAsia="Arial" w:hAnsi="Arial"/>
          <w:sz w:val="18"/>
          <w:szCs w:val="18"/>
          <w:b w:val="1"/>
          <w:bCs w:val="1"/>
          <w:color w:val="auto"/>
        </w:rPr>
      </w:pPr>
    </w:p>
    <w:p>
      <w:pPr>
        <w:ind w:left="1952" w:right="20" w:hanging="655"/>
        <w:spacing w:after="0" w:line="262" w:lineRule="auto"/>
        <w:tabs>
          <w:tab w:leader="none" w:pos="19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by deduction from salary or any other payment payable to the Employee at any time on or after the date of the Taxable Event; and/or</w:t>
      </w:r>
    </w:p>
    <w:p>
      <w:pPr>
        <w:spacing w:after="0" w:line="196" w:lineRule="exact"/>
        <w:rPr>
          <w:rFonts w:ascii="Arial" w:cs="Arial" w:eastAsia="Arial" w:hAnsi="Arial"/>
          <w:sz w:val="18"/>
          <w:szCs w:val="18"/>
          <w:color w:val="auto"/>
        </w:rPr>
      </w:pPr>
    </w:p>
    <w:p>
      <w:pPr>
        <w:ind w:left="1952" w:hanging="655"/>
        <w:spacing w:after="0"/>
        <w:tabs>
          <w:tab w:leader="none" w:pos="19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directly from the Employee by payment in cash or cleared funds; and/or</w:t>
      </w:r>
    </w:p>
    <w:p>
      <w:pPr>
        <w:spacing w:after="0" w:line="225" w:lineRule="exact"/>
        <w:rPr>
          <w:rFonts w:ascii="Arial" w:cs="Arial" w:eastAsia="Arial" w:hAnsi="Arial"/>
          <w:sz w:val="18"/>
          <w:szCs w:val="18"/>
          <w:color w:val="auto"/>
        </w:rPr>
      </w:pPr>
    </w:p>
    <w:p>
      <w:pPr>
        <w:ind w:left="1952" w:hanging="655"/>
        <w:spacing w:after="0" w:line="262" w:lineRule="auto"/>
        <w:tabs>
          <w:tab w:leader="none" w:pos="19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by arranging, on behalf of the Employee, for the sale of some of the securities which the Employee is entitled to receive in respect of the restricted stock unit award; and/or</w:t>
      </w:r>
    </w:p>
    <w:p>
      <w:pPr>
        <w:spacing w:after="0" w:line="196" w:lineRule="exact"/>
        <w:rPr>
          <w:rFonts w:ascii="Arial" w:cs="Arial" w:eastAsia="Arial" w:hAnsi="Arial"/>
          <w:sz w:val="18"/>
          <w:szCs w:val="18"/>
          <w:color w:val="auto"/>
        </w:rPr>
      </w:pPr>
    </w:p>
    <w:p>
      <w:pPr>
        <w:ind w:left="1952" w:hanging="655"/>
        <w:spacing w:after="0" w:line="262" w:lineRule="auto"/>
        <w:tabs>
          <w:tab w:leader="none" w:pos="19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through any other method set forth in the Restricted Stock Unit Award Agreement entered into between the Employee and the Company.</w:t>
      </w:r>
    </w:p>
    <w:p>
      <w:pPr>
        <w:spacing w:after="0" w:line="196" w:lineRule="exact"/>
        <w:rPr>
          <w:sz w:val="20"/>
          <w:szCs w:val="20"/>
          <w:color w:val="auto"/>
        </w:rPr>
      </w:pPr>
    </w:p>
    <w:p>
      <w:pPr>
        <w:ind w:left="1292" w:hanging="647"/>
        <w:spacing w:after="0" w:line="262" w:lineRule="auto"/>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hereby reserves for itself and the Employer the right to withhold the transfer of any securities to the Employee until full payment of the Employer’s Liability is received.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1"/>
        <w:spacing w:after="0"/>
        <w:rPr>
          <w:sz w:val="20"/>
          <w:szCs w:val="20"/>
          <w:color w:val="auto"/>
        </w:rPr>
      </w:pPr>
      <w:r>
        <w:rPr>
          <w:rFonts w:ascii="Arial" w:cs="Arial" w:eastAsia="Arial" w:hAnsi="Arial"/>
          <w:sz w:val="14"/>
          <w:szCs w:val="14"/>
          <w:i w:val="1"/>
          <w:iCs w:val="1"/>
          <w:color w:val="auto"/>
        </w:rPr>
        <w:t>41</w:t>
      </w:r>
    </w:p>
    <w:p>
      <w:pPr>
        <w:sectPr>
          <w:pgSz w:w="11900" w:h="16838" w:orient="portrait"/>
          <w:cols w:equalWidth="0" w:num="1">
            <w:col w:w="11412"/>
          </w:cols>
          <w:pgMar w:left="248" w:top="517" w:right="239" w:bottom="1440" w:gutter="0" w:footer="0" w:header="0"/>
        </w:sectPr>
      </w:pPr>
    </w:p>
    <w:bookmarkStart w:id="99" w:name="page100"/>
    <w:bookmarkEnd w:id="99"/>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 of Election</w:t>
      </w:r>
    </w:p>
    <w:p>
      <w:pPr>
        <w:spacing w:after="0" w:line="2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Employee and the Company agree to be bound by the terms of this Election regardless of whether the Employee 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transferred abroad or is not employed by the UK Employer on the date on which the Employer’s Liability becomes due.</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5.2</w:t>
        <w:tab/>
        <w:t>This Election will continue in effect until the earliest of the following:</w:t>
      </w:r>
    </w:p>
    <w:p>
      <w:pPr>
        <w:spacing w:after="0" w:line="225" w:lineRule="exact"/>
        <w:rPr>
          <w:sz w:val="20"/>
          <w:szCs w:val="20"/>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time as both the Employee and the Company agree in writing that it should cease to have effect;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the Company serves written notice on the Employee terminating its effect;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HMRC withdraws approval of this Form of Election; or</w:t>
      </w:r>
    </w:p>
    <w:p>
      <w:pPr>
        <w:spacing w:after="0" w:line="225" w:lineRule="exact"/>
        <w:rPr>
          <w:rFonts w:ascii="Arial" w:cs="Arial" w:eastAsia="Arial" w:hAnsi="Arial"/>
          <w:sz w:val="18"/>
          <w:szCs w:val="18"/>
          <w:color w:val="auto"/>
        </w:rPr>
      </w:pPr>
    </w:p>
    <w:p>
      <w:pPr>
        <w:ind w:left="1960" w:hanging="655"/>
        <w:spacing w:after="0" w:line="262" w:lineRule="auto"/>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the Election ceases to have effect in accordance with its terms in respect of any outstanding restricted stock unit awards granted under the Plan.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Employee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color w:val="auto"/>
        </w:rPr>
        <w:t>The Employee acknowledges that by clicking on the acceptance of the Restricted Stock Unit Award button where indicated, the Employee agrees to be bound by the terms of this Election as stated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Company</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color w:val="auto"/>
        </w:rPr>
        <w:t>The Company acknowledges that by arranging for the scanned signature of an authorised representative to appear on this Election, the Company agrees to be bound by the terms of this Election as stated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highlight w:val="yellow"/>
        </w:rPr>
        <w:t>[INSERT SCANNED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highlight w:val="yellow"/>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highlight w:val="yellow"/>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highlight w:val="yellow"/>
        </w:rPr>
        <w:t>[Date]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42</w:t>
      </w:r>
    </w:p>
    <w:p>
      <w:pPr>
        <w:sectPr>
          <w:pgSz w:w="11900" w:h="16838" w:orient="portrait"/>
          <w:cols w:equalWidth="0" w:num="1">
            <w:col w:w="11420"/>
          </w:cols>
          <w:pgMar w:left="240" w:top="495" w:right="239" w:bottom="1440" w:gutter="0" w:footer="0" w:header="0"/>
        </w:sectPr>
      </w:pPr>
    </w:p>
    <w:bookmarkStart w:id="100" w:name="page101"/>
    <w:bookmarkEnd w:id="100"/>
    <w:p>
      <w:pPr>
        <w:jc w:val="center"/>
        <w:ind w:right="-99"/>
        <w:spacing w:after="0"/>
        <w:rPr>
          <w:sz w:val="20"/>
          <w:szCs w:val="20"/>
          <w:color w:val="auto"/>
        </w:rPr>
      </w:pPr>
      <w:r>
        <w:rPr>
          <w:rFonts w:ascii="Arial" w:cs="Arial" w:eastAsia="Arial" w:hAnsi="Arial"/>
          <w:sz w:val="22"/>
          <w:szCs w:val="22"/>
          <w:b w:val="1"/>
          <w:bCs w:val="1"/>
          <w:color w:val="auto"/>
        </w:rPr>
        <w:t>Schedule to Form of Election – Employing Companies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Employing Companies to which this Form of Election relates are:</w:t>
      </w:r>
    </w:p>
    <w:p>
      <w:pPr>
        <w:spacing w:after="0" w:line="203" w:lineRule="exact"/>
        <w:rPr>
          <w:sz w:val="20"/>
          <w:szCs w:val="20"/>
          <w:color w:val="auto"/>
        </w:rPr>
      </w:pPr>
    </w:p>
    <w:p>
      <w:pPr>
        <w:ind w:left="440" w:hanging="418"/>
        <w:spacing w:after="0"/>
        <w:tabs>
          <w:tab w:leader="none" w:pos="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Itron Metering Solutions UK Limited</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Office:</w:t>
            </w:r>
          </w:p>
        </w:tc>
        <w:tc>
          <w:tcPr>
            <w:tcW w:w="5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Langer Road,</w:t>
            </w:r>
          </w:p>
        </w:tc>
      </w:tr>
      <w:tr>
        <w:trPr>
          <w:trHeight w:val="203"/>
        </w:trPr>
        <w:tc>
          <w:tcPr>
            <w:tcW w:w="5680" w:type="dxa"/>
            <w:vAlign w:val="bottom"/>
            <w:tcBorders>
              <w:left w:val="single" w:sz="8" w:color="auto"/>
              <w:right w:val="single" w:sz="8" w:color="auto"/>
            </w:tcBorders>
          </w:tcPr>
          <w:p>
            <w:pPr>
              <w:spacing w:after="0"/>
              <w:rPr>
                <w:sz w:val="17"/>
                <w:szCs w:val="17"/>
                <w:color w:val="auto"/>
              </w:rPr>
            </w:pPr>
          </w:p>
        </w:tc>
        <w:tc>
          <w:tcPr>
            <w:tcW w:w="56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Felixstowe, Suffolk, IP11 2ER</w:t>
            </w:r>
          </w:p>
        </w:tc>
      </w:tr>
      <w:tr>
        <w:trPr>
          <w:trHeight w:val="224"/>
        </w:trPr>
        <w:tc>
          <w:tcPr>
            <w:tcW w:w="5680" w:type="dxa"/>
            <w:vAlign w:val="bottom"/>
            <w:tcBorders>
              <w:left w:val="single" w:sz="8" w:color="auto"/>
              <w:bottom w:val="single" w:sz="8" w:color="auto"/>
              <w:right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r>
      <w:tr>
        <w:trPr>
          <w:trHeight w:val="250"/>
        </w:trPr>
        <w:tc>
          <w:tcPr>
            <w:tcW w:w="5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Number:</w:t>
            </w:r>
          </w:p>
        </w:tc>
        <w:tc>
          <w:tcPr>
            <w:tcW w:w="5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04274515</w:t>
            </w:r>
          </w:p>
        </w:tc>
      </w:tr>
      <w:tr>
        <w:trPr>
          <w:trHeight w:val="243"/>
        </w:trPr>
        <w:tc>
          <w:tcPr>
            <w:tcW w:w="5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Corporation Tax District:</w:t>
            </w:r>
          </w:p>
        </w:tc>
        <w:tc>
          <w:tcPr>
            <w:tcW w:w="5660" w:type="dxa"/>
            <w:vAlign w:val="bottom"/>
            <w:tcBorders>
              <w:right w:val="single" w:sz="8" w:color="auto"/>
            </w:tcBorders>
          </w:tcPr>
          <w:p>
            <w:pPr>
              <w:spacing w:after="0"/>
              <w:rPr>
                <w:sz w:val="21"/>
                <w:szCs w:val="21"/>
                <w:color w:val="auto"/>
              </w:rPr>
            </w:pPr>
          </w:p>
        </w:tc>
      </w:tr>
      <w:tr>
        <w:trPr>
          <w:trHeight w:val="27"/>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37"/>
        </w:trPr>
        <w:tc>
          <w:tcPr>
            <w:tcW w:w="5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Corporation Tax Reference:</w:t>
            </w:r>
          </w:p>
        </w:tc>
        <w:tc>
          <w:tcPr>
            <w:tcW w:w="5660" w:type="dxa"/>
            <w:vAlign w:val="bottom"/>
            <w:tcBorders>
              <w:right w:val="single" w:sz="8" w:color="auto"/>
            </w:tcBorders>
          </w:tcPr>
          <w:p>
            <w:pPr>
              <w:spacing w:after="0"/>
              <w:rPr>
                <w:sz w:val="20"/>
                <w:szCs w:val="20"/>
                <w:color w:val="auto"/>
              </w:rPr>
            </w:pPr>
          </w:p>
        </w:tc>
      </w:tr>
      <w:tr>
        <w:trPr>
          <w:trHeight w:val="27"/>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37"/>
        </w:trPr>
        <w:tc>
          <w:tcPr>
            <w:tcW w:w="5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PAYE District:</w:t>
            </w:r>
          </w:p>
        </w:tc>
        <w:tc>
          <w:tcPr>
            <w:tcW w:w="5660" w:type="dxa"/>
            <w:vAlign w:val="bottom"/>
            <w:tcBorders>
              <w:right w:val="single" w:sz="8" w:color="auto"/>
            </w:tcBorders>
          </w:tcPr>
          <w:p>
            <w:pPr>
              <w:spacing w:after="0"/>
              <w:rPr>
                <w:sz w:val="20"/>
                <w:szCs w:val="20"/>
                <w:color w:val="auto"/>
              </w:rPr>
            </w:pPr>
          </w:p>
        </w:tc>
      </w:tr>
      <w:tr>
        <w:trPr>
          <w:trHeight w:val="27"/>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37"/>
        </w:trPr>
        <w:tc>
          <w:tcPr>
            <w:tcW w:w="5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PAYE Reference:</w:t>
            </w:r>
          </w:p>
        </w:tc>
        <w:tc>
          <w:tcPr>
            <w:tcW w:w="5660" w:type="dxa"/>
            <w:vAlign w:val="bottom"/>
            <w:tcBorders>
              <w:right w:val="single" w:sz="8" w:color="auto"/>
            </w:tcBorders>
          </w:tcPr>
          <w:p>
            <w:pPr>
              <w:spacing w:after="0"/>
              <w:rPr>
                <w:sz w:val="20"/>
                <w:szCs w:val="20"/>
                <w:color w:val="auto"/>
              </w:rPr>
            </w:pPr>
          </w:p>
        </w:tc>
      </w:tr>
      <w:tr>
        <w:trPr>
          <w:trHeight w:val="27"/>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643"/>
        </w:trPr>
        <w:tc>
          <w:tcPr>
            <w:tcW w:w="568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4"/>
                <w:szCs w:val="14"/>
                <w:i w:val="1"/>
                <w:iCs w:val="1"/>
                <w:color w:val="auto"/>
              </w:rPr>
              <w:t>43</w:t>
            </w:r>
          </w:p>
        </w:tc>
      </w:tr>
    </w:tbl>
    <w:p>
      <w:pPr>
        <w:sectPr>
          <w:pgSz w:w="11900" w:h="16838" w:orient="portrait"/>
          <w:cols w:equalWidth="0" w:num="1">
            <w:col w:w="11320"/>
          </w:cols>
          <w:pgMar w:left="240" w:top="499" w:right="339" w:bottom="1440" w:gutter="0" w:footer="0" w:header="0"/>
        </w:sectPr>
      </w:pPr>
    </w:p>
    <w:bookmarkStart w:id="101" w:name="page102"/>
    <w:bookmarkEnd w:id="101"/>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u w:val="single" w:color="auto"/>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spacing w:after="0"/>
        <w:rPr>
          <w:sz w:val="20"/>
          <w:szCs w:val="20"/>
          <w:color w:val="auto"/>
        </w:rPr>
      </w:pPr>
      <w:r>
        <w:rPr>
          <w:rFonts w:ascii="Arial" w:cs="Arial" w:eastAsia="Arial" w:hAnsi="Arial"/>
          <w:sz w:val="14"/>
          <w:szCs w:val="14"/>
          <w:i w:val="1"/>
          <w:iCs w:val="1"/>
          <w:color w:val="auto"/>
        </w:rPr>
        <w:t>44</w:t>
      </w:r>
    </w:p>
    <w:p>
      <w:pPr>
        <w:sectPr>
          <w:pgSz w:w="11900" w:h="16838" w:orient="portrait"/>
          <w:cols w:equalWidth="0" w:num="2">
            <w:col w:w="4140" w:space="720"/>
            <w:col w:w="5359"/>
          </w:cols>
          <w:pgMar w:left="240" w:top="504"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w:t>
      </w:r>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22"/>
          <w:szCs w:val="22"/>
          <w:b w:val="1"/>
          <w:bCs w:val="1"/>
          <w:color w:val="auto"/>
        </w:rPr>
        <w:t>2010 STOCK INCENTIVE PLAN</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NOTICE</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PARTICIPANTS IN FRANCE</w:t>
      </w: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Itron,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hereby grants to Participant a restricted stock unit award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The Award is subject to all the terms and conditions set forth in this Restricted Stock Unit Award Notice (the “</w:t>
      </w:r>
      <w:r>
        <w:rPr>
          <w:rFonts w:ascii="Arial" w:cs="Arial" w:eastAsia="Arial" w:hAnsi="Arial"/>
          <w:sz w:val="21"/>
          <w:szCs w:val="21"/>
          <w:b w:val="1"/>
          <w:bCs w:val="1"/>
          <w:i w:val="1"/>
          <w:iCs w:val="1"/>
          <w:color w:val="auto"/>
        </w:rPr>
        <w:t>Award Notice</w:t>
      </w:r>
      <w:r>
        <w:rPr>
          <w:rFonts w:ascii="Arial" w:cs="Arial" w:eastAsia="Arial" w:hAnsi="Arial"/>
          <w:sz w:val="21"/>
          <w:szCs w:val="21"/>
          <w:color w:val="auto"/>
        </w:rPr>
        <w:t>”), the Restricted Stock Unit Award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the Itron, Inc. 2010 Stock Incentive Plan (the “</w:t>
      </w:r>
      <w:r>
        <w:rPr>
          <w:rFonts w:ascii="Arial" w:cs="Arial" w:eastAsia="Arial" w:hAnsi="Arial"/>
          <w:sz w:val="21"/>
          <w:szCs w:val="21"/>
          <w:b w:val="1"/>
          <w:bCs w:val="1"/>
          <w:i w:val="1"/>
          <w:iCs w:val="1"/>
          <w:color w:val="auto"/>
        </w:rPr>
        <w:t>U.S. Plan</w:t>
      </w:r>
      <w:r>
        <w:rPr>
          <w:rFonts w:ascii="Arial" w:cs="Arial" w:eastAsia="Arial" w:hAnsi="Arial"/>
          <w:sz w:val="21"/>
          <w:szCs w:val="21"/>
          <w:color w:val="auto"/>
        </w:rPr>
        <w:t>”) and the Rules of the Itron, Inc. 2010 Stock Incentive Plan for the Grant of Restricted Stock Units to Participants in France (the “</w:t>
      </w:r>
      <w:r>
        <w:rPr>
          <w:rFonts w:ascii="Arial" w:cs="Arial" w:eastAsia="Arial" w:hAnsi="Arial"/>
          <w:sz w:val="21"/>
          <w:szCs w:val="21"/>
          <w:b w:val="1"/>
          <w:bCs w:val="1"/>
          <w:i w:val="1"/>
          <w:iCs w:val="1"/>
          <w:color w:val="auto"/>
        </w:rPr>
        <w:t>French RSU Plan</w:t>
      </w:r>
      <w:r>
        <w:rPr>
          <w:rFonts w:ascii="Arial" w:cs="Arial" w:eastAsia="Arial" w:hAnsi="Arial"/>
          <w:sz w:val="21"/>
          <w:szCs w:val="21"/>
          <w:color w:val="auto"/>
        </w:rPr>
        <w:t>” and together with the U.S.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all of which are incorporated into the Award Notice in their entirety.</w:t>
      </w:r>
    </w:p>
    <w:p>
      <w:pPr>
        <w:sectPr>
          <w:pgSz w:w="11900" w:h="16838" w:orient="portrait"/>
          <w:cols w:equalWidth="0" w:num="1">
            <w:col w:w="11420"/>
          </w:cols>
          <w:pgMar w:left="240" w:top="621" w:right="239" w:bottom="1440" w:gutter="0" w:footer="0" w:header="0"/>
        </w:sect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Number of Restricted Stock Units:</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Restriction on Sale of Shares: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FF0000"/>
        </w:rPr>
        <w:t>«Grant Date»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FF0000"/>
        </w:rPr>
        <w:t>«# of Units»</w:t>
      </w:r>
    </w:p>
    <w:p>
      <w:pPr>
        <w:spacing w:after="0" w:line="179" w:lineRule="exact"/>
        <w:rPr>
          <w:sz w:val="20"/>
          <w:szCs w:val="20"/>
          <w:color w:val="auto"/>
        </w:rPr>
      </w:pPr>
    </w:p>
    <w:p>
      <w:pPr>
        <w:ind w:right="120"/>
        <w:spacing w:after="0" w:line="326" w:lineRule="auto"/>
        <w:rPr>
          <w:sz w:val="20"/>
          <w:szCs w:val="20"/>
          <w:color w:val="auto"/>
        </w:rPr>
      </w:pPr>
      <w:r>
        <w:rPr>
          <w:rFonts w:ascii="Arial" w:cs="Arial" w:eastAsia="Arial" w:hAnsi="Arial"/>
          <w:sz w:val="19"/>
          <w:szCs w:val="19"/>
          <w:color w:val="FF0000"/>
        </w:rPr>
        <w:t>The Award will vest in full on the second anniversary of the Date of Grant (the “</w:t>
      </w:r>
      <w:r>
        <w:rPr>
          <w:rFonts w:ascii="Arial" w:cs="Arial" w:eastAsia="Arial" w:hAnsi="Arial"/>
          <w:sz w:val="19"/>
          <w:szCs w:val="19"/>
          <w:b w:val="1"/>
          <w:bCs w:val="1"/>
          <w:i w:val="1"/>
          <w:iCs w:val="1"/>
          <w:color w:val="FF0000"/>
        </w:rPr>
        <w:t>Vesting Date</w:t>
      </w:r>
      <w:r>
        <w:rPr>
          <w:rFonts w:ascii="Arial" w:cs="Arial" w:eastAsia="Arial" w:hAnsi="Arial"/>
          <w:sz w:val="19"/>
          <w:szCs w:val="19"/>
          <w:color w:val="FF0000"/>
        </w:rPr>
        <w:t>”), except in certain exceptional circumstances.</w:t>
      </w:r>
    </w:p>
    <w:p>
      <w:pPr>
        <w:spacing w:after="0" w:line="1"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FF0000"/>
        </w:rPr>
        <w:t>Any Shares acquired pursuant to the Award cannot be sold prior to the second anniversary of the Vesting Date or during Closed Periods (as defined in the French RSU Plan), except in certain exceptional circumstances.</w:t>
      </w:r>
    </w:p>
    <w:p>
      <w:pPr>
        <w:spacing w:after="0" w:line="200" w:lineRule="exact"/>
        <w:rPr>
          <w:sz w:val="20"/>
          <w:szCs w:val="20"/>
          <w:color w:val="auto"/>
        </w:rPr>
      </w:pPr>
    </w:p>
    <w:p>
      <w:pPr>
        <w:sectPr>
          <w:pgSz w:w="11900" w:h="16838" w:orient="portrait"/>
          <w:cols w:equalWidth="0" w:num="2">
            <w:col w:w="4340" w:space="720"/>
            <w:col w:w="6360"/>
          </w:cols>
          <w:pgMar w:left="240" w:top="621" w:right="239" w:bottom="1440" w:gutter="0" w:footer="0" w:header="0"/>
          <w:type w:val="continuous"/>
        </w:sectPr>
      </w:pP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31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By accepting this Award Notice and Agreement providing for the terms and conditions of my grant, I confirm having read and understood the documents relating to this grant (the Restricted Stock Unit Award Agreement, the U.S. Plan, the French RSU Plan and the U.S. Plan Prospectus) which were provided to me in English language. I accept the terms of those documents accordingly.</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En acceptant la présente Notice d’Attribution et le Contrat décrivant les termes et conditions de mon attribution, je confirme ainsi avoir lu et compris les documents relatifs à cette attribution (le Contrat d’Attribution d’Actions Gratuites, le Plan Américain, le Sous-Plan pour la France et le Prospectus Américain) qui m’ont été communiqués en langue anglaise. J’en accepte les termes en connaissance de cause.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1" w:right="239" w:bottom="1440" w:gutter="0" w:footer="0" w:header="0"/>
          <w:type w:val="continuous"/>
        </w:sectPr>
      </w:pPr>
    </w:p>
    <w:bookmarkStart w:id="103" w:name="page104"/>
    <w:bookmarkEnd w:id="103"/>
    <w:p>
      <w:pPr>
        <w:ind w:left="3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30"/>
        <w:spacing w:after="0"/>
        <w:rPr>
          <w:sz w:val="20"/>
          <w:szCs w:val="20"/>
          <w:color w:val="auto"/>
        </w:rPr>
      </w:pPr>
      <w:r>
        <w:rPr>
          <w:rFonts w:ascii="Arial" w:cs="Arial" w:eastAsia="Arial" w:hAnsi="Arial"/>
          <w:sz w:val="19"/>
          <w:szCs w:val="19"/>
          <w:color w:val="auto"/>
        </w:rPr>
        <w:t>I accept this award subject to the terms and conditions stated herein.</w:t>
      </w:r>
    </w:p>
    <w:p>
      <w:pPr>
        <w:spacing w:after="0" w:line="241" w:lineRule="exact"/>
        <w:rPr>
          <w:sz w:val="20"/>
          <w:szCs w:val="20"/>
          <w:color w:val="auto"/>
        </w:rPr>
      </w:pPr>
    </w:p>
    <w:p>
      <w:pPr>
        <w:ind w:left="10"/>
        <w:spacing w:after="0"/>
        <w:rPr>
          <w:sz w:val="20"/>
          <w:szCs w:val="20"/>
          <w:color w:val="auto"/>
        </w:rPr>
      </w:pPr>
      <w:r>
        <w:rPr>
          <w:rFonts w:ascii="Arial" w:cs="Arial" w:eastAsia="Arial" w:hAnsi="Arial"/>
          <w:sz w:val="22"/>
          <w:szCs w:val="22"/>
          <w:color w:val="FF0000"/>
        </w:rPr>
        <w:t>«Electronically Signed»</w:t>
      </w:r>
    </w:p>
    <w:p>
      <w:pPr>
        <w:spacing w:after="0" w:line="341" w:lineRule="exact"/>
        <w:rPr>
          <w:sz w:val="20"/>
          <w:szCs w:val="20"/>
          <w:color w:val="auto"/>
        </w:rPr>
      </w:pPr>
    </w:p>
    <w:p>
      <w:pPr>
        <w:ind w:left="10"/>
        <w:spacing w:after="0"/>
        <w:rPr>
          <w:sz w:val="20"/>
          <w:szCs w:val="20"/>
          <w:color w:val="auto"/>
        </w:rPr>
      </w:pPr>
      <w:r>
        <w:rPr>
          <w:rFonts w:ascii="Arial" w:cs="Arial" w:eastAsia="Arial" w:hAnsi="Arial"/>
          <w:sz w:val="22"/>
          <w:szCs w:val="22"/>
          <w:color w:val="auto"/>
        </w:rPr>
        <w:t>Attachments:</w:t>
      </w:r>
    </w:p>
    <w:p>
      <w:pPr>
        <w:spacing w:after="0" w:line="98" w:lineRule="exact"/>
        <w:rPr>
          <w:sz w:val="20"/>
          <w:szCs w:val="20"/>
          <w:color w:val="auto"/>
        </w:rPr>
      </w:pPr>
    </w:p>
    <w:p>
      <w:pPr>
        <w:ind w:left="210" w:hanging="210"/>
        <w:spacing w:after="0"/>
        <w:tabs>
          <w:tab w:leader="none" w:pos="210" w:val="left"/>
        </w:tabs>
        <w:numPr>
          <w:ilvl w:val="0"/>
          <w:numId w:val="74"/>
        </w:numPr>
        <w:rPr>
          <w:rFonts w:ascii="Arial" w:cs="Arial" w:eastAsia="Arial" w:hAnsi="Arial"/>
          <w:sz w:val="22"/>
          <w:szCs w:val="22"/>
          <w:color w:val="auto"/>
        </w:rPr>
      </w:pPr>
      <w:r>
        <w:rPr>
          <w:rFonts w:ascii="Arial" w:cs="Arial" w:eastAsia="Arial" w:hAnsi="Arial"/>
          <w:sz w:val="22"/>
          <w:szCs w:val="22"/>
          <w:color w:val="auto"/>
        </w:rPr>
        <w:t>Restricted Stock Unit Award Agreement</w:t>
      </w:r>
    </w:p>
    <w:p>
      <w:pPr>
        <w:spacing w:after="0" w:line="44" w:lineRule="exact"/>
        <w:rPr>
          <w:rFonts w:ascii="Arial" w:cs="Arial" w:eastAsia="Arial" w:hAnsi="Arial"/>
          <w:sz w:val="22"/>
          <w:szCs w:val="22"/>
          <w:color w:val="auto"/>
        </w:rPr>
      </w:pPr>
    </w:p>
    <w:p>
      <w:pPr>
        <w:ind w:left="210" w:hanging="210"/>
        <w:spacing w:after="0"/>
        <w:tabs>
          <w:tab w:leader="none" w:pos="210" w:val="left"/>
        </w:tabs>
        <w:numPr>
          <w:ilvl w:val="0"/>
          <w:numId w:val="74"/>
        </w:numPr>
        <w:rPr>
          <w:rFonts w:ascii="Arial" w:cs="Arial" w:eastAsia="Arial" w:hAnsi="Arial"/>
          <w:sz w:val="22"/>
          <w:szCs w:val="22"/>
          <w:color w:val="auto"/>
        </w:rPr>
      </w:pPr>
      <w:r>
        <w:rPr>
          <w:rFonts w:ascii="Arial" w:cs="Arial" w:eastAsia="Arial" w:hAnsi="Arial"/>
          <w:sz w:val="22"/>
          <w:szCs w:val="22"/>
          <w:color w:val="auto"/>
        </w:rPr>
        <w:t>U.S. Plan</w:t>
      </w:r>
    </w:p>
    <w:p>
      <w:pPr>
        <w:spacing w:after="0" w:line="44" w:lineRule="exact"/>
        <w:rPr>
          <w:rFonts w:ascii="Arial" w:cs="Arial" w:eastAsia="Arial" w:hAnsi="Arial"/>
          <w:sz w:val="22"/>
          <w:szCs w:val="22"/>
          <w:color w:val="auto"/>
        </w:rPr>
      </w:pPr>
    </w:p>
    <w:p>
      <w:pPr>
        <w:ind w:left="210" w:hanging="210"/>
        <w:spacing w:after="0"/>
        <w:tabs>
          <w:tab w:leader="none" w:pos="210" w:val="left"/>
        </w:tabs>
        <w:numPr>
          <w:ilvl w:val="0"/>
          <w:numId w:val="74"/>
        </w:numPr>
        <w:rPr>
          <w:rFonts w:ascii="Arial" w:cs="Arial" w:eastAsia="Arial" w:hAnsi="Arial"/>
          <w:sz w:val="22"/>
          <w:szCs w:val="22"/>
          <w:color w:val="auto"/>
        </w:rPr>
      </w:pPr>
      <w:r>
        <w:rPr>
          <w:rFonts w:ascii="Arial" w:cs="Arial" w:eastAsia="Arial" w:hAnsi="Arial"/>
          <w:sz w:val="22"/>
          <w:szCs w:val="22"/>
          <w:color w:val="auto"/>
        </w:rPr>
        <w:t>French RSU Plan</w:t>
      </w:r>
    </w:p>
    <w:p>
      <w:pPr>
        <w:spacing w:after="0" w:line="44" w:lineRule="exact"/>
        <w:rPr>
          <w:rFonts w:ascii="Arial" w:cs="Arial" w:eastAsia="Arial" w:hAnsi="Arial"/>
          <w:sz w:val="22"/>
          <w:szCs w:val="22"/>
          <w:color w:val="auto"/>
        </w:rPr>
      </w:pPr>
    </w:p>
    <w:p>
      <w:pPr>
        <w:ind w:left="210" w:hanging="210"/>
        <w:spacing w:after="0"/>
        <w:tabs>
          <w:tab w:leader="none" w:pos="210" w:val="left"/>
        </w:tabs>
        <w:numPr>
          <w:ilvl w:val="0"/>
          <w:numId w:val="74"/>
        </w:numPr>
        <w:rPr>
          <w:rFonts w:ascii="Arial" w:cs="Arial" w:eastAsia="Arial" w:hAnsi="Arial"/>
          <w:sz w:val="22"/>
          <w:szCs w:val="22"/>
          <w:color w:val="auto"/>
        </w:rPr>
      </w:pPr>
      <w:r>
        <w:rPr>
          <w:rFonts w:ascii="Arial" w:cs="Arial" w:eastAsia="Arial" w:hAnsi="Arial"/>
          <w:sz w:val="22"/>
          <w:szCs w:val="22"/>
          <w:color w:val="auto"/>
        </w:rPr>
        <w:t>U.S. Plan Prospectus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9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49"/>
          </w:cols>
          <w:pgMar w:left="410" w:top="1252" w:right="1440" w:bottom="1440" w:gutter="0" w:footer="0" w:header="0"/>
        </w:sectPr>
      </w:pPr>
    </w:p>
    <w:bookmarkStart w:id="104" w:name="page105"/>
    <w:bookmarkEnd w:id="104"/>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PARTICIPANTS IN FRANCE</w:t>
      </w: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2010 Stock Incentive Plan (the “</w:t>
      </w:r>
      <w:r>
        <w:rPr>
          <w:rFonts w:ascii="Arial" w:cs="Arial" w:eastAsia="Arial" w:hAnsi="Arial"/>
          <w:sz w:val="22"/>
          <w:szCs w:val="22"/>
          <w:b w:val="1"/>
          <w:bCs w:val="1"/>
          <w:i w:val="1"/>
          <w:iCs w:val="1"/>
          <w:color w:val="auto"/>
        </w:rPr>
        <w:t>U.S. Plan</w:t>
      </w:r>
      <w:r>
        <w:rPr>
          <w:rFonts w:ascii="Arial" w:cs="Arial" w:eastAsia="Arial" w:hAnsi="Arial"/>
          <w:sz w:val="22"/>
          <w:szCs w:val="22"/>
          <w:color w:val="auto"/>
        </w:rPr>
        <w:t>”) and the Rules of the Itron, Inc. 2010 Stock Incentive Plan for the Grant of Restricted Stock Units to Participants in France (the “</w:t>
      </w:r>
      <w:r>
        <w:rPr>
          <w:rFonts w:ascii="Arial" w:cs="Arial" w:eastAsia="Arial" w:hAnsi="Arial"/>
          <w:sz w:val="22"/>
          <w:szCs w:val="22"/>
          <w:b w:val="1"/>
          <w:bCs w:val="1"/>
          <w:i w:val="1"/>
          <w:iCs w:val="1"/>
          <w:color w:val="auto"/>
        </w:rPr>
        <w:t>French RSU Plan</w:t>
      </w:r>
      <w:r>
        <w:rPr>
          <w:rFonts w:ascii="Arial" w:cs="Arial" w:eastAsia="Arial" w:hAnsi="Arial"/>
          <w:sz w:val="22"/>
          <w:szCs w:val="22"/>
          <w:color w:val="auto"/>
        </w:rPr>
        <w:t>” and together with the U.S.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Award is intended to qualify for the specific tax and social security treatment in France applicable to shares granted for no consideration under Sections L. 225-197-1 to L. 225-197-6 of the French Commercial Code, as amended. However, certain events may affect the qualified status of the Award and the Company does not make any undertaking or representation to maintain the qualified status of the Award. If the Award does not retain its qualified status, the specific tax and social security treatment will not apply and you will be required to pay your portion of social security contributions resulting from the Award.</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Moreover, if you relocate to another country, any special terms and conditions applicable to restricted stock unit awards granted in such country will apply to you, to the extent the Company determines that the application of such terms and conditions is necessary or advisable for legal or administrative reasons.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addition, the Company reserves the right to impose other requirements on the Award and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Award will vest according to the vesting schedule set forth in the Award Notice (the “</w:t>
      </w:r>
      <w:r>
        <w:rPr>
          <w:rFonts w:ascii="Arial" w:cs="Arial" w:eastAsia="Arial" w:hAnsi="Arial"/>
          <w:sz w:val="21"/>
          <w:szCs w:val="21"/>
          <w:b w:val="1"/>
          <w:bCs w:val="1"/>
          <w:i w:val="1"/>
          <w:iCs w:val="1"/>
          <w:color w:val="auto"/>
        </w:rPr>
        <w:t>Vesting Schedule</w:t>
      </w:r>
      <w:r>
        <w:rPr>
          <w:rFonts w:ascii="Arial" w:cs="Arial" w:eastAsia="Arial" w:hAnsi="Arial"/>
          <w:sz w:val="21"/>
          <w:szCs w:val="21"/>
          <w:i w:val="1"/>
          <w:iCs w:val="1"/>
          <w:color w:val="auto"/>
        </w:rPr>
        <w:t>”</w:t>
      </w:r>
      <w:r>
        <w:rPr>
          <w:rFonts w:ascii="Arial" w:cs="Arial" w:eastAsia="Arial" w:hAnsi="Arial"/>
          <w:sz w:val="21"/>
          <w:szCs w:val="21"/>
          <w:color w:val="auto"/>
        </w:rPr>
        <w:t>). Restricted stock units that have vested and are no longer subject to forfeiture according to the Vesting Schedule are referred to herein as “</w:t>
      </w:r>
      <w:r>
        <w:rPr>
          <w:rFonts w:ascii="Arial" w:cs="Arial" w:eastAsia="Arial" w:hAnsi="Arial"/>
          <w:sz w:val="21"/>
          <w:szCs w:val="21"/>
          <w:b w:val="1"/>
          <w:bCs w:val="1"/>
          <w:i w:val="1"/>
          <w:iCs w:val="1"/>
          <w:color w:val="auto"/>
        </w:rPr>
        <w:t>Vested Units</w:t>
      </w:r>
      <w:r>
        <w:rPr>
          <w:rFonts w:ascii="Arial" w:cs="Arial" w:eastAsia="Arial" w:hAnsi="Arial"/>
          <w:sz w:val="21"/>
          <w:szCs w:val="21"/>
          <w:color w:val="auto"/>
        </w:rPr>
        <w:t>.” Restricted stock units that have not vested and remain subject to forfeiture under the Vesting Schedule are referred to herein as “</w:t>
      </w:r>
      <w:r>
        <w:rPr>
          <w:rFonts w:ascii="Arial" w:cs="Arial" w:eastAsia="Arial" w:hAnsi="Arial"/>
          <w:sz w:val="21"/>
          <w:szCs w:val="21"/>
          <w:b w:val="1"/>
          <w:bCs w:val="1"/>
          <w:i w:val="1"/>
          <w:iCs w:val="1"/>
          <w:color w:val="auto"/>
        </w:rPr>
        <w:t>Unvested Units</w:t>
      </w:r>
      <w:r>
        <w:rPr>
          <w:rFonts w:ascii="Arial" w:cs="Arial" w:eastAsia="Arial" w:hAnsi="Arial"/>
          <w:sz w:val="21"/>
          <w:szCs w:val="21"/>
          <w:color w:val="auto"/>
        </w:rPr>
        <w:t>.” Except as provided in Section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21"/>
          <w:szCs w:val="21"/>
          <w:b w:val="1"/>
          <w:bCs w:val="1"/>
          <w:i w:val="1"/>
          <w:iCs w:val="1"/>
          <w:color w:val="auto"/>
        </w:rPr>
        <w:t>Units</w:t>
      </w:r>
      <w:r>
        <w:rPr>
          <w:rFonts w:ascii="Arial" w:cs="Arial" w:eastAsia="Arial" w:hAnsi="Arial"/>
          <w:sz w:val="21"/>
          <w:szCs w:val="21"/>
          <w:color w:val="auto"/>
        </w:rPr>
        <w: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04" w:right="239" w:bottom="1440" w:gutter="0" w:footer="0" w:header="0"/>
        </w:sectPr>
      </w:pPr>
    </w:p>
    <w:bookmarkStart w:id="105" w:name="page106"/>
    <w:bookmarkEnd w:id="105"/>
    <w:p>
      <w:pPr>
        <w:ind w:firstLine="648"/>
        <w:spacing w:after="0" w:line="287" w:lineRule="auto"/>
        <w:rPr>
          <w:sz w:val="20"/>
          <w:szCs w:val="20"/>
          <w:color w:val="auto"/>
        </w:rPr>
      </w:pPr>
      <w:r>
        <w:rPr>
          <w:rFonts w:ascii="Arial" w:cs="Arial" w:eastAsia="Arial" w:hAnsi="Arial"/>
          <w:sz w:val="21"/>
          <w:szCs w:val="21"/>
          <w:color w:val="auto"/>
        </w:rPr>
        <w:t>Unless otherwise provided in this Agreement, as soon as practicable after the Vesting Date, the Company will settle the Vested Units by issuing to you one Share for each Vested Unit, subject to the provisions of Section 6 below.</w:t>
      </w:r>
    </w:p>
    <w:p>
      <w:pPr>
        <w:spacing w:after="0" w:line="146"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a Change in Control Transaction, any Unvested Units will accelerate in vesting and become Vested Units immediately prior to such transaction. This may trigger the loss of the specific French tax and social insurance contributions regime.</w:t>
      </w:r>
    </w:p>
    <w:p>
      <w:pPr>
        <w:spacing w:after="0" w:line="180"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your employment terminates during the Units' vesting period by reason of death, the Units will become transferable to your heirs. The Company will issue the Shares subject to the Units to your heirs upon their request, provided they contact the Company with such a request within six (6) months following your death. If your heirs do not request the issuance of the Shares within six (6) months of your death, the Units will be forfeited to the Company.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your employment terminates during the Units' vesting period by reason of Disability (and such Disability meets the definition of Disability in both the French RSU Plan and the U.S. Plan), any Unvested Units will accelerate in vesting and become Vested Units upon such termination of employment.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your employment terminates during the Units' vesting period for any reason other than death or Disability, any Unvested Units will be forfeited to the Company.</w:t>
      </w:r>
    </w:p>
    <w:p>
      <w:pPr>
        <w:spacing w:after="0" w:line="169"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13" w:lineRule="exact"/>
        <w:rPr>
          <w:rFonts w:ascii="Arial" w:cs="Arial" w:eastAsia="Arial" w:hAnsi="Arial"/>
          <w:sz w:val="22"/>
          <w:szCs w:val="22"/>
          <w:b w:val="1"/>
          <w:bCs w:val="1"/>
          <w:color w:val="auto"/>
        </w:rPr>
      </w:pPr>
    </w:p>
    <w:p>
      <w:pPr>
        <w:ind w:left="660" w:hanging="652"/>
        <w:spacing w:after="0"/>
        <w:tabs>
          <w:tab w:leader="none" w:pos="6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 of Units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Units shall not be sold, transferred, assigned, encumbered, pledged or otherwise disposed of, whether voluntarily or by operation of law.</w:t>
      </w:r>
    </w:p>
    <w:p>
      <w:pPr>
        <w:spacing w:after="0" w:line="169" w:lineRule="exact"/>
        <w:rPr>
          <w:sz w:val="20"/>
          <w:szCs w:val="20"/>
          <w:color w:val="auto"/>
        </w:rPr>
      </w:pPr>
    </w:p>
    <w:p>
      <w:pPr>
        <w:ind w:left="660" w:right="8460" w:hanging="652"/>
        <w:spacing w:after="0" w:line="522" w:lineRule="auto"/>
        <w:tabs>
          <w:tab w:leader="none" w:pos="660"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Transferability of Shares 6.1Holding Period</w:t>
      </w:r>
    </w:p>
    <w:p>
      <w:pPr>
        <w:spacing w:after="0" w:line="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You are required to hold the Shares issued pursuant to the vesting of the Units for two years as measured from the Vesting Date or such other period as is required to comply with the minimum mandatory holding period applicable to Shares underlying French-qualified Restricted Stock Units (the “</w:t>
      </w:r>
      <w:r>
        <w:rPr>
          <w:rFonts w:ascii="Arial" w:cs="Arial" w:eastAsia="Arial" w:hAnsi="Arial"/>
          <w:sz w:val="22"/>
          <w:szCs w:val="22"/>
          <w:b w:val="1"/>
          <w:bCs w:val="1"/>
          <w:i w:val="1"/>
          <w:iCs w:val="1"/>
          <w:color w:val="auto"/>
        </w:rPr>
        <w:t>Holding Period</w:t>
      </w:r>
      <w:r>
        <w:rPr>
          <w:rFonts w:ascii="Arial" w:cs="Arial" w:eastAsia="Arial" w:hAnsi="Arial"/>
          <w:sz w:val="22"/>
          <w:szCs w:val="22"/>
          <w:color w:val="auto"/>
        </w:rPr>
        <w:t>”) in order to benefit from the specific French tax and social insurance contributions regime, even if you are no longer an employee or corporate officer, as applicable, of a French Entity or otherwise employed by the Company or a Subsidiary, if applicable. As from the end of the Holding Period, the corresponding Shares</w:t>
      </w: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10" w:right="239" w:bottom="1440" w:gutter="0" w:footer="0" w:header="0"/>
        </w:sectPr>
      </w:pPr>
    </w:p>
    <w:bookmarkStart w:id="106" w:name="page107"/>
    <w:bookmarkEnd w:id="106"/>
    <w:p>
      <w:pPr>
        <w:jc w:val="both"/>
        <w:spacing w:after="0" w:line="263" w:lineRule="auto"/>
        <w:rPr>
          <w:sz w:val="20"/>
          <w:szCs w:val="20"/>
          <w:color w:val="auto"/>
        </w:rPr>
      </w:pPr>
      <w:r>
        <w:rPr>
          <w:rFonts w:ascii="Arial" w:cs="Arial" w:eastAsia="Arial" w:hAnsi="Arial"/>
          <w:sz w:val="22"/>
          <w:szCs w:val="22"/>
          <w:color w:val="auto"/>
        </w:rPr>
        <w:t>shall be freely transferable, subject to applicable legal and regulatory provisions in force and in particular to the provisions of Section 6.2 below.</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Holding Period requirement shall not apply to your heirs should they acquire Shares under the Plan pursuant to Section 3 above nor shall it apply if you terminate employment due to Disability (as defined in the French RSU Plan).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6.2Closed Period</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As long as the Award and the Shares issued upon vesting of the Units maintain their qualified status and to the extent such restriction is applicable under French law, the Shares may not be sold during a Closed Period (as defined in the French RSU Plan).</w:t>
      </w:r>
    </w:p>
    <w:p>
      <w:pPr>
        <w:spacing w:after="0" w:line="1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Closed Period restriction shall not apply to your heirs should they acquire Shares under the Plan pursuant to Section 3 above nor shall it apply if you terminate employment due to Disability (as defined in the French RSU Plan).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6.3Shareholding Restrictions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you qualify as a managing corporate officer (</w:t>
      </w:r>
      <w:r>
        <w:rPr>
          <w:rFonts w:ascii="Arial" w:cs="Arial" w:eastAsia="Arial" w:hAnsi="Arial"/>
          <w:sz w:val="22"/>
          <w:szCs w:val="22"/>
          <w:i w:val="1"/>
          <w:iCs w:val="1"/>
          <w:color w:val="auto"/>
        </w:rPr>
        <w:t>i.e.,</w:t>
      </w:r>
      <w:r>
        <w:rPr>
          <w:rFonts w:ascii="Arial" w:cs="Arial" w:eastAsia="Arial" w:hAnsi="Arial"/>
          <w:sz w:val="22"/>
          <w:szCs w:val="22"/>
          <w:color w:val="auto"/>
        </w:rPr>
        <w:t xml:space="preserve"> “</w:t>
      </w:r>
      <w:r>
        <w:rPr>
          <w:rFonts w:ascii="Arial" w:cs="Arial" w:eastAsia="Arial" w:hAnsi="Arial"/>
          <w:sz w:val="22"/>
          <w:szCs w:val="22"/>
          <w:i w:val="1"/>
          <w:iCs w:val="1"/>
          <w:color w:val="auto"/>
        </w:rPr>
        <w:t>mandataires sociaux</w:t>
      </w:r>
      <w:r>
        <w:rPr>
          <w:rFonts w:ascii="Arial" w:cs="Arial" w:eastAsia="Arial" w:hAnsi="Arial"/>
          <w:sz w:val="22"/>
          <w:szCs w:val="22"/>
          <w:color w:val="auto"/>
        </w:rPr>
        <w:t xml:space="preserve">,” </w:t>
      </w:r>
      <w:r>
        <w:rPr>
          <w:rFonts w:ascii="Arial" w:cs="Arial" w:eastAsia="Arial" w:hAnsi="Arial"/>
          <w:sz w:val="22"/>
          <w:szCs w:val="22"/>
          <w:i w:val="1"/>
          <w:iCs w:val="1"/>
          <w:color w:val="auto"/>
        </w:rPr>
        <w:t>Président du Conseil d’Administration,</w:t>
      </w:r>
      <w:r>
        <w:rPr>
          <w:rFonts w:ascii="Arial" w:cs="Arial" w:eastAsia="Arial" w:hAnsi="Arial"/>
          <w:sz w:val="22"/>
          <w:szCs w:val="22"/>
          <w:color w:val="auto"/>
        </w:rPr>
        <w:t xml:space="preserve"> </w:t>
      </w:r>
      <w:r>
        <w:rPr>
          <w:rFonts w:ascii="Arial" w:cs="Arial" w:eastAsia="Arial" w:hAnsi="Arial"/>
          <w:sz w:val="22"/>
          <w:szCs w:val="22"/>
          <w:i w:val="1"/>
          <w:iCs w:val="1"/>
          <w:color w:val="auto"/>
        </w:rPr>
        <w:t>Directeur Général, Directeur Général Délégué, Membre du Directoire, Gérant de Sociétés par actions</w:t>
      </w:r>
      <w:r>
        <w:rPr>
          <w:rFonts w:ascii="Arial" w:cs="Arial" w:eastAsia="Arial" w:hAnsi="Arial"/>
          <w:sz w:val="22"/>
          <w:szCs w:val="22"/>
          <w:color w:val="auto"/>
        </w:rPr>
        <w:t>) or have a comparable</w:t>
      </w:r>
      <w:r>
        <w:rPr>
          <w:rFonts w:ascii="Arial" w:cs="Arial" w:eastAsia="Arial" w:hAnsi="Arial"/>
          <w:sz w:val="22"/>
          <w:szCs w:val="22"/>
          <w:i w:val="1"/>
          <w:iCs w:val="1"/>
          <w:color w:val="auto"/>
        </w:rPr>
        <w:t xml:space="preserve"> </w:t>
      </w:r>
      <w:r>
        <w:rPr>
          <w:rFonts w:ascii="Arial" w:cs="Arial" w:eastAsia="Arial" w:hAnsi="Arial"/>
          <w:sz w:val="22"/>
          <w:szCs w:val="22"/>
          <w:color w:val="auto"/>
        </w:rPr>
        <w:t>position in any other company within the Company group, and if the Award is granted to you in such capacity, you are subject to shareholding restrictions and you must hold 20% of the Shares issued upon vesting of the Units and not sell such Shares until you cease to serve as a managing corporate officer (or cease to have a comparable position as described herein), if required under French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6.4Compliance with Transfer Restrictions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ensure compliance with the restrictions on the transfer of Shares described in Sections 6.1, 6.2 and 6.3. above, the Company may require that the Shares be held with Fidelity or any brokerage firm designated by the Company (or according to any procedure implemented by the Company) until such Shares are sold.</w:t>
      </w:r>
    </w:p>
    <w:p>
      <w:pPr>
        <w:spacing w:after="0" w:line="180"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color w:val="auto"/>
        </w:rPr>
        <w:t>You hereby agree that you will in no event sell or distribute all or any part of the Shares unless (a) there is an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statement under the U.S.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and any applicable state and foreign securities laws covering any such transaction involving the Shares or (b) the Company receives an</w:t>
      </w: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10" w:right="2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2"/>
          <w:szCs w:val="22"/>
          <w:color w:val="auto"/>
        </w:rPr>
        <w:t>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7.4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take with respect to any and all income tax,</w:t>
      </w:r>
      <w:r>
        <w:rPr>
          <w:rFonts w:ascii="Arial" w:cs="Arial" w:eastAsia="Arial" w:hAnsi="Arial"/>
          <w:sz w:val="19"/>
          <w:szCs w:val="19"/>
          <w:b w:val="1"/>
          <w:bCs w:val="1"/>
          <w:color w:val="auto"/>
        </w:rPr>
        <w:t xml:space="preserve"> </w:t>
      </w:r>
      <w:r>
        <w:rPr>
          <w:rFonts w:ascii="Arial" w:cs="Arial" w:eastAsia="Arial" w:hAnsi="Arial"/>
          <w:sz w:val="19"/>
          <w:szCs w:val="19"/>
          <w:color w:val="auto"/>
        </w:rPr>
        <w:t>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and/or social insurance contribution result. Further, if you have become subject to tax and/or social insurance contributions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10" w:right="239" w:bottom="1440" w:gutter="0" w:footer="0" w:header="0"/>
        </w:sectPr>
      </w:pPr>
    </w:p>
    <w:bookmarkStart w:id="108" w:name="page109"/>
    <w:bookmarkEnd w:id="108"/>
    <w:p>
      <w:pPr>
        <w:ind w:firstLine="648"/>
        <w:spacing w:after="0" w:line="293" w:lineRule="auto"/>
        <w:rPr>
          <w:sz w:val="20"/>
          <w:szCs w:val="20"/>
          <w:color w:val="auto"/>
        </w:rPr>
      </w:pPr>
      <w:r>
        <w:rPr>
          <w:rFonts w:ascii="Arial" w:cs="Arial" w:eastAsia="Arial" w:hAnsi="Arial"/>
          <w:sz w:val="21"/>
          <w:szCs w:val="21"/>
          <w:b w:val="1"/>
          <w:bCs w:val="1"/>
          <w:color w:val="auto"/>
        </w:rPr>
        <w:t xml:space="preserve">9.2 </w:t>
      </w:r>
      <w:r>
        <w:rPr>
          <w:rFonts w:ascii="Arial" w:cs="Arial" w:eastAsia="Arial" w:hAnsi="Arial"/>
          <w:sz w:val="21"/>
          <w:szCs w:val="21"/>
          <w:color w:val="auto"/>
        </w:rPr>
        <w:t>Prior to any relevant taxable or tax and/or social insurance contribution withholding event, as applicable, you will pay</w:t>
      </w:r>
      <w:r>
        <w:rPr>
          <w:rFonts w:ascii="Arial" w:cs="Arial" w:eastAsia="Arial" w:hAnsi="Arial"/>
          <w:sz w:val="21"/>
          <w:szCs w:val="21"/>
          <w:b w:val="1"/>
          <w:bCs w:val="1"/>
          <w:color w:val="auto"/>
        </w:rPr>
        <w:t xml:space="preserve"> </w:t>
      </w:r>
      <w:r>
        <w:rPr>
          <w:rFonts w:ascii="Arial" w:cs="Arial" w:eastAsia="Arial" w:hAnsi="Arial"/>
          <w:sz w:val="21"/>
          <w:szCs w:val="21"/>
          <w:color w:val="auto"/>
        </w:rPr>
        <w:t>or make adequate arrangements satisfactory to the Company and or the Employer to satisfy all Tax-Related Items.</w:t>
      </w:r>
    </w:p>
    <w:p>
      <w:pPr>
        <w:spacing w:after="0" w:line="8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a) In this regard, you hereby irrevocably appoint Fidelity or any stock plan service provider or brokerage firm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Company for such purpose (the "</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as your Agent, and authorize the Agent, to:</w:t>
      </w:r>
    </w:p>
    <w:p>
      <w:pPr>
        <w:spacing w:after="0" w:line="114" w:lineRule="exact"/>
        <w:rPr>
          <w:sz w:val="20"/>
          <w:szCs w:val="20"/>
          <w:color w:val="auto"/>
        </w:rPr>
      </w:pPr>
    </w:p>
    <w:p>
      <w:pPr>
        <w:jc w:val="both"/>
        <w:ind w:left="2160" w:hanging="863"/>
        <w:spacing w:after="0" w:line="250" w:lineRule="auto"/>
        <w:rPr>
          <w:sz w:val="20"/>
          <w:szCs w:val="20"/>
          <w:color w:val="auto"/>
        </w:rPr>
      </w:pPr>
      <w:r>
        <w:rPr>
          <w:rFonts w:ascii="Arial" w:cs="Arial" w:eastAsia="Arial" w:hAnsi="Arial"/>
          <w:sz w:val="22"/>
          <w:szCs w:val="22"/>
          <w:color w:val="auto"/>
        </w:rPr>
        <w:t>(i)Sell on the open market at the then prevailing market price(s), on your behalf, as soon as practicable on or after the settlement date for any Vested Unit, the minimum number of Shares (rounded up to the next whole number) sufficient to generate proceeds to cover the Tax-Related Items and all applicable fees and commissions due to, or required to be collected by, the Agent;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(ii)Remit directly to the Company the cash amount necessary to cover the Tax-Related Items;</w:t>
      </w:r>
    </w:p>
    <w:p>
      <w:pPr>
        <w:spacing w:after="0" w:line="166" w:lineRule="exact"/>
        <w:rPr>
          <w:sz w:val="20"/>
          <w:szCs w:val="20"/>
          <w:color w:val="auto"/>
        </w:rPr>
      </w:pPr>
    </w:p>
    <w:p>
      <w:pPr>
        <w:jc w:val="both"/>
        <w:ind w:left="2280" w:right="20" w:hanging="971"/>
        <w:spacing w:after="0" w:line="287" w:lineRule="auto"/>
        <w:rPr>
          <w:sz w:val="20"/>
          <w:szCs w:val="20"/>
          <w:color w:val="auto"/>
        </w:rPr>
      </w:pPr>
      <w:r>
        <w:rPr>
          <w:rFonts w:ascii="Arial" w:cs="Arial" w:eastAsia="Arial" w:hAnsi="Arial"/>
          <w:sz w:val="21"/>
          <w:szCs w:val="21"/>
          <w:color w:val="auto"/>
        </w:rPr>
        <w:t>(iii)Retain the amount required to cover all applicable fees and commissions due to, or required to be collected by, the Agent, relating directly to the sale of Shares referred to in clause (i) above; and</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(iv)Remit any remaining funds to you.</w:t>
      </w:r>
    </w:p>
    <w:p>
      <w:pPr>
        <w:spacing w:after="0" w:line="160" w:lineRule="exact"/>
        <w:rPr>
          <w:sz w:val="20"/>
          <w:szCs w:val="20"/>
          <w:color w:val="auto"/>
        </w:rPr>
      </w:pPr>
    </w:p>
    <w:p>
      <w:pPr>
        <w:ind w:firstLine="648"/>
        <w:spacing w:after="0" w:line="35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b) Alternatively, or in addition to or in combination with the withholding mechanism described in Section 8.2(a), you</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 the Company and/or the Employer, at their discretion, to satisfy the obligations with regard to all Tax-Related Items by:</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(i)requiring you to pay to the Company or the Employer any amount of the Tax-Related Items; and/or</w:t>
      </w:r>
    </w:p>
    <w:p>
      <w:pPr>
        <w:spacing w:after="0" w:line="166" w:lineRule="exact"/>
        <w:rPr>
          <w:sz w:val="20"/>
          <w:szCs w:val="20"/>
          <w:color w:val="auto"/>
        </w:rPr>
      </w:pPr>
    </w:p>
    <w:p>
      <w:pPr>
        <w:jc w:val="both"/>
        <w:ind w:left="2220" w:hanging="917"/>
        <w:spacing w:after="0" w:line="263" w:lineRule="auto"/>
        <w:rPr>
          <w:sz w:val="20"/>
          <w:szCs w:val="20"/>
          <w:color w:val="auto"/>
        </w:rPr>
      </w:pPr>
      <w:r>
        <w:rPr>
          <w:rFonts w:ascii="Arial" w:cs="Arial" w:eastAsia="Arial" w:hAnsi="Arial"/>
          <w:sz w:val="22"/>
          <w:szCs w:val="22"/>
          <w:color w:val="auto"/>
        </w:rPr>
        <w:t>(ii)withholding any amount of the Tax-Related Items from your wages or other cash compensation paid to you by the Company and/or the Employer, within legal limits; and/or</w:t>
      </w:r>
    </w:p>
    <w:p>
      <w:pPr>
        <w:spacing w:after="0" w:line="121" w:lineRule="exact"/>
        <w:rPr>
          <w:sz w:val="20"/>
          <w:szCs w:val="20"/>
          <w:color w:val="auto"/>
        </w:rPr>
      </w:pPr>
    </w:p>
    <w:p>
      <w:pPr>
        <w:jc w:val="both"/>
        <w:ind w:left="2280" w:hanging="971"/>
        <w:spacing w:after="0" w:line="247" w:lineRule="auto"/>
        <w:rPr>
          <w:sz w:val="20"/>
          <w:szCs w:val="20"/>
          <w:color w:val="auto"/>
        </w:rPr>
      </w:pPr>
      <w:r>
        <w:rPr>
          <w:rFonts w:ascii="Arial" w:cs="Arial" w:eastAsia="Arial" w:hAnsi="Arial"/>
          <w:sz w:val="22"/>
          <w:szCs w:val="22"/>
          <w:color w:val="auto"/>
        </w:rPr>
        <w:t>(iii)withholding in Shares to be issued upon settlement of the Vested Units, provided, however, that if you are a Section 16 officer of the Company under the Exchange Act, then the Plan Administrator (as constituted to satisfy Rule 16b-3 of the Exchange Act) shall establish the method of withholding from the alternatives (i) – (iii) herein and, if the Plan Administrator does not exercise its discretion prior to the Tax-Related Items withholding event, then you shall be entitled to elect the method of withholding from the alternatives (i) – (iii) herein.</w:t>
      </w:r>
    </w:p>
    <w:p>
      <w:pPr>
        <w:spacing w:after="0" w:line="13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c) Depending on the withholding method, the Company may withhold or account for Tax-Related Items by considering</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minimum statutory withholding amounts or other applicable withholding rates, including maximum applicable rates, in which case you will receive a refund of any over-withheld amount in cash and will have no</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04" w:right="2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21"/>
          <w:szCs w:val="21"/>
          <w:color w:val="auto"/>
        </w:rPr>
        <w:t>entitlement to the equivalent amount in Shares. If the obligation for Tax-Related Items is satisfied by withholding in Shares, for tax and/or social insurance contribution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7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70"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14"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a) the Plan is established voluntarily by the Company, it is discretionary in nature and it may be modified,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suspended or terminated by the Company at any time, to the extent permitted by the Plan;</w:t>
      </w:r>
    </w:p>
    <w:p>
      <w:pPr>
        <w:spacing w:after="0" w:line="168" w:lineRule="exact"/>
        <w:rPr>
          <w:sz w:val="20"/>
          <w:szCs w:val="20"/>
          <w:color w:val="auto"/>
        </w:rPr>
      </w:pPr>
    </w:p>
    <w:p>
      <w:pPr>
        <w:jc w:val="both"/>
        <w:ind w:firstLine="656"/>
        <w:spacing w:after="0" w:line="253" w:lineRule="auto"/>
        <w:tabs>
          <w:tab w:leader="none" w:pos="1146"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10" w:right="239" w:bottom="1440" w:gutter="0" w:footer="0" w:header="0"/>
        </w:sectPr>
      </w:pPr>
    </w:p>
    <w:bookmarkStart w:id="110" w:name="page111"/>
    <w:bookmarkEnd w:id="110"/>
    <w:p>
      <w:pPr>
        <w:ind w:left="980" w:hanging="464"/>
        <w:spacing w:after="0"/>
        <w:tabs>
          <w:tab w:leader="none" w:pos="9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00" w:lineRule="exact"/>
        <w:rPr>
          <w:rFonts w:ascii="Arial" w:cs="Arial" w:eastAsia="Arial" w:hAnsi="Arial"/>
          <w:sz w:val="19"/>
          <w:szCs w:val="19"/>
          <w:color w:val="auto"/>
        </w:rPr>
      </w:pPr>
    </w:p>
    <w:p>
      <w:pPr>
        <w:jc w:val="both"/>
        <w:ind w:left="-140" w:firstLine="656"/>
        <w:spacing w:after="0" w:line="250" w:lineRule="auto"/>
        <w:tabs>
          <w:tab w:leader="none" w:pos="1035"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34" w:lineRule="exact"/>
        <w:rPr>
          <w:rFonts w:ascii="Arial" w:cs="Arial" w:eastAsia="Arial" w:hAnsi="Arial"/>
          <w:sz w:val="22"/>
          <w:szCs w:val="22"/>
          <w:color w:val="auto"/>
        </w:rPr>
      </w:pPr>
    </w:p>
    <w:p>
      <w:pPr>
        <w:ind w:left="980" w:hanging="464"/>
        <w:spacing w:after="0"/>
        <w:tabs>
          <w:tab w:leader="none" w:pos="9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165" w:lineRule="exact"/>
        <w:rPr>
          <w:rFonts w:ascii="Arial" w:cs="Arial" w:eastAsia="Arial" w:hAnsi="Arial"/>
          <w:sz w:val="22"/>
          <w:szCs w:val="22"/>
          <w:color w:val="auto"/>
        </w:rPr>
      </w:pPr>
    </w:p>
    <w:p>
      <w:pPr>
        <w:ind w:left="940" w:hanging="424"/>
        <w:spacing w:after="0"/>
        <w:tabs>
          <w:tab w:leader="none" w:pos="9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00" w:lineRule="exact"/>
        <w:rPr>
          <w:rFonts w:ascii="Arial" w:cs="Arial" w:eastAsia="Arial" w:hAnsi="Arial"/>
          <w:sz w:val="19"/>
          <w:szCs w:val="19"/>
          <w:color w:val="auto"/>
        </w:rPr>
      </w:pPr>
    </w:p>
    <w:p>
      <w:pPr>
        <w:jc w:val="both"/>
        <w:ind w:left="-140" w:firstLine="656"/>
        <w:spacing w:after="0" w:line="312" w:lineRule="auto"/>
        <w:tabs>
          <w:tab w:leader="none" w:pos="100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79" w:lineRule="exact"/>
        <w:rPr>
          <w:rFonts w:ascii="Arial" w:cs="Arial" w:eastAsia="Arial" w:hAnsi="Arial"/>
          <w:sz w:val="19"/>
          <w:szCs w:val="19"/>
          <w:color w:val="auto"/>
        </w:rPr>
      </w:pPr>
    </w:p>
    <w:p>
      <w:pPr>
        <w:ind w:left="980" w:hanging="464"/>
        <w:spacing w:after="0"/>
        <w:tabs>
          <w:tab w:leader="none" w:pos="9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177" w:lineRule="exact"/>
        <w:rPr>
          <w:rFonts w:ascii="Arial" w:cs="Arial" w:eastAsia="Arial" w:hAnsi="Arial"/>
          <w:sz w:val="21"/>
          <w:szCs w:val="21"/>
          <w:color w:val="auto"/>
        </w:rPr>
      </w:pPr>
    </w:p>
    <w:p>
      <w:pPr>
        <w:jc w:val="both"/>
        <w:ind w:left="-140" w:firstLine="656"/>
        <w:spacing w:after="0" w:line="259" w:lineRule="auto"/>
        <w:tabs>
          <w:tab w:leader="none" w:pos="1049"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 bring any such claim and release the Company, any Related Corporation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26" w:lineRule="exact"/>
        <w:rPr>
          <w:rFonts w:ascii="Arial" w:cs="Arial" w:eastAsia="Arial" w:hAnsi="Arial"/>
          <w:sz w:val="21"/>
          <w:szCs w:val="21"/>
          <w:color w:val="auto"/>
        </w:rPr>
      </w:pPr>
    </w:p>
    <w:p>
      <w:pPr>
        <w:jc w:val="both"/>
        <w:ind w:left="-140" w:firstLine="656"/>
        <w:spacing w:after="0" w:line="290" w:lineRule="auto"/>
        <w:tabs>
          <w:tab w:leader="none" w:pos="938"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and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(e.g., active service would not include any contractual notice period or any period of “garden leave” or similar period mandated under employment laws in the jurisdiction where you are employed or the terms of your employment agreement, if any); the Company’s Chief Executive Officer shall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80"/>
          </w:cols>
          <w:pgMar w:left="380" w:top="510" w:right="239" w:bottom="1440" w:gutter="0" w:footer="0" w:header="0"/>
        </w:sectPr>
      </w:pPr>
    </w:p>
    <w:bookmarkStart w:id="111" w:name="page112"/>
    <w:bookmarkEnd w:id="111"/>
    <w:p>
      <w:pPr>
        <w:spacing w:after="0" w:line="287" w:lineRule="auto"/>
        <w:rPr>
          <w:sz w:val="20"/>
          <w:szCs w:val="20"/>
          <w:color w:val="auto"/>
        </w:rPr>
      </w:pPr>
      <w:r>
        <w:rPr>
          <w:rFonts w:ascii="Arial" w:cs="Arial" w:eastAsia="Arial" w:hAnsi="Arial"/>
          <w:sz w:val="21"/>
          <w:szCs w:val="21"/>
          <w:color w:val="auto"/>
        </w:rPr>
        <w:t>have the exclusive discretion to determine when you are no longer actively providing services for purposes of the Award (including whether or not you may still be considered to be providing services while on an approved leave of absence);</w:t>
      </w:r>
    </w:p>
    <w:p>
      <w:pPr>
        <w:spacing w:after="0" w:line="98" w:lineRule="exact"/>
        <w:rPr>
          <w:sz w:val="20"/>
          <w:szCs w:val="20"/>
          <w:color w:val="auto"/>
        </w:rPr>
      </w:pPr>
    </w:p>
    <w:p>
      <w:pPr>
        <w:jc w:val="both"/>
        <w:ind w:firstLine="656"/>
        <w:spacing w:after="0" w:line="250" w:lineRule="auto"/>
        <w:tabs>
          <w:tab w:leader="none" w:pos="1175" w:val="left"/>
        </w:tabs>
        <w:numPr>
          <w:ilvl w:val="1"/>
          <w:numId w:val="86"/>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34" w:lineRule="exact"/>
        <w:rPr>
          <w:rFonts w:ascii="Arial" w:cs="Arial" w:eastAsia="Arial" w:hAnsi="Arial"/>
          <w:sz w:val="22"/>
          <w:szCs w:val="22"/>
          <w:color w:val="auto"/>
        </w:rPr>
      </w:pPr>
    </w:p>
    <w:p>
      <w:pPr>
        <w:jc w:val="both"/>
        <w:ind w:firstLine="656"/>
        <w:spacing w:after="0" w:line="250" w:lineRule="auto"/>
        <w:tabs>
          <w:tab w:leader="none" w:pos="1133" w:val="left"/>
        </w:tabs>
        <w:numPr>
          <w:ilvl w:val="1"/>
          <w:numId w:val="86"/>
        </w:numPr>
        <w:rPr>
          <w:rFonts w:ascii="Arial" w:cs="Arial" w:eastAsia="Arial" w:hAnsi="Arial"/>
          <w:sz w:val="22"/>
          <w:szCs w:val="22"/>
          <w:color w:val="auto"/>
        </w:rPr>
      </w:pPr>
      <w:r>
        <w:rPr>
          <w:rFonts w:ascii="Arial" w:cs="Arial" w:eastAsia="Arial" w:hAnsi="Arial"/>
          <w:sz w:val="22"/>
          <w:szCs w:val="22"/>
          <w:color w:val="auto"/>
        </w:rPr>
        <w:t>you acknowledge and agree that 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182" w:lineRule="exact"/>
        <w:rPr>
          <w:rFonts w:ascii="Arial" w:cs="Arial" w:eastAsia="Arial" w:hAnsi="Arial"/>
          <w:sz w:val="22"/>
          <w:szCs w:val="22"/>
          <w:color w:val="auto"/>
        </w:rPr>
      </w:pPr>
    </w:p>
    <w:p>
      <w:pPr>
        <w:ind w:left="660" w:hanging="652"/>
        <w:spacing w:after="0"/>
        <w:tabs>
          <w:tab w:leader="none" w:pos="6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50"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w:t>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10" w:right="239" w:bottom="1440" w:gutter="0" w:footer="0" w:header="0"/>
        </w:sectPr>
      </w:pPr>
    </w:p>
    <w:bookmarkStart w:id="112" w:name="page113"/>
    <w:bookmarkEnd w:id="112"/>
    <w:p>
      <w:pPr>
        <w:jc w:val="both"/>
        <w:spacing w:after="0" w:line="286" w:lineRule="auto"/>
        <w:rPr>
          <w:sz w:val="20"/>
          <w:szCs w:val="20"/>
          <w:color w:val="auto"/>
        </w:rPr>
      </w:pPr>
      <w:r>
        <w:rPr>
          <w:rFonts w:ascii="Arial" w:cs="Arial" w:eastAsia="Arial" w:hAnsi="Arial"/>
          <w:sz w:val="19"/>
          <w:szCs w:val="19"/>
          <w:b w:val="1"/>
          <w:bCs w:val="1"/>
          <w:i w:val="1"/>
          <w:iCs w:val="1"/>
          <w:color w:val="auto"/>
        </w:rPr>
        <w:t>and that the recipients’ country (e.g., the United States) may have different data privacy laws and protections than France.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54"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Participation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Language</w:t>
      </w:r>
    </w:p>
    <w:p>
      <w:pPr>
        <w:spacing w:after="0" w:line="22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146"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15.2 Section 409A. </w:t>
      </w:r>
      <w:r>
        <w:rPr>
          <w:rFonts w:ascii="Arial" w:cs="Arial" w:eastAsia="Arial" w:hAnsi="Arial"/>
          <w:sz w:val="22"/>
          <w:szCs w:val="22"/>
          <w:color w:val="auto"/>
        </w:rPr>
        <w:t>For purposes of U.S. taxpayers, the settlement of the Units is intended to either be exempt from</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409A of the Code under the “short-term deferral” exception, and in any event in compliance with Section 409A of the Code, and this Agreement will be interpreted, operated and administered in a manner that is consistent with this intent. In furtherance of this intent, the Plan Administrator may, at any time and without</w:t>
      </w: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10" w:right="239" w:bottom="1440" w:gutter="0" w:footer="0" w:header="0"/>
        </w:sectPr>
      </w:pPr>
    </w:p>
    <w:bookmarkStart w:id="113" w:name="page114"/>
    <w:bookmarkEnd w:id="113"/>
    <w:p>
      <w:pPr>
        <w:jc w:val="both"/>
        <w:spacing w:after="0" w:line="247" w:lineRule="auto"/>
        <w:rPr>
          <w:sz w:val="20"/>
          <w:szCs w:val="20"/>
          <w:color w:val="auto"/>
        </w:rPr>
      </w:pPr>
      <w:r>
        <w:rPr>
          <w:rFonts w:ascii="Arial" w:cs="Arial" w:eastAsia="Arial" w:hAnsi="Arial"/>
          <w:sz w:val="22"/>
          <w:szCs w:val="22"/>
          <w:color w:val="auto"/>
        </w:rPr>
        <w:t>your consent, modify the terms of the Award as it determines appropriate to comply with the requirements of Section 409A of the Code and the related U.S. Department of Treasury guidance. The Company makes no representation or covenant to ensure that the Units, settlement of the Units or other payment hereunder are exempt from or compliant with Section 409A of the Code and will have no liability to you or any other party if the settlement of the Units or other payment hereunder that is intended to be exempt from, or compliant with, Section 409A of the Code, is not so exempt or compliant or for any action taken by the Plan Administrator with respect thereto.</w:t>
      </w:r>
    </w:p>
    <w:p>
      <w:pPr>
        <w:spacing w:after="0" w:line="1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15.3 Governing Law and Choice of Venue. </w:t>
      </w:r>
      <w:r>
        <w:rPr>
          <w:rFonts w:ascii="Arial" w:cs="Arial" w:eastAsia="Arial" w:hAnsi="Arial"/>
          <w:sz w:val="21"/>
          <w:szCs w:val="21"/>
          <w:color w:val="auto"/>
        </w:rPr>
        <w:t>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74"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 xml:space="preserve">15.4 Severability. </w:t>
      </w:r>
      <w:r>
        <w:rPr>
          <w:rFonts w:ascii="Arial" w:cs="Arial" w:eastAsia="Arial" w:hAnsi="Arial"/>
          <w:sz w:val="19"/>
          <w:szCs w:val="19"/>
          <w:color w:val="auto"/>
        </w:rPr>
        <w:t>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ind w:left="660"/>
        <w:spacing w:after="0"/>
        <w:tabs>
          <w:tab w:leader="none" w:pos="1240" w:val="left"/>
          <w:tab w:leader="none" w:pos="2140" w:val="left"/>
        </w:tabs>
        <w:rPr>
          <w:sz w:val="20"/>
          <w:szCs w:val="20"/>
          <w:color w:val="auto"/>
        </w:rPr>
      </w:pPr>
      <w:r>
        <w:rPr>
          <w:rFonts w:ascii="Arial" w:cs="Arial" w:eastAsia="Arial" w:hAnsi="Arial"/>
          <w:sz w:val="22"/>
          <w:szCs w:val="22"/>
          <w:b w:val="1"/>
          <w:bCs w:val="1"/>
          <w:color w:val="auto"/>
        </w:rPr>
        <w:t>15.5</w:t>
        <w:tab/>
        <w:t>Notice.</w:t>
      </w:r>
      <w:r>
        <w:rPr>
          <w:sz w:val="20"/>
          <w:szCs w:val="20"/>
          <w:color w:val="auto"/>
        </w:rPr>
        <w:tab/>
      </w:r>
      <w:r>
        <w:rPr>
          <w:rFonts w:ascii="Arial" w:cs="Arial" w:eastAsia="Arial" w:hAnsi="Arial"/>
          <w:sz w:val="19"/>
          <w:szCs w:val="19"/>
          <w:color w:val="auto"/>
        </w:rPr>
        <w:t>Any notice required or permitted hereunder shall be made in writing and sent to the following address:</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99019</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USA</w:t>
      </w:r>
    </w:p>
    <w:p>
      <w:pPr>
        <w:spacing w:after="0" w:line="236"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1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11"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2012</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2012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5, 2012</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November 5, 2012</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x"/>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
      <w:numFmt w:val="bullet"/>
      <w:start w:val="1"/>
    </w:lvl>
    <w:lvl w:ilvl="1">
      <w:lvlJc w:val="left"/>
      <w:lvlText w:val="◦"/>
      <w:numFmt w:val="bullet"/>
      <w:start w:val="1"/>
    </w:lvl>
  </w:abstractNum>
  <w:abstractNum w:abstractNumId="3">
    <w:nsid w:val="579478FE"/>
    <w:multiLevelType w:val="hybridMultilevel"/>
    <w:lvl w:ilvl="0">
      <w:lvlJc w:val="left"/>
      <w:lvlText w:val="(%1)"/>
      <w:numFmt w:val="decimal"/>
      <w:start w:val="2"/>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1)"/>
      <w:numFmt w:val="lowerLetter"/>
      <w:start w:val="1"/>
    </w:lvl>
  </w:abstractNum>
  <w:abstractNum w:abstractNumId="13">
    <w:nsid w:val="4F4EF005"/>
    <w:multiLevelType w:val="hybridMultilevel"/>
    <w:lvl w:ilvl="0">
      <w:lvlJc w:val="left"/>
      <w:lvlText w:val="(%1)"/>
      <w:numFmt w:val="lowerLetter"/>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lowerLetter"/>
      <w:start w:val="1"/>
    </w:lvl>
  </w:abstractNum>
  <w:abstractNum w:abstractNumId="16">
    <w:nsid w:val="275AC794"/>
    <w:multiLevelType w:val="hybridMultilevel"/>
    <w:lvl w:ilvl="0">
      <w:lvlJc w:val="left"/>
      <w:lvlText w:val="%1"/>
      <w:numFmt w:val="decimal"/>
      <w:start w:val="1"/>
    </w:lvl>
    <w:lvl w:ilvl="1">
      <w:lvlJc w:val="left"/>
      <w:lvlText w:val="%2."/>
      <w:numFmt w:val="decimal"/>
      <w:start w:val="1"/>
    </w:lvl>
  </w:abstractNum>
  <w:abstractNum w:abstractNumId="17">
    <w:nsid w:val="39386575"/>
    <w:multiLevelType w:val="hybridMultilevel"/>
    <w:lvl w:ilvl="0">
      <w:lvlJc w:val="left"/>
      <w:lvlText w:val="%1."/>
      <w:numFmt w:val="decimal"/>
      <w:start w:val="2"/>
    </w:lvl>
    <w:lvl w:ilvl="1">
      <w:lvlJc w:val="left"/>
      <w:lvlText w:val="%2"/>
      <w:numFmt w:val="decimal"/>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1."/>
      <w:numFmt w:val="decimal"/>
      <w:start w:val="2"/>
    </w:lvl>
  </w:abstractNum>
  <w:abstractNum w:abstractNumId="20">
    <w:nsid w:val="235BA861"/>
    <w:multiLevelType w:val="hybridMultilevel"/>
    <w:lvl w:ilvl="0">
      <w:lvlJc w:val="left"/>
      <w:lvlText w:val="%1."/>
      <w:numFmt w:val="decimal"/>
      <w:start w:val="3"/>
    </w:lvl>
  </w:abstractNum>
  <w:abstractNum w:abstractNumId="21">
    <w:nsid w:val="47398C89"/>
    <w:multiLevelType w:val="hybridMultilevel"/>
    <w:lvl w:ilvl="0">
      <w:lvlJc w:val="left"/>
      <w:lvlText w:val="%1."/>
      <w:numFmt w:val="decimal"/>
      <w:start w:val="4"/>
    </w:lvl>
  </w:abstractNum>
  <w:abstractNum w:abstractNumId="22">
    <w:nsid w:val="354FE9F9"/>
    <w:multiLevelType w:val="hybridMultilevel"/>
    <w:lvl w:ilvl="0">
      <w:lvlJc w:val="left"/>
      <w:lvlText w:val="%1."/>
      <w:numFmt w:val="decimal"/>
      <w:start w:val="5"/>
    </w:lvl>
  </w:abstractNum>
  <w:abstractNum w:abstractNumId="23">
    <w:nsid w:val="15B5AF5C"/>
    <w:multiLevelType w:val="hybridMultilevel"/>
    <w:lvl w:ilvl="0">
      <w:lvlJc w:val="left"/>
      <w:lvlText w:val="%1."/>
      <w:numFmt w:val="decimal"/>
      <w:start w:val="6"/>
    </w:lvl>
  </w:abstractNum>
  <w:abstractNum w:abstractNumId="24">
    <w:nsid w:val="741226BB"/>
    <w:multiLevelType w:val="hybridMultilevel"/>
    <w:lvl w:ilvl="0">
      <w:lvlJc w:val="left"/>
      <w:lvlText w:val="%1."/>
      <w:numFmt w:val="decimal"/>
      <w:start w:val="7"/>
    </w:lvl>
  </w:abstractNum>
  <w:abstractNum w:abstractNumId="25">
    <w:nsid w:val="D34B6A8"/>
    <w:multiLevelType w:val="hybridMultilevel"/>
    <w:lvl w:ilvl="0">
      <w:lvlJc w:val="left"/>
      <w:lvlText w:val="%1."/>
      <w:numFmt w:val="decimal"/>
      <w:start w:val="9"/>
    </w:lvl>
  </w:abstractNum>
  <w:abstractNum w:abstractNumId="26">
    <w:nsid w:val="10233C99"/>
    <w:multiLevelType w:val="hybridMultilevel"/>
    <w:lvl w:ilvl="0">
      <w:lvlJc w:val="left"/>
      <w:lvlText w:val="(%1)"/>
      <w:numFmt w:val="lowerRoman"/>
      <w:start w:val="1"/>
    </w:lvl>
  </w:abstractNum>
  <w:abstractNum w:abstractNumId="27">
    <w:nsid w:val="3F6AB60F"/>
    <w:multiLevelType w:val="hybridMultilevel"/>
    <w:lvl w:ilvl="0">
      <w:lvlJc w:val="left"/>
      <w:lvlText w:val="(%1)"/>
      <w:numFmt w:val="lowerRoman"/>
      <w:start w:val="1"/>
    </w:lvl>
  </w:abstractNum>
  <w:abstractNum w:abstractNumId="28">
    <w:nsid w:val="61574095"/>
    <w:multiLevelType w:val="hybridMultilevel"/>
    <w:lvl w:ilvl="0">
      <w:lvlJc w:val="left"/>
      <w:lvlText w:val="(%1)"/>
      <w:numFmt w:val="lowerRoman"/>
      <w:start w:val="2"/>
    </w:lvl>
    <w:lvl w:ilvl="1">
      <w:lvlJc w:val="left"/>
      <w:lvlText w:val="(%2)"/>
      <w:numFmt w:val="lowerRoman"/>
      <w:start w:val="3"/>
    </w:lvl>
  </w:abstractNum>
  <w:abstractNum w:abstractNumId="29">
    <w:nsid w:val="7E0C57B1"/>
    <w:multiLevelType w:val="hybridMultilevel"/>
    <w:lvl w:ilvl="0">
      <w:lvlJc w:val="left"/>
      <w:lvlText w:val="%1"/>
      <w:numFmt w:val="lowerRoman"/>
      <w:start w:val="1"/>
    </w:lvl>
    <w:lvl w:ilvl="1">
      <w:lvlJc w:val="left"/>
      <w:lvlText w:val="(%2)"/>
      <w:numFmt w:val="lowerRoman"/>
      <w:start w:val="3"/>
    </w:lvl>
  </w:abstractNum>
  <w:abstractNum w:abstractNumId="30">
    <w:nsid w:val="77AE35EB"/>
    <w:multiLevelType w:val="hybridMultilevel"/>
    <w:lvl w:ilvl="0">
      <w:lvlJc w:val="left"/>
      <w:lvlText w:val="%1."/>
      <w:numFmt w:val="decimal"/>
      <w:start w:val="10"/>
    </w:lvl>
    <w:lvl w:ilvl="1">
      <w:lvlJc w:val="left"/>
      <w:lvlText w:val="(%2)"/>
      <w:numFmt w:val="lowerLetter"/>
      <w:start w:val="1"/>
    </w:lvl>
  </w:abstractNum>
  <w:abstractNum w:abstractNumId="31">
    <w:nsid w:val="579BE4F1"/>
    <w:multiLevelType w:val="hybridMultilevel"/>
    <w:lvl w:ilvl="0">
      <w:lvlJc w:val="left"/>
      <w:lvlText w:val="(%1)"/>
      <w:numFmt w:val="lowerLetter"/>
      <w:start w:val="10"/>
    </w:lvl>
  </w:abstractNum>
  <w:abstractNum w:abstractNumId="32">
    <w:nsid w:val="310C50B3"/>
    <w:multiLevelType w:val="hybridMultilevel"/>
    <w:lvl w:ilvl="0">
      <w:lvlJc w:val="left"/>
      <w:lvlText w:val="(%1)"/>
      <w:numFmt w:val="lowerRoman"/>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lowerLetter"/>
      <w:start w:val="1"/>
    </w:lvl>
  </w:abstractNum>
  <w:abstractNum w:abstractNumId="35">
    <w:nsid w:val="25A70BF7"/>
    <w:multiLevelType w:val="hybridMultilevel"/>
    <w:lvl w:ilvl="0">
      <w:lvlJc w:val="left"/>
      <w:lvlText w:val="%1."/>
      <w:numFmt w:val="decimal"/>
      <w:start w:val="2"/>
    </w:lvl>
  </w:abstractNum>
  <w:abstractNum w:abstractNumId="36">
    <w:nsid w:val="1DBABF00"/>
    <w:multiLevelType w:val="hybridMultilevel"/>
    <w:lvl w:ilvl="0">
      <w:lvlJc w:val="left"/>
      <w:lvlText w:val="%1."/>
      <w:numFmt w:val="decimal"/>
      <w:start w:val="4"/>
    </w:lvl>
  </w:abstractNum>
  <w:abstractNum w:abstractNumId="37">
    <w:nsid w:val="4AD084E9"/>
    <w:multiLevelType w:val="hybridMultilevel"/>
    <w:lvl w:ilvl="0">
      <w:lvlJc w:val="left"/>
      <w:lvlText w:val="%1."/>
      <w:numFmt w:val="decimal"/>
      <w:start w:val="5"/>
    </w:lvl>
  </w:abstractNum>
  <w:abstractNum w:abstractNumId="38">
    <w:nsid w:val="1F48EAA1"/>
    <w:multiLevelType w:val="hybridMultilevel"/>
    <w:lvl w:ilvl="0">
      <w:lvlJc w:val="left"/>
      <w:lvlText w:val="%1."/>
      <w:numFmt w:val="decimal"/>
      <w:start w:val="6"/>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Roman"/>
      <w:start w:val="1"/>
    </w:lvl>
  </w:abstractNum>
  <w:abstractNum w:abstractNumId="41">
    <w:nsid w:val="100F8FCA"/>
    <w:multiLevelType w:val="hybridMultilevel"/>
    <w:lvl w:ilvl="0">
      <w:lvlJc w:val="left"/>
      <w:lvlText w:val="%1."/>
      <w:numFmt w:val="decimal"/>
      <w:start w:val="7"/>
    </w:lvl>
  </w:abstractNum>
  <w:abstractNum w:abstractNumId="42">
    <w:nsid w:val="6590700B"/>
    <w:multiLevelType w:val="hybridMultilevel"/>
    <w:lvl w:ilvl="0">
      <w:lvlJc w:val="left"/>
      <w:lvlText w:val="%1."/>
      <w:numFmt w:val="decimal"/>
      <w:start w:val="8"/>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Roman"/>
      <w:start w:val="1"/>
    </w:lvl>
  </w:abstractNum>
  <w:abstractNum w:abstractNumId="45">
    <w:nsid w:val="98A3148"/>
    <w:multiLevelType w:val="hybridMultilevel"/>
    <w:lvl w:ilvl="0">
      <w:lvlJc w:val="left"/>
      <w:lvlText w:val="%1."/>
      <w:numFmt w:val="decimal"/>
      <w:start w:val="9"/>
    </w:lvl>
  </w:abstractNum>
  <w:abstractNum w:abstractNumId="46">
    <w:nsid w:val="799D0247"/>
    <w:multiLevelType w:val="hybridMultilevel"/>
    <w:lvl w:ilvl="0">
      <w:lvlJc w:val="left"/>
      <w:lvlText w:val="%1."/>
      <w:numFmt w:val="decimal"/>
      <w:start w:val="10"/>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2"/>
    </w:lvl>
  </w:abstractNum>
  <w:abstractNum w:abstractNumId="49">
    <w:nsid w:val="168E121F"/>
    <w:multiLevelType w:val="hybridMultilevel"/>
    <w:lvl w:ilvl="0">
      <w:lvlJc w:val="left"/>
      <w:lvlText w:val="%1."/>
      <w:numFmt w:val="decimal"/>
      <w:start w:val="3"/>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lowerLetter"/>
      <w:start w:val="2"/>
    </w:lvl>
  </w:abstractNum>
  <w:abstractNum w:abstractNumId="52">
    <w:nsid w:val="5DC79EA8"/>
    <w:multiLevelType w:val="hybridMultilevel"/>
    <w:lvl w:ilvl="0">
      <w:lvlJc w:val="left"/>
      <w:lvlText w:val="%1."/>
      <w:numFmt w:val="decimal"/>
      <w:start w:val="4"/>
    </w:lvl>
  </w:abstractNum>
  <w:abstractNum w:abstractNumId="53">
    <w:nsid w:val="540A471C"/>
    <w:multiLevelType w:val="hybridMultilevel"/>
    <w:lvl w:ilvl="0">
      <w:lvlJc w:val="left"/>
      <w:lvlText w:val="%1."/>
      <w:numFmt w:val="decimal"/>
      <w:start w:val="5"/>
    </w:lvl>
  </w:abstractNum>
  <w:abstractNum w:abstractNumId="54">
    <w:nsid w:val="7BD3EE7B"/>
    <w:multiLevelType w:val="hybridMultilevel"/>
    <w:lvl w:ilvl="0">
      <w:lvlJc w:val="left"/>
      <w:lvlText w:val="%1."/>
      <w:numFmt w:val="decimal"/>
      <w:start w:val="6"/>
    </w:lvl>
  </w:abstractNum>
  <w:abstractNum w:abstractNumId="55">
    <w:nsid w:val="51D9C564"/>
    <w:multiLevelType w:val="hybridMultilevel"/>
    <w:lvl w:ilvl="0">
      <w:lvlJc w:val="left"/>
      <w:lvlText w:val="(%1)"/>
      <w:numFmt w:val="lowerLetter"/>
      <w:start w:val="2"/>
    </w:lvl>
  </w:abstractNum>
  <w:abstractNum w:abstractNumId="56">
    <w:nsid w:val="613EFDC5"/>
    <w:multiLevelType w:val="hybridMultilevel"/>
    <w:lvl w:ilvl="0">
      <w:lvlJc w:val="left"/>
      <w:lvlText w:val="(%1)"/>
      <w:numFmt w:val="lowerLetter"/>
      <w:start w:val="3"/>
    </w:lvl>
  </w:abstractNum>
  <w:abstractNum w:abstractNumId="57">
    <w:nsid w:val="BF72B14"/>
    <w:multiLevelType w:val="hybridMultilevel"/>
    <w:lvl w:ilvl="0">
      <w:lvlJc w:val="left"/>
      <w:lvlText w:val="%1."/>
      <w:numFmt w:val="decimal"/>
      <w:start w:val="7"/>
    </w:lvl>
  </w:abstractNum>
  <w:abstractNum w:abstractNumId="58">
    <w:nsid w:val="11447B73"/>
    <w:multiLevelType w:val="hybridMultilevel"/>
    <w:lvl w:ilvl="0">
      <w:lvlJc w:val="left"/>
      <w:lvlText w:val="%1."/>
      <w:numFmt w:val="decimal"/>
      <w:start w:val="8"/>
    </w:lvl>
  </w:abstractNum>
  <w:abstractNum w:abstractNumId="59">
    <w:nsid w:val="42963E5A"/>
    <w:multiLevelType w:val="hybridMultilevel"/>
    <w:lvl w:ilvl="0">
      <w:lvlJc w:val="left"/>
      <w:lvlText w:val="%1."/>
      <w:numFmt w:val="decimal"/>
      <w:start w:val="10"/>
    </w:lvl>
  </w:abstractNum>
  <w:abstractNum w:abstractNumId="60">
    <w:nsid w:val="A0382C5"/>
    <w:multiLevelType w:val="hybridMultilevel"/>
    <w:lvl w:ilvl="0">
      <w:lvlJc w:val="left"/>
      <w:lvlText w:val="%1."/>
      <w:numFmt w:val="decimal"/>
      <w:start w:val="11"/>
    </w:lvl>
  </w:abstractNum>
  <w:abstractNum w:abstractNumId="61">
    <w:nsid w:val="8F2B15E"/>
    <w:multiLevelType w:val="hybridMultilevel"/>
    <w:lvl w:ilvl="0">
      <w:lvlJc w:val="left"/>
      <w:lvlText w:val="%1."/>
      <w:numFmt w:val="decimal"/>
      <w:start w:val="12"/>
    </w:lvl>
  </w:abstractNum>
  <w:abstractNum w:abstractNumId="62">
    <w:nsid w:val="1A32234B"/>
    <w:multiLevelType w:val="hybridMultilevel"/>
    <w:lvl w:ilvl="0">
      <w:lvlJc w:val="left"/>
      <w:lvlText w:val="(%1)"/>
      <w:numFmt w:val="lowerRoman"/>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8">
    <w:nsid w:val="14330624"/>
    <w:multiLevelType w:val="hybridMultilevel"/>
    <w:lvl w:ilvl="0">
      <w:lvlJc w:val="left"/>
      <w:lvlText w:val="%1."/>
      <w:numFmt w:val="decimal"/>
      <w:start w:val="3"/>
    </w:lvl>
  </w:abstractNum>
  <w:abstractNum w:abstractNumId="69">
    <w:nsid w:val="7FFFCA11"/>
    <w:multiLevelType w:val="hybridMultilevel"/>
    <w:lvl w:ilvl="0">
      <w:lvlJc w:val="left"/>
      <w:lvlText w:val="%1."/>
      <w:numFmt w:val="decimal"/>
      <w:start w:val="4"/>
    </w:lvl>
    <w:lvl w:ilvl="1">
      <w:lvlJc w:val="left"/>
      <w:lvlText w:val="(%2)"/>
      <w:numFmt w:val="lowerRoman"/>
      <w:start w:val="1"/>
    </w:lvl>
  </w:abstractNum>
  <w:abstractNum w:abstractNumId="70">
    <w:nsid w:val="1A27709E"/>
    <w:multiLevelType w:val="hybridMultilevel"/>
    <w:lvl w:ilvl="0">
      <w:lvlJc w:val="left"/>
      <w:lvlText w:val="%1."/>
      <w:numFmt w:val="decimal"/>
      <w:start w:val="5"/>
    </w:lvl>
  </w:abstractNum>
  <w:abstractNum w:abstractNumId="71">
    <w:nsid w:val="71EA1109"/>
    <w:multiLevelType w:val="hybridMultilevel"/>
    <w:lvl w:ilvl="0">
      <w:lvlJc w:val="left"/>
      <w:lvlText w:val="(%1)"/>
      <w:numFmt w:val="lowerRoman"/>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decimal"/>
      <w:start w:val="2"/>
    </w:lvl>
  </w:abstractNum>
  <w:abstractNum w:abstractNumId="76">
    <w:nsid w:val="94211F2"/>
    <w:multiLevelType w:val="hybridMultilevel"/>
    <w:lvl w:ilvl="0">
      <w:lvlJc w:val="left"/>
      <w:lvlText w:val="%1."/>
      <w:numFmt w:val="decimal"/>
      <w:start w:val="3"/>
    </w:lvl>
  </w:abstractNum>
  <w:abstractNum w:abstractNumId="77">
    <w:nsid w:val="885E1B"/>
    <w:multiLevelType w:val="hybridMultilevel"/>
    <w:lvl w:ilvl="0">
      <w:lvlJc w:val="left"/>
      <w:lvlText w:val="%1."/>
      <w:numFmt w:val="decimal"/>
      <w:start w:val="4"/>
    </w:lvl>
  </w:abstractNum>
  <w:abstractNum w:abstractNumId="78">
    <w:nsid w:val="76272110"/>
    <w:multiLevelType w:val="hybridMultilevel"/>
    <w:lvl w:ilvl="0">
      <w:lvlJc w:val="left"/>
      <w:lvlText w:val="%1."/>
      <w:numFmt w:val="decimal"/>
      <w:start w:val="6"/>
    </w:lvl>
  </w:abstractNum>
  <w:abstractNum w:abstractNumId="79">
    <w:nsid w:val="4C04A8AF"/>
    <w:multiLevelType w:val="hybridMultilevel"/>
    <w:lvl w:ilvl="0">
      <w:lvlJc w:val="left"/>
      <w:lvlText w:val="%1."/>
      <w:numFmt w:val="decimal"/>
      <w:start w:val="7"/>
    </w:lvl>
  </w:abstractNum>
  <w:abstractNum w:abstractNumId="80">
    <w:nsid w:val="1716703B"/>
    <w:multiLevelType w:val="hybridMultilevel"/>
    <w:lvl w:ilvl="0">
      <w:lvlJc w:val="left"/>
      <w:lvlText w:val="%1."/>
      <w:numFmt w:val="decimal"/>
      <w:start w:val="8"/>
    </w:lvl>
  </w:abstractNum>
  <w:abstractNum w:abstractNumId="81">
    <w:nsid w:val="14E17E33"/>
    <w:multiLevelType w:val="hybridMultilevel"/>
    <w:lvl w:ilvl="0">
      <w:lvlJc w:val="left"/>
      <w:lvlText w:val="%1."/>
      <w:numFmt w:val="decimal"/>
      <w:start w:val="9"/>
    </w:lvl>
  </w:abstractNum>
  <w:abstractNum w:abstractNumId="82">
    <w:nsid w:val="3222E7CD"/>
    <w:multiLevelType w:val="hybridMultilevel"/>
    <w:lvl w:ilvl="0">
      <w:lvlJc w:val="left"/>
      <w:lvlText w:val="%1."/>
      <w:numFmt w:val="decimal"/>
      <w:start w:val="10"/>
    </w:lvl>
  </w:abstractNum>
  <w:abstractNum w:abstractNumId="83">
    <w:nsid w:val="74DE0EE3"/>
    <w:multiLevelType w:val="hybridMultilevel"/>
    <w:lvl w:ilvl="0">
      <w:lvlJc w:val="left"/>
      <w:lvlText w:val="(%1)"/>
      <w:numFmt w:val="lowerLetter"/>
      <w:start w:val="2"/>
    </w:lvl>
  </w:abstractNum>
  <w:abstractNum w:abstractNumId="84">
    <w:nsid w:val="68EBC550"/>
    <w:multiLevelType w:val="hybridMultilevel"/>
    <w:lvl w:ilvl="0">
      <w:lvlJc w:val="left"/>
      <w:lvlText w:val="(%1)"/>
      <w:numFmt w:val="lowerLetter"/>
      <w:start w:val="3"/>
    </w:lvl>
  </w:abstractNum>
  <w:abstractNum w:abstractNumId="85">
    <w:nsid w:val="2DF6D648"/>
    <w:multiLevelType w:val="hybridMultilevel"/>
    <w:lvl w:ilvl="0">
      <w:lvlJc w:val="left"/>
      <w:lvlText w:val="%1"/>
      <w:numFmt w:val="decimal"/>
      <w:start w:val="1"/>
    </w:lvl>
    <w:lvl w:ilvl="1">
      <w:lvlJc w:val="left"/>
      <w:lvlText w:val="(%2)"/>
      <w:numFmt w:val="lowerLetter"/>
      <w:start w:val="11"/>
    </w:lvl>
  </w:abstractNum>
  <w:abstractNum w:abstractNumId="86">
    <w:nsid w:val="46B7D447"/>
    <w:multiLevelType w:val="hybridMultilevel"/>
    <w:lvl w:ilvl="0">
      <w:lvlJc w:val="left"/>
      <w:lvlText w:val="%1."/>
      <w:numFmt w:val="decimal"/>
      <w:start w:val="11"/>
    </w:lvl>
    <w:lvl w:ilvl="1">
      <w:lvlJc w:val="left"/>
      <w:lvlText w:val="%2"/>
      <w:numFmt w:val="lowerLetter"/>
      <w:start w:val="1"/>
    </w:lvl>
  </w:abstractNum>
  <w:abstractNum w:abstractNumId="87">
    <w:nsid w:val="4A2AC315"/>
    <w:multiLevelType w:val="hybridMultilevel"/>
    <w:lvl w:ilvl="0">
      <w:lvlJc w:val="left"/>
      <w:lvlText w:val="%1."/>
      <w:numFmt w:val="decimal"/>
      <w:start w:val="12"/>
    </w:lvl>
  </w:abstractNum>
  <w:abstractNum w:abstractNumId="88">
    <w:nsid w:val="39EE015C"/>
    <w:multiLevelType w:val="hybridMultilevel"/>
    <w:lvl w:ilvl="0">
      <w:lvlJc w:val="left"/>
      <w:lvlText w:val="%1."/>
      <w:numFmt w:val="decimal"/>
      <w:start w:val="13"/>
    </w:lvl>
  </w:abstractNum>
  <w:abstractNum w:abstractNumId="89">
    <w:nsid w:val="57FC4FBB"/>
    <w:multiLevelType w:val="hybridMultilevel"/>
    <w:lvl w:ilvl="0">
      <w:lvlJc w:val="left"/>
      <w:lvlText w:val="%1."/>
      <w:numFmt w:val="decimal"/>
      <w:start w:val="14"/>
    </w:lvl>
  </w:abstractNum>
  <w:abstractNum w:abstractNumId="90">
    <w:nsid w:val="CC1016F"/>
    <w:multiLevelType w:val="hybridMultilevel"/>
    <w:lvl w:ilvl="0">
      <w:lvlJc w:val="left"/>
      <w:lvlText w:val="%1."/>
      <w:numFmt w:val="decimal"/>
      <w:start w:val="15"/>
    </w:lvl>
  </w:abstractNum>
  <w:abstractNum w:abstractNumId="91">
    <w:nsid w:val="43F18422"/>
    <w:multiLevelType w:val="hybridMultilevel"/>
    <w:lvl w:ilvl="0">
      <w:lvlJc w:val="left"/>
      <w:lvlText w:val="%1."/>
      <w:numFmt w:val="decimal"/>
      <w:start w:val="16"/>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2019-12-09T09:27:19Z</dcterms:created>
  <dcterms:modified xsi:type="dcterms:W3CDTF">2019-12-09T09:27:19Z</dcterms:modified>
</cp:coreProperties>
</file>