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August 1, 2012, Itron, Inc. (the Company) issued a press release announcing its financial results for the three and six months ended June 30, 2012.</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3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1360" w:hanging="947"/>
        <w:spacing w:after="0"/>
        <w:tabs>
          <w:tab w:leader="none" w:pos="1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 2012.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35"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5700" w:val="left"/>
          <w:tab w:leader="none" w:pos="6380" w:val="left"/>
        </w:tabs>
        <w:rPr>
          <w:sz w:val="20"/>
          <w:szCs w:val="20"/>
          <w:color w:val="auto"/>
        </w:rPr>
      </w:pPr>
      <w:r>
        <w:rPr>
          <w:rFonts w:ascii="Arial" w:cs="Arial" w:eastAsia="Arial" w:hAnsi="Arial"/>
          <w:sz w:val="18"/>
          <w:szCs w:val="18"/>
          <w:color w:val="auto"/>
        </w:rPr>
        <w:t>Dated:</w:t>
        <w:tab/>
        <w:t>August 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 2012.</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Second Quarter 2012 Financial Results</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LIBERTY LAKE, Wash.--(BUSINESS WIRE)--August 1, 2012--Itron, Inc. (NASDAQ:ITRI) announced today financial results for its second quarter and six months ended June 30, 2012. Highlights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revenues of $579 million and $1.2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GAAP diluted net earnings per share of 79 cents and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non-GAAP diluted net earnings per share of $1.16 and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Six month cash flow from operations and free cash flow of $92 million and $69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adjusted EBITDA of $81 million and $148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Twelve-month backlog of $637 million and total backlog of $1.1 billion;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bookings of $447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“I am pleased with our business execution in the second quarter,” said LeRoy Nosbaum, Itron’s president and chief executive officer. “While revenue was flat year-over-year at constant currency, we improved gross margin in both segments as we continue to focus on efficiencies and resource prioritization. We are executing well on a number of initiatives, including our global manufacturing restructuring and the integration of our recent SmartSynch acquisition, and we continue to invest in our sales teams and product development efforts to position us for upcoming global smart grid opportunities.”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Revenues were $579 million for the quarter and $1.2 billion for the first six months of 2012, compared with $612 million and $1.2 billion in the same periods in 2011. Changes in foreign currency exchange rates unfavorably impacted revenue by $35 million for the quarter and $48 million for the first six months of 2012. Excluding the impact from foreign currency, revenues increased $2 million over the prior year quarter and $22 million over the six month period of 2011. Revenue for the quarter and first six months, excluding the foreign currency impact, increased due to OpenWay project revenue in North America and growth in the Water segment, offset by a decrease in Gas revenue. Approximately $4 million in revenue was included in the quarter and first six months of 2012 related to our acquisition of SmartSynch which was finalized on May 1, 2012.</w:t>
      </w:r>
    </w:p>
    <w:p>
      <w:pPr>
        <w:spacing w:after="0" w:line="153"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Gross margin for the quarter was 34.0 percent compared with the prior year period margin of 31.3 percent. For the first six months of 2012, gross margin was 33.0 percent compared with 32.0 percent in the prior year period. Gross margin improved over the prior year for the quarter and first six months primarily due to lower warranty costs, which positively impacted gross margin by 1.6 percentage points in the quarter and 0.3 percentage points in the six month period, improved gross margin on OpenWay projects, product mix and lower manufacturing costs in both the Energy and Water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21"/>
          <w:szCs w:val="21"/>
          <w:color w:val="auto"/>
        </w:rPr>
        <w:t>GAAP operating expenses were $151 million in the quarter and $294 million for the first six months of 2012, compared with $144 million and $279 million in the same periods of 2011. Changes in foreign currency exchange rates favorably impacted operating expenses by $8 million for the quarter and $12 million for the first six months of 2012. The increase in expenses for the quarter and six month period was due to an increase of approximately $5 million related to the inclusion of SmartSynch’s operations, increased global sales and marketing activity and product development efforts, and higher restructuring costs. GAAP operating income for the quarter and first six months of 2012 was $46 million and $86 million, compared with $48 million and $98 million in the respective 2011 periods. Changes in foreign currency rates reduced operating income $1 million in the quarter and $2 million in the first six months of 2012.</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Net interest expense was $2.4 million for the quarter and $4.7 million for the six month period compared with $11.3 million and $23.1 million in the same periods last year. The decrease in net interest expense was due to a reduced principal balance and lower effective interest rates. The company refinanced its bank debt in August 2011 which significantly reduced the interest rate.</w:t>
      </w:r>
    </w:p>
    <w:p>
      <w:pPr>
        <w:spacing w:after="0" w:line="134"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GAAP net income and diluted EPS for the quarter and six month period was $31.6 million, or 79 cents per share, and $57.0 million, or $1.42 per share. This compares to net income of $34.4 million, or 84 cents per share, and $61.6 million, or $1.50 per share in the same periods in 2011. The 2012 net income for the quarter and first six months was positively impacted by decreased interest expense which was offset by an increase in tax expense driven by discrete tax benefits recognized in the prior year.</w:t>
      </w:r>
    </w:p>
    <w:p>
      <w:pPr>
        <w:spacing w:after="0" w:line="143"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Non-GAAP operating expenses for the quarter and six month period, which excludes amortization of intangibles, restructuring charges and acquisition related expenses, increased $4 million and $13 million over the respective periods in 2011. The increase in non-GAAP operating expenses for both periods was due to an increase of approximately $4 million related to the inclusion of SmartSynch’s operations, increased global sales and marketing activity and product development efforts. Foreign currency favorably impacted non-GAAP operating expenses by $7 million in the quarter and $10 million in the first six months of 2012. Non-GAAP operating income was $67 million and $122 million for the quarter and six month period, compared with $66 million and $132 million in the same periods in 2011. Changes in foreign currency rates reduced non-GAAP operating income $3 million in the quarter and the first six months of 2012.</w:t>
      </w:r>
    </w:p>
    <w:p>
      <w:pPr>
        <w:spacing w:after="0" w:line="181"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Non-GAAP net income and diluted EPS for the quarter and six month period was $46.5 million, or $1.16 per share, and $82.9 million, or $2.06 per share. This compares to $49.1 million or $1.20 per share, and $89.7 million, or $2.18 per share in the same periods in 2011. Non-GAAP net income for the quarter was positively impacted by improved gross margin and decreased interest expense, offset by increased tax expense. The decrease in non-GAAP net income for the six month period was due to higher operating expenses and increased tax expense, partially offset by decreased interest expense.</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During the quarter, the company repurchased 419,600 shares of Itron common stock at an average price of $36.66 per share pursuant to Board authorization to repurchase up to $100 million of Itron common stock during a 12 month period beginning October 2011. As of June 30, 2012 the company had repurchased approximately 1.5 million shares of Itron common stock at an average price of $36.33 per share since inception of the program, representing 3.7 percent of total shares outstanding as of October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Financial Guidance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full-year 2012 is as follows:</w:t>
      </w:r>
    </w:p>
    <w:p>
      <w:pPr>
        <w:spacing w:after="0" w:line="206" w:lineRule="exact"/>
        <w:rPr>
          <w:sz w:val="20"/>
          <w:szCs w:val="20"/>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between $2.1 billion and $2.2 billion</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diluted EPS between $3.80 and $4.00</w:t>
      </w:r>
    </w:p>
    <w:p>
      <w:pPr>
        <w:spacing w:after="0" w:line="206"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The company’s guidance assumes a gross margin of approximately 33.5 percent for the year, a Euro to U.S. dollar average exchange rate of $1.23 for the second half of 2012, average shares outstanding of approximately 40 million and a non-GAAP effective tax rate for the year of 27 percent.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5:00 p.m. Eastern Daylight Time (EDT) on August 1, 2012. The call will be webcast in a listen-only mode. Webcast information and conference call materials will be made available 15 minutes before the start of the call and are accessible on Itron’s website at </w:t>
      </w:r>
      <w:r>
        <w:rPr>
          <w:rFonts w:ascii="Arial" w:cs="Arial" w:eastAsia="Arial" w:hAnsi="Arial"/>
          <w:sz w:val="19"/>
          <w:szCs w:val="19"/>
          <w:u w:val="single" w:color="auto"/>
          <w:color w:val="auto"/>
        </w:rPr>
        <w:t>www.itron.com</w:t>
      </w:r>
      <w:r>
        <w:rPr>
          <w:rFonts w:ascii="Arial" w:cs="Arial" w:eastAsia="Arial" w:hAnsi="Arial"/>
          <w:sz w:val="19"/>
          <w:szCs w:val="19"/>
          <w:color w:val="auto"/>
        </w:rPr>
        <w:t xml:space="preserve"> under the Investors page. The webcast replay will begin after the conclusion of the live call and will be available for two weeks. A telephone replay of the call will also be available approximately one hour after the conclusion of the live call, for 48 hours, and is accessible by dialing 888-203-1112 (Domestic) or 719-457-0820 (International), entering passcode 5714755.</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 xml:space="preserve">Itron is a global technology company. We build solutions that help utilities measure, monitor and manage energy and water. Our broad product portfolio includes electricity, gas, water and thermal energy measurement and control technology; communications systems; software; and professional services. With thousands of employees supporting nearly 8,000 utilities in more than one hundred countries, Itron empowers utilities to responsibly and efficiently manage energy and water resources. Join us in creating a more resourceful world, start here: </w:t>
      </w:r>
      <w:r>
        <w:rPr>
          <w:rFonts w:ascii="Arial" w:cs="Arial" w:eastAsia="Arial" w:hAnsi="Arial"/>
          <w:sz w:val="21"/>
          <w:szCs w:val="21"/>
          <w:u w:val="single" w:color="auto"/>
          <w:color w:val="auto"/>
        </w:rPr>
        <w:t>www.itron.com</w:t>
      </w:r>
      <w:r>
        <w:rPr>
          <w:rFonts w:ascii="Arial" w:cs="Arial" w:eastAsia="Arial" w:hAnsi="Arial"/>
          <w:sz w:val="21"/>
          <w:szCs w:val="2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2011 and other reports on file with the Securities and Exchange Commission. Itron undertakes no obligation to update publicly or revise any forward-looking statements, including our business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costs in our non-GAAP financial measures as we believe the net result is a measure of our core business.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5420" w:type="dxa"/>
            <w:vAlign w:val="bottom"/>
          </w:tcPr>
          <w:p>
            <w:pPr>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579,140</w:t>
            </w:r>
          </w:p>
        </w:tc>
        <w:tc>
          <w:tcPr>
            <w:tcW w:w="140" w:type="dxa"/>
            <w:vAlign w:val="bottom"/>
          </w:tcPr>
          <w:p>
            <w:pPr>
              <w:spacing w:after="0"/>
              <w:rPr>
                <w:sz w:val="14"/>
                <w:szCs w:val="14"/>
                <w:color w:val="auto"/>
              </w:rPr>
            </w:pP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612,401</w:t>
            </w:r>
          </w:p>
        </w:tc>
        <w:tc>
          <w:tcPr>
            <w:tcW w:w="120" w:type="dxa"/>
            <w:vAlign w:val="bottom"/>
          </w:tcPr>
          <w:p>
            <w:pPr>
              <w:spacing w:after="0"/>
              <w:rPr>
                <w:sz w:val="14"/>
                <w:szCs w:val="1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1,150,780</w:t>
            </w:r>
          </w:p>
        </w:tc>
        <w:tc>
          <w:tcPr>
            <w:tcW w:w="120" w:type="dxa"/>
            <w:vAlign w:val="bottom"/>
          </w:tcPr>
          <w:p>
            <w:pPr>
              <w:spacing w:after="0"/>
              <w:rPr>
                <w:sz w:val="14"/>
                <w:szCs w:val="14"/>
                <w:color w:val="auto"/>
              </w:rPr>
            </w:pP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1,176,092</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20"/>
                <w:szCs w:val="20"/>
                <w:color w:val="auto"/>
              </w:rPr>
            </w:pPr>
            <w:r>
              <w:rPr>
                <w:rFonts w:ascii="Arial" w:cs="Arial" w:eastAsia="Arial" w:hAnsi="Arial"/>
                <w:sz w:val="14"/>
                <w:szCs w:val="14"/>
                <w:color w:val="auto"/>
              </w:rPr>
              <w:t>Cost of revenues</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382,395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420,450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770,930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799,163</w:t>
            </w:r>
          </w:p>
        </w:tc>
        <w:tc>
          <w:tcPr>
            <w:tcW w:w="0" w:type="dxa"/>
            <w:vAlign w:val="bottom"/>
          </w:tcPr>
          <w:p>
            <w:pPr>
              <w:spacing w:after="0"/>
              <w:rPr>
                <w:sz w:val="1"/>
                <w:szCs w:val="1"/>
                <w:color w:val="auto"/>
              </w:rPr>
            </w:pPr>
          </w:p>
        </w:tc>
      </w:tr>
      <w:tr>
        <w:trPr>
          <w:trHeight w:val="176"/>
        </w:trPr>
        <w:tc>
          <w:tcPr>
            <w:tcW w:w="5420" w:type="dxa"/>
            <w:vAlign w:val="bottom"/>
          </w:tcPr>
          <w:p>
            <w:pPr>
              <w:spacing w:after="0"/>
              <w:rPr>
                <w:sz w:val="20"/>
                <w:szCs w:val="20"/>
                <w:color w:val="auto"/>
              </w:rPr>
            </w:pPr>
            <w:r>
              <w:rPr>
                <w:rFonts w:ascii="Arial" w:cs="Arial" w:eastAsia="Arial" w:hAnsi="Arial"/>
                <w:sz w:val="14"/>
                <w:szCs w:val="14"/>
                <w:color w:val="auto"/>
              </w:rPr>
              <w:t>Gross profit</w:t>
            </w:r>
          </w:p>
        </w:tc>
        <w:tc>
          <w:tcPr>
            <w:tcW w:w="3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196,745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191,951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379,850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376,929</w:t>
            </w:r>
          </w:p>
        </w:tc>
        <w:tc>
          <w:tcPr>
            <w:tcW w:w="0" w:type="dxa"/>
            <w:vAlign w:val="bottom"/>
          </w:tcPr>
          <w:p>
            <w:pPr>
              <w:spacing w:after="0"/>
              <w:rPr>
                <w:sz w:val="1"/>
                <w:szCs w:val="1"/>
                <w:color w:val="auto"/>
              </w:rPr>
            </w:pPr>
          </w:p>
        </w:tc>
      </w:tr>
      <w:tr>
        <w:trPr>
          <w:trHeight w:val="339"/>
        </w:trPr>
        <w:tc>
          <w:tcPr>
            <w:tcW w:w="5420" w:type="dxa"/>
            <w:vAlign w:val="bottom"/>
          </w:tcPr>
          <w:p>
            <w:pPr>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50,847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48,671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100,703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93,149</w:t>
            </w: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46,640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40,628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90,996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80,770</w:t>
            </w: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33,450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36,463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70,020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71,135</w:t>
            </w: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3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16,197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23,938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31,794</w:t>
            </w: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rPr>
                <w:sz w:val="20"/>
                <w:szCs w:val="20"/>
                <w:color w:val="auto"/>
              </w:rPr>
            </w:pPr>
            <w:r>
              <w:rPr>
                <w:rFonts w:ascii="Arial" w:cs="Arial" w:eastAsia="Arial" w:hAnsi="Arial"/>
                <w:sz w:val="14"/>
                <w:szCs w:val="14"/>
                <w:color w:val="auto"/>
              </w:rPr>
              <w:t>Restructuring expense</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7,720</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69"/>
        </w:trPr>
        <w:tc>
          <w:tcPr>
            <w:tcW w:w="542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150,682</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143,866</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294,166</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278,755</w:t>
            </w:r>
          </w:p>
        </w:tc>
        <w:tc>
          <w:tcPr>
            <w:tcW w:w="0" w:type="dxa"/>
            <w:vAlign w:val="bottom"/>
          </w:tcPr>
          <w:p>
            <w:pPr>
              <w:spacing w:after="0"/>
              <w:rPr>
                <w:sz w:val="1"/>
                <w:szCs w:val="1"/>
                <w:color w:val="auto"/>
              </w:rPr>
            </w:pPr>
          </w:p>
        </w:tc>
      </w:tr>
      <w:tr>
        <w:trPr>
          <w:trHeight w:val="339"/>
        </w:trPr>
        <w:tc>
          <w:tcPr>
            <w:tcW w:w="5420" w:type="dxa"/>
            <w:vAlign w:val="bottom"/>
          </w:tcPr>
          <w:p>
            <w:pPr>
              <w:spacing w:after="0"/>
              <w:rPr>
                <w:sz w:val="20"/>
                <w:szCs w:val="20"/>
                <w:color w:val="auto"/>
              </w:rPr>
            </w:pPr>
            <w:r>
              <w:rPr>
                <w:rFonts w:ascii="Arial" w:cs="Arial" w:eastAsia="Arial" w:hAnsi="Arial"/>
                <w:sz w:val="14"/>
                <w:szCs w:val="14"/>
                <w:color w:val="auto"/>
              </w:rPr>
              <w:t>Operating income</w:t>
            </w:r>
          </w:p>
        </w:tc>
        <w:tc>
          <w:tcPr>
            <w:tcW w:w="38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46,063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48,085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85,684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98,174</w:t>
            </w:r>
          </w:p>
        </w:tc>
        <w:tc>
          <w:tcPr>
            <w:tcW w:w="0" w:type="dxa"/>
            <w:vAlign w:val="bottom"/>
          </w:tcPr>
          <w:p>
            <w:pPr>
              <w:spacing w:after="0"/>
              <w:rPr>
                <w:sz w:val="1"/>
                <w:szCs w:val="1"/>
                <w:color w:val="auto"/>
              </w:rPr>
            </w:pPr>
          </w:p>
        </w:tc>
      </w:tr>
      <w:tr>
        <w:trPr>
          <w:trHeight w:val="176"/>
        </w:trPr>
        <w:tc>
          <w:tcPr>
            <w:tcW w:w="5420" w:type="dxa"/>
            <w:vAlign w:val="bottom"/>
          </w:tcPr>
          <w:p>
            <w:pPr>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76"/>
        </w:trPr>
        <w:tc>
          <w:tcPr>
            <w:tcW w:w="542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(2,606)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(11,420)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(23,534)</w:t>
            </w: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(779)</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(2,940)</w:t>
            </w:r>
          </w:p>
        </w:tc>
        <w:tc>
          <w:tcPr>
            <w:tcW w:w="0" w:type="dxa"/>
            <w:vAlign w:val="bottom"/>
          </w:tcPr>
          <w:p>
            <w:pPr>
              <w:spacing w:after="0"/>
              <w:rPr>
                <w:sz w:val="1"/>
                <w:szCs w:val="1"/>
                <w:color w:val="auto"/>
              </w:rPr>
            </w:pPr>
          </w:p>
        </w:tc>
      </w:tr>
      <w:tr>
        <w:trPr>
          <w:trHeight w:val="169"/>
        </w:trPr>
        <w:tc>
          <w:tcPr>
            <w:tcW w:w="5420" w:type="dxa"/>
            <w:vAlign w:val="bottom"/>
          </w:tcPr>
          <w:p>
            <w:pPr>
              <w:ind w:left="420"/>
              <w:spacing w:after="0"/>
              <w:rPr>
                <w:sz w:val="20"/>
                <w:szCs w:val="20"/>
                <w:color w:val="auto"/>
              </w:rPr>
            </w:pPr>
            <w:r>
              <w:rPr>
                <w:rFonts w:ascii="Arial" w:cs="Arial" w:eastAsia="Arial" w:hAnsi="Arial"/>
                <w:sz w:val="14"/>
                <w:szCs w:val="14"/>
                <w:color w:val="auto"/>
              </w:rPr>
              <w:t>Total other income (expense)</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(3,208)</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(12,602)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(7,628)</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(25,998)</w:t>
            </w:r>
          </w:p>
        </w:tc>
        <w:tc>
          <w:tcPr>
            <w:tcW w:w="0" w:type="dxa"/>
            <w:vAlign w:val="bottom"/>
          </w:tcPr>
          <w:p>
            <w:pPr>
              <w:spacing w:after="0"/>
              <w:rPr>
                <w:sz w:val="1"/>
                <w:szCs w:val="1"/>
                <w:color w:val="auto"/>
              </w:rPr>
            </w:pPr>
          </w:p>
        </w:tc>
      </w:tr>
      <w:tr>
        <w:trPr>
          <w:trHeight w:val="339"/>
        </w:trPr>
        <w:tc>
          <w:tcPr>
            <w:tcW w:w="542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8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42,855</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35,483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78,056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72,176</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(10,564)</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(9,487)</w:t>
            </w:r>
          </w:p>
        </w:tc>
        <w:tc>
          <w:tcPr>
            <w:tcW w:w="0" w:type="dxa"/>
            <w:vAlign w:val="bottom"/>
          </w:tcPr>
          <w:p>
            <w:pPr>
              <w:spacing w:after="0"/>
              <w:rPr>
                <w:sz w:val="1"/>
                <w:szCs w:val="1"/>
                <w:color w:val="auto"/>
              </w:rPr>
            </w:pPr>
          </w:p>
        </w:tc>
      </w:tr>
      <w:tr>
        <w:trPr>
          <w:trHeight w:val="164"/>
        </w:trPr>
        <w:tc>
          <w:tcPr>
            <w:tcW w:w="5420" w:type="dxa"/>
            <w:vAlign w:val="bottom"/>
          </w:tcPr>
          <w:p>
            <w:pPr>
              <w:spacing w:after="0"/>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32,291</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35,563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57,863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62,689</w:t>
            </w: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676</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20"/>
                <w:szCs w:val="20"/>
                <w:color w:val="auto"/>
              </w:rPr>
            </w:pPr>
            <w:r>
              <w:rPr>
                <w:rFonts w:ascii="Arial" w:cs="Arial" w:eastAsia="Arial" w:hAnsi="Arial"/>
                <w:sz w:val="14"/>
                <w:szCs w:val="14"/>
                <w:color w:val="auto"/>
              </w:rPr>
              <w:t>Net income attributable to Itron, Inc.</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31,615</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34,436</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56,968</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61,556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2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0.79</w:t>
            </w:r>
          </w:p>
        </w:tc>
        <w:tc>
          <w:tcPr>
            <w:tcW w:w="140" w:type="dxa"/>
            <w:vAlign w:val="bottom"/>
          </w:tcPr>
          <w:p>
            <w:pPr>
              <w:spacing w:after="0"/>
              <w:rPr>
                <w:sz w:val="24"/>
                <w:szCs w:val="2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0.85</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3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0.79</w:t>
            </w: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0.84</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42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8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39,887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40,670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39,900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40,608</w:t>
            </w:r>
          </w:p>
        </w:tc>
        <w:tc>
          <w:tcPr>
            <w:tcW w:w="0" w:type="dxa"/>
            <w:vAlign w:val="bottom"/>
          </w:tcPr>
          <w:p>
            <w:pPr>
              <w:spacing w:after="0"/>
              <w:rPr>
                <w:sz w:val="1"/>
                <w:szCs w:val="1"/>
                <w:color w:val="auto"/>
              </w:rPr>
            </w:pPr>
          </w:p>
        </w:tc>
      </w:tr>
      <w:tr>
        <w:trPr>
          <w:trHeight w:val="182"/>
        </w:trPr>
        <w:tc>
          <w:tcPr>
            <w:tcW w:w="542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40,126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41,077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40,170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41,059</w:t>
            </w:r>
          </w:p>
        </w:tc>
        <w:tc>
          <w:tcPr>
            <w:tcW w:w="0" w:type="dxa"/>
            <w:vAlign w:val="bottom"/>
          </w:tcPr>
          <w:p>
            <w:pPr>
              <w:spacing w:after="0"/>
              <w:rPr>
                <w:sz w:val="1"/>
                <w:szCs w:val="1"/>
                <w:color w:val="auto"/>
              </w:rPr>
            </w:pPr>
          </w:p>
        </w:tc>
      </w:tr>
      <w:tr>
        <w:trPr>
          <w:trHeight w:val="134"/>
        </w:trPr>
        <w:tc>
          <w:tcPr>
            <w:tcW w:w="54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8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40" w:type="dxa"/>
            <w:vAlign w:val="bottom"/>
          </w:tcPr>
          <w:p>
            <w:pPr>
              <w:spacing w:after="0"/>
              <w:rPr>
                <w:sz w:val="15"/>
                <w:szCs w:val="15"/>
                <w:color w:val="auto"/>
              </w:rPr>
            </w:pPr>
          </w:p>
        </w:tc>
        <w:tc>
          <w:tcPr>
            <w:tcW w:w="3120" w:type="dxa"/>
            <w:vAlign w:val="bottom"/>
            <w:gridSpan w:val="4"/>
            <w:vMerge w:val="restart"/>
          </w:tcPr>
          <w:p>
            <w:pPr>
              <w:jc w:val="right"/>
              <w:ind w:right="78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4"/>
            <w:vMerge w:val="restart"/>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Energy</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283,484</w:t>
            </w:r>
          </w:p>
        </w:tc>
        <w:tc>
          <w:tcPr>
            <w:tcW w:w="82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291,230</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567,944</w:t>
            </w: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566,801</w:t>
            </w:r>
          </w:p>
        </w:tc>
        <w:tc>
          <w:tcPr>
            <w:tcW w:w="0" w:type="dxa"/>
            <w:vAlign w:val="bottom"/>
          </w:tcPr>
          <w:p>
            <w:pPr>
              <w:spacing w:after="0"/>
              <w:rPr>
                <w:sz w:val="1"/>
                <w:szCs w:val="1"/>
                <w:color w:val="auto"/>
              </w:rPr>
            </w:pPr>
          </w:p>
        </w:tc>
      </w:tr>
      <w:tr>
        <w:trPr>
          <w:trHeight w:val="181"/>
        </w:trPr>
        <w:tc>
          <w:tcPr>
            <w:tcW w:w="4480" w:type="dxa"/>
            <w:vAlign w:val="bottom"/>
          </w:tcPr>
          <w:p>
            <w:pPr>
              <w:ind w:left="420"/>
              <w:spacing w:after="0"/>
              <w:rPr>
                <w:sz w:val="20"/>
                <w:szCs w:val="20"/>
                <w:color w:val="auto"/>
              </w:rPr>
            </w:pPr>
            <w:r>
              <w:rPr>
                <w:rFonts w:ascii="Arial" w:cs="Arial" w:eastAsia="Arial" w:hAnsi="Arial"/>
                <w:sz w:val="14"/>
                <w:szCs w:val="14"/>
                <w:color w:val="auto"/>
              </w:rPr>
              <w:t>Gas</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161,114</w:t>
            </w: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183,185</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314,401</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339,430</w:t>
            </w:r>
          </w:p>
        </w:tc>
        <w:tc>
          <w:tcPr>
            <w:tcW w:w="0" w:type="dxa"/>
            <w:vAlign w:val="bottom"/>
          </w:tcPr>
          <w:p>
            <w:pPr>
              <w:spacing w:after="0"/>
              <w:rPr>
                <w:sz w:val="1"/>
                <w:szCs w:val="1"/>
                <w:color w:val="auto"/>
              </w:rPr>
            </w:pPr>
          </w:p>
        </w:tc>
      </w:tr>
      <w:tr>
        <w:trPr>
          <w:trHeight w:val="164"/>
        </w:trPr>
        <w:tc>
          <w:tcPr>
            <w:tcW w:w="4480" w:type="dxa"/>
            <w:vAlign w:val="bottom"/>
          </w:tcPr>
          <w:p>
            <w:pPr>
              <w:ind w:left="620"/>
              <w:spacing w:after="0"/>
              <w:rPr>
                <w:sz w:val="20"/>
                <w:szCs w:val="20"/>
                <w:color w:val="auto"/>
              </w:rPr>
            </w:pPr>
            <w:r>
              <w:rPr>
                <w:rFonts w:ascii="Arial" w:cs="Arial" w:eastAsia="Arial" w:hAnsi="Arial"/>
                <w:sz w:val="14"/>
                <w:szCs w:val="14"/>
                <w:color w:val="auto"/>
              </w:rPr>
              <w:t>Total Energy</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444,598</w:t>
            </w:r>
          </w:p>
        </w:tc>
        <w:tc>
          <w:tcPr>
            <w:tcW w:w="180" w:type="dxa"/>
            <w:vAlign w:val="bottom"/>
          </w:tcPr>
          <w:p>
            <w:pPr>
              <w:spacing w:after="0"/>
              <w:rPr>
                <w:sz w:val="14"/>
                <w:szCs w:val="14"/>
                <w:color w:val="auto"/>
              </w:rPr>
            </w:pPr>
          </w:p>
        </w:tc>
        <w:tc>
          <w:tcPr>
            <w:tcW w:w="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474,415</w:t>
            </w:r>
          </w:p>
        </w:tc>
        <w:tc>
          <w:tcPr>
            <w:tcW w:w="120" w:type="dxa"/>
            <w:vAlign w:val="bottom"/>
          </w:tcPr>
          <w:p>
            <w:pPr>
              <w:spacing w:after="0"/>
              <w:rPr>
                <w:sz w:val="14"/>
                <w:szCs w:val="14"/>
                <w:color w:val="auto"/>
              </w:rPr>
            </w:pP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882,345</w:t>
            </w:r>
          </w:p>
        </w:tc>
        <w:tc>
          <w:tcPr>
            <w:tcW w:w="120" w:type="dxa"/>
            <w:vAlign w:val="bottom"/>
          </w:tcPr>
          <w:p>
            <w:pPr>
              <w:spacing w:after="0"/>
              <w:rPr>
                <w:sz w:val="14"/>
                <w:szCs w:val="14"/>
                <w:color w:val="auto"/>
              </w:rPr>
            </w:pP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906,231</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134,542</w:t>
            </w: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137,986</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268,435</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269,861</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579,140</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612,401</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1,150,780</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1,176,092</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Energy</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148,951</w:t>
            </w:r>
          </w:p>
        </w:tc>
        <w:tc>
          <w:tcPr>
            <w:tcW w:w="82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144,753</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283,554</w:t>
            </w: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282,337</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47,794</w:t>
            </w: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47,198</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96,296</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94,592</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196,745</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191,951</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379,850</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376,929</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Energy</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47,069</w:t>
            </w:r>
          </w:p>
        </w:tc>
        <w:tc>
          <w:tcPr>
            <w:tcW w:w="82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45,463</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85,233</w:t>
            </w: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88,631</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11,666</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13,755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27,603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30,609</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(12,672)</w:t>
            </w: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(11,133)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(27,152)</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(21,066)</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46,063</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48,085</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85,684</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98,174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480" w:type="dxa"/>
            <w:vAlign w:val="bottom"/>
          </w:tcPr>
          <w:p>
            <w:pPr>
              <w:spacing w:after="0"/>
              <w:rPr>
                <w:sz w:val="24"/>
                <w:szCs w:val="24"/>
                <w:color w:val="auto"/>
              </w:rPr>
            </w:pPr>
          </w:p>
        </w:tc>
        <w:tc>
          <w:tcPr>
            <w:tcW w:w="24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METER AND MODULE SUMMARY</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(Units in thousands)</w:t>
            </w:r>
          </w:p>
        </w:tc>
        <w:tc>
          <w:tcPr>
            <w:tcW w:w="440" w:type="dxa"/>
            <w:vAlign w:val="bottom"/>
          </w:tcPr>
          <w:p>
            <w:pPr>
              <w:spacing w:after="0"/>
              <w:rPr>
                <w:sz w:val="24"/>
                <w:szCs w:val="24"/>
                <w:color w:val="auto"/>
              </w:rPr>
            </w:pPr>
          </w:p>
        </w:tc>
        <w:tc>
          <w:tcPr>
            <w:tcW w:w="3120" w:type="dxa"/>
            <w:vAlign w:val="bottom"/>
            <w:gridSpan w:val="4"/>
            <w:vMerge w:val="restart"/>
          </w:tcPr>
          <w:p>
            <w:pPr>
              <w:jc w:val="right"/>
              <w:ind w:right="78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4"/>
            <w:vMerge w:val="restart"/>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Standard</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4,620</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5,070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9,500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9,940</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Advanced and Smart</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2,160</w:t>
            </w: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3,930</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meters</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6,780</w:t>
            </w: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7,110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13,910</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13,870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80" w:type="dxa"/>
            <w:vAlign w:val="bottom"/>
          </w:tcPr>
          <w:p>
            <w:pPr>
              <w:ind w:left="420"/>
              <w:spacing w:after="0"/>
              <w:rPr>
                <w:sz w:val="20"/>
                <w:szCs w:val="20"/>
                <w:color w:val="auto"/>
              </w:rPr>
            </w:pPr>
            <w:r>
              <w:rPr>
                <w:rFonts w:ascii="Arial" w:cs="Arial" w:eastAsia="Arial" w:hAnsi="Arial"/>
                <w:sz w:val="14"/>
                <w:szCs w:val="14"/>
                <w:color w:val="auto"/>
              </w:rPr>
              <w:t>Advanced and Smart</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1,960</w:t>
            </w: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1,850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3,550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3,280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4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40" w:type="dxa"/>
            <w:vAlign w:val="bottom"/>
          </w:tcPr>
          <w:p>
            <w:pPr>
              <w:spacing w:after="0"/>
              <w:rPr>
                <w:sz w:val="15"/>
                <w:szCs w:val="15"/>
                <w:color w:val="auto"/>
              </w:rPr>
            </w:pPr>
          </w:p>
        </w:tc>
        <w:tc>
          <w:tcPr>
            <w:tcW w:w="14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June 30, 2012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74"/>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900" w:type="dxa"/>
            <w:vAlign w:val="bottom"/>
          </w:tcPr>
          <w:p>
            <w:pPr>
              <w:ind w:left="3100"/>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102,800</w:t>
            </w:r>
          </w:p>
        </w:tc>
        <w:tc>
          <w:tcPr>
            <w:tcW w:w="6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133,086</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394,065</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371,641</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196,647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195,837</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Deferred tax assets current, net</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58,175</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58,172</w:t>
            </w:r>
          </w:p>
        </w:tc>
        <w:tc>
          <w:tcPr>
            <w:tcW w:w="0" w:type="dxa"/>
            <w:vAlign w:val="bottom"/>
          </w:tcPr>
          <w:p>
            <w:pPr>
              <w:spacing w:after="0"/>
              <w:rPr>
                <w:sz w:val="1"/>
                <w:szCs w:val="1"/>
                <w:color w:val="auto"/>
              </w:rPr>
            </w:pPr>
          </w:p>
        </w:tc>
      </w:tr>
      <w:tr>
        <w:trPr>
          <w:trHeight w:val="181"/>
        </w:trPr>
        <w:tc>
          <w:tcPr>
            <w:tcW w:w="690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92,662</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81,618</w:t>
            </w:r>
          </w:p>
        </w:tc>
        <w:tc>
          <w:tcPr>
            <w:tcW w:w="0" w:type="dxa"/>
            <w:vAlign w:val="bottom"/>
          </w:tcPr>
          <w:p>
            <w:pPr>
              <w:spacing w:after="0"/>
              <w:rPr>
                <w:sz w:val="1"/>
                <w:szCs w:val="1"/>
                <w:color w:val="auto"/>
              </w:rPr>
            </w:pPr>
          </w:p>
        </w:tc>
      </w:tr>
      <w:tr>
        <w:trPr>
          <w:trHeight w:val="176"/>
        </w:trPr>
        <w:tc>
          <w:tcPr>
            <w:tcW w:w="6900" w:type="dxa"/>
            <w:vAlign w:val="bottom"/>
          </w:tcPr>
          <w:p>
            <w:pPr>
              <w:ind w:left="62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844,349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840,354</w:t>
            </w:r>
          </w:p>
        </w:tc>
        <w:tc>
          <w:tcPr>
            <w:tcW w:w="0" w:type="dxa"/>
            <w:vAlign w:val="bottom"/>
          </w:tcPr>
          <w:p>
            <w:pPr>
              <w:spacing w:after="0"/>
              <w:rPr>
                <w:sz w:val="1"/>
                <w:szCs w:val="1"/>
                <w:color w:val="auto"/>
              </w:rPr>
            </w:pPr>
          </w:p>
        </w:tc>
      </w:tr>
      <w:tr>
        <w:trPr>
          <w:trHeight w:val="339"/>
        </w:trPr>
        <w:tc>
          <w:tcPr>
            <w:tcW w:w="690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Pr>
          <w:p>
            <w:pPr>
              <w:spacing w:after="0"/>
              <w:rPr>
                <w:sz w:val="24"/>
                <w:szCs w:val="24"/>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252,085</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262,670</w:t>
            </w:r>
          </w:p>
        </w:tc>
        <w:tc>
          <w:tcPr>
            <w:tcW w:w="0" w:type="dxa"/>
            <w:vAlign w:val="bottom"/>
          </w:tcPr>
          <w:p>
            <w:pPr>
              <w:spacing w:after="0"/>
              <w:rPr>
                <w:sz w:val="1"/>
                <w:szCs w:val="1"/>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16,502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22,144</w:t>
            </w:r>
          </w:p>
        </w:tc>
        <w:tc>
          <w:tcPr>
            <w:tcW w:w="0" w:type="dxa"/>
            <w:vAlign w:val="bottom"/>
          </w:tcPr>
          <w:p>
            <w:pPr>
              <w:spacing w:after="0"/>
              <w:rPr>
                <w:sz w:val="1"/>
                <w:szCs w:val="1"/>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4"/>
                <w:szCs w:val="14"/>
                <w:color w:val="auto"/>
              </w:rPr>
              <w:t>Other long-term assets</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29,520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62,704</w:t>
            </w:r>
          </w:p>
        </w:tc>
        <w:tc>
          <w:tcPr>
            <w:tcW w:w="0" w:type="dxa"/>
            <w:vAlign w:val="bottom"/>
          </w:tcPr>
          <w:p>
            <w:pPr>
              <w:spacing w:after="0"/>
              <w:rPr>
                <w:sz w:val="1"/>
                <w:szCs w:val="1"/>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4"/>
                <w:szCs w:val="14"/>
                <w:color w:val="auto"/>
              </w:rPr>
              <w:t>Intangible assets, net</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254,017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239,500</w:t>
            </w:r>
          </w:p>
        </w:tc>
        <w:tc>
          <w:tcPr>
            <w:tcW w:w="0" w:type="dxa"/>
            <w:vAlign w:val="bottom"/>
          </w:tcPr>
          <w:p>
            <w:pPr>
              <w:spacing w:after="0"/>
              <w:rPr>
                <w:sz w:val="1"/>
                <w:szCs w:val="1"/>
                <w:color w:val="auto"/>
              </w:rPr>
            </w:pPr>
          </w:p>
        </w:tc>
      </w:tr>
      <w:tr>
        <w:trPr>
          <w:trHeight w:val="181"/>
        </w:trPr>
        <w:tc>
          <w:tcPr>
            <w:tcW w:w="6900" w:type="dxa"/>
            <w:vAlign w:val="bottom"/>
          </w:tcPr>
          <w:p>
            <w:pPr>
              <w:spacing w:after="0"/>
              <w:rPr>
                <w:sz w:val="20"/>
                <w:szCs w:val="20"/>
                <w:color w:val="auto"/>
              </w:rPr>
            </w:pPr>
            <w:r>
              <w:rPr>
                <w:rFonts w:ascii="Arial" w:cs="Arial" w:eastAsia="Arial" w:hAnsi="Arial"/>
                <w:sz w:val="14"/>
                <w:szCs w:val="14"/>
                <w:color w:val="auto"/>
              </w:rPr>
              <w:t>Goodwill</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664,440</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636,910</w:t>
            </w:r>
          </w:p>
        </w:tc>
        <w:tc>
          <w:tcPr>
            <w:tcW w:w="0" w:type="dxa"/>
            <w:vAlign w:val="bottom"/>
          </w:tcPr>
          <w:p>
            <w:pPr>
              <w:spacing w:after="0"/>
              <w:rPr>
                <w:sz w:val="1"/>
                <w:szCs w:val="1"/>
                <w:color w:val="auto"/>
              </w:rPr>
            </w:pPr>
          </w:p>
        </w:tc>
      </w:tr>
      <w:tr>
        <w:trPr>
          <w:trHeight w:val="169"/>
        </w:trPr>
        <w:tc>
          <w:tcPr>
            <w:tcW w:w="6900" w:type="dxa"/>
            <w:vAlign w:val="bottom"/>
          </w:tcPr>
          <w:p>
            <w:pPr>
              <w:ind w:left="6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2,060,913</w:t>
            </w:r>
          </w:p>
        </w:tc>
        <w:tc>
          <w:tcPr>
            <w:tcW w:w="140" w:type="dxa"/>
            <w:vAlign w:val="bottom"/>
          </w:tcPr>
          <w:p>
            <w:pPr>
              <w:spacing w:after="0"/>
              <w:rPr>
                <w:sz w:val="14"/>
                <w:szCs w:val="14"/>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2,064,282</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234,714</w:t>
            </w:r>
          </w:p>
        </w:tc>
        <w:tc>
          <w:tcPr>
            <w:tcW w:w="6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246,775</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68,889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53,734</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86,557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93,730</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Taxes payable</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11,928</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11,526</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Current portion of debt</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15,000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Current portion of warranty</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42,861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52,588</w:t>
            </w:r>
          </w:p>
        </w:tc>
        <w:tc>
          <w:tcPr>
            <w:tcW w:w="0" w:type="dxa"/>
            <w:vAlign w:val="bottom"/>
          </w:tcPr>
          <w:p>
            <w:pPr>
              <w:spacing w:after="0"/>
              <w:rPr>
                <w:sz w:val="1"/>
                <w:szCs w:val="1"/>
                <w:color w:val="auto"/>
              </w:rPr>
            </w:pPr>
          </w:p>
        </w:tc>
      </w:tr>
      <w:tr>
        <w:trPr>
          <w:trHeight w:val="181"/>
        </w:trPr>
        <w:tc>
          <w:tcPr>
            <w:tcW w:w="690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38,202</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37,369</w:t>
            </w:r>
          </w:p>
        </w:tc>
        <w:tc>
          <w:tcPr>
            <w:tcW w:w="0" w:type="dxa"/>
            <w:vAlign w:val="bottom"/>
          </w:tcPr>
          <w:p>
            <w:pPr>
              <w:spacing w:after="0"/>
              <w:rPr>
                <w:sz w:val="1"/>
                <w:szCs w:val="1"/>
                <w:color w:val="auto"/>
              </w:rPr>
            </w:pPr>
          </w:p>
        </w:tc>
      </w:tr>
      <w:tr>
        <w:trPr>
          <w:trHeight w:val="176"/>
        </w:trPr>
        <w:tc>
          <w:tcPr>
            <w:tcW w:w="6900" w:type="dxa"/>
            <w:vAlign w:val="bottom"/>
          </w:tcPr>
          <w:p>
            <w:pPr>
              <w:ind w:left="62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498,151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510,722</w:t>
            </w:r>
          </w:p>
        </w:tc>
        <w:tc>
          <w:tcPr>
            <w:tcW w:w="0" w:type="dxa"/>
            <w:vAlign w:val="bottom"/>
          </w:tcPr>
          <w:p>
            <w:pPr>
              <w:spacing w:after="0"/>
              <w:rPr>
                <w:sz w:val="1"/>
                <w:szCs w:val="1"/>
                <w:color w:val="auto"/>
              </w:rPr>
            </w:pPr>
          </w:p>
        </w:tc>
      </w:tr>
      <w:tr>
        <w:trPr>
          <w:trHeight w:val="339"/>
        </w:trPr>
        <w:tc>
          <w:tcPr>
            <w:tcW w:w="6900" w:type="dxa"/>
            <w:vAlign w:val="bottom"/>
          </w:tcPr>
          <w:p>
            <w:pPr>
              <w:spacing w:after="0"/>
              <w:rPr>
                <w:sz w:val="20"/>
                <w:szCs w:val="20"/>
                <w:color w:val="auto"/>
              </w:rPr>
            </w:pPr>
            <w:r>
              <w:rPr>
                <w:rFonts w:ascii="Arial" w:cs="Arial" w:eastAsia="Arial" w:hAnsi="Arial"/>
                <w:sz w:val="14"/>
                <w:szCs w:val="14"/>
                <w:color w:val="auto"/>
              </w:rPr>
              <w:t>Long-term debt</w:t>
            </w:r>
          </w:p>
        </w:tc>
        <w:tc>
          <w:tcPr>
            <w:tcW w:w="340" w:type="dxa"/>
            <w:vAlign w:val="bottom"/>
          </w:tcPr>
          <w:p>
            <w:pPr>
              <w:spacing w:after="0"/>
              <w:rPr>
                <w:sz w:val="24"/>
                <w:szCs w:val="24"/>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440,000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437,502</w:t>
            </w:r>
          </w:p>
        </w:tc>
        <w:tc>
          <w:tcPr>
            <w:tcW w:w="0" w:type="dxa"/>
            <w:vAlign w:val="bottom"/>
          </w:tcPr>
          <w:p>
            <w:pPr>
              <w:spacing w:after="0"/>
              <w:rPr>
                <w:sz w:val="1"/>
                <w:szCs w:val="1"/>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4"/>
                <w:szCs w:val="14"/>
                <w:color w:val="auto"/>
              </w:rPr>
              <w:t>Long-term warranty</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23,507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26,948</w:t>
            </w:r>
          </w:p>
        </w:tc>
        <w:tc>
          <w:tcPr>
            <w:tcW w:w="0" w:type="dxa"/>
            <w:vAlign w:val="bottom"/>
          </w:tcPr>
          <w:p>
            <w:pPr>
              <w:spacing w:after="0"/>
              <w:rPr>
                <w:sz w:val="1"/>
                <w:szCs w:val="1"/>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60,822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62,449</w:t>
            </w:r>
          </w:p>
        </w:tc>
        <w:tc>
          <w:tcPr>
            <w:tcW w:w="0" w:type="dxa"/>
            <w:vAlign w:val="bottom"/>
          </w:tcPr>
          <w:p>
            <w:pPr>
              <w:spacing w:after="0"/>
              <w:rPr>
                <w:sz w:val="1"/>
                <w:szCs w:val="1"/>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23,941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31,699</w:t>
            </w:r>
          </w:p>
        </w:tc>
        <w:tc>
          <w:tcPr>
            <w:tcW w:w="0" w:type="dxa"/>
            <w:vAlign w:val="bottom"/>
          </w:tcPr>
          <w:p>
            <w:pPr>
              <w:spacing w:after="0"/>
              <w:rPr>
                <w:sz w:val="1"/>
                <w:szCs w:val="1"/>
                <w:color w:val="auto"/>
              </w:rPr>
            </w:pPr>
          </w:p>
        </w:tc>
      </w:tr>
      <w:tr>
        <w:trPr>
          <w:trHeight w:val="181"/>
        </w:trPr>
        <w:tc>
          <w:tcPr>
            <w:tcW w:w="690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74,811</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73,417</w:t>
            </w:r>
          </w:p>
        </w:tc>
        <w:tc>
          <w:tcPr>
            <w:tcW w:w="0" w:type="dxa"/>
            <w:vAlign w:val="bottom"/>
          </w:tcPr>
          <w:p>
            <w:pPr>
              <w:spacing w:after="0"/>
              <w:rPr>
                <w:sz w:val="1"/>
                <w:szCs w:val="1"/>
                <w:color w:val="auto"/>
              </w:rPr>
            </w:pPr>
          </w:p>
        </w:tc>
      </w:tr>
      <w:tr>
        <w:trPr>
          <w:trHeight w:val="176"/>
        </w:trPr>
        <w:tc>
          <w:tcPr>
            <w:tcW w:w="690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1,121,232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1,142,737</w:t>
            </w:r>
          </w:p>
        </w:tc>
        <w:tc>
          <w:tcPr>
            <w:tcW w:w="0" w:type="dxa"/>
            <w:vAlign w:val="bottom"/>
          </w:tcPr>
          <w:p>
            <w:pPr>
              <w:spacing w:after="0"/>
              <w:rPr>
                <w:sz w:val="1"/>
                <w:szCs w:val="1"/>
                <w:color w:val="auto"/>
              </w:rPr>
            </w:pPr>
          </w:p>
        </w:tc>
      </w:tr>
      <w:tr>
        <w:trPr>
          <w:trHeight w:val="346"/>
        </w:trPr>
        <w:tc>
          <w:tcPr>
            <w:tcW w:w="690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900" w:type="dxa"/>
            <w:vAlign w:val="bottom"/>
          </w:tcPr>
          <w:p>
            <w:pPr>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1,304,089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1,319,222</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Accumulated other comprehensive loss, net</w:t>
            </w:r>
          </w:p>
        </w:tc>
        <w:tc>
          <w:tcPr>
            <w:tcW w:w="34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(61,794)</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ind w:right="148"/>
              <w:spacing w:after="0"/>
              <w:rPr>
                <w:sz w:val="20"/>
                <w:szCs w:val="20"/>
                <w:color w:val="auto"/>
              </w:rPr>
            </w:pPr>
            <w:r>
              <w:rPr>
                <w:rFonts w:ascii="Arial" w:cs="Arial" w:eastAsia="Arial" w:hAnsi="Arial"/>
                <w:sz w:val="14"/>
                <w:szCs w:val="14"/>
                <w:color w:val="auto"/>
              </w:rPr>
              <w:t>(37,160)</w:t>
            </w:r>
          </w:p>
        </w:tc>
        <w:tc>
          <w:tcPr>
            <w:tcW w:w="0" w:type="dxa"/>
            <w:vAlign w:val="bottom"/>
          </w:tcPr>
          <w:p>
            <w:pPr>
              <w:spacing w:after="0"/>
              <w:rPr>
                <w:sz w:val="1"/>
                <w:szCs w:val="1"/>
                <w:color w:val="auto"/>
              </w:rPr>
            </w:pPr>
          </w:p>
        </w:tc>
      </w:tr>
      <w:tr>
        <w:trPr>
          <w:trHeight w:val="181"/>
        </w:trPr>
        <w:tc>
          <w:tcPr>
            <w:tcW w:w="690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(318,169)</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(375,137)</w:t>
            </w:r>
          </w:p>
        </w:tc>
        <w:tc>
          <w:tcPr>
            <w:tcW w:w="0" w:type="dxa"/>
            <w:vAlign w:val="bottom"/>
          </w:tcPr>
          <w:p>
            <w:pPr>
              <w:spacing w:after="0"/>
              <w:rPr>
                <w:sz w:val="1"/>
                <w:szCs w:val="1"/>
                <w:color w:val="auto"/>
              </w:rPr>
            </w:pPr>
          </w:p>
        </w:tc>
      </w:tr>
      <w:tr>
        <w:trPr>
          <w:trHeight w:val="164"/>
        </w:trPr>
        <w:tc>
          <w:tcPr>
            <w:tcW w:w="6900" w:type="dxa"/>
            <w:vAlign w:val="bottom"/>
          </w:tcPr>
          <w:p>
            <w:pPr>
              <w:ind w:left="620"/>
              <w:spacing w:after="0"/>
              <w:rPr>
                <w:sz w:val="20"/>
                <w:szCs w:val="20"/>
                <w:color w:val="auto"/>
              </w:rPr>
            </w:pPr>
            <w:r>
              <w:rPr>
                <w:rFonts w:ascii="Arial" w:cs="Arial" w:eastAsia="Arial" w:hAnsi="Arial"/>
                <w:sz w:val="14"/>
                <w:szCs w:val="14"/>
                <w:color w:val="auto"/>
              </w:rPr>
              <w:t>Total Itron, Inc. shareholders' equity</w:t>
            </w:r>
          </w:p>
        </w:tc>
        <w:tc>
          <w:tcPr>
            <w:tcW w:w="34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924,126</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906,925</w:t>
            </w:r>
          </w:p>
        </w:tc>
        <w:tc>
          <w:tcPr>
            <w:tcW w:w="0" w:type="dxa"/>
            <w:vAlign w:val="bottom"/>
          </w:tcPr>
          <w:p>
            <w:pPr>
              <w:spacing w:after="0"/>
              <w:rPr>
                <w:sz w:val="1"/>
                <w:szCs w:val="1"/>
                <w:color w:val="auto"/>
              </w:rPr>
            </w:pPr>
          </w:p>
        </w:tc>
      </w:tr>
      <w:tr>
        <w:trPr>
          <w:trHeight w:val="181"/>
        </w:trPr>
        <w:tc>
          <w:tcPr>
            <w:tcW w:w="690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15,555</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14,620</w:t>
            </w:r>
          </w:p>
        </w:tc>
        <w:tc>
          <w:tcPr>
            <w:tcW w:w="0" w:type="dxa"/>
            <w:vAlign w:val="bottom"/>
          </w:tcPr>
          <w:p>
            <w:pPr>
              <w:spacing w:after="0"/>
              <w:rPr>
                <w:sz w:val="1"/>
                <w:szCs w:val="1"/>
                <w:color w:val="auto"/>
              </w:rPr>
            </w:pPr>
          </w:p>
        </w:tc>
      </w:tr>
      <w:tr>
        <w:trPr>
          <w:trHeight w:val="169"/>
        </w:trPr>
        <w:tc>
          <w:tcPr>
            <w:tcW w:w="6900" w:type="dxa"/>
            <w:vAlign w:val="bottom"/>
          </w:tcPr>
          <w:p>
            <w:pPr>
              <w:ind w:left="620"/>
              <w:spacing w:after="0"/>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939,681</w:t>
            </w: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921,545</w:t>
            </w:r>
          </w:p>
        </w:tc>
        <w:tc>
          <w:tcPr>
            <w:tcW w:w="0" w:type="dxa"/>
            <w:vAlign w:val="bottom"/>
          </w:tcPr>
          <w:p>
            <w:pPr>
              <w:spacing w:after="0"/>
              <w:rPr>
                <w:sz w:val="1"/>
                <w:szCs w:val="1"/>
                <w:color w:val="auto"/>
              </w:rPr>
            </w:pPr>
          </w:p>
        </w:tc>
      </w:tr>
      <w:tr>
        <w:trPr>
          <w:trHeight w:val="169"/>
        </w:trPr>
        <w:tc>
          <w:tcPr>
            <w:tcW w:w="6900" w:type="dxa"/>
            <w:vAlign w:val="bottom"/>
          </w:tcPr>
          <w:p>
            <w:pPr>
              <w:ind w:left="620"/>
              <w:spacing w:after="0"/>
              <w:rPr>
                <w:sz w:val="20"/>
                <w:szCs w:val="20"/>
                <w:color w:val="auto"/>
              </w:rPr>
            </w:pPr>
            <w:r>
              <w:rPr>
                <w:rFonts w:ascii="Arial" w:cs="Arial" w:eastAsia="Arial" w:hAnsi="Arial"/>
                <w:sz w:val="14"/>
                <w:szCs w:val="14"/>
                <w:color w:val="auto"/>
              </w:rPr>
              <w:t>Total liabilities and equity</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2,060,913</w:t>
            </w:r>
          </w:p>
        </w:tc>
        <w:tc>
          <w:tcPr>
            <w:tcW w:w="140" w:type="dxa"/>
            <w:vAlign w:val="bottom"/>
          </w:tcPr>
          <w:p>
            <w:pPr>
              <w:spacing w:after="0"/>
              <w:rPr>
                <w:sz w:val="14"/>
                <w:szCs w:val="14"/>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2,064,282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9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8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60" w:type="dxa"/>
            <w:vAlign w:val="bottom"/>
          </w:tcPr>
          <w:p>
            <w:pPr>
              <w:spacing w:after="0"/>
              <w:rPr>
                <w:sz w:val="15"/>
                <w:szCs w:val="15"/>
                <w:color w:val="auto"/>
              </w:rPr>
            </w:pPr>
          </w:p>
        </w:tc>
        <w:tc>
          <w:tcPr>
            <w:tcW w:w="2580" w:type="dxa"/>
            <w:vAlign w:val="bottom"/>
            <w:gridSpan w:val="4"/>
            <w:vMerge w:val="restart"/>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8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57,863</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62,689</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54,271</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64,299</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9,256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9,518</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Amortization of prepaid debt fees</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763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Amortization of convertible debt discount</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5,336</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Deferred taxes, net</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6,081</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Restructuring expense, non-cash</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1,487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Other adjustments, net</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76"/>
        </w:trPr>
        <w:tc>
          <w:tcPr>
            <w:tcW w:w="848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8,046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(12,106)</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(2,786)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(36,668)</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(13,663)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(21,268)</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Other long-term assets</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3,559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(22,993)</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Accounts payables, other current liabilities, and taxes payable</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(5,817)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16,523</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(11,244)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(21,531)</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5,627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24,159</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Warranty</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(11,991)</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9,510</w:t>
            </w:r>
          </w:p>
        </w:tc>
        <w:tc>
          <w:tcPr>
            <w:tcW w:w="0" w:type="dxa"/>
            <w:vAlign w:val="bottom"/>
          </w:tcPr>
          <w:p>
            <w:pPr>
              <w:spacing w:after="0"/>
              <w:rPr>
                <w:sz w:val="1"/>
                <w:szCs w:val="1"/>
                <w:color w:val="auto"/>
              </w:rPr>
            </w:pPr>
          </w:p>
        </w:tc>
      </w:tr>
      <w:tr>
        <w:trPr>
          <w:trHeight w:val="181"/>
        </w:trPr>
        <w:tc>
          <w:tcPr>
            <w:tcW w:w="8480" w:type="dxa"/>
            <w:vAlign w:val="bottom"/>
          </w:tcPr>
          <w:p>
            <w:pPr>
              <w:ind w:left="220"/>
              <w:spacing w:after="0"/>
              <w:rPr>
                <w:sz w:val="20"/>
                <w:szCs w:val="20"/>
                <w:color w:val="auto"/>
              </w:rPr>
            </w:pPr>
            <w:r>
              <w:rPr>
                <w:rFonts w:ascii="Arial" w:cs="Arial" w:eastAsia="Arial" w:hAnsi="Arial"/>
                <w:sz w:val="14"/>
                <w:szCs w:val="14"/>
                <w:color w:val="auto"/>
              </w:rPr>
              <w:t>Other operating, net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(3,598)</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92,390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87,692</w:t>
            </w:r>
          </w:p>
        </w:tc>
        <w:tc>
          <w:tcPr>
            <w:tcW w:w="0" w:type="dxa"/>
            <w:vAlign w:val="bottom"/>
          </w:tcPr>
          <w:p>
            <w:pPr>
              <w:spacing w:after="0"/>
              <w:rPr>
                <w:sz w:val="1"/>
                <w:szCs w:val="1"/>
                <w:color w:val="auto"/>
              </w:rPr>
            </w:pPr>
          </w:p>
        </w:tc>
      </w:tr>
      <w:tr>
        <w:trPr>
          <w:trHeight w:val="339"/>
        </w:trPr>
        <w:tc>
          <w:tcPr>
            <w:tcW w:w="8480" w:type="dxa"/>
            <w:vAlign w:val="bottom"/>
          </w:tcPr>
          <w:p>
            <w:pPr>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Acquisitions of property, plant, and equipment</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(23,547)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(28,712)</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Business acquisitions, net of cash equivalents acquired</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(79,605)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(14,635)</w:t>
            </w:r>
          </w:p>
        </w:tc>
        <w:tc>
          <w:tcPr>
            <w:tcW w:w="0" w:type="dxa"/>
            <w:vAlign w:val="bottom"/>
          </w:tcPr>
          <w:p>
            <w:pPr>
              <w:spacing w:after="0"/>
              <w:rPr>
                <w:sz w:val="1"/>
                <w:szCs w:val="1"/>
                <w:color w:val="auto"/>
              </w:rPr>
            </w:pPr>
          </w:p>
        </w:tc>
      </w:tr>
      <w:tr>
        <w:trPr>
          <w:trHeight w:val="181"/>
        </w:trPr>
        <w:tc>
          <w:tcPr>
            <w:tcW w:w="8480" w:type="dxa"/>
            <w:vAlign w:val="bottom"/>
          </w:tcPr>
          <w:p>
            <w:pPr>
              <w:ind w:left="220"/>
              <w:spacing w:after="0"/>
              <w:rPr>
                <w:sz w:val="20"/>
                <w:szCs w:val="20"/>
                <w:color w:val="auto"/>
              </w:rPr>
            </w:pPr>
            <w:r>
              <w:rPr>
                <w:rFonts w:ascii="Arial" w:cs="Arial" w:eastAsia="Arial" w:hAnsi="Arial"/>
                <w:sz w:val="14"/>
                <w:szCs w:val="14"/>
                <w:color w:val="auto"/>
              </w:rPr>
              <w:t>Other investing, net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3,993</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(99,159)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(42,834)</w:t>
            </w:r>
          </w:p>
        </w:tc>
        <w:tc>
          <w:tcPr>
            <w:tcW w:w="0" w:type="dxa"/>
            <w:vAlign w:val="bottom"/>
          </w:tcPr>
          <w:p>
            <w:pPr>
              <w:spacing w:after="0"/>
              <w:rPr>
                <w:sz w:val="1"/>
                <w:szCs w:val="1"/>
                <w:color w:val="auto"/>
              </w:rPr>
            </w:pPr>
          </w:p>
        </w:tc>
      </w:tr>
      <w:tr>
        <w:trPr>
          <w:trHeight w:val="339"/>
        </w:trPr>
        <w:tc>
          <w:tcPr>
            <w:tcW w:w="8480" w:type="dxa"/>
            <w:vAlign w:val="bottom"/>
          </w:tcPr>
          <w:p>
            <w:pPr>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borrowings</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70,000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Payments on debt</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(67,502)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(55,630)</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3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2,553</w:t>
            </w:r>
          </w:p>
        </w:tc>
        <w:tc>
          <w:tcPr>
            <w:tcW w:w="0" w:type="dxa"/>
            <w:vAlign w:val="bottom"/>
          </w:tcPr>
          <w:p>
            <w:pPr>
              <w:spacing w:after="0"/>
              <w:rPr>
                <w:sz w:val="1"/>
                <w:szCs w:val="1"/>
                <w:color w:val="auto"/>
              </w:rPr>
            </w:pPr>
          </w:p>
        </w:tc>
      </w:tr>
      <w:tr>
        <w:trPr>
          <w:trHeight w:val="176"/>
        </w:trPr>
        <w:tc>
          <w:tcPr>
            <w:tcW w:w="848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(25,976)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80" w:type="dxa"/>
            <w:vAlign w:val="bottom"/>
          </w:tcPr>
          <w:p>
            <w:pPr>
              <w:ind w:left="220"/>
              <w:spacing w:after="0"/>
              <w:rPr>
                <w:sz w:val="20"/>
                <w:szCs w:val="20"/>
                <w:color w:val="auto"/>
              </w:rPr>
            </w:pPr>
            <w:r>
              <w:rPr>
                <w:rFonts w:ascii="Arial" w:cs="Arial" w:eastAsia="Arial" w:hAnsi="Arial"/>
                <w:sz w:val="14"/>
                <w:szCs w:val="14"/>
                <w:color w:val="auto"/>
              </w:rPr>
              <w:t>Other financing, net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(271)</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76"/>
        </w:trPr>
        <w:tc>
          <w:tcPr>
            <w:tcW w:w="8480" w:type="dxa"/>
            <w:vAlign w:val="bottom"/>
          </w:tcPr>
          <w:p>
            <w:pPr>
              <w:ind w:left="42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(21,342)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(53,396)</w:t>
            </w:r>
          </w:p>
        </w:tc>
        <w:tc>
          <w:tcPr>
            <w:tcW w:w="0" w:type="dxa"/>
            <w:vAlign w:val="bottom"/>
          </w:tcPr>
          <w:p>
            <w:pPr>
              <w:spacing w:after="0"/>
              <w:rPr>
                <w:sz w:val="1"/>
                <w:szCs w:val="1"/>
                <w:color w:val="auto"/>
              </w:rPr>
            </w:pPr>
          </w:p>
        </w:tc>
      </w:tr>
      <w:tr>
        <w:trPr>
          <w:trHeight w:val="344"/>
        </w:trPr>
        <w:tc>
          <w:tcPr>
            <w:tcW w:w="848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(2,175)</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7,345</w:t>
            </w: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(30,286)</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81"/>
        </w:trPr>
        <w:tc>
          <w:tcPr>
            <w:tcW w:w="848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133,086</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169,477</w:t>
            </w:r>
          </w:p>
        </w:tc>
        <w:tc>
          <w:tcPr>
            <w:tcW w:w="0" w:type="dxa"/>
            <w:vAlign w:val="bottom"/>
          </w:tcPr>
          <w:p>
            <w:pPr>
              <w:spacing w:after="0"/>
              <w:rPr>
                <w:sz w:val="1"/>
                <w:szCs w:val="1"/>
                <w:color w:val="auto"/>
              </w:rPr>
            </w:pPr>
          </w:p>
        </w:tc>
      </w:tr>
      <w:tr>
        <w:trPr>
          <w:trHeight w:val="169"/>
        </w:trPr>
        <w:tc>
          <w:tcPr>
            <w:tcW w:w="84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102,800</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168,284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4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expenses related to amortization of intangible assets are decreasing, which is improving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3" w:name="page14"/>
    <w:bookmarkEnd w:id="13"/>
    <w:p>
      <w:pPr>
        <w:spacing w:after="0" w:line="245" w:lineRule="auto"/>
        <w:rPr>
          <w:sz w:val="20"/>
          <w:szCs w:val="20"/>
          <w:color w:val="auto"/>
        </w:rPr>
      </w:pPr>
      <w:r>
        <w:rPr>
          <w:rFonts w:ascii="Arial" w:cs="Arial" w:eastAsia="Arial" w:hAnsi="Arial"/>
          <w:sz w:val="21"/>
          <w:szCs w:val="21"/>
          <w:color w:val="auto"/>
        </w:rPr>
        <w:t>Non-GAAP net income and non-GAAP diluted EPS – We define non-GAAP net income as net income excluding the expenses associated with amortization of intangible assets, restructuring, acquisitions, goodwill impairment, amortization of debt placement fees and amortization of convertible debt discount.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6"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intangible asset expenses, restructuring expense, acquisition related expenses and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59"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5680" w:type="dxa"/>
            <w:vAlign w:val="bottom"/>
          </w:tcPr>
          <w:p>
            <w:pPr>
              <w:spacing w:after="0"/>
              <w:rPr>
                <w:sz w:val="20"/>
                <w:szCs w:val="20"/>
                <w:color w:val="auto"/>
              </w:rPr>
            </w:pPr>
            <w:r>
              <w:rPr>
                <w:rFonts w:ascii="Arial" w:cs="Arial" w:eastAsia="Arial" w:hAnsi="Arial"/>
                <w:sz w:val="14"/>
                <w:szCs w:val="14"/>
                <w:b w:val="1"/>
                <w:bCs w:val="1"/>
                <w:color w:val="auto"/>
              </w:rPr>
              <w:t>NON-GAAP OPERATING INCOME - ENERGY</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20"/>
              <w:spacing w:after="0"/>
              <w:rPr>
                <w:sz w:val="20"/>
                <w:szCs w:val="20"/>
                <w:color w:val="auto"/>
              </w:rPr>
            </w:pPr>
            <w:r>
              <w:rPr>
                <w:rFonts w:ascii="Arial" w:cs="Arial" w:eastAsia="Arial" w:hAnsi="Arial"/>
                <w:sz w:val="14"/>
                <w:szCs w:val="14"/>
                <w:color w:val="auto"/>
              </w:rPr>
              <w:t>Energy - GAAP operating income</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47,069</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45,463</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85,233</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88,631</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8,710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11,722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17,342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23,047</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Restructuring expense</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3,151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3,754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81"/>
        </w:trPr>
        <w:tc>
          <w:tcPr>
            <w:tcW w:w="568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480</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680" w:type="dxa"/>
            <w:vAlign w:val="bottom"/>
          </w:tcPr>
          <w:p>
            <w:pPr>
              <w:ind w:left="220"/>
              <w:spacing w:after="0"/>
              <w:rPr>
                <w:sz w:val="20"/>
                <w:szCs w:val="20"/>
                <w:color w:val="auto"/>
              </w:rPr>
            </w:pPr>
            <w:r>
              <w:rPr>
                <w:rFonts w:ascii="Arial" w:cs="Arial" w:eastAsia="Arial" w:hAnsi="Arial"/>
                <w:sz w:val="14"/>
                <w:szCs w:val="14"/>
                <w:color w:val="auto"/>
              </w:rPr>
              <w:t>Energy - Non-GAAP operating income</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59,410</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58,102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106,809</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112,595</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 - WATER</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20"/>
              <w:spacing w:after="0"/>
              <w:rPr>
                <w:sz w:val="20"/>
                <w:szCs w:val="20"/>
                <w:color w:val="auto"/>
              </w:rPr>
            </w:pPr>
            <w:r>
              <w:rPr>
                <w:rFonts w:ascii="Arial" w:cs="Arial" w:eastAsia="Arial" w:hAnsi="Arial"/>
                <w:sz w:val="14"/>
                <w:szCs w:val="14"/>
                <w:color w:val="auto"/>
              </w:rPr>
              <w:t>Water - GAAP operating income</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11,666</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13,755</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27,603</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30,609</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3,315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4,475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6,596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8,747</w:t>
            </w:r>
          </w:p>
        </w:tc>
        <w:tc>
          <w:tcPr>
            <w:tcW w:w="0" w:type="dxa"/>
            <w:vAlign w:val="bottom"/>
          </w:tcPr>
          <w:p>
            <w:pPr>
              <w:spacing w:after="0"/>
              <w:rPr>
                <w:sz w:val="1"/>
                <w:szCs w:val="1"/>
                <w:color w:val="auto"/>
              </w:rPr>
            </w:pPr>
          </w:p>
        </w:tc>
      </w:tr>
      <w:tr>
        <w:trPr>
          <w:trHeight w:val="181"/>
        </w:trPr>
        <w:tc>
          <w:tcPr>
            <w:tcW w:w="5680" w:type="dxa"/>
            <w:vAlign w:val="bottom"/>
          </w:tcPr>
          <w:p>
            <w:pPr>
              <w:ind w:left="420"/>
              <w:spacing w:after="0"/>
              <w:rPr>
                <w:sz w:val="20"/>
                <w:szCs w:val="20"/>
                <w:color w:val="auto"/>
              </w:rPr>
            </w:pPr>
            <w:r>
              <w:rPr>
                <w:rFonts w:ascii="Arial" w:cs="Arial" w:eastAsia="Arial" w:hAnsi="Arial"/>
                <w:sz w:val="14"/>
                <w:szCs w:val="14"/>
                <w:color w:val="auto"/>
              </w:rPr>
              <w:t>Restructuring expense</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4,102</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69"/>
        </w:trPr>
        <w:tc>
          <w:tcPr>
            <w:tcW w:w="5680" w:type="dxa"/>
            <w:vAlign w:val="bottom"/>
          </w:tcPr>
          <w:p>
            <w:pPr>
              <w:ind w:left="220"/>
              <w:spacing w:after="0"/>
              <w:rPr>
                <w:sz w:val="20"/>
                <w:szCs w:val="20"/>
                <w:color w:val="auto"/>
              </w:rPr>
            </w:pPr>
            <w:r>
              <w:rPr>
                <w:rFonts w:ascii="Arial" w:cs="Arial" w:eastAsia="Arial" w:hAnsi="Arial"/>
                <w:sz w:val="14"/>
                <w:szCs w:val="14"/>
                <w:color w:val="auto"/>
              </w:rPr>
              <w:t>Water - Non-GAAP operating income</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19,083</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18,719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38,319</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39,845</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LOSS - CORPORATE UNALLOCATED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20"/>
              <w:spacing w:after="0"/>
              <w:rPr>
                <w:sz w:val="20"/>
                <w:szCs w:val="20"/>
                <w:color w:val="auto"/>
              </w:rPr>
            </w:pPr>
            <w:r>
              <w:rPr>
                <w:rFonts w:ascii="Arial" w:cs="Arial" w:eastAsia="Arial" w:hAnsi="Arial"/>
                <w:sz w:val="14"/>
                <w:szCs w:val="14"/>
                <w:color w:val="auto"/>
              </w:rPr>
              <w:t>Corporate unallocated - GAAP operating loss</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(12,672)</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(11,133)</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(27,152)</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(21,066)</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Restructuring expense</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467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81"/>
        </w:trPr>
        <w:tc>
          <w:tcPr>
            <w:tcW w:w="568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897</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2,918</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680" w:type="dxa"/>
            <w:vAlign w:val="bottom"/>
          </w:tcPr>
          <w:p>
            <w:pPr>
              <w:ind w:left="220"/>
              <w:spacing w:after="0"/>
              <w:rPr>
                <w:sz w:val="20"/>
                <w:szCs w:val="20"/>
                <w:color w:val="auto"/>
              </w:rPr>
            </w:pPr>
            <w:r>
              <w:rPr>
                <w:rFonts w:ascii="Arial" w:cs="Arial" w:eastAsia="Arial" w:hAnsi="Arial"/>
                <w:sz w:val="14"/>
                <w:szCs w:val="14"/>
                <w:color w:val="auto"/>
              </w:rPr>
              <w:t>Corporate unallocated - Non-GAAP operating loss</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(11,308)</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(10,632)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(23,599)</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(20,565)</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20"/>
              <w:spacing w:after="0"/>
              <w:rPr>
                <w:sz w:val="20"/>
                <w:szCs w:val="20"/>
                <w:color w:val="auto"/>
              </w:rPr>
            </w:pPr>
            <w:r>
              <w:rPr>
                <w:rFonts w:ascii="Arial" w:cs="Arial" w:eastAsia="Arial" w:hAnsi="Arial"/>
                <w:sz w:val="14"/>
                <w:szCs w:val="14"/>
                <w:color w:val="auto"/>
              </w:rPr>
              <w:t>GAAP operating income</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46,063</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48,085</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85,684</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98,174</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16,197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23,938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31,794</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Restructuring expense</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7,720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81"/>
        </w:trPr>
        <w:tc>
          <w:tcPr>
            <w:tcW w:w="568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1,377</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3,398</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68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67,185</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66,189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121,529</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131,875</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EXPENSE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20"/>
              <w:spacing w:after="0"/>
              <w:rPr>
                <w:sz w:val="20"/>
                <w:szCs w:val="20"/>
                <w:color w:val="auto"/>
              </w:rPr>
            </w:pPr>
            <w:r>
              <w:rPr>
                <w:rFonts w:ascii="Arial" w:cs="Arial" w:eastAsia="Arial" w:hAnsi="Arial"/>
                <w:sz w:val="14"/>
                <w:szCs w:val="14"/>
                <w:color w:val="auto"/>
              </w:rPr>
              <w:t>Total Company - GAAP operating expense</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150,682</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143,866</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294,166</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278,755</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(16,197)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(23,938)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(31,794)</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Restructuring expense</w:t>
            </w: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81"/>
        </w:trPr>
        <w:tc>
          <w:tcPr>
            <w:tcW w:w="568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(1,377)</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(3,398)</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680" w:type="dxa"/>
            <w:vAlign w:val="bottom"/>
          </w:tcPr>
          <w:p>
            <w:pPr>
              <w:ind w:left="220"/>
              <w:spacing w:after="0"/>
              <w:rPr>
                <w:sz w:val="20"/>
                <w:szCs w:val="20"/>
                <w:color w:val="auto"/>
              </w:rPr>
            </w:pPr>
            <w:r>
              <w:rPr>
                <w:rFonts w:ascii="Arial" w:cs="Arial" w:eastAsia="Arial" w:hAnsi="Arial"/>
                <w:sz w:val="14"/>
                <w:szCs w:val="14"/>
                <w:color w:val="auto"/>
              </w:rPr>
              <w:t>Total Company - Non-GAAP operating expense</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129,560</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125,762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258,321</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245,054</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NON-GAAP NET INCOME &amp; DILUTED EPS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20"/>
              <w:spacing w:after="0"/>
              <w:rPr>
                <w:sz w:val="20"/>
                <w:szCs w:val="20"/>
                <w:color w:val="auto"/>
              </w:rPr>
            </w:pPr>
            <w:r>
              <w:rPr>
                <w:rFonts w:ascii="Arial" w:cs="Arial" w:eastAsia="Arial" w:hAnsi="Arial"/>
                <w:sz w:val="14"/>
                <w:szCs w:val="14"/>
                <w:color w:val="auto"/>
              </w:rPr>
              <w:t>GAAP net income</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31,615</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34,436</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56,968</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61,556</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16,197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23,938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31,794</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415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Amortization of convertible debt discount</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5,336</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Restructuring expense</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7,720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1,377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3,398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68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(6,644)</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(6,995)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(10,649)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(13,091)</w:t>
            </w:r>
          </w:p>
        </w:tc>
        <w:tc>
          <w:tcPr>
            <w:tcW w:w="0" w:type="dxa"/>
            <w:vAlign w:val="bottom"/>
          </w:tcPr>
          <w:p>
            <w:pPr>
              <w:spacing w:after="0"/>
              <w:rPr>
                <w:sz w:val="1"/>
                <w:szCs w:val="1"/>
                <w:color w:val="auto"/>
              </w:rPr>
            </w:pPr>
          </w:p>
        </w:tc>
      </w:tr>
      <w:tr>
        <w:trPr>
          <w:trHeight w:val="169"/>
        </w:trPr>
        <w:tc>
          <w:tcPr>
            <w:tcW w:w="5680" w:type="dxa"/>
            <w:vAlign w:val="bottom"/>
          </w:tcPr>
          <w:p>
            <w:pPr>
              <w:ind w:left="220"/>
              <w:spacing w:after="0"/>
              <w:rPr>
                <w:sz w:val="20"/>
                <w:szCs w:val="20"/>
                <w:color w:val="auto"/>
              </w:rPr>
            </w:pPr>
            <w:r>
              <w:rPr>
                <w:rFonts w:ascii="Arial" w:cs="Arial" w:eastAsia="Arial" w:hAnsi="Arial"/>
                <w:sz w:val="14"/>
                <w:szCs w:val="14"/>
                <w:color w:val="auto"/>
              </w:rPr>
              <w:t>Non-GAAP net income</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46,508</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49,146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82,927</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89,664</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20"/>
              <w:spacing w:after="0"/>
              <w:rPr>
                <w:sz w:val="20"/>
                <w:szCs w:val="20"/>
                <w:color w:val="auto"/>
              </w:rPr>
            </w:pPr>
            <w:r>
              <w:rPr>
                <w:rFonts w:ascii="Arial" w:cs="Arial" w:eastAsia="Arial" w:hAnsi="Arial"/>
                <w:sz w:val="14"/>
                <w:szCs w:val="14"/>
                <w:color w:val="auto"/>
              </w:rPr>
              <w:t>Non-GAAP diluted EPS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80" w:type="dxa"/>
            <w:vAlign w:val="bottom"/>
            <w:vMerge w:val="continue"/>
          </w:tcPr>
          <w:p>
            <w:pPr>
              <w:spacing w:after="0"/>
              <w:rPr>
                <w:sz w:val="14"/>
                <w:szCs w:val="14"/>
                <w:color w:val="auto"/>
              </w:rPr>
            </w:pPr>
          </w:p>
        </w:tc>
        <w:tc>
          <w:tcPr>
            <w:tcW w:w="3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68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40,126</w:t>
            </w: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41,077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40,170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41,059</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20"/>
              <w:spacing w:after="0"/>
              <w:rPr>
                <w:sz w:val="20"/>
                <w:szCs w:val="20"/>
                <w:color w:val="auto"/>
              </w:rPr>
            </w:pPr>
            <w:r>
              <w:rPr>
                <w:rFonts w:ascii="Arial" w:cs="Arial" w:eastAsia="Arial" w:hAnsi="Arial"/>
                <w:sz w:val="14"/>
                <w:szCs w:val="14"/>
                <w:color w:val="auto"/>
              </w:rPr>
              <w:t>GAAP net income</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31,615</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34,436</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56,968</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61,556</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2,606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11,420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5,043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23,534</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Income tax provision (benefit)</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10,564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20,193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9,487</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27,044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32,768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54,271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64,299</w:t>
            </w: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Restructuring expense</w:t>
            </w:r>
          </w:p>
        </w:tc>
        <w:tc>
          <w:tcPr>
            <w:tcW w:w="3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7,720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81"/>
        </w:trPr>
        <w:tc>
          <w:tcPr>
            <w:tcW w:w="568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1,377</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3,398</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68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80,749</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80,283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148,012</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160,307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38,387</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51,679</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92,390</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87,692</w:t>
            </w:r>
          </w:p>
        </w:tc>
        <w:tc>
          <w:tcPr>
            <w:tcW w:w="0" w:type="dxa"/>
            <w:vAlign w:val="bottom"/>
          </w:tcPr>
          <w:p>
            <w:pPr>
              <w:spacing w:after="0"/>
              <w:rPr>
                <w:sz w:val="1"/>
                <w:szCs w:val="1"/>
                <w:color w:val="auto"/>
              </w:rPr>
            </w:pPr>
          </w:p>
        </w:tc>
      </w:tr>
      <w:tr>
        <w:trPr>
          <w:trHeight w:val="181"/>
        </w:trPr>
        <w:tc>
          <w:tcPr>
            <w:tcW w:w="568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(11,504)</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(17,462)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(23,547)</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(28,712)</w:t>
            </w:r>
          </w:p>
        </w:tc>
        <w:tc>
          <w:tcPr>
            <w:tcW w:w="0" w:type="dxa"/>
            <w:vAlign w:val="bottom"/>
          </w:tcPr>
          <w:p>
            <w:pPr>
              <w:spacing w:after="0"/>
              <w:rPr>
                <w:sz w:val="1"/>
                <w:szCs w:val="1"/>
                <w:color w:val="auto"/>
              </w:rPr>
            </w:pPr>
          </w:p>
        </w:tc>
      </w:tr>
      <w:tr>
        <w:trPr>
          <w:trHeight w:val="169"/>
        </w:trPr>
        <w:tc>
          <w:tcPr>
            <w:tcW w:w="5680" w:type="dxa"/>
            <w:vAlign w:val="bottom"/>
          </w:tcPr>
          <w:p>
            <w:pPr>
              <w:ind w:left="220"/>
              <w:spacing w:after="0"/>
              <w:rPr>
                <w:sz w:val="20"/>
                <w:szCs w:val="20"/>
                <w:color w:val="auto"/>
              </w:rPr>
            </w:pPr>
            <w:r>
              <w:rPr>
                <w:rFonts w:ascii="Arial" w:cs="Arial" w:eastAsia="Arial" w:hAnsi="Arial"/>
                <w:sz w:val="14"/>
                <w:szCs w:val="14"/>
                <w:color w:val="auto"/>
              </w:rPr>
              <w:t>Free Cash Flow</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26,883</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34,217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68,843</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58,980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Vice President, Investor Relations, 509-891-3443</w:t>
      </w:r>
    </w:p>
    <w:p>
      <w:pPr>
        <w:spacing w:after="0" w:line="231" w:lineRule="auto"/>
        <w:rPr>
          <w:sz w:val="20"/>
          <w:szCs w:val="20"/>
          <w:color w:val="auto"/>
        </w:rPr>
      </w:pPr>
      <w:r>
        <w:rPr>
          <w:rFonts w:ascii="Arial" w:cs="Arial" w:eastAsia="Arial" w:hAnsi="Arial"/>
          <w:sz w:val="22"/>
          <w:szCs w:val="22"/>
          <w:u w:val="single" w:color="auto"/>
          <w:color w:val="auto"/>
        </w:rPr>
        <w:t>barbara.doyle@itron.com</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Marni Pilcher, Director, Investor Relations, 509-891-3847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marni.pilcher@itron.com</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2019-12-09T09:28:07Z</dcterms:created>
  <dcterms:modified xsi:type="dcterms:W3CDTF">2019-12-09T09:28:07Z</dcterms:modified>
</cp:coreProperties>
</file>