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Itron,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no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and Class of Securities)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465741106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Samantha Nasello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Scopia Capital Management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152 West 57th St., 33rd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370-0303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8, 2019</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13d-7(b)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60" w:right="10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32"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040" w:hanging="982"/>
        <w:spacing w:after="0" w:line="39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Scopia Capital Management LP</w:t>
      </w:r>
    </w:p>
    <w:p>
      <w:pPr>
        <w:ind w:left="1080" w:hanging="98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98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27" w:lineRule="exact"/>
        <w:rPr>
          <w:rFonts w:ascii="Times New Roman" w:cs="Times New Roman" w:eastAsia="Times New Roman" w:hAnsi="Times New Roman"/>
          <w:sz w:val="18"/>
          <w:szCs w:val="18"/>
          <w:color w:val="auto"/>
        </w:rPr>
      </w:pPr>
    </w:p>
    <w:p>
      <w:pPr>
        <w:ind w:left="1080" w:hanging="982"/>
        <w:spacing w:after="0" w:line="207" w:lineRule="exact"/>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bottom w:val="single" w:sz="8" w:color="auto"/>
            </w:tcBorders>
          </w:tcPr>
          <w:p>
            <w:pPr>
              <w:spacing w:after="0"/>
              <w:rPr>
                <w:sz w:val="8"/>
                <w:szCs w:val="8"/>
                <w:color w:val="auto"/>
              </w:rPr>
            </w:pPr>
          </w:p>
        </w:tc>
        <w:tc>
          <w:tcPr>
            <w:tcW w:w="8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vMerge w:val="continue"/>
          </w:tcPr>
          <w:p>
            <w:pPr>
              <w:spacing w:after="0"/>
              <w:rPr>
                <w:sz w:val="11"/>
                <w:szCs w:val="11"/>
                <w:color w:val="auto"/>
              </w:rPr>
            </w:pPr>
          </w:p>
        </w:tc>
        <w:tc>
          <w:tcPr>
            <w:tcW w:w="8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840" w:type="dxa"/>
            <w:vAlign w:val="bottom"/>
          </w:tcPr>
          <w:p>
            <w:pPr>
              <w:spacing w:after="0"/>
              <w:rPr>
                <w:sz w:val="18"/>
                <w:szCs w:val="18"/>
                <w:color w:val="auto"/>
              </w:rPr>
            </w:pPr>
          </w:p>
        </w:tc>
        <w:tc>
          <w:tcPr>
            <w:tcW w:w="86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(11)</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4,946,622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11100" w:type="dxa"/>
            <w:vAlign w:val="bottom"/>
            <w:gridSpan w:val="3"/>
          </w:tcPr>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20" w:type="dxa"/>
            <w:vAlign w:val="bottom"/>
            <w:tcBorders>
              <w:bottom w:val="single" w:sz="8" w:color="auto"/>
            </w:tcBorders>
            <w:gridSpan w:val="2"/>
          </w:tcPr>
          <w:p>
            <w:pPr>
              <w:spacing w:after="0"/>
              <w:rPr>
                <w:sz w:val="24"/>
                <w:szCs w:val="24"/>
                <w:color w:val="auto"/>
              </w:rPr>
            </w:pPr>
          </w:p>
        </w:tc>
        <w:tc>
          <w:tcPr>
            <w:tcW w:w="111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(14)</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20" w:hanging="232"/>
        <w:spacing w:after="0" w:line="282" w:lineRule="auto"/>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39,535,326 shares of Common Stock of Itron, Inc. (the “Issuer”) outstanding as of January 31, 2019, as reported in the Issuer’s Form 10-K filed with the Securities and Exchange Commission (“SEC”) on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Scopia Management, Inc.</w:t>
      </w:r>
    </w:p>
    <w:p>
      <w:pPr>
        <w:ind w:left="1080" w:hanging="98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98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27" w:lineRule="exact"/>
        <w:rPr>
          <w:rFonts w:ascii="Times New Roman" w:cs="Times New Roman" w:eastAsia="Times New Roman" w:hAnsi="Times New Roman"/>
          <w:sz w:val="18"/>
          <w:szCs w:val="18"/>
          <w:color w:val="auto"/>
        </w:rPr>
      </w:pPr>
    </w:p>
    <w:p>
      <w:pPr>
        <w:ind w:left="1080" w:hanging="982"/>
        <w:spacing w:after="0" w:line="207" w:lineRule="exact"/>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New York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bottom w:val="single" w:sz="8" w:color="auto"/>
            </w:tcBorders>
          </w:tcPr>
          <w:p>
            <w:pPr>
              <w:spacing w:after="0"/>
              <w:rPr>
                <w:sz w:val="8"/>
                <w:szCs w:val="8"/>
                <w:color w:val="auto"/>
              </w:rPr>
            </w:pPr>
          </w:p>
        </w:tc>
        <w:tc>
          <w:tcPr>
            <w:tcW w:w="8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vMerge w:val="continue"/>
          </w:tcPr>
          <w:p>
            <w:pPr>
              <w:spacing w:after="0"/>
              <w:rPr>
                <w:sz w:val="11"/>
                <w:szCs w:val="11"/>
                <w:color w:val="auto"/>
              </w:rPr>
            </w:pPr>
          </w:p>
        </w:tc>
        <w:tc>
          <w:tcPr>
            <w:tcW w:w="8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(11)</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4,946,622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11100" w:type="dxa"/>
            <w:vAlign w:val="bottom"/>
            <w:gridSpan w:val="3"/>
          </w:tcPr>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20" w:type="dxa"/>
            <w:vAlign w:val="bottom"/>
            <w:tcBorders>
              <w:bottom w:val="single" w:sz="8" w:color="auto"/>
            </w:tcBorders>
            <w:gridSpan w:val="2"/>
          </w:tcPr>
          <w:p>
            <w:pPr>
              <w:spacing w:after="0"/>
              <w:rPr>
                <w:sz w:val="24"/>
                <w:szCs w:val="24"/>
                <w:color w:val="auto"/>
              </w:rPr>
            </w:pPr>
          </w:p>
        </w:tc>
        <w:tc>
          <w:tcPr>
            <w:tcW w:w="111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080" w:right="7100" w:hanging="1072"/>
        <w:spacing w:after="0" w:line="51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40" w:right="140" w:hanging="232"/>
        <w:spacing w:after="0" w:line="282" w:lineRule="auto"/>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39,535,326 shares of Common Stock of the Issuer outstanding as of January 31, 2019, as reported in the Issuer’s Form 10-K filed with the SEC on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Matthew Sirovich</w:t>
      </w:r>
    </w:p>
    <w:p>
      <w:pPr>
        <w:ind w:left="1080" w:hanging="98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98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27" w:lineRule="exact"/>
        <w:rPr>
          <w:rFonts w:ascii="Times New Roman" w:cs="Times New Roman" w:eastAsia="Times New Roman" w:hAnsi="Times New Roman"/>
          <w:sz w:val="18"/>
          <w:szCs w:val="18"/>
          <w:color w:val="auto"/>
        </w:rPr>
      </w:pPr>
    </w:p>
    <w:p>
      <w:pPr>
        <w:ind w:left="1080" w:hanging="982"/>
        <w:spacing w:after="0" w:line="207" w:lineRule="exact"/>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bottom w:val="single" w:sz="8" w:color="auto"/>
            </w:tcBorders>
          </w:tcPr>
          <w:p>
            <w:pPr>
              <w:spacing w:after="0"/>
              <w:rPr>
                <w:sz w:val="8"/>
                <w:szCs w:val="8"/>
                <w:color w:val="auto"/>
              </w:rPr>
            </w:pPr>
          </w:p>
        </w:tc>
        <w:tc>
          <w:tcPr>
            <w:tcW w:w="8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vMerge w:val="continue"/>
          </w:tcPr>
          <w:p>
            <w:pPr>
              <w:spacing w:after="0"/>
              <w:rPr>
                <w:sz w:val="11"/>
                <w:szCs w:val="11"/>
                <w:color w:val="auto"/>
              </w:rPr>
            </w:pPr>
          </w:p>
        </w:tc>
        <w:tc>
          <w:tcPr>
            <w:tcW w:w="8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(11)</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4,946,622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11100" w:type="dxa"/>
            <w:vAlign w:val="bottom"/>
            <w:gridSpan w:val="3"/>
          </w:tcPr>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20" w:type="dxa"/>
            <w:vAlign w:val="bottom"/>
            <w:tcBorders>
              <w:bottom w:val="single" w:sz="8" w:color="auto"/>
            </w:tcBorders>
            <w:gridSpan w:val="2"/>
          </w:tcPr>
          <w:p>
            <w:pPr>
              <w:spacing w:after="0"/>
              <w:rPr>
                <w:sz w:val="24"/>
                <w:szCs w:val="24"/>
                <w:color w:val="auto"/>
              </w:rPr>
            </w:pPr>
          </w:p>
        </w:tc>
        <w:tc>
          <w:tcPr>
            <w:tcW w:w="111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(14)</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40" w:hanging="232"/>
        <w:spacing w:after="0" w:line="282"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39,535,326 shares of Common Stock of the Issuer outstanding as of January 31, 2019, as reported in the Issuer’s Form 10-K filed with the SEC on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465741106</w:t>
      </w:r>
    </w:p>
    <w:p>
      <w:pPr>
        <w:spacing w:after="0" w:line="200" w:lineRule="exact"/>
        <w:rPr>
          <w:sz w:val="20"/>
          <w:szCs w:val="20"/>
          <w:color w:val="auto"/>
        </w:rPr>
      </w:pPr>
    </w:p>
    <w:p>
      <w:pPr>
        <w:spacing w:after="0" w:line="245" w:lineRule="exact"/>
        <w:rPr>
          <w:sz w:val="20"/>
          <w:szCs w:val="20"/>
          <w:color w:val="auto"/>
        </w:rPr>
      </w:pPr>
    </w:p>
    <w:p>
      <w:pPr>
        <w:ind w:left="1080" w:right="8280" w:hanging="982"/>
        <w:spacing w:after="0" w:line="39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Jeremy Mindich</w:t>
      </w:r>
    </w:p>
    <w:p>
      <w:pPr>
        <w:ind w:left="1080" w:hanging="98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1080"/>
        <w:spacing w:after="0" w:line="207" w:lineRule="exact"/>
        <w:tabs>
          <w:tab w:leader="none" w:pos="188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ind w:left="1080" w:hanging="98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27" w:lineRule="exact"/>
        <w:rPr>
          <w:rFonts w:ascii="Times New Roman" w:cs="Times New Roman" w:eastAsia="Times New Roman" w:hAnsi="Times New Roman"/>
          <w:sz w:val="18"/>
          <w:szCs w:val="18"/>
          <w:color w:val="auto"/>
        </w:rPr>
      </w:pPr>
    </w:p>
    <w:p>
      <w:pPr>
        <w:ind w:left="1080" w:hanging="982"/>
        <w:spacing w:after="0" w:line="207" w:lineRule="exact"/>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1080" w:hanging="98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NUMBER OF</w:t>
            </w:r>
          </w:p>
        </w:tc>
        <w:tc>
          <w:tcPr>
            <w:tcW w:w="840" w:type="dxa"/>
            <w:vAlign w:val="bottom"/>
          </w:tcPr>
          <w:p>
            <w:pPr>
              <w:spacing w:after="0"/>
              <w:rPr>
                <w:sz w:val="24"/>
                <w:szCs w:val="24"/>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SHARES</w:t>
            </w:r>
          </w:p>
        </w:tc>
        <w:tc>
          <w:tcPr>
            <w:tcW w:w="840" w:type="dxa"/>
            <w:vAlign w:val="bottom"/>
            <w:tcBorders>
              <w:bottom w:val="single" w:sz="8" w:color="auto"/>
            </w:tcBorders>
          </w:tcPr>
          <w:p>
            <w:pPr>
              <w:spacing w:after="0"/>
              <w:rPr>
                <w:sz w:val="8"/>
                <w:szCs w:val="8"/>
                <w:color w:val="auto"/>
              </w:rPr>
            </w:pPr>
          </w:p>
        </w:tc>
        <w:tc>
          <w:tcPr>
            <w:tcW w:w="86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BENEFICIALLY</w:t>
            </w:r>
          </w:p>
        </w:tc>
        <w:tc>
          <w:tcPr>
            <w:tcW w:w="840" w:type="dxa"/>
            <w:vAlign w:val="bottom"/>
            <w:vMerge w:val="continue"/>
          </w:tcPr>
          <w:p>
            <w:pPr>
              <w:spacing w:after="0"/>
              <w:rPr>
                <w:sz w:val="11"/>
                <w:szCs w:val="11"/>
                <w:color w:val="auto"/>
              </w:rPr>
            </w:pPr>
          </w:p>
        </w:tc>
        <w:tc>
          <w:tcPr>
            <w:tcW w:w="8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OWNED BY</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rPr>
              <w:t>EACH</w:t>
            </w:r>
          </w:p>
        </w:tc>
        <w:tc>
          <w:tcPr>
            <w:tcW w:w="840" w:type="dxa"/>
            <w:vAlign w:val="bottom"/>
            <w:tcBorders>
              <w:bottom w:val="single" w:sz="8" w:color="auto"/>
            </w:tcBorders>
          </w:tcPr>
          <w:p>
            <w:pPr>
              <w:spacing w:after="0"/>
              <w:rPr>
                <w:sz w:val="10"/>
                <w:szCs w:val="10"/>
                <w:color w:val="auto"/>
              </w:rPr>
            </w:pPr>
          </w:p>
        </w:tc>
        <w:tc>
          <w:tcPr>
            <w:tcW w:w="8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8"/>
              </w:rPr>
              <w:t>REPORTING</w:t>
            </w:r>
          </w:p>
        </w:tc>
        <w:tc>
          <w:tcPr>
            <w:tcW w:w="840" w:type="dxa"/>
            <w:vAlign w:val="bottom"/>
            <w:vMerge w:val="continue"/>
          </w:tcPr>
          <w:p>
            <w:pPr>
              <w:spacing w:after="0"/>
              <w:rPr>
                <w:sz w:val="13"/>
                <w:szCs w:val="13"/>
                <w:color w:val="auto"/>
              </w:rPr>
            </w:pPr>
          </w:p>
        </w:tc>
        <w:tc>
          <w:tcPr>
            <w:tcW w:w="8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8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PERSON</w:t>
            </w:r>
          </w:p>
        </w:tc>
        <w:tc>
          <w:tcPr>
            <w:tcW w:w="840" w:type="dxa"/>
            <w:vAlign w:val="bottom"/>
          </w:tcPr>
          <w:p>
            <w:pPr>
              <w:spacing w:after="0"/>
              <w:rPr>
                <w:sz w:val="18"/>
                <w:szCs w:val="18"/>
                <w:color w:val="auto"/>
              </w:rPr>
            </w:pP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9"/>
              </w:rPr>
              <w:t>WITH:</w:t>
            </w:r>
          </w:p>
        </w:tc>
        <w:tc>
          <w:tcPr>
            <w:tcW w:w="840" w:type="dxa"/>
            <w:vAlign w:val="bottom"/>
            <w:tcBorders>
              <w:bottom w:val="single" w:sz="8" w:color="auto"/>
            </w:tcBorders>
          </w:tcPr>
          <w:p>
            <w:pPr>
              <w:spacing w:after="0"/>
              <w:rPr>
                <w:sz w:val="12"/>
                <w:szCs w:val="12"/>
                <w:color w:val="auto"/>
              </w:rPr>
            </w:pPr>
          </w:p>
        </w:tc>
        <w:tc>
          <w:tcPr>
            <w:tcW w:w="8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4,946,622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(11)</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4,946,622</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(12)</w:t>
            </w:r>
          </w:p>
        </w:tc>
        <w:tc>
          <w:tcPr>
            <w:tcW w:w="11100" w:type="dxa"/>
            <w:vAlign w:val="bottom"/>
            <w:gridSpan w:val="3"/>
          </w:tcPr>
          <w:p>
            <w:pPr>
              <w:ind w:left="76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320" w:type="dxa"/>
            <w:vAlign w:val="bottom"/>
            <w:tcBorders>
              <w:bottom w:val="single" w:sz="8" w:color="auto"/>
            </w:tcBorders>
            <w:gridSpan w:val="2"/>
          </w:tcPr>
          <w:p>
            <w:pPr>
              <w:spacing w:after="0"/>
              <w:rPr>
                <w:sz w:val="24"/>
                <w:szCs w:val="24"/>
                <w:color w:val="auto"/>
              </w:rPr>
            </w:pPr>
          </w:p>
        </w:tc>
        <w:tc>
          <w:tcPr>
            <w:tcW w:w="1110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(13)</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6"/>
              </w:rPr>
              <w:t>(14)</w:t>
            </w:r>
          </w:p>
        </w:tc>
        <w:tc>
          <w:tcPr>
            <w:tcW w:w="111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240" w:right="140" w:hanging="232"/>
        <w:spacing w:after="0" w:line="282" w:lineRule="auto"/>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39,535,326 shares of Common Stock of the Issuer outstanding as of January 31, 2019, as reported in the Issuer’s Form 10-K filed with the SEC on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11 to Schedule 13D</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constitutes Amendment No. 11 to the Schedule 13D filed by the undersigned (“Amendment No. 11”). This Amendment No. 11 amends the Schedule 13D as specifically set forth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given in response to each item shall be deemed incorporated by reference in all other items, as applicable.</w:t>
      </w:r>
    </w:p>
    <w:p>
      <w:pPr>
        <w:spacing w:after="0" w:line="230" w:lineRule="exact"/>
        <w:rPr>
          <w:sz w:val="20"/>
          <w:szCs w:val="20"/>
          <w:color w:val="auto"/>
        </w:rPr>
      </w:pPr>
    </w:p>
    <w:p>
      <w:pPr>
        <w:ind w:right="5180"/>
        <w:spacing w:after="0" w:line="400" w:lineRule="auto"/>
        <w:rPr>
          <w:sz w:val="20"/>
          <w:szCs w:val="20"/>
          <w:color w:val="auto"/>
        </w:rPr>
      </w:pPr>
      <w:r>
        <w:rPr>
          <w:rFonts w:ascii="Times New Roman" w:cs="Times New Roman" w:eastAsia="Times New Roman" w:hAnsi="Times New Roman"/>
          <w:sz w:val="17"/>
          <w:szCs w:val="17"/>
          <w:b w:val="1"/>
          <w:bCs w:val="1"/>
          <w:color w:val="auto"/>
        </w:rPr>
        <w:t xml:space="preserve">ITEM 3.SOURCE AND AMOUNT OF FUNDS OR OTHER CONSIDERATION </w:t>
      </w:r>
      <w:r>
        <w:rPr>
          <w:rFonts w:ascii="Times New Roman" w:cs="Times New Roman" w:eastAsia="Times New Roman" w:hAnsi="Times New Roman"/>
          <w:sz w:val="17"/>
          <w:szCs w:val="17"/>
          <w:color w:val="auto"/>
        </w:rPr>
        <w:t>Item 3 of the Schedule 13D is hereby amended and restated as follows: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aggregate purchase price of the shares of common stock, no par value per share, of the Issuer (“Common Stock”) directly held by the Investment Vehicles reported herein was $196,365,907. The shares of Common Stock directly held by the Investment Vehicles were purchased with the working capital of the Investment Vehicles (which may, at any given time, include margin loans made by brokerage firms in the ordinary course of business). All shares of Common Stock reported herein were purchased in open market transactions through a broker unless as otherwise previously disclosed in this Schedule 13D, as amended.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Schedule 13D is supplemented and superseded, as the case may be, as follows: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Amendment No. 11 is being filed, among other things, to report dispositions of beneficial ownership of shares of Common Stock in an amount equal to one percent or more of the Issuer’s outstanding Common Stock since the Reporting Persons filed the previous amendment to Schedule 13D. The disclosure in Item 5(c) below regarding transactions in the Issuer’s Common Stock effected during the previous 60 days is incorporated by reference herein. Consistent with their investment purpose, the Reporting Persons may make, or cause, further dispositions of Common Stock from time to time and may acquire, or cause to be acquired, additional shares of Common Stock, in each case depending on market conditions and other factors.</w:t>
      </w:r>
    </w:p>
    <w:p>
      <w:pPr>
        <w:spacing w:after="0" w:line="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On March 8, 2019, Scopia Capital entered into a Non-Discretionary Plan (the “Sales Plan”) with Morgan Stanley &amp; Co. LLC (“Morgan Stanley”) pursuant to which Morgan Stanley will effect sales of up to a total of 750,000 shares of Common Stock on behalf of Scopia Capital in compliance with the requirements of Rule 10b5-1(c). Pursuant to the Sales Plan, sales commenced on March 11, 2019 and will continue until June 7, 2019 or until all of the shares of Common Stock to be sold under the Sales Plan are sold or the Sales Plan is otherwise terminated.</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and may from time to time and at any time in the future depending on various factors, including, without limitation, the outcome of any discussions with directors and officers of the Issuer,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set forth herein or previously disclosed in the Schedule 13D, the Reporting Persons do not have present plans or proposals at this time that relate to or would result in any of the transactions described in subparagraphs (a) through (j) of Item 4 of Schedule 13D.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117" w:lineRule="exact"/>
        <w:rPr>
          <w:sz w:val="20"/>
          <w:szCs w:val="20"/>
          <w:color w:val="auto"/>
        </w:rPr>
      </w:pPr>
    </w:p>
    <w:p>
      <w:pPr>
        <w:ind w:right="160" w:firstLine="8"/>
        <w:spacing w:after="0" w:line="266" w:lineRule="auto"/>
        <w:tabs>
          <w:tab w:leader="none" w:pos="2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Items 7 through 11 and 13 of each of the cover pages of this Schedule 13D are incorporated herein by reference. Such information is based on 39,535,326 shares of Common Stock of the Issuer outstanding as of January 31, 2019, as reported in the Issuer’s Form 10-K filed with SEC on February 28, 2019.</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Investment Vehicles have delegated to Scopia Capital sole voting and investment power over the securities held by the Investment Vehicles pursuant to their respective Investment Management Agreements with Scopia Capital. As a result, each of Scopia Capital, Scopia Management, as the general partner of Scopia Capital, and Messrs. Sirovich and Mindich, as Managing Directors of Scopia Management, may be deemed to exercise voting and investment power over the shares of Common Stock directly held by the Investment Vehicles. The Investment Vehicles specifically disclaim beneficial ownership of the securities of the Issuer directly held by them by virtue of their inability to vote or dispose of such securities as a result of their respective Investment Management Agreements with Scopia Capital.</w:t>
      </w:r>
    </w:p>
    <w:p>
      <w:pPr>
        <w:spacing w:after="0" w:line="21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11, 2019, one of the Investment Vehicles transferred 147,292 shares of Common Stock of the Issuer in an in-kind pro rata distribution for no consideration to investors in such Investment Vehicle. None of the Reporting Persons nor any Investment Vehicle retained voting or investment power over the securities transferred to the investors.</w:t>
      </w:r>
    </w:p>
    <w:p>
      <w:pPr>
        <w:spacing w:after="0" w:line="176" w:lineRule="exact"/>
        <w:rPr>
          <w:sz w:val="20"/>
          <w:szCs w:val="20"/>
          <w:color w:val="auto"/>
        </w:rPr>
      </w:pPr>
    </w:p>
    <w:p>
      <w:pPr>
        <w:ind w:right="120" w:firstLine="8"/>
        <w:spacing w:after="0" w:line="282"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there have been no transactions in shares of Common Stock during the 60 days prior to the date hereof by any of the Reporting Persons. The information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is incorporated herein by reference.</w:t>
      </w:r>
    </w:p>
    <w:p>
      <w:pPr>
        <w:spacing w:after="0" w:line="161" w:lineRule="exact"/>
        <w:rPr>
          <w:rFonts w:ascii="Times New Roman" w:cs="Times New Roman" w:eastAsia="Times New Roman" w:hAnsi="Times New Roman"/>
          <w:sz w:val="18"/>
          <w:szCs w:val="18"/>
          <w:color w:val="auto"/>
        </w:rPr>
      </w:pPr>
    </w:p>
    <w:p>
      <w:pPr>
        <w:ind w:right="20" w:firstLine="8"/>
        <w:spacing w:after="0" w:line="256"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regarding the relationship between the Reporting Persons in Item 2(c) of this Schedule 13D is incorporated by reference herein. All securities reported in this Schedule 13D are directly held by the Investment Vehicles, all of which are investment management clients of Scopia Capital. None of the Investment Vehicles individually directly holds more than 5% of the Issuer’s outstanding shares of Common Stock. The limited partners of (or investors in) each of the Investment Vehicles have the right to participate in the receipt of dividends from, or proceeds from the sale of, the shares of Common Stock held for the accounts of their respective Investment Vehicles in accordance with their respective limited partnership interests (or investment percentages) in their respective Investment Vehicles.</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0" w:right="239" w:bottom="225"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March 13, 2019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SCOPIA CAPITAL MANAGEMENT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Scopia Management, Inc., its general</w:t>
            </w:r>
          </w:p>
        </w:tc>
      </w:tr>
      <w:tr>
        <w:trPr>
          <w:trHeight w:val="234"/>
        </w:trPr>
        <w:tc>
          <w:tcPr>
            <w:tcW w:w="8660" w:type="dxa"/>
            <w:vAlign w:val="bottom"/>
          </w:tcPr>
          <w:p>
            <w:pPr>
              <w:spacing w:after="0"/>
              <w:rPr>
                <w:sz w:val="20"/>
                <w:szCs w:val="20"/>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392"/>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Sirovich</w:t>
            </w:r>
          </w:p>
        </w:tc>
      </w:tr>
      <w:tr>
        <w:trPr>
          <w:trHeight w:val="218"/>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Matthew Sirovich</w:t>
            </w:r>
          </w:p>
        </w:tc>
        <w:tc>
          <w:tcPr>
            <w:tcW w:w="1260" w:type="dxa"/>
            <w:vAlign w:val="bottom"/>
          </w:tcPr>
          <w:p>
            <w:pPr>
              <w:spacing w:after="0"/>
              <w:rPr>
                <w:sz w:val="18"/>
                <w:szCs w:val="18"/>
                <w:color w:val="auto"/>
              </w:rPr>
            </w:pPr>
          </w:p>
        </w:tc>
      </w:tr>
      <w:tr>
        <w:trPr>
          <w:trHeight w:val="234"/>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11420" w:type="dxa"/>
            <w:vAlign w:val="bottom"/>
            <w:gridSpan w:val="4"/>
          </w:tcPr>
          <w:p>
            <w:pPr>
              <w:ind w:left="8000"/>
              <w:spacing w:after="0"/>
              <w:rPr>
                <w:sz w:val="20"/>
                <w:szCs w:val="20"/>
                <w:color w:val="auto"/>
              </w:rPr>
            </w:pPr>
            <w:r>
              <w:rPr>
                <w:rFonts w:ascii="Times New Roman" w:cs="Times New Roman" w:eastAsia="Times New Roman" w:hAnsi="Times New Roman"/>
                <w:sz w:val="18"/>
                <w:szCs w:val="18"/>
                <w:b w:val="1"/>
                <w:bCs w:val="1"/>
                <w:color w:val="auto"/>
              </w:rPr>
              <w:t>SCOPIA MANAGEMENT, INC.</w:t>
            </w:r>
          </w:p>
        </w:tc>
      </w:tr>
      <w:tr>
        <w:trPr>
          <w:trHeight w:val="392"/>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Sirovich</w:t>
            </w:r>
          </w:p>
        </w:tc>
      </w:tr>
      <w:tr>
        <w:trPr>
          <w:trHeight w:val="218"/>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Name:</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Matthew Sirovich</w:t>
            </w:r>
          </w:p>
        </w:tc>
        <w:tc>
          <w:tcPr>
            <w:tcW w:w="1260" w:type="dxa"/>
            <w:vAlign w:val="bottom"/>
          </w:tcPr>
          <w:p>
            <w:pPr>
              <w:spacing w:after="0"/>
              <w:rPr>
                <w:sz w:val="18"/>
                <w:szCs w:val="18"/>
                <w:color w:val="auto"/>
              </w:rPr>
            </w:pPr>
          </w:p>
        </w:tc>
      </w:tr>
      <w:tr>
        <w:trPr>
          <w:trHeight w:val="234"/>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392"/>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Matthew Sirovich</w:t>
            </w:r>
          </w:p>
        </w:tc>
      </w:tr>
      <w:tr>
        <w:trPr>
          <w:trHeight w:val="412"/>
        </w:trPr>
        <w:tc>
          <w:tcPr>
            <w:tcW w:w="8660" w:type="dxa"/>
            <w:vAlign w:val="bottom"/>
          </w:tcPr>
          <w:p>
            <w:pPr>
              <w:ind w:left="8000"/>
              <w:spacing w:after="0"/>
              <w:rPr>
                <w:sz w:val="20"/>
                <w:szCs w:val="20"/>
                <w:color w:val="auto"/>
              </w:rPr>
            </w:pPr>
            <w:r>
              <w:rPr>
                <w:rFonts w:ascii="Times New Roman" w:cs="Times New Roman" w:eastAsia="Times New Roman" w:hAnsi="Times New Roman"/>
                <w:sz w:val="18"/>
                <w:szCs w:val="18"/>
                <w:color w:val="auto"/>
              </w:rPr>
              <w:t>By:</w:t>
            </w: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Jeremy Mindich</w:t>
            </w:r>
          </w:p>
        </w:tc>
        <w:tc>
          <w:tcPr>
            <w:tcW w:w="1260" w:type="dxa"/>
            <w:vAlign w:val="bottom"/>
          </w:tcPr>
          <w:p>
            <w:pPr>
              <w:spacing w:after="0"/>
              <w:rPr>
                <w:sz w:val="24"/>
                <w:szCs w:val="24"/>
                <w:color w:val="auto"/>
              </w:rPr>
            </w:pPr>
          </w:p>
        </w:tc>
      </w:tr>
      <w:tr>
        <w:trPr>
          <w:trHeight w:val="446"/>
        </w:trPr>
        <w:tc>
          <w:tcPr>
            <w:tcW w:w="866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2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 following table sets forth all transactions by the Reporting Persons (on behalf of the Investment Vehicles) with respect to shares of Common Stock effected in the last 60 days, inclusive of any transactions effected through 4:00 p.m., New York City time, on March 12, 2019. Except as otherwise noted below, all such transactions were sales of Common Stock effected in the open market, and the table excludes commissions paid in per share prices.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Scopia Capital Management LP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Shares of Common</w:t>
            </w:r>
          </w:p>
        </w:tc>
        <w:tc>
          <w:tcPr>
            <w:tcW w:w="8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r>
      <w:tr>
        <w:trPr>
          <w:trHeight w:val="216"/>
        </w:trPr>
        <w:tc>
          <w:tcPr>
            <w:tcW w:w="3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80" w:type="dxa"/>
            <w:vAlign w:val="bottom"/>
          </w:tcPr>
          <w:p>
            <w:pPr>
              <w:spacing w:after="0"/>
              <w:rPr>
                <w:sz w:val="18"/>
                <w:szCs w:val="18"/>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5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r>
      <w:tr>
        <w:trPr>
          <w:trHeight w:val="245"/>
        </w:trPr>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Nature of Transaction</w:t>
            </w:r>
          </w:p>
        </w:tc>
        <w:tc>
          <w:tcPr>
            <w:tcW w:w="440" w:type="dxa"/>
            <w:vAlign w:val="bottom"/>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Purchased/(Sold)</w:t>
            </w:r>
          </w:p>
        </w:tc>
        <w:tc>
          <w:tcPr>
            <w:tcW w:w="880" w:type="dxa"/>
            <w:vAlign w:val="bottom"/>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 ($)</w:t>
            </w:r>
          </w:p>
        </w:tc>
        <w:tc>
          <w:tcPr>
            <w:tcW w:w="52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 / Sale</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44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w w:val="97"/>
              </w:rPr>
              <w:t>(37,803)</w:t>
            </w:r>
          </w:p>
        </w:tc>
        <w:tc>
          <w:tcPr>
            <w:tcW w:w="8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97"/>
              </w:rPr>
              <w:t>$49.4799</w:t>
            </w:r>
          </w:p>
        </w:tc>
        <w:tc>
          <w:tcPr>
            <w:tcW w:w="52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3/11/2019</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3040" w:type="dxa"/>
            <w:vAlign w:val="bottom"/>
            <w:gridSpan w:val="2"/>
            <w:shd w:val="clear" w:color="auto" w:fill="CCEEFF"/>
          </w:tcPr>
          <w:p>
            <w:pPr>
              <w:jc w:val="right"/>
              <w:ind w:right="1890"/>
              <w:spacing w:after="0"/>
              <w:rPr>
                <w:sz w:val="20"/>
                <w:szCs w:val="20"/>
                <w:color w:val="auto"/>
              </w:rPr>
            </w:pPr>
            <w:r>
              <w:rPr>
                <w:rFonts w:ascii="Times New Roman" w:cs="Times New Roman" w:eastAsia="Times New Roman" w:hAnsi="Times New Roman"/>
                <w:sz w:val="18"/>
                <w:szCs w:val="18"/>
                <w:color w:val="auto"/>
              </w:rPr>
              <w:t>(31,302)</w:t>
            </w:r>
          </w:p>
        </w:tc>
        <w:tc>
          <w:tcPr>
            <w:tcW w:w="256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$49.9789</w:t>
            </w:r>
          </w:p>
        </w:tc>
        <w:tc>
          <w:tcPr>
            <w:tcW w:w="234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3/12/2019</w:t>
            </w: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14"/>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3"/>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2019-12-04T23:53:21Z</dcterms:created>
  <dcterms:modified xsi:type="dcterms:W3CDTF">2019-12-04T23:53:21Z</dcterms:modified>
</cp:coreProperties>
</file>