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left="1220" w:right="180"/>
        <w:spacing w:after="0" w:line="264" w:lineRule="auto"/>
        <w:rPr>
          <w:sz w:val="20"/>
          <w:szCs w:val="20"/>
          <w:color w:val="auto"/>
        </w:rPr>
      </w:pPr>
      <w:r>
        <w:rPr>
          <w:rFonts w:ascii="Arial" w:cs="Arial" w:eastAsia="Arial" w:hAnsi="Arial"/>
          <w:sz w:val="18"/>
          <w:szCs w:val="18"/>
          <w:color w:val="auto"/>
        </w:rPr>
        <w:t>On August 11, 2016, Itron, Inc. (the Company) issued a press release announcing its financial results for the three months ended March 31, 2016. The press release also includes an update with respect to the anticipated timing of the Form 10-Q filings for the first and second quarter of 2016.</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1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information contained in Item 2.02 of this Current Report on Form 8-K is incorporated by reference in this Item 7.01.</w:t>
      </w:r>
    </w:p>
    <w:p>
      <w:pPr>
        <w:spacing w:after="0" w:line="21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ind w:left="1220"/>
              <w:spacing w:after="0"/>
              <w:rPr>
                <w:sz w:val="20"/>
                <w:szCs w:val="20"/>
                <w:color w:val="auto"/>
              </w:rPr>
            </w:pPr>
            <w:r>
              <w:rPr>
                <w:rFonts w:ascii="Arial" w:cs="Arial" w:eastAsia="Arial" w:hAnsi="Arial"/>
                <w:sz w:val="18"/>
                <w:szCs w:val="18"/>
                <w:color w:val="auto"/>
              </w:rPr>
              <w:t>(d)</w:t>
            </w:r>
          </w:p>
        </w:tc>
        <w:tc>
          <w:tcPr>
            <w:tcW w:w="9940" w:type="dxa"/>
            <w:vAlign w:val="bottom"/>
            <w:gridSpan w:val="3"/>
          </w:tcPr>
          <w:p>
            <w:pPr>
              <w:ind w:left="40"/>
              <w:spacing w:after="0"/>
              <w:rPr>
                <w:sz w:val="20"/>
                <w:szCs w:val="20"/>
                <w:color w:val="auto"/>
              </w:rPr>
            </w:pPr>
            <w:r>
              <w:rPr>
                <w:rFonts w:ascii="Arial" w:cs="Arial" w:eastAsia="Arial" w:hAnsi="Arial"/>
                <w:sz w:val="18"/>
                <w:szCs w:val="18"/>
                <w:color w:val="auto"/>
              </w:rPr>
              <w:t>Exhibits.</w:t>
            </w:r>
          </w:p>
        </w:tc>
      </w:tr>
      <w:tr>
        <w:trPr>
          <w:trHeight w:val="426"/>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1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73"/>
        </w:trPr>
        <w:tc>
          <w:tcPr>
            <w:tcW w:w="1480" w:type="dxa"/>
            <w:vAlign w:val="bottom"/>
          </w:tcPr>
          <w:p>
            <w:pPr>
              <w:spacing w:after="0"/>
              <w:rPr>
                <w:sz w:val="20"/>
                <w:szCs w:val="20"/>
                <w:color w:val="auto"/>
              </w:rPr>
            </w:pPr>
            <w:r>
              <w:rPr>
                <w:rFonts w:ascii="Arial" w:cs="Arial" w:eastAsia="Arial" w:hAnsi="Arial"/>
                <w:sz w:val="18"/>
                <w:szCs w:val="18"/>
                <w:color w:val="auto"/>
              </w:rPr>
              <w:t>99.1</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Press Release dated August 11, 2016.</w:t>
            </w:r>
          </w:p>
        </w:tc>
      </w:tr>
    </w:tbl>
    <w:p>
      <w:pPr>
        <w:spacing w:after="0" w:line="208"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ITRON, INC.</w:t>
            </w:r>
          </w:p>
        </w:tc>
        <w:tc>
          <w:tcPr>
            <w:tcW w:w="1140" w:type="dxa"/>
            <w:vAlign w:val="bottom"/>
          </w:tcPr>
          <w:p>
            <w:pPr>
              <w:spacing w:after="0"/>
              <w:rPr>
                <w:sz w:val="20"/>
                <w:szCs w:val="20"/>
                <w:color w:val="auto"/>
              </w:rPr>
            </w:pPr>
          </w:p>
        </w:tc>
      </w:tr>
      <w:tr>
        <w:trPr>
          <w:trHeight w:val="493"/>
        </w:trPr>
        <w:tc>
          <w:tcPr>
            <w:tcW w:w="3240" w:type="dxa"/>
            <w:vAlign w:val="bottom"/>
          </w:tcPr>
          <w:p>
            <w:pPr>
              <w:spacing w:after="0"/>
              <w:rPr>
                <w:sz w:val="20"/>
                <w:szCs w:val="20"/>
                <w:color w:val="auto"/>
              </w:rPr>
            </w:pPr>
            <w:r>
              <w:rPr>
                <w:rFonts w:ascii="Arial" w:cs="Arial" w:eastAsia="Arial" w:hAnsi="Arial"/>
                <w:sz w:val="18"/>
                <w:szCs w:val="18"/>
                <w:color w:val="auto"/>
              </w:rPr>
              <w:t>Dated:   August 11, 2016</w:t>
            </w:r>
          </w:p>
        </w:tc>
        <w:tc>
          <w:tcPr>
            <w:tcW w:w="1700" w:type="dxa"/>
            <w:vAlign w:val="bottom"/>
          </w:tcPr>
          <w:p>
            <w:pPr>
              <w:ind w:left="134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W. Mark Schmitz</w:t>
            </w:r>
          </w:p>
        </w:tc>
        <w:tc>
          <w:tcPr>
            <w:tcW w:w="114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W. Mark Schmitz</w:t>
            </w:r>
          </w:p>
        </w:tc>
        <w:tc>
          <w:tcPr>
            <w:tcW w:w="1140" w:type="dxa"/>
            <w:vAlign w:val="bottom"/>
          </w:tcPr>
          <w:p>
            <w:pPr>
              <w:spacing w:after="0"/>
              <w:rPr>
                <w:sz w:val="20"/>
                <w:szCs w:val="20"/>
                <w:color w:val="auto"/>
              </w:rPr>
            </w:pPr>
          </w:p>
        </w:tc>
      </w:tr>
      <w:tr>
        <w:trPr>
          <w:trHeight w:val="242"/>
        </w:trPr>
        <w:tc>
          <w:tcPr>
            <w:tcW w:w="3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1140" w:type="dxa"/>
            <w:vAlign w:val="bottom"/>
          </w:tcPr>
          <w:p>
            <w:pPr>
              <w:spacing w:after="0"/>
              <w:rPr>
                <w:sz w:val="21"/>
                <w:szCs w:val="21"/>
                <w:color w:val="auto"/>
              </w:rPr>
            </w:pPr>
          </w:p>
        </w:tc>
      </w:tr>
      <w:tr>
        <w:trPr>
          <w:trHeight w:val="149"/>
        </w:trPr>
        <w:tc>
          <w:tcPr>
            <w:tcW w:w="32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5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r>
      <w:tr>
        <w:trPr>
          <w:trHeight w:val="21"/>
        </w:trPr>
        <w:tc>
          <w:tcPr>
            <w:tcW w:w="324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53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11, 2016.</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First Quarter 2016 Financial Results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LIBERTY LAKE, Wash.--(BUSINESS WIRE)--August 11, 2016--Itron, Inc. (NASDAQ:ITRI) today announced financial results for its first quarter ended March 31, 2016. A supplemental presentation summarizing the results for the first quarter is also available on the company’s website at www.itron.com. Financial highlights for the quarter include:</w:t>
      </w:r>
    </w:p>
    <w:p>
      <w:pPr>
        <w:spacing w:after="0" w:line="186" w:lineRule="exact"/>
        <w:rPr>
          <w:sz w:val="20"/>
          <w:szCs w:val="20"/>
          <w:color w:val="auto"/>
        </w:rPr>
      </w:pPr>
    </w:p>
    <w:p>
      <w:pPr>
        <w:ind w:left="540" w:right="340"/>
        <w:spacing w:after="0" w:line="251" w:lineRule="auto"/>
        <w:rPr>
          <w:sz w:val="20"/>
          <w:szCs w:val="20"/>
          <w:color w:val="auto"/>
        </w:rPr>
      </w:pPr>
      <w:r>
        <w:rPr>
          <w:rFonts w:ascii="Arial" w:cs="Arial" w:eastAsia="Arial" w:hAnsi="Arial"/>
          <w:sz w:val="22"/>
          <w:szCs w:val="22"/>
          <w:color w:val="auto"/>
        </w:rPr>
        <w:t>Revenues of $498 million, an increase of 11 percent from first quarter 2015, and 15.5 percent excluding foreign exchange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Gross margin of 32.8 percent, an increase of 180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4120"/>
        <w:spacing w:after="0" w:line="459" w:lineRule="auto"/>
        <w:rPr>
          <w:sz w:val="20"/>
          <w:szCs w:val="20"/>
          <w:color w:val="auto"/>
        </w:rPr>
      </w:pPr>
      <w:r>
        <w:rPr>
          <w:rFonts w:ascii="Arial" w:cs="Arial" w:eastAsia="Arial" w:hAnsi="Arial"/>
          <w:sz w:val="19"/>
          <w:szCs w:val="19"/>
          <w:color w:val="auto"/>
        </w:rPr>
        <w:t>GAAP diluted earnings per share of 26 cents, an increase of 85 percent; and Non-GAAP diluted earnings per share of 44 cents, an increase of 100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-469265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-229235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340"/>
        <w:spacing w:after="0" w:line="235" w:lineRule="auto"/>
        <w:rPr>
          <w:sz w:val="20"/>
          <w:szCs w:val="20"/>
          <w:color w:val="auto"/>
        </w:rPr>
      </w:pPr>
      <w:r>
        <w:rPr>
          <w:rFonts w:ascii="Arial" w:cs="Arial" w:eastAsia="Arial" w:hAnsi="Arial"/>
          <w:sz w:val="22"/>
          <w:szCs w:val="22"/>
          <w:color w:val="auto"/>
        </w:rPr>
        <w:t>“Itron’s first quarter results reflect the strong performance that we highlighted in our preliminary business update in May,” said Philip Mezey, Itron’s president and chief executive officer. “We delivered significant financial improvement in the quarter while also making investments in product development to support continued organic growth. Smart grid momentum continues to accelerate, creating more opportunity for Itron’s innovative solutions. I am pleased with the solid execution of our strategic initiatives and our steady operational improvements across all segments, including the benefits we are realizing from our 2014 restructuring projects.”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First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340"/>
        <w:spacing w:after="0" w:line="249" w:lineRule="auto"/>
        <w:rPr>
          <w:sz w:val="20"/>
          <w:szCs w:val="20"/>
          <w:color w:val="auto"/>
        </w:rPr>
      </w:pPr>
      <w:r>
        <w:rPr>
          <w:rFonts w:ascii="Arial" w:cs="Arial" w:eastAsia="Arial" w:hAnsi="Arial"/>
          <w:sz w:val="21"/>
          <w:szCs w:val="21"/>
          <w:color w:val="auto"/>
        </w:rPr>
        <w:t>Total revenue for the quarter grew 11 percent to $498 million compared with $447 million in 2015. Changes in foreign currency exchange rates unfavorably impacted revenue by approximately $16 million for the quarter. Excluding the impact of foreign currency, revenues increased $67 million, or 15.5 percent, with double-digit growth in each business segment driven by a significant increase in product volumes in the U.S. and EMEA regions. Total advanced and smart meter and module shipments increased 28 percent compared with the first quarter of 2015, including:</w:t>
      </w:r>
    </w:p>
    <w:p>
      <w:pPr>
        <w:spacing w:after="0" w:line="179" w:lineRule="exact"/>
        <w:rPr>
          <w:sz w:val="20"/>
          <w:szCs w:val="20"/>
          <w:color w:val="auto"/>
        </w:rPr>
      </w:pPr>
    </w:p>
    <w:p>
      <w:pPr>
        <w:ind w:left="540" w:right="4260"/>
        <w:spacing w:after="0" w:line="358" w:lineRule="auto"/>
        <w:rPr>
          <w:sz w:val="20"/>
          <w:szCs w:val="20"/>
          <w:color w:val="auto"/>
        </w:rPr>
      </w:pPr>
      <w:r>
        <w:rPr>
          <w:rFonts w:ascii="Arial" w:cs="Arial" w:eastAsia="Arial" w:hAnsi="Arial"/>
          <w:sz w:val="22"/>
          <w:szCs w:val="22"/>
          <w:color w:val="auto"/>
        </w:rPr>
        <w:t>The highest volume of electric smart meters shipped in the prior 14 quarters, A record level of gas smart meter shipments,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1540" w:firstLine="540"/>
        <w:spacing w:after="0" w:line="435" w:lineRule="auto"/>
        <w:rPr>
          <w:sz w:val="20"/>
          <w:szCs w:val="20"/>
          <w:color w:val="auto"/>
        </w:rPr>
      </w:pPr>
      <w:r>
        <w:rPr>
          <w:rFonts w:ascii="Arial" w:cs="Arial" w:eastAsia="Arial" w:hAnsi="Arial"/>
          <w:sz w:val="22"/>
          <w:szCs w:val="22"/>
          <w:color w:val="auto"/>
        </w:rPr>
        <w:t xml:space="preserve">A 16.5 percent increase in smart water meter and module shipments compared with the first quarter of 2015 </w:t>
      </w:r>
      <w:r>
        <w:rPr>
          <w:rFonts w:ascii="Arial" w:cs="Arial" w:eastAsia="Arial" w:hAnsi="Arial"/>
          <w:sz w:val="22"/>
          <w:szCs w:val="22"/>
          <w:u w:val="single" w:color="auto"/>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-520700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580"/>
        <w:spacing w:after="0"/>
        <w:rPr>
          <w:sz w:val="20"/>
          <w:szCs w:val="20"/>
          <w:color w:val="auto"/>
        </w:rPr>
      </w:pPr>
      <w:r>
        <w:rPr>
          <w:rFonts w:ascii="Arial" w:cs="Arial" w:eastAsia="Arial" w:hAnsi="Arial"/>
          <w:sz w:val="22"/>
          <w:szCs w:val="22"/>
          <w:color w:val="auto"/>
        </w:rPr>
        <w:t>Gross margin for the quarter increased to 32.8 percent compared with the prior year period margin of 31.0 percent. The improvement in gross margin was driven by increased volumes, favorable product mix, manufacturing efficiencies and lower special warranty costs in the Water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Operating Expenses</w:t>
      </w:r>
    </w:p>
    <w:p>
      <w:pPr>
        <w:spacing w:after="0" w:line="20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Operating expenses for the quarter were $140 million compared with $125 million in 2015. The increase was primarily driven by increased investments in product development and higher general and administrative (G&amp;A) costs. G&amp;A increased due to the settlement of a litigation matter and additional professional fees associated with the company’s review of software related revenue recognition and revision of previously issued financial statements in the 2015 Annual Report on Form 10-K. In addition, restructuring costs were lower in the prior year period as a result of an expense reversal. Non-GAAP operating expenses were $131 million, an increase of $11 million compared with 2015, primarily due to higher general and administrative and product development costs.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GAAP Operating Income, Net Income, Earnings per Share</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GAAP operating income improved to $24 million for the quarter compared with $13 million in 2015. Net income for the quarter was $10 million, or 26 cents per diluted share, compared with $5 million, or 14 cents per diluted share in the prior year period. The increases in operating income and net income for the quarter reflected the strong performance in revenue and gross margin.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Operating Income, Net Income, Earnings per Share</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Non-GAAP operating income improved to $32 million for the quarter compared with $19 million in 2015. Non-GAAP net income for the quarter was $17 million, or 44 cents per diluted share, compared with $9 million, or 22 cents per diluted share in the prior year period. The increases in non-GAAP operating and net income for the quarter reflected the strong performance in revenue and gross margin.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Net cash provided by operating activities was $34 million in the first quarter of 2016 compared to a use of $4 million in 2015. Free cash flow for the quarter increased to $25 million compared with negative $13 million in the prior year quarter. The increase from the prior year was driven by lower cash payments related to taxes, a legal matter settled in the prior year and lower variable compensation disbursements in 2016.</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580"/>
        <w:spacing w:after="0" w:line="274" w:lineRule="auto"/>
        <w:rPr>
          <w:sz w:val="20"/>
          <w:szCs w:val="20"/>
          <w:color w:val="auto"/>
        </w:rPr>
      </w:pPr>
      <w:r>
        <w:rPr>
          <w:rFonts w:ascii="Arial" w:cs="Arial" w:eastAsia="Arial" w:hAnsi="Arial"/>
          <w:sz w:val="21"/>
          <w:szCs w:val="21"/>
          <w:color w:val="auto"/>
        </w:rPr>
        <w:t>Total backlog was $1.5 billion and twelve-month backlog was $785 million at the end of the quarter. Bookings in the quarter totaled $394 million, reflecting a number of diverse bookings in all segments across many customers.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Update on Forms 10-Q Filings and Second Quarter 2016 Earnings Conference Call</w:t>
      </w:r>
    </w:p>
    <w:p>
      <w:pPr>
        <w:spacing w:after="0" w:line="212"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color w:val="auto"/>
        </w:rPr>
        <w:t>On Aug. 4, 2016 Itron filed a Form 12b-25, Notification of Late Filing, with the SEC related to the company’s Form 10-Q for the second quarter. The company expects to file its Forms 10-Q for the first and second quarters and host a conference call to discuss financial results, financial guidance for the full year and provide an operational update no later than Sept.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Itron® is a registered trademark of Itron,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the timing of our second quarter Form 10-Q filing, business update and conference call as well as our expectations about operations, financial performance, sales, earnings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the timing and ability to regain compliance with the reporting obligations of the Securities and Exchange Commission within any exemption period granted by NASDAQ,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2015 and other reports on file with the Securities and Exchange Commission. Itron undertakes no obligation to update or revise any information in this press release.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restructuring and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6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34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100" w:type="dxa"/>
            <w:vAlign w:val="bottom"/>
          </w:tcPr>
          <w:p>
            <w:pPr>
              <w:spacing w:after="0"/>
              <w:rPr>
                <w:sz w:val="20"/>
                <w:szCs w:val="20"/>
                <w:color w:val="auto"/>
              </w:rPr>
            </w:pPr>
            <w:r>
              <w:rPr>
                <w:rFonts w:ascii="Arial" w:cs="Arial" w:eastAsia="Arial" w:hAnsi="Arial"/>
                <w:sz w:val="14"/>
                <w:szCs w:val="14"/>
                <w:color w:val="auto"/>
              </w:rPr>
              <w:t>Revenues</w:t>
            </w:r>
          </w:p>
        </w:tc>
        <w:tc>
          <w:tcPr>
            <w:tcW w:w="132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497,590</w:t>
            </w:r>
          </w:p>
        </w:tc>
        <w:tc>
          <w:tcPr>
            <w:tcW w:w="134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446,746</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Cost of revenues</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334,387</w:t>
            </w: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308,324</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Arial" w:cs="Arial" w:eastAsia="Arial" w:hAnsi="Arial"/>
                <w:sz w:val="14"/>
                <w:szCs w:val="14"/>
                <w:color w:val="auto"/>
              </w:rPr>
              <w:t>Gross profit</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163,203</w:t>
            </w:r>
          </w:p>
        </w:tc>
        <w:tc>
          <w:tcPr>
            <w:tcW w:w="13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138,422</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Operating expenses</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40,767</w:t>
            </w:r>
          </w:p>
        </w:tc>
        <w:tc>
          <w:tcPr>
            <w:tcW w:w="13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41,027</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45,346</w:t>
            </w:r>
          </w:p>
        </w:tc>
        <w:tc>
          <w:tcPr>
            <w:tcW w:w="13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41,522</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45,069</w:t>
            </w:r>
          </w:p>
        </w:tc>
        <w:tc>
          <w:tcPr>
            <w:tcW w:w="13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39,585</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6,210</w:t>
            </w:r>
          </w:p>
        </w:tc>
        <w:tc>
          <w:tcPr>
            <w:tcW w:w="13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Restructuring</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2,237</w:t>
            </w: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69"/>
        </w:trPr>
        <w:tc>
          <w:tcPr>
            <w:tcW w:w="710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139,629</w:t>
            </w: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124,926</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Operating income</w:t>
            </w:r>
          </w:p>
        </w:tc>
        <w:tc>
          <w:tcPr>
            <w:tcW w:w="1320" w:type="dxa"/>
            <w:vAlign w:val="bottom"/>
          </w:tcPr>
          <w:p>
            <w:pPr>
              <w:spacing w:after="0"/>
              <w:rPr>
                <w:sz w:val="24"/>
                <w:szCs w:val="2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23,574</w:t>
            </w:r>
          </w:p>
        </w:tc>
        <w:tc>
          <w:tcPr>
            <w:tcW w:w="1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13,496</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Arial" w:cs="Arial" w:eastAsia="Arial" w:hAnsi="Arial"/>
                <w:sz w:val="14"/>
                <w:szCs w:val="14"/>
                <w:color w:val="auto"/>
              </w:rPr>
              <w:t>Other income (expense)</w:t>
            </w: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271</w:t>
            </w:r>
          </w:p>
        </w:tc>
        <w:tc>
          <w:tcPr>
            <w:tcW w:w="1340" w:type="dxa"/>
            <w:vAlign w:val="bottom"/>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6"/>
        </w:trPr>
        <w:tc>
          <w:tcPr>
            <w:tcW w:w="71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3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(2,918)</w:t>
            </w:r>
          </w:p>
        </w:tc>
        <w:tc>
          <w:tcPr>
            <w:tcW w:w="134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(1,517)</w:t>
            </w: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7100" w:type="dxa"/>
            <w:vAlign w:val="bottom"/>
          </w:tcPr>
          <w:p>
            <w:pPr>
              <w:ind w:left="380"/>
              <w:spacing w:after="0"/>
              <w:rPr>
                <w:sz w:val="20"/>
                <w:szCs w:val="20"/>
                <w:color w:val="auto"/>
              </w:rPr>
            </w:pPr>
            <w:r>
              <w:rPr>
                <w:rFonts w:ascii="Arial" w:cs="Arial" w:eastAsia="Arial" w:hAnsi="Arial"/>
                <w:sz w:val="14"/>
                <w:szCs w:val="14"/>
                <w:color w:val="auto"/>
              </w:rPr>
              <w:t>Total other income (expense)</w:t>
            </w: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(4,164)</w:t>
            </w:r>
          </w:p>
        </w:tc>
        <w:tc>
          <w:tcPr>
            <w:tcW w:w="1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339"/>
        </w:trPr>
        <w:tc>
          <w:tcPr>
            <w:tcW w:w="71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320" w:type="dxa"/>
            <w:vAlign w:val="bottom"/>
          </w:tcPr>
          <w:p>
            <w:pPr>
              <w:spacing w:after="0"/>
              <w:rPr>
                <w:sz w:val="24"/>
                <w:szCs w:val="2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19,410</w:t>
            </w:r>
          </w:p>
        </w:tc>
        <w:tc>
          <w:tcPr>
            <w:tcW w:w="1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10,883</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Income tax provision</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(8,626)</w:t>
            </w: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164"/>
        </w:trPr>
        <w:tc>
          <w:tcPr>
            <w:tcW w:w="7100" w:type="dxa"/>
            <w:vAlign w:val="bottom"/>
          </w:tcPr>
          <w:p>
            <w:pPr>
              <w:spacing w:after="0"/>
              <w:rPr>
                <w:sz w:val="20"/>
                <w:szCs w:val="20"/>
                <w:color w:val="auto"/>
              </w:rPr>
            </w:pPr>
            <w:r>
              <w:rPr>
                <w:rFonts w:ascii="Arial" w:cs="Arial" w:eastAsia="Arial" w:hAnsi="Arial"/>
                <w:sz w:val="14"/>
                <w:szCs w:val="14"/>
                <w:color w:val="auto"/>
              </w:rPr>
              <w:t>Net income</w:t>
            </w:r>
          </w:p>
        </w:tc>
        <w:tc>
          <w:tcPr>
            <w:tcW w:w="132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10,784</w:t>
            </w:r>
          </w:p>
        </w:tc>
        <w:tc>
          <w:tcPr>
            <w:tcW w:w="1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5,853</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695</w:t>
            </w: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69"/>
        </w:trPr>
        <w:tc>
          <w:tcPr>
            <w:tcW w:w="710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13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10,089</w:t>
            </w:r>
          </w:p>
        </w:tc>
        <w:tc>
          <w:tcPr>
            <w:tcW w:w="134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10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13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0.27</w:t>
            </w:r>
          </w:p>
        </w:tc>
        <w:tc>
          <w:tcPr>
            <w:tcW w:w="134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320" w:type="dxa"/>
            <w:vAlign w:val="bottom"/>
            <w:tcBorders>
              <w:bottom w:val="single" w:sz="8" w:color="auto"/>
            </w:tcBorders>
          </w:tcPr>
          <w:p>
            <w:pPr>
              <w:jc w:val="right"/>
              <w:ind w:right="988"/>
              <w:spacing w:after="0" w:line="156"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0.26</w:t>
            </w:r>
          </w:p>
        </w:tc>
        <w:tc>
          <w:tcPr>
            <w:tcW w:w="1340" w:type="dxa"/>
            <w:vAlign w:val="bottom"/>
            <w:tcBorders>
              <w:bottom w:val="single" w:sz="8" w:color="auto"/>
            </w:tcBorders>
          </w:tcPr>
          <w:p>
            <w:pPr>
              <w:jc w:val="right"/>
              <w:ind w:right="100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0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1320" w:type="dxa"/>
            <w:vAlign w:val="bottom"/>
          </w:tcPr>
          <w:p>
            <w:pPr>
              <w:spacing w:after="0"/>
              <w:rPr>
                <w:sz w:val="24"/>
                <w:szCs w:val="2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38,059</w:t>
            </w:r>
          </w:p>
        </w:tc>
        <w:tc>
          <w:tcPr>
            <w:tcW w:w="1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38,442</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132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38,376</w:t>
            </w:r>
          </w:p>
        </w:tc>
        <w:tc>
          <w:tcPr>
            <w:tcW w:w="13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38,758</w:t>
            </w:r>
          </w:p>
        </w:tc>
        <w:tc>
          <w:tcPr>
            <w:tcW w:w="0" w:type="dxa"/>
            <w:vAlign w:val="bottom"/>
          </w:tcPr>
          <w:p>
            <w:pPr>
              <w:spacing w:after="0"/>
              <w:rPr>
                <w:sz w:val="1"/>
                <w:szCs w:val="1"/>
                <w:color w:val="auto"/>
              </w:rPr>
            </w:pPr>
          </w:p>
        </w:tc>
      </w:tr>
      <w:tr>
        <w:trPr>
          <w:trHeight w:val="309"/>
        </w:trPr>
        <w:tc>
          <w:tcPr>
            <w:tcW w:w="7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38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ITRON, INC.</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60" w:type="dxa"/>
            <w:vAlign w:val="bottom"/>
            <w:vMerge w:val="restart"/>
          </w:tcPr>
          <w:p>
            <w:pPr>
              <w:spacing w:after="0"/>
              <w:rPr>
                <w:sz w:val="20"/>
                <w:szCs w:val="20"/>
                <w:color w:val="auto"/>
              </w:rPr>
            </w:pPr>
            <w:r>
              <w:rPr>
                <w:rFonts w:ascii="Arial" w:cs="Arial" w:eastAsia="Arial" w:hAnsi="Arial"/>
                <w:sz w:val="14"/>
                <w:szCs w:val="14"/>
                <w:color w:val="auto"/>
              </w:rPr>
              <w:t>(Unaudited, in thousands)</w:t>
            </w:r>
          </w:p>
        </w:tc>
        <w:tc>
          <w:tcPr>
            <w:tcW w:w="38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SEGMENT INFORMATION</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9"/>
              </w:rPr>
              <w:t>Three Months Ended March 31,</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38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Electricity</w:t>
            </w:r>
          </w:p>
        </w:tc>
        <w:tc>
          <w:tcPr>
            <w:tcW w:w="3840" w:type="dxa"/>
            <w:vAlign w:val="bottom"/>
            <w:gridSpan w:val="2"/>
          </w:tcPr>
          <w:p>
            <w:pPr>
              <w:jc w:val="right"/>
              <w:ind w:right="1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217,295</w:t>
            </w:r>
          </w:p>
        </w:tc>
        <w:tc>
          <w:tcPr>
            <w:tcW w:w="11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191,840</w:t>
            </w: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Gas</w:t>
            </w: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139,256</w:t>
            </w:r>
          </w:p>
        </w:tc>
        <w:tc>
          <w:tcPr>
            <w:tcW w:w="1120" w:type="dxa"/>
            <w:vAlign w:val="bottom"/>
          </w:tcPr>
          <w:p>
            <w:pPr>
              <w:spacing w:after="0"/>
              <w:rPr>
                <w:sz w:val="15"/>
                <w:szCs w:val="15"/>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125,081</w:t>
            </w:r>
          </w:p>
        </w:tc>
        <w:tc>
          <w:tcPr>
            <w:tcW w:w="0" w:type="dxa"/>
            <w:vAlign w:val="bottom"/>
          </w:tcPr>
          <w:p>
            <w:pPr>
              <w:spacing w:after="0"/>
              <w:rPr>
                <w:sz w:val="1"/>
                <w:szCs w:val="1"/>
                <w:color w:val="auto"/>
              </w:rPr>
            </w:pPr>
          </w:p>
        </w:tc>
      </w:tr>
      <w:tr>
        <w:trPr>
          <w:trHeight w:val="181"/>
        </w:trPr>
        <w:tc>
          <w:tcPr>
            <w:tcW w:w="3860" w:type="dxa"/>
            <w:vAlign w:val="bottom"/>
          </w:tcPr>
          <w:p>
            <w:pPr>
              <w:ind w:left="380"/>
              <w:spacing w:after="0"/>
              <w:rPr>
                <w:sz w:val="20"/>
                <w:szCs w:val="20"/>
                <w:color w:val="auto"/>
              </w:rPr>
            </w:pPr>
            <w:r>
              <w:rPr>
                <w:rFonts w:ascii="Arial" w:cs="Arial" w:eastAsia="Arial" w:hAnsi="Arial"/>
                <w:sz w:val="14"/>
                <w:szCs w:val="14"/>
                <w:color w:val="auto"/>
              </w:rPr>
              <w:t>Water</w:t>
            </w: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141,039</w:t>
            </w:r>
          </w:p>
        </w:tc>
        <w:tc>
          <w:tcPr>
            <w:tcW w:w="1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129,825</w:t>
            </w:r>
          </w:p>
        </w:tc>
        <w:tc>
          <w:tcPr>
            <w:tcW w:w="0" w:type="dxa"/>
            <w:vAlign w:val="bottom"/>
          </w:tcPr>
          <w:p>
            <w:pPr>
              <w:spacing w:after="0"/>
              <w:rPr>
                <w:sz w:val="1"/>
                <w:szCs w:val="1"/>
                <w:color w:val="auto"/>
              </w:rPr>
            </w:pPr>
          </w:p>
        </w:tc>
      </w:tr>
      <w:tr>
        <w:trPr>
          <w:trHeight w:val="169"/>
        </w:trPr>
        <w:tc>
          <w:tcPr>
            <w:tcW w:w="3860" w:type="dxa"/>
            <w:vAlign w:val="bottom"/>
          </w:tcPr>
          <w:p>
            <w:pPr>
              <w:ind w:left="1960"/>
              <w:spacing w:after="0"/>
              <w:rPr>
                <w:sz w:val="20"/>
                <w:szCs w:val="20"/>
                <w:color w:val="auto"/>
              </w:rPr>
            </w:pPr>
            <w:r>
              <w:rPr>
                <w:rFonts w:ascii="Arial" w:cs="Arial" w:eastAsia="Arial" w:hAnsi="Arial"/>
                <w:sz w:val="14"/>
                <w:szCs w:val="14"/>
                <w:color w:val="auto"/>
              </w:rPr>
              <w:t>Total Company</w:t>
            </w:r>
          </w:p>
        </w:tc>
        <w:tc>
          <w:tcPr>
            <w:tcW w:w="2300" w:type="dxa"/>
            <w:vAlign w:val="bottom"/>
          </w:tcPr>
          <w:p>
            <w:pPr>
              <w:spacing w:after="0"/>
              <w:rPr>
                <w:sz w:val="14"/>
                <w:szCs w:val="14"/>
                <w:color w:val="auto"/>
              </w:rPr>
            </w:pPr>
          </w:p>
        </w:tc>
        <w:tc>
          <w:tcPr>
            <w:tcW w:w="154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497,590</w:t>
            </w:r>
          </w:p>
        </w:tc>
        <w:tc>
          <w:tcPr>
            <w:tcW w:w="1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446,746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Electricity</w:t>
            </w:r>
          </w:p>
        </w:tc>
        <w:tc>
          <w:tcPr>
            <w:tcW w:w="3840" w:type="dxa"/>
            <w:vAlign w:val="bottom"/>
            <w:gridSpan w:val="2"/>
          </w:tcPr>
          <w:p>
            <w:pPr>
              <w:jc w:val="right"/>
              <w:ind w:right="1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64,586</w:t>
            </w:r>
          </w:p>
        </w:tc>
        <w:tc>
          <w:tcPr>
            <w:tcW w:w="11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54,204</w:t>
            </w: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Gas</w:t>
            </w: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48,577</w:t>
            </w:r>
          </w:p>
        </w:tc>
        <w:tc>
          <w:tcPr>
            <w:tcW w:w="1120" w:type="dxa"/>
            <w:vAlign w:val="bottom"/>
          </w:tcPr>
          <w:p>
            <w:pPr>
              <w:spacing w:after="0"/>
              <w:rPr>
                <w:sz w:val="15"/>
                <w:szCs w:val="15"/>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44,037</w:t>
            </w:r>
          </w:p>
        </w:tc>
        <w:tc>
          <w:tcPr>
            <w:tcW w:w="0" w:type="dxa"/>
            <w:vAlign w:val="bottom"/>
          </w:tcPr>
          <w:p>
            <w:pPr>
              <w:spacing w:after="0"/>
              <w:rPr>
                <w:sz w:val="1"/>
                <w:szCs w:val="1"/>
                <w:color w:val="auto"/>
              </w:rPr>
            </w:pPr>
          </w:p>
        </w:tc>
      </w:tr>
      <w:tr>
        <w:trPr>
          <w:trHeight w:val="181"/>
        </w:trPr>
        <w:tc>
          <w:tcPr>
            <w:tcW w:w="3860" w:type="dxa"/>
            <w:vAlign w:val="bottom"/>
          </w:tcPr>
          <w:p>
            <w:pPr>
              <w:ind w:left="380"/>
              <w:spacing w:after="0"/>
              <w:rPr>
                <w:sz w:val="20"/>
                <w:szCs w:val="20"/>
                <w:color w:val="auto"/>
              </w:rPr>
            </w:pPr>
            <w:r>
              <w:rPr>
                <w:rFonts w:ascii="Arial" w:cs="Arial" w:eastAsia="Arial" w:hAnsi="Arial"/>
                <w:sz w:val="14"/>
                <w:szCs w:val="14"/>
                <w:color w:val="auto"/>
              </w:rPr>
              <w:t>Water</w:t>
            </w: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50,040</w:t>
            </w:r>
          </w:p>
        </w:tc>
        <w:tc>
          <w:tcPr>
            <w:tcW w:w="1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40,181</w:t>
            </w:r>
          </w:p>
        </w:tc>
        <w:tc>
          <w:tcPr>
            <w:tcW w:w="0" w:type="dxa"/>
            <w:vAlign w:val="bottom"/>
          </w:tcPr>
          <w:p>
            <w:pPr>
              <w:spacing w:after="0"/>
              <w:rPr>
                <w:sz w:val="1"/>
                <w:szCs w:val="1"/>
                <w:color w:val="auto"/>
              </w:rPr>
            </w:pPr>
          </w:p>
        </w:tc>
      </w:tr>
      <w:tr>
        <w:trPr>
          <w:trHeight w:val="169"/>
        </w:trPr>
        <w:tc>
          <w:tcPr>
            <w:tcW w:w="3860" w:type="dxa"/>
            <w:vAlign w:val="bottom"/>
          </w:tcPr>
          <w:p>
            <w:pPr>
              <w:ind w:left="1960"/>
              <w:spacing w:after="0"/>
              <w:rPr>
                <w:sz w:val="20"/>
                <w:szCs w:val="20"/>
                <w:color w:val="auto"/>
              </w:rPr>
            </w:pPr>
            <w:r>
              <w:rPr>
                <w:rFonts w:ascii="Arial" w:cs="Arial" w:eastAsia="Arial" w:hAnsi="Arial"/>
                <w:sz w:val="14"/>
                <w:szCs w:val="14"/>
                <w:color w:val="auto"/>
              </w:rPr>
              <w:t>Total Company</w:t>
            </w:r>
          </w:p>
        </w:tc>
        <w:tc>
          <w:tcPr>
            <w:tcW w:w="2300" w:type="dxa"/>
            <w:vAlign w:val="bottom"/>
          </w:tcPr>
          <w:p>
            <w:pPr>
              <w:spacing w:after="0"/>
              <w:rPr>
                <w:sz w:val="14"/>
                <w:szCs w:val="14"/>
                <w:color w:val="auto"/>
              </w:rPr>
            </w:pPr>
          </w:p>
        </w:tc>
        <w:tc>
          <w:tcPr>
            <w:tcW w:w="154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163,203</w:t>
            </w:r>
          </w:p>
        </w:tc>
        <w:tc>
          <w:tcPr>
            <w:tcW w:w="1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138,422</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2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Electricity</w:t>
            </w:r>
          </w:p>
        </w:tc>
        <w:tc>
          <w:tcPr>
            <w:tcW w:w="3840" w:type="dxa"/>
            <w:vAlign w:val="bottom"/>
            <w:gridSpan w:val="2"/>
          </w:tcPr>
          <w:p>
            <w:pPr>
              <w:jc w:val="right"/>
              <w:ind w:right="1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10,632</w:t>
            </w:r>
          </w:p>
        </w:tc>
        <w:tc>
          <w:tcPr>
            <w:tcW w:w="11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Gas</w:t>
            </w: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16,299</w:t>
            </w:r>
          </w:p>
        </w:tc>
        <w:tc>
          <w:tcPr>
            <w:tcW w:w="1120" w:type="dxa"/>
            <w:vAlign w:val="bottom"/>
          </w:tcPr>
          <w:p>
            <w:pPr>
              <w:spacing w:after="0"/>
              <w:rPr>
                <w:sz w:val="15"/>
                <w:szCs w:val="15"/>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14,491</w:t>
            </w: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Water</w:t>
            </w: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18,076</w:t>
            </w:r>
          </w:p>
        </w:tc>
        <w:tc>
          <w:tcPr>
            <w:tcW w:w="1120" w:type="dxa"/>
            <w:vAlign w:val="bottom"/>
          </w:tcPr>
          <w:p>
            <w:pPr>
              <w:spacing w:after="0"/>
              <w:rPr>
                <w:sz w:val="15"/>
                <w:szCs w:val="15"/>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8,715</w:t>
            </w:r>
          </w:p>
        </w:tc>
        <w:tc>
          <w:tcPr>
            <w:tcW w:w="0" w:type="dxa"/>
            <w:vAlign w:val="bottom"/>
          </w:tcPr>
          <w:p>
            <w:pPr>
              <w:spacing w:after="0"/>
              <w:rPr>
                <w:sz w:val="1"/>
                <w:szCs w:val="1"/>
                <w:color w:val="auto"/>
              </w:rPr>
            </w:pPr>
          </w:p>
        </w:tc>
      </w:tr>
      <w:tr>
        <w:trPr>
          <w:trHeight w:val="181"/>
        </w:trPr>
        <w:tc>
          <w:tcPr>
            <w:tcW w:w="3860" w:type="dxa"/>
            <w:vAlign w:val="bottom"/>
          </w:tcPr>
          <w:p>
            <w:pPr>
              <w:ind w:left="380"/>
              <w:spacing w:after="0"/>
              <w:rPr>
                <w:sz w:val="20"/>
                <w:szCs w:val="20"/>
                <w:color w:val="auto"/>
              </w:rPr>
            </w:pPr>
            <w:r>
              <w:rPr>
                <w:rFonts w:ascii="Arial" w:cs="Arial" w:eastAsia="Arial" w:hAnsi="Arial"/>
                <w:sz w:val="14"/>
                <w:szCs w:val="14"/>
                <w:color w:val="auto"/>
              </w:rPr>
              <w:t>Corporate unallocated</w:t>
            </w: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(21,433)</w:t>
            </w:r>
          </w:p>
        </w:tc>
        <w:tc>
          <w:tcPr>
            <w:tcW w:w="1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(10,824)</w:t>
            </w:r>
          </w:p>
        </w:tc>
        <w:tc>
          <w:tcPr>
            <w:tcW w:w="0" w:type="dxa"/>
            <w:vAlign w:val="bottom"/>
          </w:tcPr>
          <w:p>
            <w:pPr>
              <w:spacing w:after="0"/>
              <w:rPr>
                <w:sz w:val="1"/>
                <w:szCs w:val="1"/>
                <w:color w:val="auto"/>
              </w:rPr>
            </w:pPr>
          </w:p>
        </w:tc>
      </w:tr>
      <w:tr>
        <w:trPr>
          <w:trHeight w:val="169"/>
        </w:trPr>
        <w:tc>
          <w:tcPr>
            <w:tcW w:w="3860" w:type="dxa"/>
            <w:vAlign w:val="bottom"/>
          </w:tcPr>
          <w:p>
            <w:pPr>
              <w:ind w:left="1960"/>
              <w:spacing w:after="0"/>
              <w:rPr>
                <w:sz w:val="20"/>
                <w:szCs w:val="20"/>
                <w:color w:val="auto"/>
              </w:rPr>
            </w:pPr>
            <w:r>
              <w:rPr>
                <w:rFonts w:ascii="Arial" w:cs="Arial" w:eastAsia="Arial" w:hAnsi="Arial"/>
                <w:sz w:val="14"/>
                <w:szCs w:val="14"/>
                <w:color w:val="auto"/>
              </w:rPr>
              <w:t>Total Company</w:t>
            </w:r>
          </w:p>
        </w:tc>
        <w:tc>
          <w:tcPr>
            <w:tcW w:w="2300" w:type="dxa"/>
            <w:vAlign w:val="bottom"/>
          </w:tcPr>
          <w:p>
            <w:pPr>
              <w:spacing w:after="0"/>
              <w:rPr>
                <w:sz w:val="14"/>
                <w:szCs w:val="14"/>
                <w:color w:val="auto"/>
              </w:rPr>
            </w:pPr>
          </w:p>
        </w:tc>
        <w:tc>
          <w:tcPr>
            <w:tcW w:w="154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23,574</w:t>
            </w:r>
          </w:p>
        </w:tc>
        <w:tc>
          <w:tcPr>
            <w:tcW w:w="1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13,496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60" w:type="dxa"/>
            <w:vAlign w:val="bottom"/>
            <w:vMerge w:val="restart"/>
          </w:tcPr>
          <w:p>
            <w:pPr>
              <w:spacing w:after="0"/>
              <w:rPr>
                <w:sz w:val="20"/>
                <w:szCs w:val="20"/>
                <w:color w:val="auto"/>
              </w:rPr>
            </w:pPr>
            <w:r>
              <w:rPr>
                <w:rFonts w:ascii="Arial" w:cs="Arial" w:eastAsia="Arial" w:hAnsi="Arial"/>
                <w:sz w:val="14"/>
                <w:szCs w:val="14"/>
                <w:color w:val="auto"/>
              </w:rPr>
              <w:t>(Units in thousands)</w:t>
            </w:r>
          </w:p>
        </w:tc>
        <w:tc>
          <w:tcPr>
            <w:tcW w:w="38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METER AND MODULE SUMMARY</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9"/>
              </w:rPr>
              <w:t>Three Months Ended March 31,</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386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380"/>
              <w:spacing w:after="0"/>
              <w:rPr>
                <w:sz w:val="20"/>
                <w:szCs w:val="20"/>
                <w:color w:val="auto"/>
              </w:rPr>
            </w:pPr>
            <w:r>
              <w:rPr>
                <w:rFonts w:ascii="Arial" w:cs="Arial" w:eastAsia="Arial" w:hAnsi="Arial"/>
                <w:sz w:val="14"/>
                <w:szCs w:val="14"/>
                <w:color w:val="auto"/>
              </w:rPr>
              <w:t>Standard</w:t>
            </w:r>
          </w:p>
        </w:tc>
        <w:tc>
          <w:tcPr>
            <w:tcW w:w="2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4,370</w:t>
            </w:r>
          </w:p>
        </w:tc>
        <w:tc>
          <w:tcPr>
            <w:tcW w:w="1120" w:type="dxa"/>
            <w:vAlign w:val="bottom"/>
          </w:tcPr>
          <w:p>
            <w:pPr>
              <w:spacing w:after="0"/>
              <w:rPr>
                <w:sz w:val="15"/>
                <w:szCs w:val="15"/>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4,740</w:t>
            </w:r>
          </w:p>
        </w:tc>
        <w:tc>
          <w:tcPr>
            <w:tcW w:w="0" w:type="dxa"/>
            <w:vAlign w:val="bottom"/>
          </w:tcPr>
          <w:p>
            <w:pPr>
              <w:spacing w:after="0"/>
              <w:rPr>
                <w:sz w:val="1"/>
                <w:szCs w:val="1"/>
                <w:color w:val="auto"/>
              </w:rPr>
            </w:pPr>
          </w:p>
        </w:tc>
      </w:tr>
      <w:tr>
        <w:trPr>
          <w:trHeight w:val="181"/>
        </w:trPr>
        <w:tc>
          <w:tcPr>
            <w:tcW w:w="3860" w:type="dxa"/>
            <w:vAlign w:val="bottom"/>
          </w:tcPr>
          <w:p>
            <w:pPr>
              <w:ind w:left="380"/>
              <w:spacing w:after="0"/>
              <w:rPr>
                <w:sz w:val="20"/>
                <w:szCs w:val="20"/>
                <w:color w:val="auto"/>
              </w:rPr>
            </w:pPr>
            <w:r>
              <w:rPr>
                <w:rFonts w:ascii="Arial" w:cs="Arial" w:eastAsia="Arial" w:hAnsi="Arial"/>
                <w:sz w:val="14"/>
                <w:szCs w:val="14"/>
                <w:color w:val="auto"/>
              </w:rPr>
              <w:t>Advanced and Smart</w:t>
            </w: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2,190</w:t>
            </w:r>
          </w:p>
        </w:tc>
        <w:tc>
          <w:tcPr>
            <w:tcW w:w="1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169"/>
        </w:trPr>
        <w:tc>
          <w:tcPr>
            <w:tcW w:w="3860" w:type="dxa"/>
            <w:vAlign w:val="bottom"/>
          </w:tcPr>
          <w:p>
            <w:pPr>
              <w:ind w:left="1960"/>
              <w:spacing w:after="0"/>
              <w:rPr>
                <w:sz w:val="20"/>
                <w:szCs w:val="20"/>
                <w:color w:val="auto"/>
              </w:rPr>
            </w:pPr>
            <w:r>
              <w:rPr>
                <w:rFonts w:ascii="Arial" w:cs="Arial" w:eastAsia="Arial" w:hAnsi="Arial"/>
                <w:sz w:val="14"/>
                <w:szCs w:val="14"/>
                <w:color w:val="auto"/>
              </w:rPr>
              <w:t>Total meters</w:t>
            </w:r>
          </w:p>
        </w:tc>
        <w:tc>
          <w:tcPr>
            <w:tcW w:w="23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6,560</w:t>
            </w:r>
          </w:p>
        </w:tc>
        <w:tc>
          <w:tcPr>
            <w:tcW w:w="1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2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60" w:type="dxa"/>
            <w:vAlign w:val="bottom"/>
          </w:tcPr>
          <w:p>
            <w:pPr>
              <w:ind w:left="1960"/>
              <w:spacing w:after="0"/>
              <w:rPr>
                <w:sz w:val="20"/>
                <w:szCs w:val="20"/>
                <w:color w:val="auto"/>
              </w:rPr>
            </w:pPr>
            <w:r>
              <w:rPr>
                <w:rFonts w:ascii="Arial" w:cs="Arial" w:eastAsia="Arial" w:hAnsi="Arial"/>
                <w:sz w:val="14"/>
                <w:szCs w:val="14"/>
                <w:color w:val="auto"/>
              </w:rPr>
              <w:t>Advanced and Smart</w:t>
            </w:r>
          </w:p>
        </w:tc>
        <w:tc>
          <w:tcPr>
            <w:tcW w:w="23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1,460</w:t>
            </w:r>
          </w:p>
        </w:tc>
        <w:tc>
          <w:tcPr>
            <w:tcW w:w="1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86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60" w:type="dxa"/>
            <w:vAlign w:val="bottom"/>
          </w:tcPr>
          <w:p>
            <w:pPr>
              <w:spacing w:after="0"/>
              <w:rPr>
                <w:sz w:val="15"/>
                <w:szCs w:val="15"/>
                <w:color w:val="auto"/>
              </w:rPr>
            </w:pPr>
          </w:p>
        </w:tc>
        <w:tc>
          <w:tcPr>
            <w:tcW w:w="190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March 31, 2016</w:t>
            </w:r>
          </w:p>
        </w:tc>
        <w:tc>
          <w:tcPr>
            <w:tcW w:w="600" w:type="dxa"/>
            <w:vAlign w:val="bottom"/>
          </w:tcPr>
          <w:p>
            <w:pPr>
              <w:spacing w:after="0"/>
              <w:rPr>
                <w:sz w:val="15"/>
                <w:szCs w:val="15"/>
                <w:color w:val="auto"/>
              </w:rPr>
            </w:pPr>
          </w:p>
        </w:tc>
        <w:tc>
          <w:tcPr>
            <w:tcW w:w="226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74"/>
        </w:trPr>
        <w:tc>
          <w:tcPr>
            <w:tcW w:w="6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200" w:type="dxa"/>
            <w:vAlign w:val="bottom"/>
          </w:tcPr>
          <w:p>
            <w:pPr>
              <w:ind w:left="2760"/>
              <w:spacing w:after="0"/>
              <w:rPr>
                <w:sz w:val="20"/>
                <w:szCs w:val="20"/>
                <w:color w:val="auto"/>
              </w:rPr>
            </w:pPr>
            <w:r>
              <w:rPr>
                <w:rFonts w:ascii="Arial" w:cs="Arial" w:eastAsia="Arial" w:hAnsi="Arial"/>
                <w:sz w:val="14"/>
                <w:szCs w:val="14"/>
                <w:b w:val="1"/>
                <w:bCs w:val="1"/>
                <w:color w:val="auto"/>
              </w:rPr>
              <w:t>ASSETS</w:t>
            </w: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132,615</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131,018</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Accounts receivable,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368,432</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330,895</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189,010</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190,465</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110,996</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106,562</w:t>
            </w:r>
          </w:p>
        </w:tc>
        <w:tc>
          <w:tcPr>
            <w:tcW w:w="0" w:type="dxa"/>
            <w:vAlign w:val="bottom"/>
          </w:tcPr>
          <w:p>
            <w:pPr>
              <w:spacing w:after="0"/>
              <w:rPr>
                <w:sz w:val="1"/>
                <w:szCs w:val="1"/>
                <w:color w:val="auto"/>
              </w:rPr>
            </w:pPr>
          </w:p>
        </w:tc>
      </w:tr>
      <w:tr>
        <w:trPr>
          <w:trHeight w:val="176"/>
        </w:trPr>
        <w:tc>
          <w:tcPr>
            <w:tcW w:w="620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801,053</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758,940</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60" w:type="dxa"/>
            <w:vAlign w:val="bottom"/>
          </w:tcPr>
          <w:p>
            <w:pPr>
              <w:spacing w:after="0"/>
              <w:rPr>
                <w:sz w:val="24"/>
                <w:szCs w:val="24"/>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190,004</w:t>
            </w:r>
          </w:p>
        </w:tc>
        <w:tc>
          <w:tcPr>
            <w:tcW w:w="600" w:type="dxa"/>
            <w:vAlign w:val="bottom"/>
          </w:tcPr>
          <w:p>
            <w:pPr>
              <w:spacing w:after="0"/>
              <w:rPr>
                <w:sz w:val="24"/>
                <w:szCs w:val="24"/>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190,256</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108,161</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109,387</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Other long-term assets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48,201</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51,679</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Intangible assets,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96,386</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101,932</w:t>
            </w: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color w:val="auto"/>
              </w:rPr>
              <w:t>Goodwill</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475,872</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468,122</w:t>
            </w:r>
          </w:p>
        </w:tc>
        <w:tc>
          <w:tcPr>
            <w:tcW w:w="0" w:type="dxa"/>
            <w:vAlign w:val="bottom"/>
          </w:tcPr>
          <w:p>
            <w:pPr>
              <w:spacing w:after="0"/>
              <w:rPr>
                <w:sz w:val="1"/>
                <w:szCs w:val="1"/>
                <w:color w:val="auto"/>
              </w:rPr>
            </w:pPr>
          </w:p>
        </w:tc>
      </w:tr>
      <w:tr>
        <w:trPr>
          <w:trHeight w:val="169"/>
        </w:trPr>
        <w:tc>
          <w:tcPr>
            <w:tcW w:w="62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1,719,677</w:t>
            </w: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1,680,316</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LIABILITIES AND EQUITY</w:t>
            </w: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201,001</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185,827</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Other current liabilities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73,753</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78,630</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Wages and benefits payable</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86,827</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76,980</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Taxes payable</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15,877</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14,859</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Current portion of debt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11,250</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11,250</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Current portion of warranty</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32,244</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36,927</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Unearned revenue</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96,808</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73,301</w:t>
            </w:r>
          </w:p>
        </w:tc>
        <w:tc>
          <w:tcPr>
            <w:tcW w:w="0" w:type="dxa"/>
            <w:vAlign w:val="bottom"/>
          </w:tcPr>
          <w:p>
            <w:pPr>
              <w:spacing w:after="0"/>
              <w:rPr>
                <w:sz w:val="1"/>
                <w:szCs w:val="1"/>
                <w:color w:val="auto"/>
              </w:rPr>
            </w:pPr>
          </w:p>
        </w:tc>
      </w:tr>
      <w:tr>
        <w:trPr>
          <w:trHeight w:val="176"/>
        </w:trPr>
        <w:tc>
          <w:tcPr>
            <w:tcW w:w="620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517,760</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477,774</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Long-term debt</w:t>
            </w:r>
          </w:p>
        </w:tc>
        <w:tc>
          <w:tcPr>
            <w:tcW w:w="460" w:type="dxa"/>
            <w:vAlign w:val="bottom"/>
          </w:tcPr>
          <w:p>
            <w:pPr>
              <w:spacing w:after="0"/>
              <w:rPr>
                <w:sz w:val="24"/>
                <w:szCs w:val="24"/>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336,908</w:t>
            </w:r>
          </w:p>
        </w:tc>
        <w:tc>
          <w:tcPr>
            <w:tcW w:w="600" w:type="dxa"/>
            <w:vAlign w:val="bottom"/>
          </w:tcPr>
          <w:p>
            <w:pPr>
              <w:spacing w:after="0"/>
              <w:rPr>
                <w:sz w:val="24"/>
                <w:szCs w:val="24"/>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358,915</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Long-term warranty</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18,498</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17,585</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88,312</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85,971</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1,729</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111,242</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115,645</w:t>
            </w:r>
          </w:p>
        </w:tc>
        <w:tc>
          <w:tcPr>
            <w:tcW w:w="0" w:type="dxa"/>
            <w:vAlign w:val="bottom"/>
          </w:tcPr>
          <w:p>
            <w:pPr>
              <w:spacing w:after="0"/>
              <w:rPr>
                <w:sz w:val="1"/>
                <w:szCs w:val="1"/>
                <w:color w:val="auto"/>
              </w:rPr>
            </w:pPr>
          </w:p>
        </w:tc>
      </w:tr>
      <w:tr>
        <w:trPr>
          <w:trHeight w:val="176"/>
        </w:trPr>
        <w:tc>
          <w:tcPr>
            <w:tcW w:w="620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1,074,449</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1,057,613</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Equity</w:t>
            </w: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460" w:type="dxa"/>
            <w:vAlign w:val="bottom"/>
          </w:tcPr>
          <w:p>
            <w:pPr>
              <w:spacing w:after="0"/>
              <w:rPr>
                <w:sz w:val="15"/>
                <w:szCs w:val="15"/>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1,251,231</w:t>
            </w:r>
          </w:p>
        </w:tc>
        <w:tc>
          <w:tcPr>
            <w:tcW w:w="600" w:type="dxa"/>
            <w:vAlign w:val="bottom"/>
          </w:tcPr>
          <w:p>
            <w:pPr>
              <w:spacing w:after="0"/>
              <w:rPr>
                <w:sz w:val="15"/>
                <w:szCs w:val="15"/>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1,246,671</w:t>
            </w:r>
          </w:p>
        </w:tc>
        <w:tc>
          <w:tcPr>
            <w:tcW w:w="0" w:type="dxa"/>
            <w:vAlign w:val="bottom"/>
          </w:tcPr>
          <w:p>
            <w:pPr>
              <w:spacing w:after="0"/>
              <w:rPr>
                <w:sz w:val="1"/>
                <w:szCs w:val="1"/>
                <w:color w:val="auto"/>
              </w:rPr>
            </w:pPr>
          </w:p>
        </w:tc>
      </w:tr>
      <w:tr>
        <w:trPr>
          <w:trHeight w:val="176"/>
        </w:trPr>
        <w:tc>
          <w:tcPr>
            <w:tcW w:w="6200" w:type="dxa"/>
            <w:vAlign w:val="bottom"/>
          </w:tcPr>
          <w:p>
            <w:pPr>
              <w:ind w:left="160"/>
              <w:spacing w:after="0"/>
              <w:rPr>
                <w:sz w:val="20"/>
                <w:szCs w:val="20"/>
                <w:color w:val="auto"/>
              </w:rPr>
            </w:pPr>
            <w:r>
              <w:rPr>
                <w:rFonts w:ascii="Arial" w:cs="Arial" w:eastAsia="Arial" w:hAnsi="Arial"/>
                <w:sz w:val="14"/>
                <w:szCs w:val="14"/>
                <w:color w:val="auto"/>
              </w:rPr>
              <w:t>Accumulated other comprehensive loss, net</w:t>
            </w:r>
          </w:p>
        </w:tc>
        <w:tc>
          <w:tcPr>
            <w:tcW w:w="460" w:type="dxa"/>
            <w:vAlign w:val="bottom"/>
          </w:tcPr>
          <w:p>
            <w:pPr>
              <w:spacing w:after="0"/>
              <w:rPr>
                <w:sz w:val="15"/>
                <w:szCs w:val="15"/>
                <w:color w:val="auto"/>
              </w:rPr>
            </w:pPr>
          </w:p>
        </w:tc>
        <w:tc>
          <w:tcPr>
            <w:tcW w:w="1900" w:type="dxa"/>
            <w:vAlign w:val="bottom"/>
          </w:tcPr>
          <w:p>
            <w:pPr>
              <w:jc w:val="right"/>
              <w:ind w:right="188"/>
              <w:spacing w:after="0"/>
              <w:rPr>
                <w:sz w:val="20"/>
                <w:szCs w:val="20"/>
                <w:color w:val="auto"/>
              </w:rPr>
            </w:pPr>
            <w:r>
              <w:rPr>
                <w:rFonts w:ascii="Arial" w:cs="Arial" w:eastAsia="Arial" w:hAnsi="Arial"/>
                <w:sz w:val="14"/>
                <w:szCs w:val="14"/>
                <w:color w:val="auto"/>
              </w:rPr>
              <w:t>(193,425)</w:t>
            </w:r>
          </w:p>
        </w:tc>
        <w:tc>
          <w:tcPr>
            <w:tcW w:w="600" w:type="dxa"/>
            <w:vAlign w:val="bottom"/>
          </w:tcPr>
          <w:p>
            <w:pPr>
              <w:spacing w:after="0"/>
              <w:rPr>
                <w:sz w:val="15"/>
                <w:szCs w:val="15"/>
                <w:color w:val="auto"/>
              </w:rPr>
            </w:pPr>
          </w:p>
        </w:tc>
        <w:tc>
          <w:tcPr>
            <w:tcW w:w="2260" w:type="dxa"/>
            <w:vAlign w:val="bottom"/>
          </w:tcPr>
          <w:p>
            <w:pPr>
              <w:jc w:val="right"/>
              <w:ind w:right="168"/>
              <w:spacing w:after="0"/>
              <w:rPr>
                <w:sz w:val="20"/>
                <w:szCs w:val="20"/>
                <w:color w:val="auto"/>
              </w:rPr>
            </w:pPr>
            <w:r>
              <w:rPr>
                <w:rFonts w:ascii="Arial" w:cs="Arial" w:eastAsia="Arial" w:hAnsi="Arial"/>
                <w:sz w:val="14"/>
                <w:szCs w:val="14"/>
                <w:color w:val="auto"/>
              </w:rPr>
              <w:t>(200,607)</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Accumulated deficit</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(431,217)</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(441,306)</w:t>
            </w:r>
          </w:p>
        </w:tc>
        <w:tc>
          <w:tcPr>
            <w:tcW w:w="0" w:type="dxa"/>
            <w:vAlign w:val="bottom"/>
          </w:tcPr>
          <w:p>
            <w:pPr>
              <w:spacing w:after="0"/>
              <w:rPr>
                <w:sz w:val="1"/>
                <w:szCs w:val="1"/>
                <w:color w:val="auto"/>
              </w:rPr>
            </w:pPr>
          </w:p>
        </w:tc>
      </w:tr>
      <w:tr>
        <w:trPr>
          <w:trHeight w:val="164"/>
        </w:trPr>
        <w:tc>
          <w:tcPr>
            <w:tcW w:w="6200" w:type="dxa"/>
            <w:vAlign w:val="bottom"/>
          </w:tcPr>
          <w:p>
            <w:pPr>
              <w:ind w:left="300"/>
              <w:spacing w:after="0"/>
              <w:rPr>
                <w:sz w:val="20"/>
                <w:szCs w:val="20"/>
                <w:color w:val="auto"/>
              </w:rPr>
            </w:pPr>
            <w:r>
              <w:rPr>
                <w:rFonts w:ascii="Arial" w:cs="Arial" w:eastAsia="Arial" w:hAnsi="Arial"/>
                <w:sz w:val="14"/>
                <w:szCs w:val="14"/>
                <w:color w:val="auto"/>
              </w:rPr>
              <w:t>Total Itron, Inc. shareholders' equity</w:t>
            </w:r>
          </w:p>
        </w:tc>
        <w:tc>
          <w:tcPr>
            <w:tcW w:w="460" w:type="dxa"/>
            <w:vAlign w:val="bottom"/>
          </w:tcPr>
          <w:p>
            <w:pPr>
              <w:spacing w:after="0"/>
              <w:rPr>
                <w:sz w:val="14"/>
                <w:szCs w:val="14"/>
                <w:color w:val="auto"/>
              </w:rPr>
            </w:pPr>
          </w:p>
        </w:tc>
        <w:tc>
          <w:tcPr>
            <w:tcW w:w="1900" w:type="dxa"/>
            <w:vAlign w:val="bottom"/>
          </w:tcPr>
          <w:p>
            <w:pPr>
              <w:jc w:val="right"/>
              <w:ind w:right="248"/>
              <w:spacing w:after="0"/>
              <w:rPr>
                <w:sz w:val="20"/>
                <w:szCs w:val="20"/>
                <w:color w:val="auto"/>
              </w:rPr>
            </w:pPr>
            <w:r>
              <w:rPr>
                <w:rFonts w:ascii="Arial" w:cs="Arial" w:eastAsia="Arial" w:hAnsi="Arial"/>
                <w:sz w:val="14"/>
                <w:szCs w:val="14"/>
                <w:color w:val="auto"/>
              </w:rPr>
              <w:t>626,589</w:t>
            </w:r>
          </w:p>
        </w:tc>
        <w:tc>
          <w:tcPr>
            <w:tcW w:w="600" w:type="dxa"/>
            <w:vAlign w:val="bottom"/>
          </w:tcPr>
          <w:p>
            <w:pPr>
              <w:spacing w:after="0"/>
              <w:rPr>
                <w:sz w:val="14"/>
                <w:szCs w:val="14"/>
                <w:color w:val="auto"/>
              </w:rPr>
            </w:pPr>
          </w:p>
        </w:tc>
        <w:tc>
          <w:tcPr>
            <w:tcW w:w="2260" w:type="dxa"/>
            <w:vAlign w:val="bottom"/>
          </w:tcPr>
          <w:p>
            <w:pPr>
              <w:jc w:val="right"/>
              <w:ind w:right="228"/>
              <w:spacing w:after="0"/>
              <w:rPr>
                <w:sz w:val="20"/>
                <w:szCs w:val="20"/>
                <w:color w:val="auto"/>
              </w:rPr>
            </w:pPr>
            <w:r>
              <w:rPr>
                <w:rFonts w:ascii="Arial" w:cs="Arial" w:eastAsia="Arial" w:hAnsi="Arial"/>
                <w:sz w:val="14"/>
                <w:szCs w:val="14"/>
                <w:color w:val="auto"/>
              </w:rPr>
              <w:t>604,758</w:t>
            </w:r>
          </w:p>
        </w:tc>
        <w:tc>
          <w:tcPr>
            <w:tcW w:w="0" w:type="dxa"/>
            <w:vAlign w:val="bottom"/>
          </w:tcPr>
          <w:p>
            <w:pPr>
              <w:spacing w:after="0"/>
              <w:rPr>
                <w:sz w:val="1"/>
                <w:szCs w:val="1"/>
                <w:color w:val="auto"/>
              </w:rPr>
            </w:pPr>
          </w:p>
        </w:tc>
      </w:tr>
      <w:tr>
        <w:trPr>
          <w:trHeight w:val="181"/>
        </w:trPr>
        <w:tc>
          <w:tcPr>
            <w:tcW w:w="620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18,639</w:t>
            </w:r>
          </w:p>
        </w:tc>
        <w:tc>
          <w:tcPr>
            <w:tcW w:w="6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17,945</w:t>
            </w:r>
          </w:p>
        </w:tc>
        <w:tc>
          <w:tcPr>
            <w:tcW w:w="0" w:type="dxa"/>
            <w:vAlign w:val="bottom"/>
          </w:tcPr>
          <w:p>
            <w:pPr>
              <w:spacing w:after="0"/>
              <w:rPr>
                <w:sz w:val="1"/>
                <w:szCs w:val="1"/>
                <w:color w:val="auto"/>
              </w:rPr>
            </w:pPr>
          </w:p>
        </w:tc>
      </w:tr>
      <w:tr>
        <w:trPr>
          <w:trHeight w:val="169"/>
        </w:trPr>
        <w:tc>
          <w:tcPr>
            <w:tcW w:w="6200" w:type="dxa"/>
            <w:vAlign w:val="bottom"/>
          </w:tcPr>
          <w:p>
            <w:pPr>
              <w:ind w:left="300"/>
              <w:spacing w:after="0"/>
              <w:rPr>
                <w:sz w:val="20"/>
                <w:szCs w:val="20"/>
                <w:color w:val="auto"/>
              </w:rPr>
            </w:pPr>
            <w:r>
              <w:rPr>
                <w:rFonts w:ascii="Arial" w:cs="Arial" w:eastAsia="Arial" w:hAnsi="Arial"/>
                <w:sz w:val="14"/>
                <w:szCs w:val="14"/>
                <w:color w:val="auto"/>
              </w:rPr>
              <w:t>Total equity</w:t>
            </w: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645,228</w:t>
            </w:r>
          </w:p>
        </w:tc>
        <w:tc>
          <w:tcPr>
            <w:tcW w:w="6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622,703</w:t>
            </w:r>
          </w:p>
        </w:tc>
        <w:tc>
          <w:tcPr>
            <w:tcW w:w="0" w:type="dxa"/>
            <w:vAlign w:val="bottom"/>
          </w:tcPr>
          <w:p>
            <w:pPr>
              <w:spacing w:after="0"/>
              <w:rPr>
                <w:sz w:val="1"/>
                <w:szCs w:val="1"/>
                <w:color w:val="auto"/>
              </w:rPr>
            </w:pPr>
          </w:p>
        </w:tc>
      </w:tr>
      <w:tr>
        <w:trPr>
          <w:trHeight w:val="169"/>
        </w:trPr>
        <w:tc>
          <w:tcPr>
            <w:tcW w:w="6200" w:type="dxa"/>
            <w:vAlign w:val="bottom"/>
          </w:tcPr>
          <w:p>
            <w:pPr>
              <w:ind w:left="300"/>
              <w:spacing w:after="0"/>
              <w:rPr>
                <w:sz w:val="20"/>
                <w:szCs w:val="20"/>
                <w:color w:val="auto"/>
              </w:rPr>
            </w:pPr>
            <w:r>
              <w:rPr>
                <w:rFonts w:ascii="Arial" w:cs="Arial" w:eastAsia="Arial" w:hAnsi="Arial"/>
                <w:sz w:val="14"/>
                <w:szCs w:val="14"/>
                <w:color w:val="auto"/>
              </w:rPr>
              <w:t>Total liabilities and equity</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1,719,677</w:t>
            </w: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1,680,316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ind w:left="40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provided by (used in)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2015</w:t>
            </w:r>
          </w:p>
        </w:tc>
      </w:tr>
      <w:tr>
        <w:trPr>
          <w:trHeight w:val="346"/>
        </w:trPr>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10,784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5,853</w:t>
            </w:r>
          </w:p>
        </w:tc>
      </w:tr>
      <w:tr>
        <w:trPr>
          <w:trHeight w:val="344"/>
        </w:trPr>
        <w:tc>
          <w:tcPr>
            <w:tcW w:w="4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16,674</w:t>
            </w:r>
          </w:p>
        </w:tc>
        <w:tc>
          <w:tcPr>
            <w:tcW w:w="4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19,355</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3,900</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4,108</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276</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390</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4,507</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(4,932)</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1,114</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(110)</w:t>
            </w:r>
          </w:p>
        </w:tc>
      </w:tr>
      <w:tr>
        <w:trPr>
          <w:trHeight w:val="182"/>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337</w:t>
            </w:r>
          </w:p>
        </w:tc>
      </w:tr>
      <w:tr>
        <w:trPr>
          <w:trHeight w:val="344"/>
        </w:trPr>
        <w:tc>
          <w:tcPr>
            <w:tcW w:w="44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(33,308)</w:t>
            </w:r>
          </w:p>
        </w:tc>
        <w:tc>
          <w:tcPr>
            <w:tcW w:w="4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237</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3,244</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(23,732)</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(5,457)</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(7,888)</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2,945</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(3,081)</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10,161</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3,760</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9,349</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(9,913)</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14,343</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14,582</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(4,045)</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2,384</w:t>
            </w:r>
          </w:p>
        </w:tc>
      </w:tr>
      <w:tr>
        <w:trPr>
          <w:trHeight w:val="181"/>
        </w:trPr>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(748)</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(5,305)</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33,805</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(3,955)</w:t>
            </w:r>
          </w:p>
        </w:tc>
      </w:tr>
      <w:tr>
        <w:trPr>
          <w:trHeight w:val="515"/>
        </w:trPr>
        <w:tc>
          <w:tcPr>
            <w:tcW w:w="44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(8,791)</w:t>
            </w:r>
          </w:p>
        </w:tc>
        <w:tc>
          <w:tcPr>
            <w:tcW w:w="460" w:type="dxa"/>
            <w:vAlign w:val="bottom"/>
          </w:tcPr>
          <w:p>
            <w:pPr>
              <w:spacing w:after="0"/>
              <w:rPr>
                <w:sz w:val="24"/>
                <w:szCs w:val="2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(9,472)</w:t>
            </w:r>
          </w:p>
        </w:tc>
      </w:tr>
      <w:tr>
        <w:trPr>
          <w:trHeight w:val="181"/>
        </w:trPr>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558</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(8,233)</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(9,590)</w:t>
            </w:r>
          </w:p>
        </w:tc>
      </w:tr>
      <w:tr>
        <w:trPr>
          <w:trHeight w:val="515"/>
        </w:trPr>
        <w:tc>
          <w:tcPr>
            <w:tcW w:w="4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63,000</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(23,406)</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(22,373)</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661</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451</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(16,341)</w:t>
            </w:r>
          </w:p>
        </w:tc>
      </w:tr>
      <w:tr>
        <w:trPr>
          <w:trHeight w:val="181"/>
        </w:trPr>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(2,290)</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1,186</w:t>
            </w:r>
          </w:p>
        </w:tc>
      </w:tr>
      <w:tr>
        <w:trPr>
          <w:trHeight w:val="176"/>
        </w:trPr>
        <w:tc>
          <w:tcPr>
            <w:tcW w:w="44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(25,035)</w:t>
            </w:r>
          </w:p>
        </w:tc>
        <w:tc>
          <w:tcPr>
            <w:tcW w:w="46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25,923</w:t>
            </w:r>
          </w:p>
        </w:tc>
      </w:tr>
      <w:tr>
        <w:trPr>
          <w:trHeight w:val="344"/>
        </w:trPr>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1,060</w:t>
            </w: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(6,665)</w:t>
            </w:r>
          </w:p>
        </w:tc>
      </w:tr>
      <w:tr>
        <w:trPr>
          <w:trHeight w:val="164"/>
        </w:trPr>
        <w:tc>
          <w:tcPr>
            <w:tcW w:w="4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1,597</w:t>
            </w:r>
          </w:p>
        </w:tc>
        <w:tc>
          <w:tcPr>
            <w:tcW w:w="4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5,713</w:t>
            </w:r>
          </w:p>
        </w:tc>
      </w:tr>
      <w:tr>
        <w:trPr>
          <w:trHeight w:val="181"/>
        </w:trPr>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131,018</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112,371</w:t>
            </w:r>
          </w:p>
        </w:tc>
      </w:tr>
      <w:tr>
        <w:trPr>
          <w:trHeight w:val="169"/>
        </w:trPr>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132,615</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118,084</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00" w:space="660"/>
            <w:col w:w="3360"/>
          </w:cols>
          <w:pgMar w:left="240" w:top="30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In addition, management analyzes revenue growth and operational results on a constant currency basis to assess how our business performed excluding the effect of foreign currency rate fluctuations. Our executive compensation plans exclude non-cash charges related to amortization of intangibles acquired through a business acquisition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0" w:lineRule="exact"/>
        <w:rPr>
          <w:sz w:val="20"/>
          <w:szCs w:val="20"/>
          <w:color w:val="auto"/>
        </w:rPr>
      </w:pPr>
    </w:p>
    <w:p>
      <w:pPr>
        <w:spacing w:after="0" w:line="21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5"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business acquisition related intangible asset expenses, restructuring expense,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9"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w:t>
      </w:r>
    </w:p>
    <w:p>
      <w:pPr>
        <w:sectPr>
          <w:pgSz w:w="11900" w:h="16838" w:orient="portrait"/>
          <w:cols w:equalWidth="0" w:num="1">
            <w:col w:w="11420"/>
          </w:cols>
          <w:pgMar w:left="240" w:top="111" w:right="239" w:bottom="0" w:gutter="0" w:footer="0" w:header="0"/>
        </w:sectPr>
      </w:pPr>
    </w:p>
    <w:bookmarkStart w:id="12" w:name="page13"/>
    <w:bookmarkEnd w:id="12"/>
    <w:p>
      <w:pPr>
        <w:ind w:right="120"/>
        <w:spacing w:after="0" w:line="251" w:lineRule="auto"/>
        <w:rPr>
          <w:sz w:val="20"/>
          <w:szCs w:val="20"/>
          <w:color w:val="auto"/>
        </w:rPr>
      </w:pPr>
      <w:r>
        <w:rPr>
          <w:rFonts w:ascii="Arial" w:cs="Arial" w:eastAsia="Arial" w:hAnsi="Arial"/>
          <w:sz w:val="22"/>
          <w:szCs w:val="22"/>
          <w:color w:val="auto"/>
        </w:rPr>
        <w:t>EBITDA apply to our use of free cash flow. We compensate for these limitations by providing specific information regarding the GAAP amounts and reconciling to free cash flow.</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Constant currency - We may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currency exchange rates.</w:t>
      </w:r>
    </w:p>
    <w:p>
      <w:pPr>
        <w:spacing w:after="0" w:line="151"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NON-GAAP NET INCOME &amp; DILUTED EPS</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GAAP net income attributable to Itron, Inc.</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10,089</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6,210</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debt placement fees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247</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2,237</w:t>
            </w:r>
          </w:p>
        </w:tc>
        <w:tc>
          <w:tcPr>
            <w:tcW w:w="4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related expenses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Income tax effect of non-GAAP adjustments</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(1,955)</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Non-GAAP net income attributable to Itron, Inc.</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16,831</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8,549</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260"/>
              <w:spacing w:after="0"/>
              <w:rPr>
                <w:sz w:val="20"/>
                <w:szCs w:val="20"/>
                <w:color w:val="auto"/>
              </w:rPr>
            </w:pPr>
            <w:r>
              <w:rPr>
                <w:rFonts w:ascii="Arial" w:cs="Arial" w:eastAsia="Arial" w:hAnsi="Arial"/>
                <w:sz w:val="14"/>
                <w:szCs w:val="14"/>
                <w:color w:val="auto"/>
              </w:rPr>
              <w:t>Non-GAAP diluted EPS</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60" w:type="dxa"/>
            <w:vAlign w:val="bottom"/>
            <w:vMerge w:val="continue"/>
          </w:tcPr>
          <w:p>
            <w:pPr>
              <w:spacing w:after="0"/>
              <w:rPr>
                <w:sz w:val="14"/>
                <w:szCs w:val="14"/>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0.44</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60" w:type="dxa"/>
            <w:vAlign w:val="bottom"/>
          </w:tcPr>
          <w:p>
            <w:pPr>
              <w:ind w:left="260"/>
              <w:spacing w:after="0"/>
              <w:rPr>
                <w:sz w:val="20"/>
                <w:szCs w:val="20"/>
                <w:color w:val="auto"/>
              </w:rPr>
            </w:pPr>
            <w:r>
              <w:rPr>
                <w:rFonts w:ascii="Arial" w:cs="Arial" w:eastAsia="Arial" w:hAnsi="Arial"/>
                <w:sz w:val="14"/>
                <w:szCs w:val="14"/>
                <w:color w:val="auto"/>
              </w:rPr>
              <w:t>Weighted average common shares outstanding - Diluted</w:t>
            </w: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38,376</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38,758</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ADJUSTED EBITDA</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GAAP net income attributable to Itron, Inc.</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10,089</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Interest income</w:t>
            </w:r>
          </w:p>
        </w:tc>
        <w:tc>
          <w:tcPr>
            <w:tcW w:w="46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(271)</w:t>
            </w:r>
          </w:p>
        </w:tc>
        <w:tc>
          <w:tcPr>
            <w:tcW w:w="4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2,918</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Income tax provision</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8,626</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16,674</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19,355</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2,237</w:t>
            </w:r>
          </w:p>
        </w:tc>
        <w:tc>
          <w:tcPr>
            <w:tcW w:w="4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related expenses</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Adjusted EBITDA</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40,276</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29,560</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FREE CASH FLOW</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33,805</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(8,791)</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(9,472)</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Free Cash Flow</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25,014</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(13,427)</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GAAP operating income</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23,574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13,496</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6,210</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2,237</w:t>
            </w:r>
          </w:p>
        </w:tc>
        <w:tc>
          <w:tcPr>
            <w:tcW w:w="4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related expenses</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Non-GAAP operating income</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32,024</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18,612</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EXPENSE</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GAAP operating expense</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139,629</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124,926</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6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(6,210)</w:t>
            </w:r>
          </w:p>
        </w:tc>
        <w:tc>
          <w:tcPr>
            <w:tcW w:w="4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(2,237)</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related expenses</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Non-GAAP operating expense</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131,179</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119,810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7960" w:type="dxa"/>
            <w:vAlign w:val="bottom"/>
          </w:tcPr>
          <w:p>
            <w:pPr>
              <w:ind w:left="120"/>
              <w:spacing w:after="0"/>
              <w:rPr>
                <w:sz w:val="20"/>
                <w:szCs w:val="20"/>
                <w:color w:val="auto"/>
              </w:rPr>
            </w:pPr>
            <w:r>
              <w:rPr>
                <w:rFonts w:ascii="Arial" w:cs="Arial" w:eastAsia="Arial" w:hAnsi="Arial"/>
                <w:sz w:val="14"/>
                <w:szCs w:val="14"/>
                <w:b w:val="1"/>
                <w:bCs w:val="1"/>
                <w:color w:val="auto"/>
              </w:rPr>
              <w:t>NON-GAAP OPERATING INCOME - ELECTRICITY</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Electricity - GAAP operating income</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10,632</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3,250</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528</w:t>
            </w:r>
          </w:p>
        </w:tc>
        <w:tc>
          <w:tcPr>
            <w:tcW w:w="46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Acquisition related expenses</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Electricity - Non-GAAP operating income</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14,413</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5,131</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GAS</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Gas - GAAP operating income</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16,299</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14,491</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1,619</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1,264</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Gas - Non-GAAP operating income</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19,182</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16,586</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WATER</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Water - GAAP operating income</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18,076</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8,715</w:t>
            </w:r>
          </w:p>
        </w:tc>
        <w:tc>
          <w:tcPr>
            <w:tcW w:w="0" w:type="dxa"/>
            <w:vAlign w:val="bottom"/>
          </w:tcPr>
          <w:p>
            <w:pPr>
              <w:spacing w:after="0"/>
              <w:rPr>
                <w:sz w:val="1"/>
                <w:szCs w:val="1"/>
                <w:color w:val="auto"/>
              </w:rPr>
            </w:pPr>
          </w:p>
        </w:tc>
      </w:tr>
      <w:tr>
        <w:trPr>
          <w:trHeight w:val="176"/>
        </w:trPr>
        <w:tc>
          <w:tcPr>
            <w:tcW w:w="7960" w:type="dxa"/>
            <w:vAlign w:val="bottom"/>
          </w:tcPr>
          <w:p>
            <w:pPr>
              <w:ind w:left="380"/>
              <w:spacing w:after="0"/>
              <w:rPr>
                <w:sz w:val="20"/>
                <w:szCs w:val="20"/>
                <w:color w:val="auto"/>
              </w:rPr>
            </w:pPr>
            <w:r>
              <w:rPr>
                <w:rFonts w:ascii="Arial" w:cs="Arial" w:eastAsia="Arial" w:hAnsi="Arial"/>
                <w:sz w:val="14"/>
                <w:szCs w:val="14"/>
                <w:color w:val="auto"/>
              </w:rPr>
              <w:t>Amortization of intangible assets</w:t>
            </w:r>
          </w:p>
        </w:tc>
        <w:tc>
          <w:tcPr>
            <w:tcW w:w="46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1,341</w:t>
            </w:r>
          </w:p>
        </w:tc>
        <w:tc>
          <w:tcPr>
            <w:tcW w:w="4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Water - Non-GAAP operating income</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19,353</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10,380</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60"/>
              <w:spacing w:after="0"/>
              <w:rPr>
                <w:sz w:val="20"/>
                <w:szCs w:val="20"/>
                <w:color w:val="auto"/>
              </w:rPr>
            </w:pPr>
            <w:r>
              <w:rPr>
                <w:rFonts w:ascii="Arial" w:cs="Arial" w:eastAsia="Arial" w:hAnsi="Arial"/>
                <w:sz w:val="14"/>
                <w:szCs w:val="14"/>
                <w:color w:val="auto"/>
              </w:rPr>
              <w:t>Corporate unallocated - GAAP operating loss</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(21,433)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(10,824)</w:t>
            </w:r>
          </w:p>
        </w:tc>
        <w:tc>
          <w:tcPr>
            <w:tcW w:w="0" w:type="dxa"/>
            <w:vAlign w:val="bottom"/>
          </w:tcPr>
          <w:p>
            <w:pPr>
              <w:spacing w:after="0"/>
              <w:rPr>
                <w:sz w:val="1"/>
                <w:szCs w:val="1"/>
                <w:color w:val="auto"/>
              </w:rPr>
            </w:pPr>
          </w:p>
        </w:tc>
      </w:tr>
      <w:tr>
        <w:trPr>
          <w:trHeight w:val="181"/>
        </w:trPr>
        <w:tc>
          <w:tcPr>
            <w:tcW w:w="7960" w:type="dxa"/>
            <w:vAlign w:val="bottom"/>
          </w:tcPr>
          <w:p>
            <w:pPr>
              <w:ind w:left="380"/>
              <w:spacing w:after="0"/>
              <w:rPr>
                <w:sz w:val="20"/>
                <w:szCs w:val="20"/>
                <w:color w:val="auto"/>
              </w:rPr>
            </w:pPr>
            <w:r>
              <w:rPr>
                <w:rFonts w:ascii="Arial" w:cs="Arial" w:eastAsia="Arial" w:hAnsi="Arial"/>
                <w:sz w:val="14"/>
                <w:szCs w:val="14"/>
                <w:color w:val="auto"/>
              </w:rPr>
              <w:t>Restructuring</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509</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(2,661)</w:t>
            </w:r>
          </w:p>
        </w:tc>
        <w:tc>
          <w:tcPr>
            <w:tcW w:w="0" w:type="dxa"/>
            <w:vAlign w:val="bottom"/>
          </w:tcPr>
          <w:p>
            <w:pPr>
              <w:spacing w:after="0"/>
              <w:rPr>
                <w:sz w:val="1"/>
                <w:szCs w:val="1"/>
                <w:color w:val="auto"/>
              </w:rPr>
            </w:pPr>
          </w:p>
        </w:tc>
      </w:tr>
      <w:tr>
        <w:trPr>
          <w:trHeight w:val="169"/>
        </w:trPr>
        <w:tc>
          <w:tcPr>
            <w:tcW w:w="7960" w:type="dxa"/>
            <w:vAlign w:val="bottom"/>
          </w:tcPr>
          <w:p>
            <w:pPr>
              <w:ind w:left="260"/>
              <w:spacing w:after="0"/>
              <w:rPr>
                <w:sz w:val="20"/>
                <w:szCs w:val="20"/>
                <w:color w:val="auto"/>
              </w:rPr>
            </w:pPr>
            <w:r>
              <w:rPr>
                <w:rFonts w:ascii="Arial" w:cs="Arial" w:eastAsia="Arial" w:hAnsi="Arial"/>
                <w:sz w:val="14"/>
                <w:szCs w:val="14"/>
                <w:color w:val="auto"/>
              </w:rPr>
              <w:t>Corporate unallocated - Non-GAAP operating loss</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(20,924)</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(13,485)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Marni Pilcher, 509-891-3847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w:t>
      </w:r>
    </w:p>
    <w:sectPr>
      <w:pgSz w:w="11900" w:h="16838" w:orient="portrait"/>
      <w:cols w:equalWidth="0" w:num="1">
        <w:col w:w="11420"/>
      </w:cols>
      <w:pgMar w:left="240" w:top="306" w:right="239" w:bottom="2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2019-12-05T18:15:07Z</dcterms:created>
  <dcterms:modified xsi:type="dcterms:W3CDTF">2019-12-05T18:15:07Z</dcterms:modified>
</cp:coreProperties>
</file>