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102235</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170815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jc w:val="center"/>
        <w:ind w:right="-139"/>
        <w:spacing w:after="0"/>
        <w:rPr>
          <w:sz w:val="20"/>
          <w:szCs w:val="20"/>
          <w:color w:val="auto"/>
        </w:rPr>
      </w:pPr>
      <w:r>
        <w:rPr>
          <w:rFonts w:ascii="Arial" w:cs="Arial" w:eastAsia="Arial" w:hAnsi="Arial"/>
          <w:sz w:val="25"/>
          <w:szCs w:val="25"/>
          <w:b w:val="1"/>
          <w:bCs w:val="1"/>
          <w:color w:val="auto"/>
        </w:rPr>
        <w:t>UNITED STATES</w:t>
      </w:r>
    </w:p>
    <w:p>
      <w:pPr>
        <w:spacing w:after="0" w:line="46" w:lineRule="exact"/>
        <w:rPr>
          <w:sz w:val="24"/>
          <w:szCs w:val="24"/>
          <w:color w:val="auto"/>
        </w:rPr>
      </w:pPr>
    </w:p>
    <w:p>
      <w:pPr>
        <w:jc w:val="center"/>
        <w:ind w:right="-139"/>
        <w:spacing w:after="0"/>
        <w:rPr>
          <w:sz w:val="20"/>
          <w:szCs w:val="20"/>
          <w:color w:val="auto"/>
        </w:rPr>
      </w:pPr>
      <w:r>
        <w:rPr>
          <w:rFonts w:ascii="Arial" w:cs="Arial" w:eastAsia="Arial" w:hAnsi="Arial"/>
          <w:sz w:val="25"/>
          <w:szCs w:val="25"/>
          <w:b w:val="1"/>
          <w:bCs w:val="1"/>
          <w:color w:val="auto"/>
        </w:rPr>
        <w:t>SECURITIES AND EXCHANGE COMMISSION</w:t>
      </w:r>
    </w:p>
    <w:p>
      <w:pPr>
        <w:spacing w:after="0" w:line="2"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83820</wp:posOffset>
            </wp:positionV>
            <wp:extent cx="10972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16" w:lineRule="exact"/>
        <w:rPr>
          <w:sz w:val="24"/>
          <w:szCs w:val="24"/>
          <w:color w:val="auto"/>
        </w:rPr>
      </w:pPr>
    </w:p>
    <w:p>
      <w:pPr>
        <w:jc w:val="center"/>
        <w:ind w:right="-139"/>
        <w:spacing w:after="0"/>
        <w:rPr>
          <w:sz w:val="20"/>
          <w:szCs w:val="20"/>
          <w:color w:val="auto"/>
        </w:rPr>
      </w:pPr>
      <w:r>
        <w:rPr>
          <w:rFonts w:ascii="Arial" w:cs="Arial" w:eastAsia="Arial" w:hAnsi="Arial"/>
          <w:sz w:val="29"/>
          <w:szCs w:val="29"/>
          <w:b w:val="1"/>
          <w:bCs w:val="1"/>
          <w:color w:val="auto"/>
        </w:rPr>
        <w:t>SCHEDULE 14A INFORMATION</w:t>
      </w:r>
    </w:p>
    <w:p>
      <w:pPr>
        <w:spacing w:after="0" w:line="212"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15"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Securities Exchange Act of 1934</w:t>
      </w:r>
    </w:p>
    <w:p>
      <w:pPr>
        <w:ind w:left="3900"/>
        <w:spacing w:after="0"/>
        <w:tabs>
          <w:tab w:leader="none" w:pos="5740" w:val="left"/>
        </w:tabs>
        <w:rPr>
          <w:sz w:val="20"/>
          <w:szCs w:val="20"/>
          <w:color w:val="auto"/>
        </w:rPr>
      </w:pPr>
      <w:r>
        <w:rPr>
          <w:rFonts w:ascii="Arial" w:cs="Arial" w:eastAsia="Arial" w:hAnsi="Arial"/>
          <w:sz w:val="18"/>
          <w:szCs w:val="18"/>
          <w:b w:val="1"/>
          <w:bCs w:val="1"/>
          <w:color w:val="auto"/>
        </w:rPr>
        <w:t>(Amendment No.</w:t>
      </w:r>
      <w:r>
        <w:rPr>
          <w:sz w:val="20"/>
          <w:szCs w:val="20"/>
          <w:color w:val="auto"/>
        </w:rPr>
        <w:tab/>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100330</wp:posOffset>
            </wp:positionV>
            <wp:extent cx="10972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61" w:lineRule="exact"/>
        <w:rPr>
          <w:sz w:val="24"/>
          <w:szCs w:val="24"/>
          <w:color w:val="auto"/>
        </w:rPr>
      </w:pPr>
    </w:p>
    <w:p>
      <w:pPr>
        <w:ind w:left="100"/>
        <w:spacing w:after="0" w:line="184" w:lineRule="exact"/>
        <w:tabs>
          <w:tab w:leader="none" w:pos="2380" w:val="left"/>
        </w:tabs>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02" w:lineRule="exact"/>
        <w:rPr>
          <w:sz w:val="24"/>
          <w:szCs w:val="24"/>
          <w:color w:val="auto"/>
        </w:rPr>
      </w:pPr>
    </w:p>
    <w:p>
      <w:pPr>
        <w:ind w:left="100"/>
        <w:spacing w:after="0"/>
        <w:rPr>
          <w:sz w:val="20"/>
          <w:szCs w:val="20"/>
          <w:color w:val="auto"/>
        </w:rPr>
      </w:pPr>
      <w:r>
        <w:rPr>
          <w:rFonts w:ascii="Arial" w:cs="Arial" w:eastAsia="Arial" w:hAnsi="Arial"/>
          <w:sz w:val="16"/>
          <w:szCs w:val="16"/>
          <w:color w:val="auto"/>
        </w:rPr>
        <w:t>Check the appropriate box:</w:t>
      </w:r>
    </w:p>
    <w:p>
      <w:pPr>
        <w:spacing w:after="0" w:line="167" w:lineRule="exact"/>
        <w:rPr>
          <w:sz w:val="24"/>
          <w:szCs w:val="24"/>
          <w:color w:val="auto"/>
        </w:rPr>
      </w:pPr>
    </w:p>
    <w:p>
      <w:pPr>
        <w:ind w:left="460" w:hanging="349"/>
        <w:spacing w:after="0"/>
        <w:tabs>
          <w:tab w:leader="none" w:pos="460" w:val="left"/>
        </w:tabs>
        <w:numPr>
          <w:ilvl w:val="1"/>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165" w:lineRule="exact"/>
        <w:rPr>
          <w:rFonts w:ascii="MS PGothic" w:cs="MS PGothic" w:eastAsia="MS PGothic" w:hAnsi="MS PGothic"/>
          <w:sz w:val="16"/>
          <w:szCs w:val="16"/>
          <w:color w:val="auto"/>
        </w:rPr>
      </w:pPr>
    </w:p>
    <w:p>
      <w:pPr>
        <w:ind w:left="460" w:hanging="349"/>
        <w:spacing w:after="0"/>
        <w:tabs>
          <w:tab w:leader="none" w:pos="460" w:val="left"/>
        </w:tabs>
        <w:numPr>
          <w:ilvl w:val="1"/>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Confidential, for Use of the Commission Only (as permitted by Rule 14a-6(e)(2))</w:t>
      </w:r>
    </w:p>
    <w:p>
      <w:pPr>
        <w:spacing w:after="0" w:line="155" w:lineRule="exact"/>
        <w:rPr>
          <w:rFonts w:ascii="MS PGothic" w:cs="MS PGothic" w:eastAsia="MS PGothic" w:hAnsi="MS PGothic"/>
          <w:sz w:val="16"/>
          <w:szCs w:val="16"/>
          <w:color w:val="auto"/>
        </w:rPr>
      </w:pPr>
    </w:p>
    <w:p>
      <w:pPr>
        <w:ind w:left="460" w:hanging="353"/>
        <w:spacing w:after="0"/>
        <w:tabs>
          <w:tab w:leader="none" w:pos="4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Definitive Proxy Statement</w:t>
      </w:r>
    </w:p>
    <w:p>
      <w:pPr>
        <w:spacing w:after="0" w:line="167" w:lineRule="exact"/>
        <w:rPr>
          <w:rFonts w:ascii="MS PGothic" w:cs="MS PGothic" w:eastAsia="MS PGothic" w:hAnsi="MS PGothic"/>
          <w:sz w:val="16"/>
          <w:szCs w:val="16"/>
          <w:color w:val="auto"/>
        </w:rPr>
      </w:pPr>
    </w:p>
    <w:p>
      <w:pPr>
        <w:ind w:left="460" w:hanging="349"/>
        <w:spacing w:after="0"/>
        <w:tabs>
          <w:tab w:leader="none" w:pos="460" w:val="left"/>
        </w:tabs>
        <w:numPr>
          <w:ilvl w:val="1"/>
          <w:numId w:val="1"/>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167" w:lineRule="exact"/>
        <w:rPr>
          <w:rFonts w:ascii="MS PGothic" w:cs="MS PGothic" w:eastAsia="MS PGothic" w:hAnsi="MS PGothic"/>
          <w:sz w:val="16"/>
          <w:szCs w:val="16"/>
          <w:color w:val="auto"/>
        </w:rPr>
      </w:pPr>
    </w:p>
    <w:p>
      <w:pPr>
        <w:ind w:left="460" w:hanging="349"/>
        <w:spacing w:after="0"/>
        <w:tabs>
          <w:tab w:leader="none" w:pos="460" w:val="left"/>
        </w:tabs>
        <w:numPr>
          <w:ilvl w:val="1"/>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under § 240.14a-12</w:t>
      </w:r>
    </w:p>
    <w:p>
      <w:pPr>
        <w:spacing w:after="0" w:line="39" w:lineRule="exact"/>
        <w:rPr>
          <w:sz w:val="24"/>
          <w:szCs w:val="24"/>
          <w:color w:val="auto"/>
        </w:rPr>
      </w:pPr>
    </w:p>
    <w:p>
      <w:pPr>
        <w:jc w:val="center"/>
        <w:ind w:right="-139"/>
        <w:spacing w:after="0"/>
        <w:rPr>
          <w:sz w:val="20"/>
          <w:szCs w:val="20"/>
          <w:color w:val="auto"/>
        </w:rPr>
      </w:pPr>
      <w:r>
        <w:rPr>
          <w:rFonts w:ascii="Arial" w:cs="Arial" w:eastAsia="Arial" w:hAnsi="Arial"/>
          <w:sz w:val="36"/>
          <w:szCs w:val="36"/>
          <w:b w:val="1"/>
          <w:bCs w:val="1"/>
          <w:color w:val="auto"/>
        </w:rPr>
        <w:t>ITRON, INC.</w:t>
      </w:r>
    </w:p>
    <w:p>
      <w:pPr>
        <w:spacing w:after="0" w:line="58"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(Name of Registrant as Specified in Its Charter)</w:t>
      </w:r>
    </w:p>
    <w:p>
      <w:pPr>
        <w:spacing w:after="0" w:line="172" w:lineRule="exact"/>
        <w:rPr>
          <w:sz w:val="24"/>
          <w:szCs w:val="24"/>
          <w:color w:val="auto"/>
        </w:rPr>
      </w:pPr>
    </w:p>
    <w:p>
      <w:pPr>
        <w:ind w:left="2120"/>
        <w:spacing w:after="0"/>
        <w:rPr>
          <w:sz w:val="20"/>
          <w:szCs w:val="20"/>
          <w:color w:val="auto"/>
        </w:rPr>
      </w:pPr>
      <w:r>
        <w:rPr>
          <w:rFonts w:ascii="Arial" w:cs="Arial" w:eastAsia="Arial" w:hAnsi="Arial"/>
          <w:sz w:val="16"/>
          <w:szCs w:val="16"/>
          <w:b w:val="1"/>
          <w:bCs w:val="1"/>
          <w:color w:val="auto"/>
        </w:rPr>
        <w:t>(Name of Person(s) Filing Proxy Statement, if other than the Registrant)</w:t>
      </w:r>
    </w:p>
    <w:p>
      <w:pPr>
        <w:spacing w:after="0" w:line="156" w:lineRule="exact"/>
        <w:rPr>
          <w:sz w:val="24"/>
          <w:szCs w:val="24"/>
          <w:color w:val="auto"/>
        </w:rPr>
      </w:pPr>
    </w:p>
    <w:p>
      <w:pPr>
        <w:ind w:left="100"/>
        <w:spacing w:after="0"/>
        <w:rPr>
          <w:sz w:val="20"/>
          <w:szCs w:val="20"/>
          <w:color w:val="auto"/>
        </w:rPr>
      </w:pPr>
      <w:r>
        <w:rPr>
          <w:rFonts w:ascii="Arial" w:cs="Arial" w:eastAsia="Arial" w:hAnsi="Arial"/>
          <w:sz w:val="16"/>
          <w:szCs w:val="16"/>
          <w:color w:val="auto"/>
        </w:rPr>
        <w:t>Payment of Filing Fee (Check the appropriate box):</w:t>
      </w:r>
    </w:p>
    <w:p>
      <w:pPr>
        <w:spacing w:after="0" w:line="154" w:lineRule="exact"/>
        <w:rPr>
          <w:sz w:val="24"/>
          <w:szCs w:val="24"/>
          <w:color w:val="auto"/>
        </w:rPr>
      </w:pPr>
    </w:p>
    <w:p>
      <w:pPr>
        <w:ind w:left="460" w:hanging="353"/>
        <w:spacing w:after="0"/>
        <w:tabs>
          <w:tab w:leader="none" w:pos="46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167" w:lineRule="exact"/>
        <w:rPr>
          <w:rFonts w:ascii="MS PGothic" w:cs="MS PGothic" w:eastAsia="MS PGothic" w:hAnsi="MS PGothic"/>
          <w:sz w:val="16"/>
          <w:szCs w:val="16"/>
          <w:color w:val="auto"/>
        </w:rPr>
      </w:pPr>
    </w:p>
    <w:p>
      <w:pPr>
        <w:ind w:left="460" w:hanging="349"/>
        <w:spacing w:after="0"/>
        <w:tabs>
          <w:tab w:leader="none" w:pos="460" w:val="left"/>
        </w:tabs>
        <w:numPr>
          <w:ilvl w:val="1"/>
          <w:numId w:val="2"/>
        </w:numPr>
        <w:rPr>
          <w:rFonts w:ascii="MS PGothic" w:cs="MS PGothic" w:eastAsia="MS PGothic" w:hAnsi="MS PGothic"/>
          <w:sz w:val="16"/>
          <w:szCs w:val="16"/>
          <w:color w:val="auto"/>
        </w:rPr>
      </w:pPr>
      <w:r>
        <w:rPr>
          <w:rFonts w:ascii="Arial" w:cs="Arial" w:eastAsia="Arial" w:hAnsi="Arial"/>
          <w:sz w:val="16"/>
          <w:szCs w:val="16"/>
          <w:color w:val="auto"/>
        </w:rPr>
        <w:t>Fee computed on table below per Exchange Act Rules 14a-6(i)(1) and 0-11.</w:t>
      </w:r>
    </w:p>
    <w:p>
      <w:pPr>
        <w:spacing w:after="0" w:line="153" w:lineRule="exact"/>
        <w:rPr>
          <w:rFonts w:ascii="MS PGothic" w:cs="MS PGothic" w:eastAsia="MS PGothic" w:hAnsi="MS PGothic"/>
          <w:sz w:val="16"/>
          <w:szCs w:val="16"/>
          <w:color w:val="auto"/>
        </w:rPr>
      </w:pPr>
    </w:p>
    <w:p>
      <w:pPr>
        <w:ind w:left="860" w:hanging="397"/>
        <w:spacing w:after="0"/>
        <w:tabs>
          <w:tab w:leader="none" w:pos="860" w:val="left"/>
        </w:tabs>
        <w:numPr>
          <w:ilvl w:val="2"/>
          <w:numId w:val="2"/>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167" w:lineRule="exact"/>
        <w:rPr>
          <w:rFonts w:ascii="Arial" w:cs="Arial" w:eastAsia="Arial" w:hAnsi="Arial"/>
          <w:sz w:val="16"/>
          <w:szCs w:val="16"/>
          <w:color w:val="auto"/>
        </w:rPr>
      </w:pPr>
    </w:p>
    <w:p>
      <w:pPr>
        <w:ind w:left="860" w:hanging="397"/>
        <w:spacing w:after="0"/>
        <w:tabs>
          <w:tab w:leader="none" w:pos="860" w:val="left"/>
        </w:tabs>
        <w:numPr>
          <w:ilvl w:val="2"/>
          <w:numId w:val="2"/>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167" w:lineRule="exact"/>
        <w:rPr>
          <w:rFonts w:ascii="Arial" w:cs="Arial" w:eastAsia="Arial" w:hAnsi="Arial"/>
          <w:sz w:val="16"/>
          <w:szCs w:val="16"/>
          <w:color w:val="auto"/>
        </w:rPr>
      </w:pPr>
    </w:p>
    <w:p>
      <w:pPr>
        <w:ind w:left="860" w:hanging="397"/>
        <w:spacing w:after="0" w:line="291" w:lineRule="auto"/>
        <w:tabs>
          <w:tab w:leader="none" w:pos="860" w:val="left"/>
        </w:tabs>
        <w:numPr>
          <w:ilvl w:val="2"/>
          <w:numId w:val="2"/>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93" w:lineRule="exact"/>
        <w:rPr>
          <w:rFonts w:ascii="Arial" w:cs="Arial" w:eastAsia="Arial" w:hAnsi="Arial"/>
          <w:sz w:val="16"/>
          <w:szCs w:val="16"/>
          <w:color w:val="auto"/>
        </w:rPr>
      </w:pPr>
    </w:p>
    <w:p>
      <w:pPr>
        <w:ind w:left="860" w:hanging="397"/>
        <w:spacing w:after="0"/>
        <w:tabs>
          <w:tab w:leader="none" w:pos="860" w:val="left"/>
        </w:tabs>
        <w:numPr>
          <w:ilvl w:val="2"/>
          <w:numId w:val="2"/>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167" w:lineRule="exact"/>
        <w:rPr>
          <w:rFonts w:ascii="Arial" w:cs="Arial" w:eastAsia="Arial" w:hAnsi="Arial"/>
          <w:sz w:val="16"/>
          <w:szCs w:val="16"/>
          <w:color w:val="auto"/>
        </w:rPr>
      </w:pPr>
    </w:p>
    <w:p>
      <w:pPr>
        <w:ind w:left="860" w:hanging="397"/>
        <w:spacing w:after="0"/>
        <w:tabs>
          <w:tab w:leader="none" w:pos="860" w:val="left"/>
        </w:tabs>
        <w:numPr>
          <w:ilvl w:val="2"/>
          <w:numId w:val="2"/>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261" w:lineRule="exact"/>
        <w:rPr>
          <w:rFonts w:ascii="Arial" w:cs="Arial" w:eastAsia="Arial" w:hAnsi="Arial"/>
          <w:sz w:val="16"/>
          <w:szCs w:val="16"/>
          <w:color w:val="auto"/>
        </w:rPr>
      </w:pPr>
    </w:p>
    <w:p>
      <w:pPr>
        <w:ind w:left="460" w:hanging="349"/>
        <w:spacing w:after="0"/>
        <w:tabs>
          <w:tab w:leader="none" w:pos="460" w:val="left"/>
        </w:tabs>
        <w:numPr>
          <w:ilvl w:val="1"/>
          <w:numId w:val="2"/>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167" w:lineRule="exact"/>
        <w:rPr>
          <w:rFonts w:ascii="MS PGothic" w:cs="MS PGothic" w:eastAsia="MS PGothic" w:hAnsi="MS PGothic"/>
          <w:sz w:val="16"/>
          <w:szCs w:val="16"/>
          <w:color w:val="auto"/>
        </w:rPr>
      </w:pPr>
    </w:p>
    <w:p>
      <w:pPr>
        <w:ind w:left="460" w:hanging="349"/>
        <w:spacing w:after="0" w:line="269" w:lineRule="auto"/>
        <w:tabs>
          <w:tab w:leader="none" w:pos="460" w:val="left"/>
        </w:tabs>
        <w:numPr>
          <w:ilvl w:val="1"/>
          <w:numId w:val="2"/>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96" w:lineRule="exact"/>
        <w:rPr>
          <w:rFonts w:ascii="MS PGothic" w:cs="MS PGothic" w:eastAsia="MS PGothic" w:hAnsi="MS PGothic"/>
          <w:sz w:val="16"/>
          <w:szCs w:val="16"/>
          <w:color w:val="auto"/>
        </w:rPr>
      </w:pPr>
    </w:p>
    <w:p>
      <w:pPr>
        <w:ind w:left="860" w:hanging="397"/>
        <w:spacing w:after="0"/>
        <w:tabs>
          <w:tab w:leader="none" w:pos="860" w:val="left"/>
        </w:tabs>
        <w:numPr>
          <w:ilvl w:val="2"/>
          <w:numId w:val="2"/>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167" w:lineRule="exact"/>
        <w:rPr>
          <w:rFonts w:ascii="Arial" w:cs="Arial" w:eastAsia="Arial" w:hAnsi="Arial"/>
          <w:sz w:val="16"/>
          <w:szCs w:val="16"/>
          <w:color w:val="auto"/>
        </w:rPr>
      </w:pPr>
    </w:p>
    <w:p>
      <w:pPr>
        <w:ind w:left="860" w:hanging="397"/>
        <w:spacing w:after="0"/>
        <w:tabs>
          <w:tab w:leader="none" w:pos="860" w:val="left"/>
        </w:tabs>
        <w:numPr>
          <w:ilvl w:val="2"/>
          <w:numId w:val="2"/>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167" w:lineRule="exact"/>
        <w:rPr>
          <w:rFonts w:ascii="Arial" w:cs="Arial" w:eastAsia="Arial" w:hAnsi="Arial"/>
          <w:sz w:val="16"/>
          <w:szCs w:val="16"/>
          <w:color w:val="auto"/>
        </w:rPr>
      </w:pPr>
    </w:p>
    <w:p>
      <w:pPr>
        <w:ind w:left="860" w:hanging="397"/>
        <w:spacing w:after="0"/>
        <w:tabs>
          <w:tab w:leader="none" w:pos="860" w:val="left"/>
        </w:tabs>
        <w:numPr>
          <w:ilvl w:val="2"/>
          <w:numId w:val="2"/>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167" w:lineRule="exact"/>
        <w:rPr>
          <w:rFonts w:ascii="Arial" w:cs="Arial" w:eastAsia="Arial" w:hAnsi="Arial"/>
          <w:sz w:val="16"/>
          <w:szCs w:val="16"/>
          <w:color w:val="auto"/>
        </w:rPr>
      </w:pPr>
    </w:p>
    <w:p>
      <w:pPr>
        <w:ind w:left="860" w:hanging="397"/>
        <w:spacing w:after="0"/>
        <w:tabs>
          <w:tab w:leader="none" w:pos="860" w:val="left"/>
        </w:tabs>
        <w:numPr>
          <w:ilvl w:val="2"/>
          <w:numId w:val="2"/>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572135</wp:posOffset>
            </wp:positionV>
            <wp:extent cx="69951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542290</wp:posOffset>
            </wp:positionH>
            <wp:positionV relativeFrom="paragraph">
              <wp:posOffset>92075</wp:posOffset>
            </wp:positionV>
            <wp:extent cx="55803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8038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wp:posOffset>
            </wp:positionH>
            <wp:positionV relativeFrom="paragraph">
              <wp:posOffset>-130175</wp:posOffset>
            </wp:positionV>
            <wp:extent cx="55803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8038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wp:posOffset>
            </wp:positionH>
            <wp:positionV relativeFrom="paragraph">
              <wp:posOffset>-353060</wp:posOffset>
            </wp:positionV>
            <wp:extent cx="5580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8038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wp:posOffset>
            </wp:positionH>
            <wp:positionV relativeFrom="paragraph">
              <wp:posOffset>-575945</wp:posOffset>
            </wp:positionV>
            <wp:extent cx="55803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8038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wp:posOffset>
            </wp:positionH>
            <wp:positionV relativeFrom="paragraph">
              <wp:posOffset>-1536065</wp:posOffset>
            </wp:positionV>
            <wp:extent cx="55803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8038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wp:posOffset>
            </wp:positionH>
            <wp:positionV relativeFrom="paragraph">
              <wp:posOffset>-1758950</wp:posOffset>
            </wp:positionV>
            <wp:extent cx="55803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8038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wp:posOffset>
            </wp:positionH>
            <wp:positionV relativeFrom="paragraph">
              <wp:posOffset>-1981835</wp:posOffset>
            </wp:positionV>
            <wp:extent cx="55803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8038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wp:posOffset>
            </wp:positionH>
            <wp:positionV relativeFrom="paragraph">
              <wp:posOffset>-2324735</wp:posOffset>
            </wp:positionV>
            <wp:extent cx="55803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8038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wp:posOffset>
            </wp:positionH>
            <wp:positionV relativeFrom="paragraph">
              <wp:posOffset>-2547620</wp:posOffset>
            </wp:positionV>
            <wp:extent cx="55803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58038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383540</wp:posOffset>
            </wp:positionV>
            <wp:extent cx="61722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434975</wp:posOffset>
            </wp:positionV>
            <wp:extent cx="617220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72200" cy="25400"/>
                    </a:xfrm>
                    <a:prstGeom prst="rect">
                      <a:avLst/>
                    </a:prstGeom>
                    <a:noFill/>
                  </pic:spPr>
                </pic:pic>
              </a:graphicData>
            </a:graphic>
          </wp:anchor>
        </w:drawing>
      </w:r>
    </w:p>
    <w:p>
      <w:pPr>
        <w:sectPr>
          <w:pgSz w:w="11900" w:h="16838" w:orient="portrait"/>
          <w:cols w:equalWidth="0" w:num="1">
            <w:col w:w="9580"/>
          </w:cols>
          <w:pgMar w:left="1080" w:top="223" w:right="1239" w:bottom="1440" w:gutter="0" w:footer="0" w:header="0"/>
        </w:sectPr>
      </w:pPr>
    </w:p>
    <w:bookmarkStart w:id="1" w:name="page2"/>
    <w:bookmarkEnd w:id="1"/>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ITRON, INC.</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2111 N. Molter Road</w:t>
      </w:r>
    </w:p>
    <w:p>
      <w:pPr>
        <w:jc w:val="center"/>
        <w:ind w:right="-39"/>
        <w:spacing w:after="0"/>
        <w:rPr>
          <w:sz w:val="20"/>
          <w:szCs w:val="20"/>
          <w:color w:val="auto"/>
        </w:rPr>
      </w:pPr>
      <w:r>
        <w:rPr>
          <w:rFonts w:ascii="Arial" w:cs="Arial" w:eastAsia="Arial" w:hAnsi="Arial"/>
          <w:sz w:val="18"/>
          <w:szCs w:val="18"/>
          <w:b w:val="1"/>
          <w:bCs w:val="1"/>
          <w:color w:val="auto"/>
        </w:rPr>
        <w:t>Liberty Lake, Washington 99019</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Notice of 2021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55880</wp:posOffset>
            </wp:positionV>
            <wp:extent cx="5829300" cy="7797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829300" cy="779780"/>
                    </a:xfrm>
                    <a:prstGeom prst="rect">
                      <a:avLst/>
                    </a:prstGeom>
                    <a:noFill/>
                  </pic:spPr>
                </pic:pic>
              </a:graphicData>
            </a:graphic>
          </wp:anchor>
        </w:drawing>
      </w:r>
    </w:p>
    <w:p>
      <w:pPr>
        <w:sectPr>
          <w:pgSz w:w="11900" w:h="16838" w:orient="portrait"/>
          <w:cols w:equalWidth="0" w:num="1">
            <w:col w:w="9120"/>
          </w:cols>
          <w:pgMar w:left="1360" w:top="263"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2200" w:type="dxa"/>
            <w:vAlign w:val="bottom"/>
          </w:tcPr>
          <w:p>
            <w:pPr>
              <w:spacing w:after="0"/>
              <w:rPr>
                <w:sz w:val="20"/>
                <w:szCs w:val="20"/>
                <w:color w:val="auto"/>
              </w:rPr>
            </w:pPr>
            <w:r>
              <w:rPr>
                <w:rFonts w:ascii="Arial" w:cs="Arial" w:eastAsia="Arial" w:hAnsi="Arial"/>
                <w:sz w:val="18"/>
                <w:szCs w:val="18"/>
                <w:b w:val="1"/>
                <w:bCs w:val="1"/>
                <w:color w:val="auto"/>
              </w:rPr>
              <w:t>When</w:t>
            </w:r>
            <w:r>
              <w:rPr>
                <w:rFonts w:ascii="Arial" w:cs="Arial" w:eastAsia="Arial" w:hAnsi="Arial"/>
                <w:sz w:val="18"/>
                <w:szCs w:val="18"/>
                <w:color w:val="auto"/>
              </w:rPr>
              <w:t>:</w:t>
            </w:r>
          </w:p>
        </w:tc>
        <w:tc>
          <w:tcPr>
            <w:tcW w:w="2040" w:type="dxa"/>
            <w:vAlign w:val="bottom"/>
          </w:tcPr>
          <w:p>
            <w:pPr>
              <w:ind w:left="60"/>
              <w:spacing w:after="0"/>
              <w:rPr>
                <w:sz w:val="20"/>
                <w:szCs w:val="20"/>
                <w:color w:val="auto"/>
              </w:rPr>
            </w:pPr>
            <w:r>
              <w:rPr>
                <w:rFonts w:ascii="Arial" w:cs="Arial" w:eastAsia="Arial" w:hAnsi="Arial"/>
                <w:sz w:val="18"/>
                <w:szCs w:val="18"/>
                <w:b w:val="1"/>
                <w:bCs w:val="1"/>
                <w:color w:val="auto"/>
              </w:rPr>
              <w:t>Where</w:t>
            </w:r>
            <w:r>
              <w:rPr>
                <w:rFonts w:ascii="Arial" w:cs="Arial" w:eastAsia="Arial" w:hAnsi="Arial"/>
                <w:sz w:val="18"/>
                <w:szCs w:val="18"/>
                <w:color w:val="auto"/>
              </w:rPr>
              <w:t>:</w:t>
            </w:r>
          </w:p>
        </w:tc>
        <w:tc>
          <w:tcPr>
            <w:tcW w:w="2200" w:type="dxa"/>
            <w:vAlign w:val="bottom"/>
          </w:tcPr>
          <w:p>
            <w:pPr>
              <w:ind w:left="300"/>
              <w:spacing w:after="0"/>
              <w:rPr>
                <w:sz w:val="20"/>
                <w:szCs w:val="20"/>
                <w:color w:val="auto"/>
              </w:rPr>
            </w:pPr>
            <w:r>
              <w:rPr>
                <w:rFonts w:ascii="Arial" w:cs="Arial" w:eastAsia="Arial" w:hAnsi="Arial"/>
                <w:sz w:val="18"/>
                <w:szCs w:val="18"/>
                <w:b w:val="1"/>
                <w:bCs w:val="1"/>
                <w:color w:val="auto"/>
              </w:rPr>
              <w:t>Who Can Vote</w:t>
            </w:r>
            <w:r>
              <w:rPr>
                <w:rFonts w:ascii="Arial" w:cs="Arial" w:eastAsia="Arial" w:hAnsi="Arial"/>
                <w:sz w:val="18"/>
                <w:szCs w:val="18"/>
                <w:color w:val="auto"/>
              </w:rPr>
              <w:t>:</w:t>
            </w:r>
          </w:p>
        </w:tc>
      </w:tr>
      <w:tr>
        <w:trPr>
          <w:trHeight w:val="203"/>
        </w:trPr>
        <w:tc>
          <w:tcPr>
            <w:tcW w:w="2200" w:type="dxa"/>
            <w:vAlign w:val="bottom"/>
          </w:tcPr>
          <w:p>
            <w:pPr>
              <w:spacing w:after="0" w:line="202" w:lineRule="exact"/>
              <w:rPr>
                <w:sz w:val="20"/>
                <w:szCs w:val="20"/>
                <w:color w:val="auto"/>
              </w:rPr>
            </w:pPr>
            <w:r>
              <w:rPr>
                <w:rFonts w:ascii="Arial" w:cs="Arial" w:eastAsia="Arial" w:hAnsi="Arial"/>
                <w:sz w:val="18"/>
                <w:szCs w:val="18"/>
                <w:color w:val="auto"/>
              </w:rPr>
              <w:t>May 13, 2021 at 9:00 a.m.,</w:t>
            </w:r>
          </w:p>
        </w:tc>
        <w:tc>
          <w:tcPr>
            <w:tcW w:w="2040" w:type="dxa"/>
            <w:vAlign w:val="bottom"/>
          </w:tcPr>
          <w:p>
            <w:pPr>
              <w:ind w:left="60"/>
              <w:spacing w:after="0" w:line="202" w:lineRule="exact"/>
              <w:rPr>
                <w:sz w:val="20"/>
                <w:szCs w:val="20"/>
                <w:color w:val="auto"/>
              </w:rPr>
            </w:pPr>
            <w:r>
              <w:rPr>
                <w:rFonts w:ascii="Arial" w:cs="Arial" w:eastAsia="Arial" w:hAnsi="Arial"/>
                <w:sz w:val="18"/>
                <w:szCs w:val="18"/>
                <w:color w:val="auto"/>
              </w:rPr>
              <w:t>Virtual Meeting – see</w:t>
            </w:r>
          </w:p>
        </w:tc>
        <w:tc>
          <w:tcPr>
            <w:tcW w:w="2200" w:type="dxa"/>
            <w:vAlign w:val="bottom"/>
          </w:tcPr>
          <w:p>
            <w:pPr>
              <w:ind w:left="300"/>
              <w:spacing w:after="0" w:line="202" w:lineRule="exact"/>
              <w:rPr>
                <w:sz w:val="20"/>
                <w:szCs w:val="20"/>
                <w:color w:val="auto"/>
              </w:rPr>
            </w:pPr>
            <w:r>
              <w:rPr>
                <w:rFonts w:ascii="Arial" w:cs="Arial" w:eastAsia="Arial" w:hAnsi="Arial"/>
                <w:sz w:val="18"/>
                <w:szCs w:val="18"/>
                <w:color w:val="auto"/>
              </w:rPr>
              <w:t>Shareholders of Itron’s</w:t>
            </w:r>
          </w:p>
        </w:tc>
      </w:tr>
      <w:tr>
        <w:trPr>
          <w:trHeight w:val="203"/>
        </w:trPr>
        <w:tc>
          <w:tcPr>
            <w:tcW w:w="2200" w:type="dxa"/>
            <w:vAlign w:val="bottom"/>
          </w:tcPr>
          <w:p>
            <w:pPr>
              <w:spacing w:after="0" w:line="202" w:lineRule="exact"/>
              <w:rPr>
                <w:sz w:val="20"/>
                <w:szCs w:val="20"/>
                <w:color w:val="auto"/>
              </w:rPr>
            </w:pPr>
            <w:r>
              <w:rPr>
                <w:rFonts w:ascii="Arial" w:cs="Arial" w:eastAsia="Arial" w:hAnsi="Arial"/>
                <w:sz w:val="18"/>
                <w:szCs w:val="18"/>
                <w:color w:val="auto"/>
              </w:rPr>
              <w:t>Central Time</w:t>
            </w:r>
          </w:p>
        </w:tc>
        <w:tc>
          <w:tcPr>
            <w:tcW w:w="2040" w:type="dxa"/>
            <w:vAlign w:val="bottom"/>
          </w:tcPr>
          <w:p>
            <w:pPr>
              <w:ind w:left="60"/>
              <w:spacing w:after="0" w:line="202" w:lineRule="exact"/>
              <w:rPr>
                <w:sz w:val="20"/>
                <w:szCs w:val="20"/>
                <w:color w:val="auto"/>
              </w:rPr>
            </w:pPr>
            <w:r>
              <w:rPr>
                <w:rFonts w:ascii="Arial" w:cs="Arial" w:eastAsia="Arial" w:hAnsi="Arial"/>
                <w:sz w:val="18"/>
                <w:szCs w:val="18"/>
                <w:color w:val="auto"/>
              </w:rPr>
              <w:t>details below</w:t>
            </w:r>
          </w:p>
        </w:tc>
        <w:tc>
          <w:tcPr>
            <w:tcW w:w="2200" w:type="dxa"/>
            <w:vAlign w:val="bottom"/>
          </w:tcPr>
          <w:p>
            <w:pPr>
              <w:ind w:left="300"/>
              <w:spacing w:after="0" w:line="202" w:lineRule="exact"/>
              <w:rPr>
                <w:sz w:val="20"/>
                <w:szCs w:val="20"/>
                <w:color w:val="auto"/>
              </w:rPr>
            </w:pPr>
            <w:r>
              <w:rPr>
                <w:rFonts w:ascii="Arial" w:cs="Arial" w:eastAsia="Arial" w:hAnsi="Arial"/>
                <w:sz w:val="18"/>
                <w:szCs w:val="18"/>
                <w:color w:val="auto"/>
                <w:w w:val="98"/>
              </w:rPr>
              <w:t>common stock as of the</w:t>
            </w:r>
          </w:p>
        </w:tc>
      </w:tr>
      <w:tr>
        <w:trPr>
          <w:trHeight w:val="203"/>
        </w:trPr>
        <w:tc>
          <w:tcPr>
            <w:tcW w:w="22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200" w:type="dxa"/>
            <w:vAlign w:val="bottom"/>
          </w:tcPr>
          <w:p>
            <w:pPr>
              <w:ind w:left="300"/>
              <w:spacing w:after="0" w:line="202" w:lineRule="exact"/>
              <w:rPr>
                <w:sz w:val="20"/>
                <w:szCs w:val="20"/>
                <w:color w:val="auto"/>
              </w:rPr>
            </w:pPr>
            <w:r>
              <w:rPr>
                <w:rFonts w:ascii="Arial" w:cs="Arial" w:eastAsia="Arial" w:hAnsi="Arial"/>
                <w:sz w:val="18"/>
                <w:szCs w:val="18"/>
                <w:color w:val="auto"/>
              </w:rPr>
              <w:t>record date, March 16,</w:t>
            </w:r>
          </w:p>
        </w:tc>
      </w:tr>
      <w:tr>
        <w:trPr>
          <w:trHeight w:val="243"/>
        </w:trPr>
        <w:tc>
          <w:tcPr>
            <w:tcW w:w="220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2200" w:type="dxa"/>
            <w:vAlign w:val="bottom"/>
          </w:tcPr>
          <w:p>
            <w:pPr>
              <w:ind w:left="300"/>
              <w:spacing w:after="0"/>
              <w:rPr>
                <w:sz w:val="20"/>
                <w:szCs w:val="20"/>
                <w:color w:val="auto"/>
              </w:rPr>
            </w:pPr>
            <w:r>
              <w:rPr>
                <w:rFonts w:ascii="Arial" w:cs="Arial" w:eastAsia="Arial" w:hAnsi="Arial"/>
                <w:sz w:val="18"/>
                <w:szCs w:val="18"/>
                <w:color w:val="auto"/>
              </w:rPr>
              <w:t>2021</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b w:val="1"/>
          <w:bCs w:val="1"/>
          <w:color w:val="auto"/>
        </w:rPr>
        <w:t>Attending the Meeting</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Shareholders who wish to attend the meeting in person should review the instructions set forth below under “</w:t>
      </w:r>
      <w:r>
        <w:rPr>
          <w:rFonts w:ascii="Arial" w:cs="Arial" w:eastAsia="Arial" w:hAnsi="Arial"/>
          <w:sz w:val="18"/>
          <w:szCs w:val="18"/>
          <w:b w:val="1"/>
          <w:bCs w:val="1"/>
          <w:color w:val="auto"/>
        </w:rPr>
        <w:t>Attending the</w:t>
      </w:r>
      <w:r>
        <w:rPr>
          <w:rFonts w:ascii="Arial" w:cs="Arial" w:eastAsia="Arial" w:hAnsi="Arial"/>
          <w:sz w:val="18"/>
          <w:szCs w:val="18"/>
          <w:color w:val="auto"/>
        </w:rPr>
        <w:t xml:space="preserve"> </w:t>
      </w:r>
      <w:r>
        <w:rPr>
          <w:rFonts w:ascii="Arial" w:cs="Arial" w:eastAsia="Arial" w:hAnsi="Arial"/>
          <w:sz w:val="18"/>
          <w:szCs w:val="18"/>
          <w:b w:val="1"/>
          <w:bCs w:val="1"/>
          <w:color w:val="auto"/>
        </w:rPr>
        <w:t>Annual Meeting</w:t>
      </w:r>
      <w:r>
        <w:rPr>
          <w:rFonts w:ascii="Arial" w:cs="Arial" w:eastAsia="Arial" w:hAnsi="Arial"/>
          <w:sz w:val="18"/>
          <w:szCs w:val="18"/>
          <w:color w:val="auto"/>
        </w:rPr>
        <w:t>.”</w:t>
      </w:r>
    </w:p>
    <w:p>
      <w:pPr>
        <w:spacing w:after="0" w:line="182" w:lineRule="exact"/>
        <w:rPr>
          <w:sz w:val="20"/>
          <w:szCs w:val="20"/>
          <w:color w:val="auto"/>
        </w:rPr>
      </w:pPr>
    </w:p>
    <w:p>
      <w:pPr>
        <w:sectPr>
          <w:pgSz w:w="11900" w:h="16838" w:orient="portrait"/>
          <w:cols w:equalWidth="0" w:num="2">
            <w:col w:w="6560" w:space="380"/>
            <w:col w:w="2180"/>
          </w:cols>
          <w:pgMar w:left="1360" w:top="263" w:right="1419" w:bottom="1440" w:gutter="0" w:footer="0" w:header="0"/>
          <w:type w:val="continuous"/>
        </w:sectPr>
      </w:pPr>
    </w:p>
    <w:p>
      <w:pPr>
        <w:spacing w:after="0"/>
        <w:rPr>
          <w:sz w:val="20"/>
          <w:szCs w:val="20"/>
          <w:color w:val="auto"/>
        </w:rPr>
      </w:pPr>
      <w:r>
        <w:rPr>
          <w:rFonts w:ascii="Arial" w:cs="Arial" w:eastAsia="Arial" w:hAnsi="Arial"/>
          <w:sz w:val="18"/>
          <w:szCs w:val="18"/>
          <w:color w:val="auto"/>
        </w:rPr>
        <w:t xml:space="preserve">We are holding our annual meeting via a “virtual” format. Therefore, we cordially invite you to electronically attend the Annual Meeting of Shareholders of Itron, Inc., which will be held on </w:t>
      </w:r>
      <w:r>
        <w:rPr>
          <w:rFonts w:ascii="Arial" w:cs="Arial" w:eastAsia="Arial" w:hAnsi="Arial"/>
          <w:sz w:val="18"/>
          <w:szCs w:val="18"/>
          <w:b w:val="1"/>
          <w:bCs w:val="1"/>
          <w:color w:val="auto"/>
        </w:rPr>
        <w:t>May 13, 2021</w:t>
      </w:r>
      <w:r>
        <w:rPr>
          <w:rFonts w:ascii="Arial" w:cs="Arial" w:eastAsia="Arial" w:hAnsi="Arial"/>
          <w:sz w:val="18"/>
          <w:szCs w:val="18"/>
          <w:color w:val="auto"/>
        </w:rPr>
        <w:t xml:space="preserve">, at </w:t>
      </w:r>
      <w:r>
        <w:rPr>
          <w:rFonts w:ascii="Arial" w:cs="Arial" w:eastAsia="Arial" w:hAnsi="Arial"/>
          <w:sz w:val="18"/>
          <w:szCs w:val="18"/>
          <w:b w:val="1"/>
          <w:bCs w:val="1"/>
          <w:color w:val="auto"/>
        </w:rPr>
        <w:t>9:00 a.m., Central Time</w:t>
      </w:r>
      <w:r>
        <w:rPr>
          <w:rFonts w:ascii="Arial" w:cs="Arial" w:eastAsia="Arial" w:hAnsi="Arial"/>
          <w:sz w:val="18"/>
          <w:szCs w:val="18"/>
          <w:color w:val="auto"/>
        </w:rPr>
        <w:t xml:space="preserve">. We are pleased to announce that this year’s annual meeting will be a virtual meeting via live webcast on the Internet. You will be able to attend the annual meeting, vote and submit your questions during the meeting by visiting: </w:t>
      </w:r>
      <w:r>
        <w:rPr>
          <w:rFonts w:ascii="Arial" w:cs="Arial" w:eastAsia="Arial" w:hAnsi="Arial"/>
          <w:sz w:val="18"/>
          <w:szCs w:val="18"/>
          <w:b w:val="1"/>
          <w:bCs w:val="1"/>
          <w:color w:val="auto"/>
        </w:rPr>
        <w:t>www.virtualshareholdermeeting.com/ITRI2021</w:t>
      </w:r>
      <w:r>
        <w:rPr>
          <w:rFonts w:ascii="Arial" w:cs="Arial" w:eastAsia="Arial" w:hAnsi="Arial"/>
          <w:sz w:val="18"/>
          <w:szCs w:val="18"/>
          <w:color w:val="auto"/>
        </w:rPr>
        <w:t>. You will need to have your 16-Digit Control Number included on your Notice or your proxy card (if you received a printed copy of the proxy materials) to join the annual meeting. As always, we encourage you to vote your shares prior to the annual meeting. The annual meeting will be held for the following purposes: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of Business:</w:t>
      </w:r>
    </w:p>
    <w:p>
      <w:pPr>
        <w:spacing w:after="0" w:line="52" w:lineRule="exact"/>
        <w:rPr>
          <w:sz w:val="20"/>
          <w:szCs w:val="20"/>
          <w:color w:val="auto"/>
        </w:rPr>
      </w:pPr>
    </w:p>
    <w:p>
      <w:pPr>
        <w:ind w:left="700" w:hanging="346"/>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elect two directors to the Company’s Board of Directors.</w:t>
      </w:r>
    </w:p>
    <w:p>
      <w:pPr>
        <w:spacing w:after="0" w:line="49" w:lineRule="exact"/>
        <w:rPr>
          <w:rFonts w:ascii="Arial" w:cs="Arial" w:eastAsia="Arial" w:hAnsi="Arial"/>
          <w:sz w:val="18"/>
          <w:szCs w:val="18"/>
          <w:color w:val="auto"/>
        </w:rPr>
      </w:pPr>
    </w:p>
    <w:p>
      <w:pPr>
        <w:ind w:left="700" w:right="260" w:hanging="346"/>
        <w:spacing w:after="0" w:line="266"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approve, on a non-binding advisory basis, the compensation of our named executive officers for the fiscal year ended December 31, 2020.</w:t>
      </w:r>
    </w:p>
    <w:p>
      <w:pPr>
        <w:ind w:left="700" w:right="520" w:hanging="346"/>
        <w:spacing w:after="0" w:line="266"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ratify the appointment of Deloitte &amp; Touche LLP as the Company’s independent registered public accountant for the 2021 fiscal year.</w:t>
      </w:r>
    </w:p>
    <w:p>
      <w:pPr>
        <w:ind w:left="700" w:hanging="346"/>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transact any other business that may properly come before the annual meeting.</w:t>
      </w:r>
    </w:p>
    <w:p>
      <w:pPr>
        <w:spacing w:after="0" w:line="50"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Members of the Company’s management will not make any formal presentation as part of the annual meeting, but will be available to address questions from shareholders, as appropriate. In addition, we expect all of our director nominees together with those directors continuing in office will attend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24130</wp:posOffset>
            </wp:positionV>
            <wp:extent cx="5829300" cy="6343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829300" cy="634365"/>
                    </a:xfrm>
                    <a:prstGeom prst="rect">
                      <a:avLst/>
                    </a:prstGeom>
                    <a:noFill/>
                  </pic:spPr>
                </pic:pic>
              </a:graphicData>
            </a:graphic>
          </wp:anchor>
        </w:drawing>
      </w:r>
    </w:p>
    <w:p>
      <w:pPr>
        <w:spacing w:after="0" w:line="115" w:lineRule="exact"/>
        <w:rPr>
          <w:sz w:val="20"/>
          <w:szCs w:val="20"/>
          <w:color w:val="auto"/>
        </w:rPr>
      </w:pPr>
    </w:p>
    <w:p>
      <w:pPr>
        <w:ind w:left="80" w:right="140"/>
        <w:spacing w:after="0" w:line="249" w:lineRule="auto"/>
        <w:rPr>
          <w:sz w:val="20"/>
          <w:szCs w:val="20"/>
          <w:color w:val="auto"/>
        </w:rPr>
      </w:pPr>
      <w:r>
        <w:rPr>
          <w:rFonts w:ascii="Arial" w:cs="Arial" w:eastAsia="Arial" w:hAnsi="Arial"/>
          <w:sz w:val="18"/>
          <w:szCs w:val="18"/>
          <w:b w:val="1"/>
          <w:bCs w:val="1"/>
          <w:color w:val="auto"/>
        </w:rPr>
        <w:t>Important notice regarding the availability of proxy materials for the shareholder annual meeting to be held on May 13, 2021</w:t>
      </w:r>
      <w:r>
        <w:rPr>
          <w:rFonts w:ascii="Arial" w:cs="Arial" w:eastAsia="Arial" w:hAnsi="Arial"/>
          <w:sz w:val="18"/>
          <w:szCs w:val="18"/>
          <w:color w:val="auto"/>
        </w:rPr>
        <w:t>. Our 2021 proxy statement is attached and, along with the Annual Report, is available for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all shareholders at </w:t>
      </w:r>
      <w:r>
        <w:rPr>
          <w:rFonts w:ascii="Arial" w:cs="Arial" w:eastAsia="Arial" w:hAnsi="Arial"/>
          <w:sz w:val="18"/>
          <w:szCs w:val="18"/>
          <w:b w:val="1"/>
          <w:bCs w:val="1"/>
          <w:color w:val="auto"/>
        </w:rPr>
        <w:t>https://materials.proxyvote.com.</w:t>
      </w:r>
      <w:r>
        <w:rPr>
          <w:rFonts w:ascii="Arial" w:cs="Arial" w:eastAsia="Arial" w:hAnsi="Arial"/>
          <w:sz w:val="18"/>
          <w:szCs w:val="18"/>
          <w:color w:val="auto"/>
        </w:rPr>
        <w:t xml:space="preserve"> Financial and other information concerning Itron is contained in our Annual Report for the 2020 fiscal year.</w:t>
      </w:r>
    </w:p>
    <w:p>
      <w:pPr>
        <w:spacing w:after="0" w:line="208" w:lineRule="exact"/>
        <w:rPr>
          <w:sz w:val="20"/>
          <w:szCs w:val="20"/>
          <w:color w:val="auto"/>
        </w:rPr>
      </w:pPr>
    </w:p>
    <w:p>
      <w:pPr>
        <w:ind w:right="140"/>
        <w:spacing w:after="0" w:line="249" w:lineRule="auto"/>
        <w:rPr>
          <w:sz w:val="20"/>
          <w:szCs w:val="20"/>
          <w:color w:val="auto"/>
        </w:rPr>
      </w:pPr>
      <w:r>
        <w:rPr>
          <w:rFonts w:ascii="Arial" w:cs="Arial" w:eastAsia="Arial" w:hAnsi="Arial"/>
          <w:sz w:val="18"/>
          <w:szCs w:val="18"/>
          <w:b w:val="1"/>
          <w:bCs w:val="1"/>
          <w:u w:val="single" w:color="auto"/>
          <w:color w:val="auto"/>
        </w:rPr>
        <w:t>Your vote is very important</w:t>
      </w:r>
      <w:r>
        <w:rPr>
          <w:rFonts w:ascii="Arial" w:cs="Arial" w:eastAsia="Arial" w:hAnsi="Arial"/>
          <w:sz w:val="18"/>
          <w:szCs w:val="18"/>
          <w:b w:val="1"/>
          <w:bCs w:val="1"/>
          <w:color w:val="auto"/>
        </w:rPr>
        <w:t xml:space="preserve">. </w:t>
      </w:r>
      <w:r>
        <w:rPr>
          <w:rFonts w:ascii="Arial" w:cs="Arial" w:eastAsia="Arial" w:hAnsi="Arial"/>
          <w:sz w:val="18"/>
          <w:szCs w:val="18"/>
          <w:color w:val="auto"/>
        </w:rPr>
        <w:t>To ensure representation at the annual meeting, shareholders are urged to vote as</w:t>
      </w:r>
      <w:r>
        <w:rPr>
          <w:rFonts w:ascii="Arial" w:cs="Arial" w:eastAsia="Arial" w:hAnsi="Arial"/>
          <w:sz w:val="18"/>
          <w:szCs w:val="18"/>
          <w:b w:val="1"/>
          <w:bCs w:val="1"/>
          <w:color w:val="auto"/>
        </w:rPr>
        <w:t xml:space="preserve"> </w:t>
      </w:r>
      <w:r>
        <w:rPr>
          <w:rFonts w:ascii="Arial" w:cs="Arial" w:eastAsia="Arial" w:hAnsi="Arial"/>
          <w:sz w:val="18"/>
          <w:szCs w:val="18"/>
          <w:color w:val="auto"/>
        </w:rPr>
        <w:t>promptly as possible. To vote your shares, please refer to the voting instruction form on the website noted above, or review the section titled “Quorum and Voting” in the proxy statement. Any shareholder attending the annual meeting may vote in person (virtually) even if that shareholder has returned a proxy.</w:t>
      </w:r>
    </w:p>
    <w:p>
      <w:pPr>
        <w:spacing w:after="0" w:line="129"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2610485</wp:posOffset>
            </wp:positionH>
            <wp:positionV relativeFrom="paragraph">
              <wp:posOffset>45720</wp:posOffset>
            </wp:positionV>
            <wp:extent cx="1071245" cy="3600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7124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Sarah E. Hlavinka</w:t>
      </w:r>
    </w:p>
    <w:p>
      <w:pPr>
        <w:spacing w:after="0" w:line="52" w:lineRule="exact"/>
        <w:rPr>
          <w:sz w:val="20"/>
          <w:szCs w:val="20"/>
          <w:color w:val="auto"/>
        </w:rPr>
      </w:pPr>
    </w:p>
    <w:p>
      <w:pPr>
        <w:ind w:left="4120"/>
        <w:spacing w:after="0"/>
        <w:rPr>
          <w:sz w:val="20"/>
          <w:szCs w:val="20"/>
          <w:color w:val="auto"/>
        </w:rPr>
      </w:pPr>
      <w:r>
        <w:rPr>
          <w:rFonts w:ascii="Arial" w:cs="Arial" w:eastAsia="Arial" w:hAnsi="Arial"/>
          <w:sz w:val="18"/>
          <w:szCs w:val="18"/>
          <w:i w:val="1"/>
          <w:iCs w:val="1"/>
          <w:color w:val="auto"/>
        </w:rPr>
        <w:t>Corporate Secretary</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Liberty Lake, Washington</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March 22,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109220</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20"/>
          </w:cols>
          <w:pgMar w:left="1360" w:top="263" w:right="141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3"/>
                <w:szCs w:val="13"/>
                <w:color w:val="auto"/>
              </w:rPr>
            </w:pPr>
          </w:p>
        </w:tc>
        <w:tc>
          <w:tcPr>
            <w:tcW w:w="8160" w:type="dxa"/>
            <w:vAlign w:val="bottom"/>
            <w:gridSpan w:val="36"/>
          </w:tcPr>
          <w:p>
            <w:pPr>
              <w:spacing w:after="0"/>
              <w:rPr>
                <w:rFonts w:ascii="Times New Roman" w:cs="Times New Roman" w:eastAsia="Times New Roman" w:hAnsi="Times New Roman"/>
                <w:sz w:val="14"/>
                <w:szCs w:val="14"/>
                <w:b w:val="1"/>
                <w:bCs w:val="1"/>
                <w:color w:val="0000EE"/>
              </w:rPr>
            </w:pPr>
            <w:hyperlink w:anchor="page3">
              <w:r>
                <w:rPr>
                  <w:rFonts w:ascii="Times New Roman" w:cs="Times New Roman" w:eastAsia="Times New Roman" w:hAnsi="Times New Roman"/>
                  <w:sz w:val="14"/>
                  <w:szCs w:val="14"/>
                  <w:b w:val="1"/>
                  <w:bCs w:val="1"/>
                  <w:color w:val="0000EE"/>
                </w:rPr>
                <w:t>TABLE OF CONTENTS</w:t>
              </w:r>
            </w:hyperlink>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356"/>
        </w:trPr>
        <w:tc>
          <w:tcPr>
            <w:tcW w:w="92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40" w:type="dxa"/>
            <w:vAlign w:val="bottom"/>
            <w:gridSpan w:val="16"/>
          </w:tcPr>
          <w:p>
            <w:pPr>
              <w:ind w:left="100"/>
              <w:spacing w:after="0"/>
              <w:rPr>
                <w:sz w:val="20"/>
                <w:szCs w:val="20"/>
                <w:color w:val="auto"/>
              </w:rPr>
            </w:pPr>
            <w:r>
              <w:rPr>
                <w:rFonts w:ascii="Arial" w:cs="Arial" w:eastAsia="Arial" w:hAnsi="Arial"/>
                <w:sz w:val="18"/>
                <w:szCs w:val="18"/>
                <w:b w:val="1"/>
                <w:bCs w:val="1"/>
                <w:color w:val="auto"/>
              </w:rPr>
              <w:t>TABLE OF CONTENTS</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39"/>
        </w:trPr>
        <w:tc>
          <w:tcPr>
            <w:tcW w:w="920" w:type="dxa"/>
            <w:vAlign w:val="bottom"/>
          </w:tcPr>
          <w:p>
            <w:pPr>
              <w:spacing w:after="0"/>
              <w:rPr>
                <w:sz w:val="24"/>
                <w:szCs w:val="24"/>
                <w:color w:val="auto"/>
              </w:rPr>
            </w:pPr>
          </w:p>
        </w:tc>
        <w:tc>
          <w:tcPr>
            <w:tcW w:w="1700" w:type="dxa"/>
            <w:vAlign w:val="bottom"/>
            <w:gridSpan w:val="5"/>
          </w:tcPr>
          <w:p>
            <w:pPr>
              <w:spacing w:after="0"/>
              <w:rPr>
                <w:rFonts w:ascii="Arial" w:cs="Arial" w:eastAsia="Arial" w:hAnsi="Arial"/>
                <w:sz w:val="18"/>
                <w:szCs w:val="18"/>
                <w:b w:val="1"/>
                <w:bCs w:val="1"/>
                <w:color w:val="0000EE"/>
                <w:w w:val="93"/>
              </w:rPr>
            </w:pPr>
            <w:hyperlink w:anchor="page6">
              <w:r>
                <w:rPr>
                  <w:rFonts w:ascii="Arial" w:cs="Arial" w:eastAsia="Arial" w:hAnsi="Arial"/>
                  <w:sz w:val="18"/>
                  <w:szCs w:val="18"/>
                  <w:b w:val="1"/>
                  <w:bCs w:val="1"/>
                  <w:color w:val="0000EE"/>
                  <w:w w:val="93"/>
                </w:rPr>
                <w:t>PROXY STATEMENT</w:t>
              </w:r>
            </w:hyperlink>
          </w:p>
        </w:tc>
        <w:tc>
          <w:tcPr>
            <w:tcW w:w="6460" w:type="dxa"/>
            <w:vAlign w:val="bottom"/>
            <w:gridSpan w:val="31"/>
          </w:tcPr>
          <w:p>
            <w:pPr>
              <w:spacing w:after="0"/>
              <w:rPr>
                <w:sz w:val="24"/>
                <w:szCs w:val="24"/>
                <w:color w:val="auto"/>
              </w:rPr>
            </w:pPr>
          </w:p>
        </w:tc>
        <w:tc>
          <w:tcPr>
            <w:tcW w:w="1940" w:type="dxa"/>
            <w:vAlign w:val="bottom"/>
            <w:gridSpan w:val="4"/>
          </w:tcPr>
          <w:p>
            <w:pPr>
              <w:jc w:val="right"/>
              <w:ind w:right="920"/>
              <w:spacing w:after="0"/>
              <w:rPr>
                <w:rFonts w:ascii="Arial" w:cs="Arial" w:eastAsia="Arial" w:hAnsi="Arial"/>
                <w:sz w:val="18"/>
                <w:szCs w:val="18"/>
                <w:color w:val="0000EE"/>
              </w:rPr>
            </w:pPr>
            <w:hyperlink w:anchor="page6">
              <w:r>
                <w:rPr>
                  <w:rFonts w:ascii="Arial" w:cs="Arial" w:eastAsia="Arial" w:hAnsi="Arial"/>
                  <w:sz w:val="18"/>
                  <w:szCs w:val="18"/>
                  <w:color w:val="0000EE"/>
                </w:rPr>
                <w:t>1</w:t>
              </w:r>
            </w:hyperlink>
          </w:p>
        </w:tc>
      </w:tr>
      <w:tr>
        <w:trPr>
          <w:trHeight w:val="20"/>
        </w:trPr>
        <w:tc>
          <w:tcPr>
            <w:tcW w:w="9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91"/>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320" w:type="dxa"/>
            <w:vAlign w:val="bottom"/>
            <w:gridSpan w:val="10"/>
          </w:tcPr>
          <w:p>
            <w:pPr>
              <w:spacing w:after="0"/>
              <w:rPr>
                <w:rFonts w:ascii="Arial" w:cs="Arial" w:eastAsia="Arial" w:hAnsi="Arial"/>
                <w:sz w:val="18"/>
                <w:szCs w:val="18"/>
                <w:color w:val="0000EE"/>
                <w:w w:val="96"/>
              </w:rPr>
            </w:pPr>
            <w:hyperlink w:anchor="page6">
              <w:r>
                <w:rPr>
                  <w:rFonts w:ascii="Arial" w:cs="Arial" w:eastAsia="Arial" w:hAnsi="Arial"/>
                  <w:sz w:val="18"/>
                  <w:szCs w:val="18"/>
                  <w:color w:val="0000EE"/>
                  <w:w w:val="96"/>
                </w:rPr>
                <w:t>Attending the Annual Meeting</w:t>
              </w:r>
            </w:hyperlink>
          </w:p>
        </w:tc>
        <w:tc>
          <w:tcPr>
            <w:tcW w:w="5480" w:type="dxa"/>
            <w:vAlign w:val="bottom"/>
            <w:gridSpan w:val="25"/>
          </w:tcPr>
          <w:p>
            <w:pPr>
              <w:spacing w:after="0"/>
              <w:rPr>
                <w:sz w:val="24"/>
                <w:szCs w:val="24"/>
                <w:color w:val="auto"/>
              </w:rPr>
            </w:pPr>
          </w:p>
        </w:tc>
        <w:tc>
          <w:tcPr>
            <w:tcW w:w="1940" w:type="dxa"/>
            <w:vAlign w:val="bottom"/>
            <w:gridSpan w:val="4"/>
          </w:tcPr>
          <w:p>
            <w:pPr>
              <w:jc w:val="right"/>
              <w:ind w:right="920"/>
              <w:spacing w:after="0"/>
              <w:rPr>
                <w:rFonts w:ascii="Arial" w:cs="Arial" w:eastAsia="Arial" w:hAnsi="Arial"/>
                <w:sz w:val="18"/>
                <w:szCs w:val="18"/>
                <w:color w:val="0000EE"/>
              </w:rPr>
            </w:pPr>
            <w:hyperlink w:anchor="page6">
              <w:r>
                <w:rPr>
                  <w:rFonts w:ascii="Arial" w:cs="Arial" w:eastAsia="Arial" w:hAnsi="Arial"/>
                  <w:sz w:val="18"/>
                  <w:szCs w:val="18"/>
                  <w:color w:val="0000EE"/>
                </w:rPr>
                <w:t>1</w:t>
              </w:r>
            </w:hyperlink>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90"/>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0" w:type="dxa"/>
            <w:vAlign w:val="bottom"/>
            <w:gridSpan w:val="35"/>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Internet Availability of Annual Meeting Materials</w:t>
              </w:r>
            </w:hyperlink>
          </w:p>
        </w:tc>
        <w:tc>
          <w:tcPr>
            <w:tcW w:w="1940" w:type="dxa"/>
            <w:vAlign w:val="bottom"/>
            <w:gridSpan w:val="4"/>
          </w:tcPr>
          <w:p>
            <w:pPr>
              <w:jc w:val="right"/>
              <w:ind w:right="920"/>
              <w:spacing w:after="0"/>
              <w:rPr>
                <w:rFonts w:ascii="Arial" w:cs="Arial" w:eastAsia="Arial" w:hAnsi="Arial"/>
                <w:sz w:val="18"/>
                <w:szCs w:val="18"/>
                <w:color w:val="0000EE"/>
              </w:rPr>
            </w:pPr>
            <w:hyperlink w:anchor="page6">
              <w:r>
                <w:rPr>
                  <w:rFonts w:ascii="Arial" w:cs="Arial" w:eastAsia="Arial" w:hAnsi="Arial"/>
                  <w:sz w:val="18"/>
                  <w:szCs w:val="18"/>
                  <w:color w:val="0000EE"/>
                </w:rPr>
                <w:t>1</w:t>
              </w:r>
            </w:hyperlink>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91"/>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0" w:type="dxa"/>
            <w:vAlign w:val="bottom"/>
            <w:gridSpan w:val="35"/>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Proposals to Be Voted On at the Annual Meeting</w:t>
              </w:r>
            </w:hyperlink>
          </w:p>
        </w:tc>
        <w:tc>
          <w:tcPr>
            <w:tcW w:w="1940" w:type="dxa"/>
            <w:vAlign w:val="bottom"/>
            <w:gridSpan w:val="4"/>
          </w:tcPr>
          <w:p>
            <w:pPr>
              <w:jc w:val="right"/>
              <w:ind w:right="920"/>
              <w:spacing w:after="0"/>
              <w:rPr>
                <w:rFonts w:ascii="Arial" w:cs="Arial" w:eastAsia="Arial" w:hAnsi="Arial"/>
                <w:sz w:val="18"/>
                <w:szCs w:val="18"/>
                <w:color w:val="0000EE"/>
              </w:rPr>
            </w:pPr>
            <w:hyperlink w:anchor="page6">
              <w:r>
                <w:rPr>
                  <w:rFonts w:ascii="Arial" w:cs="Arial" w:eastAsia="Arial" w:hAnsi="Arial"/>
                  <w:sz w:val="18"/>
                  <w:szCs w:val="18"/>
                  <w:color w:val="0000EE"/>
                </w:rPr>
                <w:t>1</w:t>
              </w:r>
            </w:hyperlink>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90"/>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0" w:type="dxa"/>
            <w:vAlign w:val="bottom"/>
            <w:gridSpan w:val="17"/>
          </w:tcPr>
          <w:p>
            <w:pPr>
              <w:spacing w:after="0"/>
              <w:rPr>
                <w:rFonts w:ascii="Arial" w:cs="Arial" w:eastAsia="Arial" w:hAnsi="Arial"/>
                <w:sz w:val="18"/>
                <w:szCs w:val="18"/>
                <w:color w:val="0000EE"/>
                <w:w w:val="99"/>
              </w:rPr>
            </w:pPr>
            <w:hyperlink w:anchor="page7">
              <w:r>
                <w:rPr>
                  <w:rFonts w:ascii="Arial" w:cs="Arial" w:eastAsia="Arial" w:hAnsi="Arial"/>
                  <w:sz w:val="18"/>
                  <w:szCs w:val="18"/>
                  <w:color w:val="0000EE"/>
                  <w:w w:val="99"/>
                </w:rPr>
                <w:t>Record Date and Outstanding Shares</w:t>
              </w:r>
            </w:hyperlink>
          </w:p>
        </w:tc>
        <w:tc>
          <w:tcPr>
            <w:tcW w:w="860" w:type="dxa"/>
            <w:vAlign w:val="bottom"/>
            <w:gridSpan w:val="9"/>
          </w:tcPr>
          <w:p>
            <w:pPr>
              <w:spacing w:after="0"/>
              <w:rPr>
                <w:sz w:val="24"/>
                <w:szCs w:val="24"/>
                <w:color w:val="auto"/>
              </w:rPr>
            </w:pPr>
          </w:p>
        </w:tc>
        <w:tc>
          <w:tcPr>
            <w:tcW w:w="3940" w:type="dxa"/>
            <w:vAlign w:val="bottom"/>
            <w:gridSpan w:val="9"/>
          </w:tcPr>
          <w:p>
            <w:pPr>
              <w:spacing w:after="0"/>
              <w:rPr>
                <w:sz w:val="24"/>
                <w:szCs w:val="24"/>
                <w:color w:val="auto"/>
              </w:rPr>
            </w:pPr>
          </w:p>
        </w:tc>
        <w:tc>
          <w:tcPr>
            <w:tcW w:w="1940" w:type="dxa"/>
            <w:vAlign w:val="bottom"/>
            <w:gridSpan w:val="4"/>
          </w:tcPr>
          <w:p>
            <w:pPr>
              <w:jc w:val="right"/>
              <w:ind w:right="920"/>
              <w:spacing w:after="0"/>
              <w:rPr>
                <w:rFonts w:ascii="Arial" w:cs="Arial" w:eastAsia="Arial" w:hAnsi="Arial"/>
                <w:sz w:val="18"/>
                <w:szCs w:val="18"/>
                <w:color w:val="0000EE"/>
              </w:rPr>
            </w:pPr>
            <w:hyperlink w:anchor="page7">
              <w:r>
                <w:rPr>
                  <w:rFonts w:ascii="Arial" w:cs="Arial" w:eastAsia="Arial" w:hAnsi="Arial"/>
                  <w:sz w:val="18"/>
                  <w:szCs w:val="18"/>
                  <w:color w:val="0000EE"/>
                </w:rPr>
                <w:t>2</w:t>
              </w:r>
            </w:hyperlink>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91"/>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0" w:type="dxa"/>
            <w:vAlign w:val="bottom"/>
            <w:gridSpan w:val="17"/>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Quorum and Voting</w:t>
              </w:r>
            </w:hyperlink>
          </w:p>
        </w:tc>
        <w:tc>
          <w:tcPr>
            <w:tcW w:w="4800" w:type="dxa"/>
            <w:vAlign w:val="bottom"/>
            <w:gridSpan w:val="18"/>
          </w:tcPr>
          <w:p>
            <w:pPr>
              <w:spacing w:after="0"/>
              <w:rPr>
                <w:sz w:val="24"/>
                <w:szCs w:val="24"/>
                <w:color w:val="auto"/>
              </w:rPr>
            </w:pPr>
          </w:p>
        </w:tc>
        <w:tc>
          <w:tcPr>
            <w:tcW w:w="1940" w:type="dxa"/>
            <w:vAlign w:val="bottom"/>
            <w:gridSpan w:val="4"/>
          </w:tcPr>
          <w:p>
            <w:pPr>
              <w:jc w:val="right"/>
              <w:ind w:right="920"/>
              <w:spacing w:after="0"/>
              <w:rPr>
                <w:rFonts w:ascii="Arial" w:cs="Arial" w:eastAsia="Arial" w:hAnsi="Arial"/>
                <w:sz w:val="18"/>
                <w:szCs w:val="18"/>
                <w:color w:val="0000EE"/>
              </w:rPr>
            </w:pPr>
            <w:hyperlink w:anchor="page7">
              <w:r>
                <w:rPr>
                  <w:rFonts w:ascii="Arial" w:cs="Arial" w:eastAsia="Arial" w:hAnsi="Arial"/>
                  <w:sz w:val="18"/>
                  <w:szCs w:val="18"/>
                  <w:color w:val="0000EE"/>
                </w:rPr>
                <w:t>2</w:t>
              </w:r>
            </w:hyperlink>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91"/>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60" w:type="dxa"/>
            <w:vAlign w:val="bottom"/>
            <w:gridSpan w:val="33"/>
          </w:tcPr>
          <w:p>
            <w:pPr>
              <w:spacing w:after="0"/>
              <w:rPr>
                <w:rFonts w:ascii="Arial" w:cs="Arial" w:eastAsia="Arial" w:hAnsi="Arial"/>
                <w:sz w:val="18"/>
                <w:szCs w:val="18"/>
                <w:color w:val="0000EE"/>
                <w:w w:val="99"/>
              </w:rPr>
            </w:pPr>
            <w:hyperlink w:anchor="page7">
              <w:r>
                <w:rPr>
                  <w:rFonts w:ascii="Arial" w:cs="Arial" w:eastAsia="Arial" w:hAnsi="Arial"/>
                  <w:sz w:val="18"/>
                  <w:szCs w:val="18"/>
                  <w:color w:val="0000EE"/>
                  <w:w w:val="99"/>
                </w:rPr>
                <w:t>How to Vote Your Shares in Person and Participate at the Annual Meeting</w:t>
              </w:r>
            </w:hyperlink>
          </w:p>
        </w:tc>
        <w:tc>
          <w:tcPr>
            <w:tcW w:w="1940" w:type="dxa"/>
            <w:vAlign w:val="bottom"/>
            <w:gridSpan w:val="2"/>
          </w:tcPr>
          <w:p>
            <w:pPr>
              <w:spacing w:after="0"/>
              <w:rPr>
                <w:sz w:val="24"/>
                <w:szCs w:val="24"/>
                <w:color w:val="auto"/>
              </w:rPr>
            </w:pPr>
          </w:p>
        </w:tc>
        <w:tc>
          <w:tcPr>
            <w:tcW w:w="1940" w:type="dxa"/>
            <w:vAlign w:val="bottom"/>
            <w:gridSpan w:val="4"/>
          </w:tcPr>
          <w:p>
            <w:pPr>
              <w:jc w:val="right"/>
              <w:ind w:right="920"/>
              <w:spacing w:after="0"/>
              <w:rPr>
                <w:rFonts w:ascii="Arial" w:cs="Arial" w:eastAsia="Arial" w:hAnsi="Arial"/>
                <w:sz w:val="18"/>
                <w:szCs w:val="18"/>
                <w:color w:val="0000EE"/>
              </w:rPr>
            </w:pPr>
            <w:hyperlink w:anchor="page7">
              <w:r>
                <w:rPr>
                  <w:rFonts w:ascii="Arial" w:cs="Arial" w:eastAsia="Arial" w:hAnsi="Arial"/>
                  <w:sz w:val="18"/>
                  <w:szCs w:val="18"/>
                  <w:color w:val="0000EE"/>
                </w:rPr>
                <w:t>2</w:t>
              </w:r>
            </w:hyperlink>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90"/>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60" w:type="dxa"/>
            <w:vAlign w:val="bottom"/>
            <w:gridSpan w:val="33"/>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How to Vote Your Shares without Attending the Annual Meeting</w:t>
              </w:r>
            </w:hyperlink>
          </w:p>
        </w:tc>
        <w:tc>
          <w:tcPr>
            <w:tcW w:w="1940" w:type="dxa"/>
            <w:vAlign w:val="bottom"/>
            <w:gridSpan w:val="2"/>
          </w:tcPr>
          <w:p>
            <w:pPr>
              <w:spacing w:after="0"/>
              <w:rPr>
                <w:sz w:val="24"/>
                <w:szCs w:val="24"/>
                <w:color w:val="auto"/>
              </w:rPr>
            </w:pPr>
          </w:p>
        </w:tc>
        <w:tc>
          <w:tcPr>
            <w:tcW w:w="1940" w:type="dxa"/>
            <w:vAlign w:val="bottom"/>
            <w:gridSpan w:val="4"/>
          </w:tcPr>
          <w:p>
            <w:pPr>
              <w:jc w:val="right"/>
              <w:ind w:right="920"/>
              <w:spacing w:after="0"/>
              <w:rPr>
                <w:rFonts w:ascii="Arial" w:cs="Arial" w:eastAsia="Arial" w:hAnsi="Arial"/>
                <w:sz w:val="18"/>
                <w:szCs w:val="18"/>
                <w:color w:val="0000EE"/>
              </w:rPr>
            </w:pPr>
            <w:hyperlink w:anchor="page7">
              <w:r>
                <w:rPr>
                  <w:rFonts w:ascii="Arial" w:cs="Arial" w:eastAsia="Arial" w:hAnsi="Arial"/>
                  <w:sz w:val="18"/>
                  <w:szCs w:val="18"/>
                  <w:color w:val="0000EE"/>
                </w:rPr>
                <w:t>2</w:t>
              </w:r>
            </w:hyperlink>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91"/>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80" w:type="dxa"/>
            <w:vAlign w:val="bottom"/>
            <w:gridSpan w:val="6"/>
          </w:tcPr>
          <w:p>
            <w:pPr>
              <w:spacing w:after="0"/>
              <w:rPr>
                <w:rFonts w:ascii="Arial" w:cs="Arial" w:eastAsia="Arial" w:hAnsi="Arial"/>
                <w:sz w:val="18"/>
                <w:szCs w:val="18"/>
                <w:color w:val="0000EE"/>
                <w:w w:val="95"/>
              </w:rPr>
            </w:pPr>
            <w:hyperlink w:anchor="page8">
              <w:r>
                <w:rPr>
                  <w:rFonts w:ascii="Arial" w:cs="Arial" w:eastAsia="Arial" w:hAnsi="Arial"/>
                  <w:sz w:val="18"/>
                  <w:szCs w:val="18"/>
                  <w:color w:val="0000EE"/>
                  <w:w w:val="95"/>
                </w:rPr>
                <w:t>Revocability of Proxies</w:t>
              </w:r>
            </w:hyperlink>
          </w:p>
        </w:tc>
        <w:tc>
          <w:tcPr>
            <w:tcW w:w="3240" w:type="dxa"/>
            <w:vAlign w:val="bottom"/>
            <w:gridSpan w:val="26"/>
          </w:tcPr>
          <w:p>
            <w:pPr>
              <w:spacing w:after="0"/>
              <w:rPr>
                <w:sz w:val="24"/>
                <w:szCs w:val="24"/>
                <w:color w:val="auto"/>
              </w:rPr>
            </w:pPr>
          </w:p>
        </w:tc>
        <w:tc>
          <w:tcPr>
            <w:tcW w:w="2780" w:type="dxa"/>
            <w:vAlign w:val="bottom"/>
            <w:gridSpan w:val="3"/>
          </w:tcPr>
          <w:p>
            <w:pPr>
              <w:spacing w:after="0"/>
              <w:rPr>
                <w:sz w:val="24"/>
                <w:szCs w:val="24"/>
                <w:color w:val="auto"/>
              </w:rPr>
            </w:pPr>
          </w:p>
        </w:tc>
        <w:tc>
          <w:tcPr>
            <w:tcW w:w="1940" w:type="dxa"/>
            <w:vAlign w:val="bottom"/>
            <w:gridSpan w:val="4"/>
          </w:tcPr>
          <w:p>
            <w:pPr>
              <w:jc w:val="right"/>
              <w:ind w:right="920"/>
              <w:spacing w:after="0"/>
              <w:rPr>
                <w:rFonts w:ascii="Arial" w:cs="Arial" w:eastAsia="Arial" w:hAnsi="Arial"/>
                <w:sz w:val="18"/>
                <w:szCs w:val="18"/>
                <w:color w:val="0000EE"/>
              </w:rPr>
            </w:pPr>
            <w:hyperlink w:anchor="page8">
              <w:r>
                <w:rPr>
                  <w:rFonts w:ascii="Arial" w:cs="Arial" w:eastAsia="Arial" w:hAnsi="Arial"/>
                  <w:sz w:val="18"/>
                  <w:szCs w:val="18"/>
                  <w:color w:val="0000EE"/>
                </w:rPr>
                <w:t>3</w:t>
              </w:r>
            </w:hyperlink>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90"/>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gridSpan w:val="4"/>
          </w:tcPr>
          <w:p>
            <w:pPr>
              <w:spacing w:after="0"/>
              <w:rPr>
                <w:rFonts w:ascii="Arial" w:cs="Arial" w:eastAsia="Arial" w:hAnsi="Arial"/>
                <w:sz w:val="18"/>
                <w:szCs w:val="18"/>
                <w:color w:val="0000EE"/>
                <w:w w:val="94"/>
              </w:rPr>
            </w:pPr>
            <w:hyperlink w:anchor="page8">
              <w:r>
                <w:rPr>
                  <w:rFonts w:ascii="Arial" w:cs="Arial" w:eastAsia="Arial" w:hAnsi="Arial"/>
                  <w:sz w:val="18"/>
                  <w:szCs w:val="18"/>
                  <w:color w:val="0000EE"/>
                  <w:w w:val="94"/>
                </w:rPr>
                <w:t>Proxy Solicitation</w:t>
              </w:r>
            </w:hyperlink>
          </w:p>
        </w:tc>
        <w:tc>
          <w:tcPr>
            <w:tcW w:w="440" w:type="dxa"/>
            <w:vAlign w:val="bottom"/>
            <w:gridSpan w:val="2"/>
          </w:tcPr>
          <w:p>
            <w:pPr>
              <w:spacing w:after="0"/>
              <w:rPr>
                <w:sz w:val="24"/>
                <w:szCs w:val="24"/>
                <w:color w:val="auto"/>
              </w:rPr>
            </w:pPr>
          </w:p>
        </w:tc>
        <w:tc>
          <w:tcPr>
            <w:tcW w:w="6020" w:type="dxa"/>
            <w:vAlign w:val="bottom"/>
            <w:gridSpan w:val="29"/>
          </w:tcPr>
          <w:p>
            <w:pPr>
              <w:spacing w:after="0"/>
              <w:rPr>
                <w:sz w:val="24"/>
                <w:szCs w:val="24"/>
                <w:color w:val="auto"/>
              </w:rPr>
            </w:pPr>
          </w:p>
        </w:tc>
        <w:tc>
          <w:tcPr>
            <w:tcW w:w="1940" w:type="dxa"/>
            <w:vAlign w:val="bottom"/>
            <w:gridSpan w:val="4"/>
          </w:tcPr>
          <w:p>
            <w:pPr>
              <w:jc w:val="right"/>
              <w:ind w:right="920"/>
              <w:spacing w:after="0"/>
              <w:rPr>
                <w:rFonts w:ascii="Arial" w:cs="Arial" w:eastAsia="Arial" w:hAnsi="Arial"/>
                <w:sz w:val="18"/>
                <w:szCs w:val="18"/>
                <w:color w:val="0000EE"/>
              </w:rPr>
            </w:pPr>
            <w:hyperlink w:anchor="page8">
              <w:r>
                <w:rPr>
                  <w:rFonts w:ascii="Arial" w:cs="Arial" w:eastAsia="Arial" w:hAnsi="Arial"/>
                  <w:sz w:val="18"/>
                  <w:szCs w:val="18"/>
                  <w:color w:val="0000EE"/>
                </w:rPr>
                <w:t>3</w:t>
              </w:r>
            </w:hyperlink>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66"/>
        </w:trPr>
        <w:tc>
          <w:tcPr>
            <w:tcW w:w="920" w:type="dxa"/>
            <w:vAlign w:val="bottom"/>
          </w:tcPr>
          <w:p>
            <w:pPr>
              <w:spacing w:after="0"/>
              <w:rPr>
                <w:sz w:val="24"/>
                <w:szCs w:val="24"/>
                <w:color w:val="auto"/>
              </w:rPr>
            </w:pPr>
          </w:p>
        </w:tc>
        <w:tc>
          <w:tcPr>
            <w:tcW w:w="8160" w:type="dxa"/>
            <w:vAlign w:val="bottom"/>
            <w:gridSpan w:val="36"/>
          </w:tcPr>
          <w:p>
            <w:pPr>
              <w:spacing w:after="0"/>
              <w:rPr>
                <w:rFonts w:ascii="Arial" w:cs="Arial" w:eastAsia="Arial" w:hAnsi="Arial"/>
                <w:sz w:val="18"/>
                <w:szCs w:val="18"/>
                <w:b w:val="1"/>
                <w:bCs w:val="1"/>
                <w:color w:val="0000EE"/>
              </w:rPr>
            </w:pPr>
            <w:hyperlink w:anchor="page9">
              <w:r>
                <w:rPr>
                  <w:rFonts w:ascii="Arial" w:cs="Arial" w:eastAsia="Arial" w:hAnsi="Arial"/>
                  <w:sz w:val="18"/>
                  <w:szCs w:val="18"/>
                  <w:b w:val="1"/>
                  <w:bCs w:val="1"/>
                  <w:color w:val="0000EE"/>
                </w:rPr>
                <w:t>PROPOSAL 1 – ELECTION OF DIRECTORS</w:t>
              </w:r>
            </w:hyperlink>
          </w:p>
        </w:tc>
        <w:tc>
          <w:tcPr>
            <w:tcW w:w="1940" w:type="dxa"/>
            <w:vAlign w:val="bottom"/>
            <w:gridSpan w:val="4"/>
          </w:tcPr>
          <w:p>
            <w:pPr>
              <w:jc w:val="right"/>
              <w:ind w:right="920"/>
              <w:spacing w:after="0"/>
              <w:rPr>
                <w:rFonts w:ascii="Arial" w:cs="Arial" w:eastAsia="Arial" w:hAnsi="Arial"/>
                <w:sz w:val="18"/>
                <w:szCs w:val="18"/>
                <w:color w:val="0000EE"/>
              </w:rPr>
            </w:pPr>
            <w:hyperlink w:anchor="page9">
              <w:r>
                <w:rPr>
                  <w:rFonts w:ascii="Arial" w:cs="Arial" w:eastAsia="Arial" w:hAnsi="Arial"/>
                  <w:sz w:val="18"/>
                  <w:szCs w:val="18"/>
                  <w:color w:val="0000EE"/>
                </w:rPr>
                <w:t>4</w:t>
              </w:r>
            </w:hyperlink>
          </w:p>
        </w:tc>
      </w:tr>
      <w:tr>
        <w:trPr>
          <w:trHeight w:val="20"/>
        </w:trPr>
        <w:tc>
          <w:tcPr>
            <w:tcW w:w="9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66"/>
        </w:trPr>
        <w:tc>
          <w:tcPr>
            <w:tcW w:w="920" w:type="dxa"/>
            <w:vAlign w:val="bottom"/>
          </w:tcPr>
          <w:p>
            <w:pPr>
              <w:spacing w:after="0"/>
              <w:rPr>
                <w:sz w:val="24"/>
                <w:szCs w:val="24"/>
                <w:color w:val="auto"/>
              </w:rPr>
            </w:pPr>
          </w:p>
        </w:tc>
        <w:tc>
          <w:tcPr>
            <w:tcW w:w="8160" w:type="dxa"/>
            <w:vAlign w:val="bottom"/>
            <w:gridSpan w:val="36"/>
          </w:tcPr>
          <w:p>
            <w:pPr>
              <w:spacing w:after="0"/>
              <w:rPr>
                <w:rFonts w:ascii="Arial" w:cs="Arial" w:eastAsia="Arial" w:hAnsi="Arial"/>
                <w:sz w:val="18"/>
                <w:szCs w:val="18"/>
                <w:b w:val="1"/>
                <w:bCs w:val="1"/>
                <w:color w:val="0000EE"/>
              </w:rPr>
            </w:pPr>
            <w:hyperlink w:anchor="page9">
              <w:r>
                <w:rPr>
                  <w:rFonts w:ascii="Arial" w:cs="Arial" w:eastAsia="Arial" w:hAnsi="Arial"/>
                  <w:sz w:val="18"/>
                  <w:szCs w:val="18"/>
                  <w:b w:val="1"/>
                  <w:bCs w:val="1"/>
                  <w:color w:val="0000EE"/>
                </w:rPr>
                <w:t>MORE INFORMATION ABOUT OUR DIRECTORS</w:t>
              </w:r>
            </w:hyperlink>
          </w:p>
        </w:tc>
        <w:tc>
          <w:tcPr>
            <w:tcW w:w="1940" w:type="dxa"/>
            <w:vAlign w:val="bottom"/>
            <w:gridSpan w:val="4"/>
          </w:tcPr>
          <w:p>
            <w:pPr>
              <w:jc w:val="right"/>
              <w:ind w:right="920"/>
              <w:spacing w:after="0"/>
              <w:rPr>
                <w:rFonts w:ascii="Arial" w:cs="Arial" w:eastAsia="Arial" w:hAnsi="Arial"/>
                <w:sz w:val="18"/>
                <w:szCs w:val="18"/>
                <w:color w:val="0000EE"/>
              </w:rPr>
            </w:pPr>
            <w:hyperlink w:anchor="page9">
              <w:r>
                <w:rPr>
                  <w:rFonts w:ascii="Arial" w:cs="Arial" w:eastAsia="Arial" w:hAnsi="Arial"/>
                  <w:sz w:val="18"/>
                  <w:szCs w:val="18"/>
                  <w:color w:val="0000EE"/>
                </w:rPr>
                <w:t>4</w:t>
              </w:r>
            </w:hyperlink>
          </w:p>
        </w:tc>
      </w:tr>
      <w:tr>
        <w:trPr>
          <w:trHeight w:val="20"/>
        </w:trPr>
        <w:tc>
          <w:tcPr>
            <w:tcW w:w="9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90"/>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20" w:type="dxa"/>
            <w:vAlign w:val="bottom"/>
            <w:gridSpan w:val="23"/>
          </w:tcPr>
          <w:p>
            <w:pPr>
              <w:spacing w:after="0"/>
              <w:rPr>
                <w:rFonts w:ascii="Arial" w:cs="Arial" w:eastAsia="Arial" w:hAnsi="Arial"/>
                <w:sz w:val="18"/>
                <w:szCs w:val="18"/>
                <w:color w:val="0000EE"/>
                <w:w w:val="99"/>
              </w:rPr>
            </w:pPr>
            <w:hyperlink w:anchor="page14">
              <w:r>
                <w:rPr>
                  <w:rFonts w:ascii="Arial" w:cs="Arial" w:eastAsia="Arial" w:hAnsi="Arial"/>
                  <w:sz w:val="18"/>
                  <w:szCs w:val="18"/>
                  <w:color w:val="0000EE"/>
                  <w:w w:val="99"/>
                </w:rPr>
                <w:t>Snapshot of Directors and Director Nominees</w:t>
              </w:r>
            </w:hyperlink>
          </w:p>
        </w:tc>
        <w:tc>
          <w:tcPr>
            <w:tcW w:w="40" w:type="dxa"/>
            <w:vAlign w:val="bottom"/>
          </w:tcPr>
          <w:p>
            <w:pPr>
              <w:spacing w:after="0"/>
              <w:rPr>
                <w:sz w:val="24"/>
                <w:szCs w:val="24"/>
                <w:color w:val="auto"/>
              </w:rPr>
            </w:pPr>
          </w:p>
        </w:tc>
        <w:tc>
          <w:tcPr>
            <w:tcW w:w="4140" w:type="dxa"/>
            <w:vAlign w:val="bottom"/>
            <w:gridSpan w:val="11"/>
          </w:tcPr>
          <w:p>
            <w:pPr>
              <w:spacing w:after="0"/>
              <w:rPr>
                <w:sz w:val="24"/>
                <w:szCs w:val="24"/>
                <w:color w:val="auto"/>
              </w:rPr>
            </w:pPr>
          </w:p>
        </w:tc>
        <w:tc>
          <w:tcPr>
            <w:tcW w:w="1940" w:type="dxa"/>
            <w:vAlign w:val="bottom"/>
            <w:gridSpan w:val="4"/>
          </w:tcPr>
          <w:p>
            <w:pPr>
              <w:jc w:val="right"/>
              <w:ind w:right="920"/>
              <w:spacing w:after="0"/>
              <w:rPr>
                <w:rFonts w:ascii="Arial" w:cs="Arial" w:eastAsia="Arial" w:hAnsi="Arial"/>
                <w:sz w:val="18"/>
                <w:szCs w:val="18"/>
                <w:color w:val="0000EE"/>
              </w:rPr>
            </w:pPr>
            <w:hyperlink w:anchor="page14">
              <w:r>
                <w:rPr>
                  <w:rFonts w:ascii="Arial" w:cs="Arial" w:eastAsia="Arial" w:hAnsi="Arial"/>
                  <w:sz w:val="18"/>
                  <w:szCs w:val="18"/>
                  <w:color w:val="0000EE"/>
                </w:rPr>
                <w:t>9</w:t>
              </w:r>
            </w:hyperlink>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91"/>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520" w:type="dxa"/>
            <w:vAlign w:val="bottom"/>
            <w:gridSpan w:val="22"/>
          </w:tcPr>
          <w:p>
            <w:pPr>
              <w:spacing w:after="0"/>
              <w:rPr>
                <w:rFonts w:ascii="Arial" w:cs="Arial" w:eastAsia="Arial" w:hAnsi="Arial"/>
                <w:sz w:val="18"/>
                <w:szCs w:val="18"/>
                <w:color w:val="0000EE"/>
                <w:w w:val="97"/>
              </w:rPr>
            </w:pPr>
            <w:hyperlink w:anchor="page14">
              <w:r>
                <w:rPr>
                  <w:rFonts w:ascii="Arial" w:cs="Arial" w:eastAsia="Arial" w:hAnsi="Arial"/>
                  <w:sz w:val="18"/>
                  <w:szCs w:val="18"/>
                  <w:color w:val="0000EE"/>
                  <w:w w:val="97"/>
                </w:rPr>
                <w:t>Director and Director Nominee Qualifications</w:t>
              </w:r>
            </w:hyperlink>
          </w:p>
        </w:tc>
        <w:tc>
          <w:tcPr>
            <w:tcW w:w="100" w:type="dxa"/>
            <w:vAlign w:val="bottom"/>
          </w:tcPr>
          <w:p>
            <w:pPr>
              <w:spacing w:after="0"/>
              <w:rPr>
                <w:sz w:val="24"/>
                <w:szCs w:val="24"/>
                <w:color w:val="auto"/>
              </w:rPr>
            </w:pPr>
          </w:p>
        </w:tc>
        <w:tc>
          <w:tcPr>
            <w:tcW w:w="4180" w:type="dxa"/>
            <w:vAlign w:val="bottom"/>
            <w:gridSpan w:val="12"/>
          </w:tcPr>
          <w:p>
            <w:pPr>
              <w:spacing w:after="0"/>
              <w:rPr>
                <w:sz w:val="24"/>
                <w:szCs w:val="24"/>
                <w:color w:val="auto"/>
              </w:rPr>
            </w:pPr>
          </w:p>
        </w:tc>
        <w:tc>
          <w:tcPr>
            <w:tcW w:w="1940" w:type="dxa"/>
            <w:vAlign w:val="bottom"/>
            <w:gridSpan w:val="4"/>
          </w:tcPr>
          <w:p>
            <w:pPr>
              <w:jc w:val="right"/>
              <w:ind w:right="920"/>
              <w:spacing w:after="0"/>
              <w:rPr>
                <w:rFonts w:ascii="Arial" w:cs="Arial" w:eastAsia="Arial" w:hAnsi="Arial"/>
                <w:sz w:val="18"/>
                <w:szCs w:val="18"/>
                <w:color w:val="0000EE"/>
              </w:rPr>
            </w:pPr>
            <w:hyperlink w:anchor="page14">
              <w:r>
                <w:rPr>
                  <w:rFonts w:ascii="Arial" w:cs="Arial" w:eastAsia="Arial" w:hAnsi="Arial"/>
                  <w:sz w:val="18"/>
                  <w:szCs w:val="18"/>
                  <w:color w:val="0000EE"/>
                </w:rPr>
                <w:t>9</w:t>
              </w:r>
            </w:hyperlink>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90"/>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20" w:type="dxa"/>
            <w:vAlign w:val="bottom"/>
            <w:gridSpan w:val="16"/>
          </w:tcPr>
          <w:p>
            <w:pPr>
              <w:spacing w:after="0"/>
              <w:rPr>
                <w:rFonts w:ascii="Arial" w:cs="Arial" w:eastAsia="Arial" w:hAnsi="Arial"/>
                <w:sz w:val="18"/>
                <w:szCs w:val="18"/>
                <w:color w:val="0000EE"/>
                <w:w w:val="99"/>
              </w:rPr>
            </w:pPr>
            <w:hyperlink w:anchor="page15">
              <w:r>
                <w:rPr>
                  <w:rFonts w:ascii="Arial" w:cs="Arial" w:eastAsia="Arial" w:hAnsi="Arial"/>
                  <w:sz w:val="18"/>
                  <w:szCs w:val="18"/>
                  <w:color w:val="0000EE"/>
                  <w:w w:val="99"/>
                </w:rPr>
                <w:t>Director Qualifications and Attributes</w:t>
              </w:r>
            </w:hyperlink>
          </w:p>
        </w:tc>
        <w:tc>
          <w:tcPr>
            <w:tcW w:w="600" w:type="dxa"/>
            <w:vAlign w:val="bottom"/>
            <w:gridSpan w:val="6"/>
          </w:tcPr>
          <w:p>
            <w:pPr>
              <w:spacing w:after="0"/>
              <w:rPr>
                <w:sz w:val="24"/>
                <w:szCs w:val="24"/>
                <w:color w:val="auto"/>
              </w:rPr>
            </w:pPr>
          </w:p>
        </w:tc>
        <w:tc>
          <w:tcPr>
            <w:tcW w:w="4280" w:type="dxa"/>
            <w:vAlign w:val="bottom"/>
            <w:gridSpan w:val="13"/>
          </w:tcPr>
          <w:p>
            <w:pPr>
              <w:spacing w:after="0"/>
              <w:rPr>
                <w:sz w:val="24"/>
                <w:szCs w:val="24"/>
                <w:color w:val="auto"/>
              </w:rPr>
            </w:pPr>
          </w:p>
        </w:tc>
        <w:tc>
          <w:tcPr>
            <w:tcW w:w="1940" w:type="dxa"/>
            <w:vAlign w:val="bottom"/>
            <w:gridSpan w:val="4"/>
          </w:tcPr>
          <w:p>
            <w:pPr>
              <w:jc w:val="right"/>
              <w:ind w:right="920"/>
              <w:spacing w:after="0"/>
              <w:rPr>
                <w:rFonts w:ascii="Arial" w:cs="Arial" w:eastAsia="Arial" w:hAnsi="Arial"/>
                <w:sz w:val="18"/>
                <w:szCs w:val="18"/>
                <w:color w:val="0000EE"/>
              </w:rPr>
            </w:pPr>
            <w:hyperlink w:anchor="page15">
              <w:r>
                <w:rPr>
                  <w:rFonts w:ascii="Arial" w:cs="Arial" w:eastAsia="Arial" w:hAnsi="Arial"/>
                  <w:sz w:val="18"/>
                  <w:szCs w:val="18"/>
                  <w:color w:val="0000EE"/>
                </w:rPr>
                <w:t>10</w:t>
              </w:r>
            </w:hyperlink>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91"/>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20" w:type="dxa"/>
            <w:vAlign w:val="bottom"/>
            <w:gridSpan w:val="16"/>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Compensation of Directors</w:t>
              </w:r>
            </w:hyperlink>
          </w:p>
        </w:tc>
        <w:tc>
          <w:tcPr>
            <w:tcW w:w="4880" w:type="dxa"/>
            <w:vAlign w:val="bottom"/>
            <w:gridSpan w:val="19"/>
          </w:tcPr>
          <w:p>
            <w:pPr>
              <w:spacing w:after="0"/>
              <w:rPr>
                <w:sz w:val="24"/>
                <w:szCs w:val="24"/>
                <w:color w:val="auto"/>
              </w:rPr>
            </w:pPr>
          </w:p>
        </w:tc>
        <w:tc>
          <w:tcPr>
            <w:tcW w:w="1940" w:type="dxa"/>
            <w:vAlign w:val="bottom"/>
            <w:gridSpan w:val="4"/>
          </w:tcPr>
          <w:p>
            <w:pPr>
              <w:jc w:val="right"/>
              <w:ind w:right="920"/>
              <w:spacing w:after="0"/>
              <w:rPr>
                <w:rFonts w:ascii="Arial" w:cs="Arial" w:eastAsia="Arial" w:hAnsi="Arial"/>
                <w:sz w:val="18"/>
                <w:szCs w:val="18"/>
                <w:color w:val="0000EE"/>
              </w:rPr>
            </w:pPr>
            <w:hyperlink w:anchor="page15">
              <w:r>
                <w:rPr>
                  <w:rFonts w:ascii="Arial" w:cs="Arial" w:eastAsia="Arial" w:hAnsi="Arial"/>
                  <w:sz w:val="18"/>
                  <w:szCs w:val="18"/>
                  <w:color w:val="0000EE"/>
                </w:rPr>
                <w:t>10</w:t>
              </w:r>
            </w:hyperlink>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90"/>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60" w:type="dxa"/>
            <w:vAlign w:val="bottom"/>
            <w:gridSpan w:val="9"/>
          </w:tcPr>
          <w:p>
            <w:pPr>
              <w:spacing w:after="0"/>
              <w:rPr>
                <w:rFonts w:ascii="Arial" w:cs="Arial" w:eastAsia="Arial" w:hAnsi="Arial"/>
                <w:sz w:val="18"/>
                <w:szCs w:val="18"/>
                <w:color w:val="0000EE"/>
                <w:w w:val="99"/>
              </w:rPr>
            </w:pPr>
            <w:hyperlink w:anchor="page16">
              <w:r>
                <w:rPr>
                  <w:rFonts w:ascii="Arial" w:cs="Arial" w:eastAsia="Arial" w:hAnsi="Arial"/>
                  <w:sz w:val="18"/>
                  <w:szCs w:val="18"/>
                  <w:color w:val="0000EE"/>
                  <w:w w:val="99"/>
                </w:rPr>
                <w:t>Stock Ownership Guidelines</w:t>
              </w:r>
            </w:hyperlink>
          </w:p>
        </w:tc>
        <w:tc>
          <w:tcPr>
            <w:tcW w:w="5540" w:type="dxa"/>
            <w:vAlign w:val="bottom"/>
            <w:gridSpan w:val="26"/>
          </w:tcPr>
          <w:p>
            <w:pPr>
              <w:spacing w:after="0"/>
              <w:rPr>
                <w:sz w:val="24"/>
                <w:szCs w:val="24"/>
                <w:color w:val="auto"/>
              </w:rPr>
            </w:pPr>
          </w:p>
        </w:tc>
        <w:tc>
          <w:tcPr>
            <w:tcW w:w="1940" w:type="dxa"/>
            <w:vAlign w:val="bottom"/>
            <w:gridSpan w:val="4"/>
          </w:tcPr>
          <w:p>
            <w:pPr>
              <w:jc w:val="right"/>
              <w:ind w:right="920"/>
              <w:spacing w:after="0"/>
              <w:rPr>
                <w:rFonts w:ascii="Arial" w:cs="Arial" w:eastAsia="Arial" w:hAnsi="Arial"/>
                <w:sz w:val="18"/>
                <w:szCs w:val="18"/>
                <w:color w:val="0000EE"/>
              </w:rPr>
            </w:pPr>
            <w:hyperlink w:anchor="page16">
              <w:r>
                <w:rPr>
                  <w:rFonts w:ascii="Arial" w:cs="Arial" w:eastAsia="Arial" w:hAnsi="Arial"/>
                  <w:sz w:val="18"/>
                  <w:szCs w:val="18"/>
                  <w:color w:val="0000EE"/>
                </w:rPr>
                <w:t>11</w:t>
              </w:r>
            </w:hyperlink>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91"/>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320" w:type="dxa"/>
            <w:vAlign w:val="bottom"/>
            <w:gridSpan w:val="10"/>
          </w:tcPr>
          <w:p>
            <w:pPr>
              <w:spacing w:after="0"/>
              <w:rPr>
                <w:rFonts w:ascii="Arial" w:cs="Arial" w:eastAsia="Arial" w:hAnsi="Arial"/>
                <w:sz w:val="18"/>
                <w:szCs w:val="18"/>
                <w:color w:val="0000EE"/>
                <w:w w:val="98"/>
              </w:rPr>
            </w:pPr>
            <w:hyperlink w:anchor="page16">
              <w:r>
                <w:rPr>
                  <w:rFonts w:ascii="Arial" w:cs="Arial" w:eastAsia="Arial" w:hAnsi="Arial"/>
                  <w:sz w:val="18"/>
                  <w:szCs w:val="18"/>
                  <w:color w:val="0000EE"/>
                  <w:w w:val="98"/>
                </w:rPr>
                <w:t>Deferred Compensation Plan</w:t>
              </w:r>
            </w:hyperlink>
          </w:p>
        </w:tc>
        <w:tc>
          <w:tcPr>
            <w:tcW w:w="5480" w:type="dxa"/>
            <w:vAlign w:val="bottom"/>
            <w:gridSpan w:val="25"/>
          </w:tcPr>
          <w:p>
            <w:pPr>
              <w:spacing w:after="0"/>
              <w:rPr>
                <w:sz w:val="24"/>
                <w:szCs w:val="24"/>
                <w:color w:val="auto"/>
              </w:rPr>
            </w:pPr>
          </w:p>
        </w:tc>
        <w:tc>
          <w:tcPr>
            <w:tcW w:w="1940" w:type="dxa"/>
            <w:vAlign w:val="bottom"/>
            <w:gridSpan w:val="4"/>
          </w:tcPr>
          <w:p>
            <w:pPr>
              <w:jc w:val="right"/>
              <w:ind w:right="920"/>
              <w:spacing w:after="0"/>
              <w:rPr>
                <w:rFonts w:ascii="Arial" w:cs="Arial" w:eastAsia="Arial" w:hAnsi="Arial"/>
                <w:sz w:val="18"/>
                <w:szCs w:val="18"/>
                <w:color w:val="0000EE"/>
              </w:rPr>
            </w:pPr>
            <w:hyperlink w:anchor="page16">
              <w:r>
                <w:rPr>
                  <w:rFonts w:ascii="Arial" w:cs="Arial" w:eastAsia="Arial" w:hAnsi="Arial"/>
                  <w:sz w:val="18"/>
                  <w:szCs w:val="18"/>
                  <w:color w:val="0000EE"/>
                </w:rPr>
                <w:t>11</w:t>
              </w:r>
            </w:hyperlink>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66"/>
        </w:trPr>
        <w:tc>
          <w:tcPr>
            <w:tcW w:w="920" w:type="dxa"/>
            <w:vAlign w:val="bottom"/>
          </w:tcPr>
          <w:p>
            <w:pPr>
              <w:spacing w:after="0"/>
              <w:rPr>
                <w:sz w:val="24"/>
                <w:szCs w:val="24"/>
                <w:color w:val="auto"/>
              </w:rPr>
            </w:pPr>
          </w:p>
        </w:tc>
        <w:tc>
          <w:tcPr>
            <w:tcW w:w="8160" w:type="dxa"/>
            <w:vAlign w:val="bottom"/>
            <w:gridSpan w:val="36"/>
          </w:tcPr>
          <w:p>
            <w:pPr>
              <w:spacing w:after="0"/>
              <w:rPr>
                <w:rFonts w:ascii="Arial" w:cs="Arial" w:eastAsia="Arial" w:hAnsi="Arial"/>
                <w:sz w:val="18"/>
                <w:szCs w:val="18"/>
                <w:b w:val="1"/>
                <w:bCs w:val="1"/>
                <w:color w:val="0000EE"/>
              </w:rPr>
            </w:pPr>
            <w:hyperlink w:anchor="page17">
              <w:r>
                <w:rPr>
                  <w:rFonts w:ascii="Arial" w:cs="Arial" w:eastAsia="Arial" w:hAnsi="Arial"/>
                  <w:sz w:val="18"/>
                  <w:szCs w:val="18"/>
                  <w:b w:val="1"/>
                  <w:bCs w:val="1"/>
                  <w:color w:val="0000EE"/>
                </w:rPr>
                <w:t>CORPORATE GOVERNANCE</w:t>
              </w:r>
            </w:hyperlink>
          </w:p>
        </w:tc>
        <w:tc>
          <w:tcPr>
            <w:tcW w:w="1940" w:type="dxa"/>
            <w:vAlign w:val="bottom"/>
            <w:gridSpan w:val="4"/>
          </w:tcPr>
          <w:p>
            <w:pPr>
              <w:jc w:val="right"/>
              <w:ind w:right="920"/>
              <w:spacing w:after="0"/>
              <w:rPr>
                <w:rFonts w:ascii="Arial" w:cs="Arial" w:eastAsia="Arial" w:hAnsi="Arial"/>
                <w:sz w:val="18"/>
                <w:szCs w:val="18"/>
                <w:color w:val="0000EE"/>
              </w:rPr>
            </w:pPr>
            <w:hyperlink w:anchor="page17">
              <w:r>
                <w:rPr>
                  <w:rFonts w:ascii="Arial" w:cs="Arial" w:eastAsia="Arial" w:hAnsi="Arial"/>
                  <w:sz w:val="18"/>
                  <w:szCs w:val="18"/>
                  <w:color w:val="0000EE"/>
                </w:rPr>
                <w:t>12</w:t>
              </w:r>
            </w:hyperlink>
          </w:p>
        </w:tc>
      </w:tr>
      <w:tr>
        <w:trPr>
          <w:trHeight w:val="20"/>
        </w:trPr>
        <w:tc>
          <w:tcPr>
            <w:tcW w:w="9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90"/>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0" w:type="dxa"/>
            <w:vAlign w:val="bottom"/>
            <w:gridSpan w:val="35"/>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Leadership Structure of the Board of Directors</w:t>
              </w:r>
            </w:hyperlink>
          </w:p>
        </w:tc>
        <w:tc>
          <w:tcPr>
            <w:tcW w:w="1940" w:type="dxa"/>
            <w:vAlign w:val="bottom"/>
            <w:gridSpan w:val="4"/>
          </w:tcPr>
          <w:p>
            <w:pPr>
              <w:jc w:val="right"/>
              <w:ind w:right="920"/>
              <w:spacing w:after="0"/>
              <w:rPr>
                <w:rFonts w:ascii="Arial" w:cs="Arial" w:eastAsia="Arial" w:hAnsi="Arial"/>
                <w:sz w:val="18"/>
                <w:szCs w:val="18"/>
                <w:color w:val="0000EE"/>
              </w:rPr>
            </w:pPr>
            <w:hyperlink w:anchor="page17">
              <w:r>
                <w:rPr>
                  <w:rFonts w:ascii="Arial" w:cs="Arial" w:eastAsia="Arial" w:hAnsi="Arial"/>
                  <w:sz w:val="18"/>
                  <w:szCs w:val="18"/>
                  <w:color w:val="0000EE"/>
                </w:rPr>
                <w:t>12</w:t>
              </w:r>
            </w:hyperlink>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Borders>
              <w:left w:val="single" w:sz="8" w:color="0000EE"/>
            </w:tcBorders>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91"/>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60" w:type="dxa"/>
            <w:vAlign w:val="bottom"/>
            <w:gridSpan w:val="24"/>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Corporate Governance Guiding Principles</w:t>
              </w:r>
            </w:hyperlink>
          </w:p>
        </w:tc>
        <w:tc>
          <w:tcPr>
            <w:tcW w:w="4140" w:type="dxa"/>
            <w:vAlign w:val="bottom"/>
            <w:gridSpan w:val="11"/>
          </w:tcPr>
          <w:p>
            <w:pPr>
              <w:spacing w:after="0"/>
              <w:rPr>
                <w:sz w:val="24"/>
                <w:szCs w:val="24"/>
                <w:color w:val="auto"/>
              </w:rPr>
            </w:pPr>
          </w:p>
        </w:tc>
        <w:tc>
          <w:tcPr>
            <w:tcW w:w="1940" w:type="dxa"/>
            <w:vAlign w:val="bottom"/>
            <w:gridSpan w:val="4"/>
          </w:tcPr>
          <w:p>
            <w:pPr>
              <w:jc w:val="right"/>
              <w:ind w:right="920"/>
              <w:spacing w:after="0"/>
              <w:rPr>
                <w:rFonts w:ascii="Arial" w:cs="Arial" w:eastAsia="Arial" w:hAnsi="Arial"/>
                <w:sz w:val="18"/>
                <w:szCs w:val="18"/>
                <w:color w:val="0000EE"/>
              </w:rPr>
            </w:pPr>
            <w:hyperlink w:anchor="page17">
              <w:r>
                <w:rPr>
                  <w:rFonts w:ascii="Arial" w:cs="Arial" w:eastAsia="Arial" w:hAnsi="Arial"/>
                  <w:sz w:val="18"/>
                  <w:szCs w:val="18"/>
                  <w:color w:val="0000EE"/>
                </w:rPr>
                <w:t>12</w:t>
              </w:r>
            </w:hyperlink>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Borders>
              <w:left w:val="single" w:sz="8" w:color="0000EE"/>
            </w:tcBorders>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90"/>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320" w:type="dxa"/>
            <w:vAlign w:val="bottom"/>
            <w:gridSpan w:val="21"/>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Board Matters – Meeting Attendance</w:t>
              </w:r>
            </w:hyperlink>
          </w:p>
        </w:tc>
        <w:tc>
          <w:tcPr>
            <w:tcW w:w="4480" w:type="dxa"/>
            <w:vAlign w:val="bottom"/>
            <w:gridSpan w:val="14"/>
          </w:tcPr>
          <w:p>
            <w:pPr>
              <w:spacing w:after="0"/>
              <w:rPr>
                <w:sz w:val="24"/>
                <w:szCs w:val="24"/>
                <w:color w:val="auto"/>
              </w:rPr>
            </w:pPr>
          </w:p>
        </w:tc>
        <w:tc>
          <w:tcPr>
            <w:tcW w:w="1940" w:type="dxa"/>
            <w:vAlign w:val="bottom"/>
            <w:gridSpan w:val="4"/>
          </w:tcPr>
          <w:p>
            <w:pPr>
              <w:jc w:val="right"/>
              <w:ind w:right="920"/>
              <w:spacing w:after="0"/>
              <w:rPr>
                <w:rFonts w:ascii="Arial" w:cs="Arial" w:eastAsia="Arial" w:hAnsi="Arial"/>
                <w:sz w:val="18"/>
                <w:szCs w:val="18"/>
                <w:color w:val="0000EE"/>
              </w:rPr>
            </w:pPr>
            <w:hyperlink w:anchor="page17">
              <w:r>
                <w:rPr>
                  <w:rFonts w:ascii="Arial" w:cs="Arial" w:eastAsia="Arial" w:hAnsi="Arial"/>
                  <w:sz w:val="18"/>
                  <w:szCs w:val="18"/>
                  <w:color w:val="0000EE"/>
                </w:rPr>
                <w:t>12</w:t>
              </w:r>
            </w:hyperlink>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Borders>
              <w:left w:val="single" w:sz="8" w:color="0000EE"/>
            </w:tcBorders>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90"/>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80" w:type="dxa"/>
            <w:vAlign w:val="bottom"/>
            <w:gridSpan w:val="6"/>
          </w:tcPr>
          <w:p>
            <w:pPr>
              <w:spacing w:after="0"/>
              <w:rPr>
                <w:rFonts w:ascii="Arial" w:cs="Arial" w:eastAsia="Arial" w:hAnsi="Arial"/>
                <w:sz w:val="18"/>
                <w:szCs w:val="18"/>
                <w:color w:val="0000EE"/>
                <w:w w:val="95"/>
              </w:rPr>
            </w:pPr>
            <w:hyperlink w:anchor="page17">
              <w:r>
                <w:rPr>
                  <w:rFonts w:ascii="Arial" w:cs="Arial" w:eastAsia="Arial" w:hAnsi="Arial"/>
                  <w:sz w:val="18"/>
                  <w:szCs w:val="18"/>
                  <w:color w:val="0000EE"/>
                  <w:w w:val="95"/>
                </w:rPr>
                <w:t>Director Independence</w:t>
              </w:r>
            </w:hyperlink>
          </w:p>
        </w:tc>
        <w:tc>
          <w:tcPr>
            <w:tcW w:w="1140" w:type="dxa"/>
            <w:vAlign w:val="bottom"/>
            <w:gridSpan w:val="10"/>
          </w:tcPr>
          <w:p>
            <w:pPr>
              <w:spacing w:after="0"/>
              <w:rPr>
                <w:sz w:val="24"/>
                <w:szCs w:val="24"/>
                <w:color w:val="auto"/>
              </w:rPr>
            </w:pPr>
          </w:p>
        </w:tc>
        <w:tc>
          <w:tcPr>
            <w:tcW w:w="4880" w:type="dxa"/>
            <w:vAlign w:val="bottom"/>
            <w:gridSpan w:val="19"/>
          </w:tcPr>
          <w:p>
            <w:pPr>
              <w:spacing w:after="0"/>
              <w:rPr>
                <w:sz w:val="24"/>
                <w:szCs w:val="24"/>
                <w:color w:val="auto"/>
              </w:rPr>
            </w:pPr>
          </w:p>
        </w:tc>
        <w:tc>
          <w:tcPr>
            <w:tcW w:w="1940" w:type="dxa"/>
            <w:vAlign w:val="bottom"/>
            <w:gridSpan w:val="4"/>
          </w:tcPr>
          <w:p>
            <w:pPr>
              <w:jc w:val="right"/>
              <w:ind w:right="920"/>
              <w:spacing w:after="0"/>
              <w:rPr>
                <w:rFonts w:ascii="Arial" w:cs="Arial" w:eastAsia="Arial" w:hAnsi="Arial"/>
                <w:sz w:val="18"/>
                <w:szCs w:val="18"/>
                <w:color w:val="0000EE"/>
              </w:rPr>
            </w:pPr>
            <w:hyperlink w:anchor="page17">
              <w:r>
                <w:rPr>
                  <w:rFonts w:ascii="Arial" w:cs="Arial" w:eastAsia="Arial" w:hAnsi="Arial"/>
                  <w:sz w:val="18"/>
                  <w:szCs w:val="18"/>
                  <w:color w:val="0000EE"/>
                </w:rPr>
                <w:t>12</w:t>
              </w:r>
            </w:hyperlink>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90"/>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0" w:type="dxa"/>
            <w:vAlign w:val="bottom"/>
            <w:gridSpan w:val="35"/>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Committees of the Board</w:t>
              </w:r>
            </w:hyperlink>
          </w:p>
        </w:tc>
        <w:tc>
          <w:tcPr>
            <w:tcW w:w="1940" w:type="dxa"/>
            <w:vAlign w:val="bottom"/>
            <w:gridSpan w:val="4"/>
          </w:tcPr>
          <w:p>
            <w:pPr>
              <w:jc w:val="right"/>
              <w:ind w:right="920"/>
              <w:spacing w:after="0"/>
              <w:rPr>
                <w:rFonts w:ascii="Arial" w:cs="Arial" w:eastAsia="Arial" w:hAnsi="Arial"/>
                <w:sz w:val="18"/>
                <w:szCs w:val="18"/>
                <w:color w:val="0000EE"/>
              </w:rPr>
            </w:pPr>
            <w:hyperlink w:anchor="page18">
              <w:r>
                <w:rPr>
                  <w:rFonts w:ascii="Arial" w:cs="Arial" w:eastAsia="Arial" w:hAnsi="Arial"/>
                  <w:sz w:val="18"/>
                  <w:szCs w:val="18"/>
                  <w:color w:val="0000EE"/>
                </w:rPr>
                <w:t>13</w:t>
              </w:r>
            </w:hyperlink>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Borders>
              <w:left w:val="single" w:sz="8" w:color="0000EE"/>
            </w:tcBorders>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90"/>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20" w:type="dxa"/>
            <w:vAlign w:val="bottom"/>
            <w:gridSpan w:val="29"/>
          </w:tcPr>
          <w:p>
            <w:pPr>
              <w:spacing w:after="0"/>
              <w:rPr>
                <w:rFonts w:ascii="Arial" w:cs="Arial" w:eastAsia="Arial" w:hAnsi="Arial"/>
                <w:sz w:val="18"/>
                <w:szCs w:val="18"/>
                <w:color w:val="0000EE"/>
                <w:w w:val="97"/>
              </w:rPr>
            </w:pPr>
            <w:hyperlink w:anchor="page18">
              <w:r>
                <w:rPr>
                  <w:rFonts w:ascii="Arial" w:cs="Arial" w:eastAsia="Arial" w:hAnsi="Arial"/>
                  <w:sz w:val="18"/>
                  <w:szCs w:val="18"/>
                  <w:color w:val="0000EE"/>
                  <w:w w:val="97"/>
                </w:rPr>
                <w:t>Nominating and Corporate Governance Committee</w:t>
              </w:r>
            </w:hyperlink>
          </w:p>
        </w:tc>
        <w:tc>
          <w:tcPr>
            <w:tcW w:w="3420" w:type="dxa"/>
            <w:vAlign w:val="bottom"/>
            <w:gridSpan w:val="5"/>
          </w:tcPr>
          <w:p>
            <w:pPr>
              <w:spacing w:after="0"/>
              <w:rPr>
                <w:sz w:val="24"/>
                <w:szCs w:val="24"/>
                <w:color w:val="auto"/>
              </w:rPr>
            </w:pPr>
          </w:p>
        </w:tc>
        <w:tc>
          <w:tcPr>
            <w:tcW w:w="1940" w:type="dxa"/>
            <w:vAlign w:val="bottom"/>
            <w:gridSpan w:val="4"/>
          </w:tcPr>
          <w:p>
            <w:pPr>
              <w:jc w:val="right"/>
              <w:ind w:right="920"/>
              <w:spacing w:after="0"/>
              <w:rPr>
                <w:rFonts w:ascii="Arial" w:cs="Arial" w:eastAsia="Arial" w:hAnsi="Arial"/>
                <w:sz w:val="18"/>
                <w:szCs w:val="18"/>
                <w:color w:val="0000EE"/>
              </w:rPr>
            </w:pPr>
            <w:hyperlink w:anchor="page18">
              <w:r>
                <w:rPr>
                  <w:rFonts w:ascii="Arial" w:cs="Arial" w:eastAsia="Arial" w:hAnsi="Arial"/>
                  <w:sz w:val="18"/>
                  <w:szCs w:val="18"/>
                  <w:color w:val="0000EE"/>
                </w:rPr>
                <w:t>13</w:t>
              </w:r>
            </w:hyperlink>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Borders>
              <w:left w:val="single" w:sz="8" w:color="0000EE"/>
            </w:tcBorders>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400" w:type="dxa"/>
            <w:vAlign w:val="bottom"/>
            <w:tcBorders>
              <w:left w:val="single" w:sz="8" w:color="0000EE"/>
            </w:tcBorders>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90"/>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20" w:type="dxa"/>
            <w:vAlign w:val="bottom"/>
            <w:gridSpan w:val="10"/>
          </w:tcPr>
          <w:p>
            <w:pPr>
              <w:spacing w:after="0"/>
              <w:rPr>
                <w:rFonts w:ascii="Arial" w:cs="Arial" w:eastAsia="Arial" w:hAnsi="Arial"/>
                <w:sz w:val="18"/>
                <w:szCs w:val="18"/>
                <w:color w:val="0000EE"/>
                <w:w w:val="98"/>
              </w:rPr>
            </w:pPr>
            <w:hyperlink w:anchor="page19">
              <w:r>
                <w:rPr>
                  <w:rFonts w:ascii="Arial" w:cs="Arial" w:eastAsia="Arial" w:hAnsi="Arial"/>
                  <w:sz w:val="18"/>
                  <w:szCs w:val="18"/>
                  <w:color w:val="0000EE"/>
                  <w:w w:val="98"/>
                </w:rPr>
                <w:t>Audit/Finance Committee</w:t>
              </w:r>
            </w:hyperlink>
          </w:p>
        </w:tc>
        <w:tc>
          <w:tcPr>
            <w:tcW w:w="2000" w:type="dxa"/>
            <w:vAlign w:val="bottom"/>
            <w:gridSpan w:val="19"/>
          </w:tcPr>
          <w:p>
            <w:pPr>
              <w:spacing w:after="0"/>
              <w:rPr>
                <w:sz w:val="24"/>
                <w:szCs w:val="24"/>
                <w:color w:val="auto"/>
              </w:rPr>
            </w:pPr>
          </w:p>
        </w:tc>
        <w:tc>
          <w:tcPr>
            <w:tcW w:w="3420" w:type="dxa"/>
            <w:vAlign w:val="bottom"/>
            <w:gridSpan w:val="5"/>
          </w:tcPr>
          <w:p>
            <w:pPr>
              <w:spacing w:after="0"/>
              <w:rPr>
                <w:sz w:val="24"/>
                <w:szCs w:val="24"/>
                <w:color w:val="auto"/>
              </w:rPr>
            </w:pPr>
          </w:p>
        </w:tc>
        <w:tc>
          <w:tcPr>
            <w:tcW w:w="1940" w:type="dxa"/>
            <w:vAlign w:val="bottom"/>
            <w:gridSpan w:val="4"/>
          </w:tcPr>
          <w:p>
            <w:pPr>
              <w:jc w:val="right"/>
              <w:ind w:right="920"/>
              <w:spacing w:after="0"/>
              <w:rPr>
                <w:rFonts w:ascii="Arial" w:cs="Arial" w:eastAsia="Arial" w:hAnsi="Arial"/>
                <w:sz w:val="18"/>
                <w:szCs w:val="18"/>
                <w:color w:val="0000EE"/>
              </w:rPr>
            </w:pPr>
            <w:hyperlink w:anchor="page19">
              <w:r>
                <w:rPr>
                  <w:rFonts w:ascii="Arial" w:cs="Arial" w:eastAsia="Arial" w:hAnsi="Arial"/>
                  <w:sz w:val="18"/>
                  <w:szCs w:val="18"/>
                  <w:color w:val="0000EE"/>
                </w:rPr>
                <w:t>14</w:t>
              </w:r>
            </w:hyperlink>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Borders>
              <w:left w:val="single" w:sz="8" w:color="0000EE"/>
            </w:tcBorders>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90"/>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80" w:type="dxa"/>
            <w:vAlign w:val="bottom"/>
            <w:gridSpan w:val="11"/>
          </w:tcPr>
          <w:p>
            <w:pPr>
              <w:spacing w:after="0"/>
              <w:rPr>
                <w:rFonts w:ascii="Arial" w:cs="Arial" w:eastAsia="Arial" w:hAnsi="Arial"/>
                <w:sz w:val="18"/>
                <w:szCs w:val="18"/>
                <w:color w:val="0000EE"/>
                <w:w w:val="98"/>
              </w:rPr>
            </w:pPr>
            <w:hyperlink w:anchor="page19">
              <w:r>
                <w:rPr>
                  <w:rFonts w:ascii="Arial" w:cs="Arial" w:eastAsia="Arial" w:hAnsi="Arial"/>
                  <w:sz w:val="18"/>
                  <w:szCs w:val="18"/>
                  <w:color w:val="0000EE"/>
                  <w:w w:val="98"/>
                </w:rPr>
                <w:t>Compensation Committee</w:t>
              </w:r>
            </w:hyperlink>
          </w:p>
        </w:tc>
        <w:tc>
          <w:tcPr>
            <w:tcW w:w="5360" w:type="dxa"/>
            <w:vAlign w:val="bottom"/>
            <w:gridSpan w:val="23"/>
          </w:tcPr>
          <w:p>
            <w:pPr>
              <w:spacing w:after="0"/>
              <w:rPr>
                <w:sz w:val="24"/>
                <w:szCs w:val="24"/>
                <w:color w:val="auto"/>
              </w:rPr>
            </w:pPr>
          </w:p>
        </w:tc>
        <w:tc>
          <w:tcPr>
            <w:tcW w:w="1940" w:type="dxa"/>
            <w:vAlign w:val="bottom"/>
            <w:gridSpan w:val="4"/>
          </w:tcPr>
          <w:p>
            <w:pPr>
              <w:jc w:val="right"/>
              <w:ind w:right="920"/>
              <w:spacing w:after="0"/>
              <w:rPr>
                <w:rFonts w:ascii="Arial" w:cs="Arial" w:eastAsia="Arial" w:hAnsi="Arial"/>
                <w:sz w:val="18"/>
                <w:szCs w:val="18"/>
                <w:color w:val="0000EE"/>
              </w:rPr>
            </w:pPr>
            <w:hyperlink w:anchor="page19">
              <w:r>
                <w:rPr>
                  <w:rFonts w:ascii="Arial" w:cs="Arial" w:eastAsia="Arial" w:hAnsi="Arial"/>
                  <w:sz w:val="18"/>
                  <w:szCs w:val="18"/>
                  <w:color w:val="0000EE"/>
                </w:rPr>
                <w:t>14</w:t>
              </w:r>
            </w:hyperlink>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tcBorders>
              <w:left w:val="single" w:sz="8" w:color="0000EE"/>
            </w:tcBorders>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91"/>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80" w:type="dxa"/>
            <w:vAlign w:val="bottom"/>
            <w:gridSpan w:val="31"/>
          </w:tcPr>
          <w:p>
            <w:pPr>
              <w:spacing w:after="0"/>
              <w:rPr>
                <w:rFonts w:ascii="Arial" w:cs="Arial" w:eastAsia="Arial" w:hAnsi="Arial"/>
                <w:sz w:val="18"/>
                <w:szCs w:val="18"/>
                <w:color w:val="0000EE"/>
                <w:w w:val="99"/>
              </w:rPr>
            </w:pPr>
            <w:hyperlink w:anchor="page19">
              <w:r>
                <w:rPr>
                  <w:rFonts w:ascii="Arial" w:cs="Arial" w:eastAsia="Arial" w:hAnsi="Arial"/>
                  <w:sz w:val="18"/>
                  <w:szCs w:val="18"/>
                  <w:color w:val="0000EE"/>
                  <w:w w:val="99"/>
                </w:rPr>
                <w:t>Compensation Committee Interlocks and Insider Participation</w:t>
              </w:r>
            </w:hyperlink>
          </w:p>
        </w:tc>
        <w:tc>
          <w:tcPr>
            <w:tcW w:w="2920" w:type="dxa"/>
            <w:vAlign w:val="bottom"/>
            <w:gridSpan w:val="4"/>
          </w:tcPr>
          <w:p>
            <w:pPr>
              <w:spacing w:after="0"/>
              <w:rPr>
                <w:sz w:val="24"/>
                <w:szCs w:val="24"/>
                <w:color w:val="auto"/>
              </w:rPr>
            </w:pPr>
          </w:p>
        </w:tc>
        <w:tc>
          <w:tcPr>
            <w:tcW w:w="1940" w:type="dxa"/>
            <w:vAlign w:val="bottom"/>
            <w:gridSpan w:val="4"/>
          </w:tcPr>
          <w:p>
            <w:pPr>
              <w:jc w:val="right"/>
              <w:ind w:right="920"/>
              <w:spacing w:after="0"/>
              <w:rPr>
                <w:rFonts w:ascii="Arial" w:cs="Arial" w:eastAsia="Arial" w:hAnsi="Arial"/>
                <w:sz w:val="18"/>
                <w:szCs w:val="18"/>
                <w:color w:val="0000EE"/>
              </w:rPr>
            </w:pPr>
            <w:hyperlink w:anchor="page19">
              <w:r>
                <w:rPr>
                  <w:rFonts w:ascii="Arial" w:cs="Arial" w:eastAsia="Arial" w:hAnsi="Arial"/>
                  <w:sz w:val="18"/>
                  <w:szCs w:val="18"/>
                  <w:color w:val="0000EE"/>
                </w:rPr>
                <w:t>14</w:t>
              </w:r>
            </w:hyperlink>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tcBorders>
              <w:left w:val="single" w:sz="8" w:color="0000EE"/>
            </w:tcBorders>
            <w:gridSpan w:val="6"/>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400" w:type="dxa"/>
            <w:vAlign w:val="bottom"/>
            <w:tcBorders>
              <w:left w:val="single" w:sz="8" w:color="0000EE"/>
            </w:tcBorders>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90"/>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80" w:type="dxa"/>
            <w:vAlign w:val="bottom"/>
            <w:gridSpan w:val="31"/>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Transactions with Related Persons</w:t>
              </w:r>
            </w:hyperlink>
          </w:p>
        </w:tc>
        <w:tc>
          <w:tcPr>
            <w:tcW w:w="2920" w:type="dxa"/>
            <w:vAlign w:val="bottom"/>
            <w:gridSpan w:val="4"/>
          </w:tcPr>
          <w:p>
            <w:pPr>
              <w:spacing w:after="0"/>
              <w:rPr>
                <w:sz w:val="24"/>
                <w:szCs w:val="24"/>
                <w:color w:val="auto"/>
              </w:rPr>
            </w:pPr>
          </w:p>
        </w:tc>
        <w:tc>
          <w:tcPr>
            <w:tcW w:w="1940" w:type="dxa"/>
            <w:vAlign w:val="bottom"/>
            <w:gridSpan w:val="4"/>
          </w:tcPr>
          <w:p>
            <w:pPr>
              <w:jc w:val="right"/>
              <w:ind w:right="920"/>
              <w:spacing w:after="0"/>
              <w:rPr>
                <w:rFonts w:ascii="Arial" w:cs="Arial" w:eastAsia="Arial" w:hAnsi="Arial"/>
                <w:sz w:val="18"/>
                <w:szCs w:val="18"/>
                <w:color w:val="0000EE"/>
              </w:rPr>
            </w:pPr>
            <w:hyperlink w:anchor="page19">
              <w:r>
                <w:rPr>
                  <w:rFonts w:ascii="Arial" w:cs="Arial" w:eastAsia="Arial" w:hAnsi="Arial"/>
                  <w:sz w:val="18"/>
                  <w:szCs w:val="18"/>
                  <w:color w:val="0000EE"/>
                </w:rPr>
                <w:t>14</w:t>
              </w:r>
            </w:hyperlink>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tcBorders>
              <w:left w:val="single" w:sz="8" w:color="0000EE"/>
            </w:tcBorders>
            <w:gridSpan w:val="6"/>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90"/>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0" w:type="dxa"/>
            <w:vAlign w:val="bottom"/>
            <w:gridSpan w:val="35"/>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Our Board’s Role in Risk Oversight</w:t>
              </w:r>
            </w:hyperlink>
          </w:p>
        </w:tc>
        <w:tc>
          <w:tcPr>
            <w:tcW w:w="1940" w:type="dxa"/>
            <w:vAlign w:val="bottom"/>
            <w:gridSpan w:val="4"/>
          </w:tcPr>
          <w:p>
            <w:pPr>
              <w:jc w:val="right"/>
              <w:ind w:right="920"/>
              <w:spacing w:after="0"/>
              <w:rPr>
                <w:rFonts w:ascii="Arial" w:cs="Arial" w:eastAsia="Arial" w:hAnsi="Arial"/>
                <w:sz w:val="18"/>
                <w:szCs w:val="18"/>
                <w:color w:val="0000EE"/>
              </w:rPr>
            </w:pPr>
            <w:hyperlink w:anchor="page20">
              <w:r>
                <w:rPr>
                  <w:rFonts w:ascii="Arial" w:cs="Arial" w:eastAsia="Arial" w:hAnsi="Arial"/>
                  <w:sz w:val="18"/>
                  <w:szCs w:val="18"/>
                  <w:color w:val="0000EE"/>
                </w:rPr>
                <w:t>15</w:t>
              </w:r>
            </w:hyperlink>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tcBorders>
              <w:left w:val="single" w:sz="8" w:color="0000EE"/>
            </w:tcBorders>
            <w:gridSpan w:val="6"/>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90"/>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720" w:type="dxa"/>
            <w:vAlign w:val="bottom"/>
            <w:gridSpan w:val="15"/>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Code of Conduct</w:t>
              </w:r>
            </w:hyperlink>
          </w:p>
        </w:tc>
        <w:tc>
          <w:tcPr>
            <w:tcW w:w="5080" w:type="dxa"/>
            <w:vAlign w:val="bottom"/>
            <w:gridSpan w:val="20"/>
          </w:tcPr>
          <w:p>
            <w:pPr>
              <w:spacing w:after="0"/>
              <w:rPr>
                <w:sz w:val="24"/>
                <w:szCs w:val="24"/>
                <w:color w:val="auto"/>
              </w:rPr>
            </w:pPr>
          </w:p>
        </w:tc>
        <w:tc>
          <w:tcPr>
            <w:tcW w:w="1940" w:type="dxa"/>
            <w:vAlign w:val="bottom"/>
            <w:gridSpan w:val="4"/>
          </w:tcPr>
          <w:p>
            <w:pPr>
              <w:jc w:val="right"/>
              <w:ind w:right="920"/>
              <w:spacing w:after="0"/>
              <w:rPr>
                <w:rFonts w:ascii="Arial" w:cs="Arial" w:eastAsia="Arial" w:hAnsi="Arial"/>
                <w:sz w:val="18"/>
                <w:szCs w:val="18"/>
                <w:color w:val="0000EE"/>
              </w:rPr>
            </w:pPr>
            <w:hyperlink w:anchor="page20">
              <w:r>
                <w:rPr>
                  <w:rFonts w:ascii="Arial" w:cs="Arial" w:eastAsia="Arial" w:hAnsi="Arial"/>
                  <w:sz w:val="18"/>
                  <w:szCs w:val="18"/>
                  <w:color w:val="0000EE"/>
                </w:rPr>
                <w:t>15</w:t>
              </w:r>
            </w:hyperlink>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90"/>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0" w:type="dxa"/>
            <w:vAlign w:val="bottom"/>
            <w:gridSpan w:val="35"/>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Anti-Hedging and Pledging Policy</w:t>
              </w:r>
            </w:hyperlink>
          </w:p>
        </w:tc>
        <w:tc>
          <w:tcPr>
            <w:tcW w:w="1940" w:type="dxa"/>
            <w:vAlign w:val="bottom"/>
            <w:gridSpan w:val="4"/>
          </w:tcPr>
          <w:p>
            <w:pPr>
              <w:jc w:val="right"/>
              <w:ind w:right="920"/>
              <w:spacing w:after="0"/>
              <w:rPr>
                <w:rFonts w:ascii="Arial" w:cs="Arial" w:eastAsia="Arial" w:hAnsi="Arial"/>
                <w:sz w:val="18"/>
                <w:szCs w:val="18"/>
                <w:color w:val="0000EE"/>
              </w:rPr>
            </w:pPr>
            <w:hyperlink w:anchor="page21">
              <w:r>
                <w:rPr>
                  <w:rFonts w:ascii="Arial" w:cs="Arial" w:eastAsia="Arial" w:hAnsi="Arial"/>
                  <w:sz w:val="18"/>
                  <w:szCs w:val="18"/>
                  <w:color w:val="0000EE"/>
                </w:rPr>
                <w:t>16</w:t>
              </w:r>
            </w:hyperlink>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60" w:type="dxa"/>
            <w:vAlign w:val="bottom"/>
            <w:gridSpan w:val="4"/>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tcBorders>
              <w:left w:val="single" w:sz="8" w:color="0000EE"/>
            </w:tcBorders>
            <w:gridSpan w:val="6"/>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90"/>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0" w:type="dxa"/>
            <w:vAlign w:val="bottom"/>
            <w:gridSpan w:val="35"/>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Incentive Repayment (Clawback) Policy</w:t>
              </w:r>
            </w:hyperlink>
          </w:p>
        </w:tc>
        <w:tc>
          <w:tcPr>
            <w:tcW w:w="1940" w:type="dxa"/>
            <w:vAlign w:val="bottom"/>
            <w:gridSpan w:val="4"/>
          </w:tcPr>
          <w:p>
            <w:pPr>
              <w:jc w:val="right"/>
              <w:ind w:right="920"/>
              <w:spacing w:after="0"/>
              <w:rPr>
                <w:rFonts w:ascii="Arial" w:cs="Arial" w:eastAsia="Arial" w:hAnsi="Arial"/>
                <w:sz w:val="18"/>
                <w:szCs w:val="18"/>
                <w:color w:val="0000EE"/>
              </w:rPr>
            </w:pPr>
            <w:hyperlink w:anchor="page21">
              <w:r>
                <w:rPr>
                  <w:rFonts w:ascii="Arial" w:cs="Arial" w:eastAsia="Arial" w:hAnsi="Arial"/>
                  <w:sz w:val="18"/>
                  <w:szCs w:val="18"/>
                  <w:color w:val="0000EE"/>
                </w:rPr>
                <w:t>16</w:t>
              </w:r>
            </w:hyperlink>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60" w:type="dxa"/>
            <w:vAlign w:val="bottom"/>
            <w:gridSpan w:val="4"/>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tcBorders>
              <w:left w:val="single" w:sz="8" w:color="0000EE"/>
            </w:tcBorders>
            <w:gridSpan w:val="6"/>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91"/>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40" w:type="dxa"/>
            <w:vAlign w:val="bottom"/>
            <w:gridSpan w:val="18"/>
          </w:tcPr>
          <w:p>
            <w:pPr>
              <w:spacing w:after="0"/>
              <w:rPr>
                <w:rFonts w:ascii="Arial" w:cs="Arial" w:eastAsia="Arial" w:hAnsi="Arial"/>
                <w:sz w:val="18"/>
                <w:szCs w:val="18"/>
                <w:color w:val="0000EE"/>
                <w:w w:val="99"/>
              </w:rPr>
            </w:pPr>
            <w:hyperlink w:anchor="page21">
              <w:r>
                <w:rPr>
                  <w:rFonts w:ascii="Arial" w:cs="Arial" w:eastAsia="Arial" w:hAnsi="Arial"/>
                  <w:sz w:val="18"/>
                  <w:szCs w:val="18"/>
                  <w:color w:val="0000EE"/>
                  <w:w w:val="99"/>
                </w:rPr>
                <w:t>Director Nominations by Shareholders</w:t>
              </w:r>
            </w:hyperlink>
          </w:p>
        </w:tc>
        <w:tc>
          <w:tcPr>
            <w:tcW w:w="120" w:type="dxa"/>
            <w:vAlign w:val="bottom"/>
          </w:tcPr>
          <w:p>
            <w:pPr>
              <w:spacing w:after="0"/>
              <w:rPr>
                <w:sz w:val="24"/>
                <w:szCs w:val="24"/>
                <w:color w:val="auto"/>
              </w:rPr>
            </w:pPr>
          </w:p>
        </w:tc>
        <w:tc>
          <w:tcPr>
            <w:tcW w:w="4640" w:type="dxa"/>
            <w:vAlign w:val="bottom"/>
            <w:gridSpan w:val="16"/>
          </w:tcPr>
          <w:p>
            <w:pPr>
              <w:spacing w:after="0"/>
              <w:rPr>
                <w:sz w:val="24"/>
                <w:szCs w:val="24"/>
                <w:color w:val="auto"/>
              </w:rPr>
            </w:pPr>
          </w:p>
        </w:tc>
        <w:tc>
          <w:tcPr>
            <w:tcW w:w="1940" w:type="dxa"/>
            <w:vAlign w:val="bottom"/>
            <w:gridSpan w:val="4"/>
          </w:tcPr>
          <w:p>
            <w:pPr>
              <w:jc w:val="right"/>
              <w:ind w:right="920"/>
              <w:spacing w:after="0"/>
              <w:rPr>
                <w:rFonts w:ascii="Arial" w:cs="Arial" w:eastAsia="Arial" w:hAnsi="Arial"/>
                <w:sz w:val="18"/>
                <w:szCs w:val="18"/>
                <w:color w:val="0000EE"/>
              </w:rPr>
            </w:pPr>
            <w:hyperlink w:anchor="page21">
              <w:r>
                <w:rPr>
                  <w:rFonts w:ascii="Arial" w:cs="Arial" w:eastAsia="Arial" w:hAnsi="Arial"/>
                  <w:sz w:val="18"/>
                  <w:szCs w:val="18"/>
                  <w:color w:val="0000EE"/>
                </w:rPr>
                <w:t>16</w:t>
              </w:r>
            </w:hyperlink>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60" w:type="dxa"/>
            <w:vAlign w:val="bottom"/>
            <w:gridSpan w:val="4"/>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tcBorders>
              <w:left w:val="single" w:sz="8" w:color="0000EE"/>
            </w:tcBorders>
            <w:gridSpan w:val="6"/>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tcBorders>
              <w:left w:val="single" w:sz="8" w:color="0000EE"/>
            </w:tcBorders>
            <w:gridSpan w:val="3"/>
            <w:shd w:val="clear" w:color="auto" w:fill="0000EE"/>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90"/>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0" w:type="dxa"/>
            <w:vAlign w:val="bottom"/>
            <w:gridSpan w:val="35"/>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Shareholder Communications with the Board</w:t>
              </w:r>
            </w:hyperlink>
          </w:p>
        </w:tc>
        <w:tc>
          <w:tcPr>
            <w:tcW w:w="1940" w:type="dxa"/>
            <w:vAlign w:val="bottom"/>
            <w:gridSpan w:val="4"/>
          </w:tcPr>
          <w:p>
            <w:pPr>
              <w:jc w:val="right"/>
              <w:ind w:right="920"/>
              <w:spacing w:after="0"/>
              <w:rPr>
                <w:rFonts w:ascii="Arial" w:cs="Arial" w:eastAsia="Arial" w:hAnsi="Arial"/>
                <w:sz w:val="18"/>
                <w:szCs w:val="18"/>
                <w:color w:val="0000EE"/>
              </w:rPr>
            </w:pPr>
            <w:hyperlink w:anchor="page22">
              <w:r>
                <w:rPr>
                  <w:rFonts w:ascii="Arial" w:cs="Arial" w:eastAsia="Arial" w:hAnsi="Arial"/>
                  <w:sz w:val="18"/>
                  <w:szCs w:val="18"/>
                  <w:color w:val="0000EE"/>
                </w:rPr>
                <w:t>17</w:t>
              </w:r>
            </w:hyperlink>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60" w:type="dxa"/>
            <w:vAlign w:val="bottom"/>
            <w:gridSpan w:val="4"/>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tcBorders>
              <w:left w:val="single" w:sz="8" w:color="0000EE"/>
            </w:tcBorders>
            <w:gridSpan w:val="6"/>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800" w:type="dxa"/>
            <w:vAlign w:val="bottom"/>
            <w:tcBorders>
              <w:left w:val="single" w:sz="8" w:color="0000EE"/>
            </w:tcBorders>
            <w:gridSpan w:val="7"/>
            <w:shd w:val="clear" w:color="auto" w:fill="0000EE"/>
          </w:tcPr>
          <w:p>
            <w:pPr>
              <w:spacing w:after="0" w:line="20" w:lineRule="exact"/>
              <w:rPr>
                <w:sz w:val="1"/>
                <w:szCs w:val="1"/>
                <w:color w:val="auto"/>
              </w:rPr>
            </w:pPr>
          </w:p>
        </w:tc>
        <w:tc>
          <w:tcPr>
            <w:tcW w:w="400" w:type="dxa"/>
            <w:vAlign w:val="bottom"/>
            <w:tcBorders>
              <w:left w:val="single" w:sz="8" w:color="0000EE"/>
            </w:tcBorders>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66"/>
        </w:trPr>
        <w:tc>
          <w:tcPr>
            <w:tcW w:w="920" w:type="dxa"/>
            <w:vAlign w:val="bottom"/>
          </w:tcPr>
          <w:p>
            <w:pPr>
              <w:spacing w:after="0"/>
              <w:rPr>
                <w:sz w:val="24"/>
                <w:szCs w:val="24"/>
                <w:color w:val="auto"/>
              </w:rPr>
            </w:pPr>
          </w:p>
        </w:tc>
        <w:tc>
          <w:tcPr>
            <w:tcW w:w="8160" w:type="dxa"/>
            <w:vAlign w:val="bottom"/>
            <w:gridSpan w:val="36"/>
          </w:tcPr>
          <w:p>
            <w:pPr>
              <w:spacing w:after="0"/>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PROPOSAL 2 – ADVISORY APPROVAL OF EXECUTIVE COMPENSATION (Say-on-Pay)</w:t>
              </w:r>
            </w:hyperlink>
          </w:p>
        </w:tc>
        <w:tc>
          <w:tcPr>
            <w:tcW w:w="1940" w:type="dxa"/>
            <w:vAlign w:val="bottom"/>
            <w:gridSpan w:val="4"/>
          </w:tcPr>
          <w:p>
            <w:pPr>
              <w:jc w:val="right"/>
              <w:ind w:right="920"/>
              <w:spacing w:after="0"/>
              <w:rPr>
                <w:rFonts w:ascii="Arial" w:cs="Arial" w:eastAsia="Arial" w:hAnsi="Arial"/>
                <w:sz w:val="18"/>
                <w:szCs w:val="18"/>
                <w:color w:val="0000EE"/>
              </w:rPr>
            </w:pPr>
            <w:hyperlink w:anchor="page23">
              <w:r>
                <w:rPr>
                  <w:rFonts w:ascii="Arial" w:cs="Arial" w:eastAsia="Arial" w:hAnsi="Arial"/>
                  <w:sz w:val="18"/>
                  <w:szCs w:val="18"/>
                  <w:color w:val="0000EE"/>
                </w:rPr>
                <w:t>18</w:t>
              </w:r>
            </w:hyperlink>
          </w:p>
        </w:tc>
      </w:tr>
      <w:tr>
        <w:trPr>
          <w:trHeight w:val="20"/>
        </w:trPr>
        <w:tc>
          <w:tcPr>
            <w:tcW w:w="920" w:type="dxa"/>
            <w:vAlign w:val="bottom"/>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1060" w:type="dxa"/>
            <w:vAlign w:val="bottom"/>
            <w:gridSpan w:val="4"/>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tcBorders>
              <w:left w:val="single" w:sz="8" w:color="0000EE"/>
            </w:tcBorders>
            <w:gridSpan w:val="6"/>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800" w:type="dxa"/>
            <w:vAlign w:val="bottom"/>
            <w:tcBorders>
              <w:left w:val="single" w:sz="8" w:color="0000EE"/>
            </w:tcBorders>
            <w:gridSpan w:val="7"/>
            <w:shd w:val="clear" w:color="auto" w:fill="0000EE"/>
          </w:tcPr>
          <w:p>
            <w:pPr>
              <w:spacing w:after="0" w:line="20" w:lineRule="exact"/>
              <w:rPr>
                <w:sz w:val="1"/>
                <w:szCs w:val="1"/>
                <w:color w:val="auto"/>
              </w:rPr>
            </w:pPr>
          </w:p>
        </w:tc>
        <w:tc>
          <w:tcPr>
            <w:tcW w:w="400" w:type="dxa"/>
            <w:vAlign w:val="bottom"/>
            <w:tcBorders>
              <w:left w:val="single" w:sz="8" w:color="0000EE"/>
            </w:tcBorders>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0" w:type="dxa"/>
            <w:vAlign w:val="bottom"/>
            <w:tcBorders>
              <w:left w:val="single" w:sz="8" w:color="0000EE"/>
            </w:tcBorders>
            <w:gridSpan w:val="4"/>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66"/>
        </w:trPr>
        <w:tc>
          <w:tcPr>
            <w:tcW w:w="920" w:type="dxa"/>
            <w:vAlign w:val="bottom"/>
          </w:tcPr>
          <w:p>
            <w:pPr>
              <w:spacing w:after="0"/>
              <w:rPr>
                <w:sz w:val="24"/>
                <w:szCs w:val="24"/>
                <w:color w:val="auto"/>
              </w:rPr>
            </w:pPr>
          </w:p>
        </w:tc>
        <w:tc>
          <w:tcPr>
            <w:tcW w:w="4700" w:type="dxa"/>
            <w:vAlign w:val="bottom"/>
            <w:gridSpan w:val="30"/>
          </w:tcPr>
          <w:p>
            <w:pPr>
              <w:spacing w:after="0"/>
              <w:rPr>
                <w:rFonts w:ascii="Arial" w:cs="Arial" w:eastAsia="Arial" w:hAnsi="Arial"/>
                <w:sz w:val="18"/>
                <w:szCs w:val="18"/>
                <w:b w:val="1"/>
                <w:bCs w:val="1"/>
                <w:color w:val="0000EE"/>
                <w:w w:val="98"/>
              </w:rPr>
            </w:pPr>
            <w:hyperlink w:anchor="page24">
              <w:r>
                <w:rPr>
                  <w:rFonts w:ascii="Arial" w:cs="Arial" w:eastAsia="Arial" w:hAnsi="Arial"/>
                  <w:sz w:val="18"/>
                  <w:szCs w:val="18"/>
                  <w:b w:val="1"/>
                  <w:bCs w:val="1"/>
                  <w:color w:val="0000EE"/>
                  <w:w w:val="98"/>
                </w:rPr>
                <w:t>COMPENSATION DISCUSSION AND ANALYSIS (CD&amp;A)</w:t>
              </w:r>
            </w:hyperlink>
          </w:p>
        </w:tc>
        <w:tc>
          <w:tcPr>
            <w:tcW w:w="2640" w:type="dxa"/>
            <w:vAlign w:val="bottom"/>
            <w:gridSpan w:val="5"/>
          </w:tcPr>
          <w:p>
            <w:pPr>
              <w:spacing w:after="0"/>
              <w:rPr>
                <w:sz w:val="24"/>
                <w:szCs w:val="24"/>
                <w:color w:val="auto"/>
              </w:rPr>
            </w:pPr>
          </w:p>
        </w:tc>
        <w:tc>
          <w:tcPr>
            <w:tcW w:w="820" w:type="dxa"/>
            <w:vAlign w:val="bottom"/>
          </w:tcPr>
          <w:p>
            <w:pPr>
              <w:spacing w:after="0"/>
              <w:rPr>
                <w:sz w:val="24"/>
                <w:szCs w:val="24"/>
                <w:color w:val="auto"/>
              </w:rPr>
            </w:pPr>
          </w:p>
        </w:tc>
        <w:tc>
          <w:tcPr>
            <w:tcW w:w="1940" w:type="dxa"/>
            <w:vAlign w:val="bottom"/>
            <w:gridSpan w:val="4"/>
          </w:tcPr>
          <w:p>
            <w:pPr>
              <w:jc w:val="right"/>
              <w:ind w:right="920"/>
              <w:spacing w:after="0"/>
              <w:rPr>
                <w:rFonts w:ascii="Arial" w:cs="Arial" w:eastAsia="Arial" w:hAnsi="Arial"/>
                <w:sz w:val="18"/>
                <w:szCs w:val="18"/>
                <w:color w:val="0000EE"/>
              </w:rPr>
            </w:pPr>
            <w:hyperlink w:anchor="page24">
              <w:r>
                <w:rPr>
                  <w:rFonts w:ascii="Arial" w:cs="Arial" w:eastAsia="Arial" w:hAnsi="Arial"/>
                  <w:sz w:val="18"/>
                  <w:szCs w:val="18"/>
                  <w:color w:val="0000EE"/>
                </w:rPr>
                <w:t>19</w:t>
              </w:r>
            </w:hyperlink>
          </w:p>
        </w:tc>
      </w:tr>
      <w:tr>
        <w:trPr>
          <w:trHeight w:val="20"/>
        </w:trPr>
        <w:tc>
          <w:tcPr>
            <w:tcW w:w="920" w:type="dxa"/>
            <w:vAlign w:val="bottom"/>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1060" w:type="dxa"/>
            <w:vAlign w:val="bottom"/>
            <w:gridSpan w:val="4"/>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tcBorders>
              <w:left w:val="single" w:sz="8" w:color="0000EE"/>
            </w:tcBorders>
            <w:gridSpan w:val="6"/>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800" w:type="dxa"/>
            <w:vAlign w:val="bottom"/>
            <w:tcBorders>
              <w:left w:val="single" w:sz="8" w:color="0000EE"/>
            </w:tcBorders>
            <w:gridSpan w:val="7"/>
            <w:shd w:val="clear" w:color="auto" w:fill="0000EE"/>
          </w:tcPr>
          <w:p>
            <w:pPr>
              <w:spacing w:after="0" w:line="20" w:lineRule="exact"/>
              <w:rPr>
                <w:sz w:val="1"/>
                <w:szCs w:val="1"/>
                <w:color w:val="auto"/>
              </w:rPr>
            </w:pPr>
          </w:p>
        </w:tc>
        <w:tc>
          <w:tcPr>
            <w:tcW w:w="400" w:type="dxa"/>
            <w:vAlign w:val="bottom"/>
            <w:tcBorders>
              <w:left w:val="single" w:sz="8" w:color="0000EE"/>
            </w:tcBorders>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20" w:type="dxa"/>
            <w:vAlign w:val="bottom"/>
            <w:gridSpan w:val="5"/>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66"/>
        </w:trPr>
        <w:tc>
          <w:tcPr>
            <w:tcW w:w="920" w:type="dxa"/>
            <w:vAlign w:val="bottom"/>
          </w:tcPr>
          <w:p>
            <w:pPr>
              <w:spacing w:after="0"/>
              <w:rPr>
                <w:sz w:val="24"/>
                <w:szCs w:val="24"/>
                <w:color w:val="auto"/>
              </w:rPr>
            </w:pPr>
          </w:p>
        </w:tc>
        <w:tc>
          <w:tcPr>
            <w:tcW w:w="2140" w:type="dxa"/>
            <w:vAlign w:val="bottom"/>
            <w:gridSpan w:val="7"/>
          </w:tcPr>
          <w:p>
            <w:pPr>
              <w:spacing w:after="0"/>
              <w:rPr>
                <w:rFonts w:ascii="Arial" w:cs="Arial" w:eastAsia="Arial" w:hAnsi="Arial"/>
                <w:sz w:val="18"/>
                <w:szCs w:val="18"/>
                <w:b w:val="1"/>
                <w:bCs w:val="1"/>
                <w:color w:val="0000EE"/>
                <w:w w:val="98"/>
              </w:rPr>
            </w:pPr>
            <w:hyperlink w:anchor="page24">
              <w:r>
                <w:rPr>
                  <w:rFonts w:ascii="Arial" w:cs="Arial" w:eastAsia="Arial" w:hAnsi="Arial"/>
                  <w:sz w:val="18"/>
                  <w:szCs w:val="18"/>
                  <w:b w:val="1"/>
                  <w:bCs w:val="1"/>
                  <w:color w:val="0000EE"/>
                  <w:w w:val="98"/>
                </w:rPr>
                <w:t>Executive Compensation</w:t>
              </w:r>
            </w:hyperlink>
          </w:p>
        </w:tc>
        <w:tc>
          <w:tcPr>
            <w:tcW w:w="2560" w:type="dxa"/>
            <w:vAlign w:val="bottom"/>
            <w:gridSpan w:val="23"/>
          </w:tcPr>
          <w:p>
            <w:pPr>
              <w:spacing w:after="0"/>
              <w:rPr>
                <w:sz w:val="24"/>
                <w:szCs w:val="24"/>
                <w:color w:val="auto"/>
              </w:rPr>
            </w:pPr>
          </w:p>
        </w:tc>
        <w:tc>
          <w:tcPr>
            <w:tcW w:w="3460" w:type="dxa"/>
            <w:vAlign w:val="bottom"/>
            <w:gridSpan w:val="6"/>
          </w:tcPr>
          <w:p>
            <w:pPr>
              <w:spacing w:after="0"/>
              <w:rPr>
                <w:sz w:val="24"/>
                <w:szCs w:val="24"/>
                <w:color w:val="auto"/>
              </w:rPr>
            </w:pPr>
          </w:p>
        </w:tc>
        <w:tc>
          <w:tcPr>
            <w:tcW w:w="1940" w:type="dxa"/>
            <w:vAlign w:val="bottom"/>
            <w:gridSpan w:val="4"/>
          </w:tcPr>
          <w:p>
            <w:pPr>
              <w:jc w:val="right"/>
              <w:ind w:right="920"/>
              <w:spacing w:after="0"/>
              <w:rPr>
                <w:rFonts w:ascii="Arial" w:cs="Arial" w:eastAsia="Arial" w:hAnsi="Arial"/>
                <w:sz w:val="18"/>
                <w:szCs w:val="18"/>
                <w:color w:val="0000EE"/>
              </w:rPr>
            </w:pPr>
            <w:hyperlink w:anchor="page24">
              <w:r>
                <w:rPr>
                  <w:rFonts w:ascii="Arial" w:cs="Arial" w:eastAsia="Arial" w:hAnsi="Arial"/>
                  <w:sz w:val="18"/>
                  <w:szCs w:val="18"/>
                  <w:color w:val="0000EE"/>
                </w:rPr>
                <w:t>19</w:t>
              </w:r>
            </w:hyperlink>
          </w:p>
        </w:tc>
      </w:tr>
      <w:tr>
        <w:trPr>
          <w:trHeight w:val="20"/>
        </w:trPr>
        <w:tc>
          <w:tcPr>
            <w:tcW w:w="9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60" w:type="dxa"/>
            <w:vAlign w:val="bottom"/>
            <w:gridSpan w:val="4"/>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0" w:type="dxa"/>
            <w:vAlign w:val="bottom"/>
            <w:gridSpan w:val="7"/>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20" w:type="dxa"/>
            <w:vAlign w:val="bottom"/>
            <w:gridSpan w:val="5"/>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90"/>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0" w:type="dxa"/>
            <w:vAlign w:val="bottom"/>
            <w:gridSpan w:val="6"/>
          </w:tcPr>
          <w:p>
            <w:pPr>
              <w:spacing w:after="0"/>
              <w:rPr>
                <w:rFonts w:ascii="Arial" w:cs="Arial" w:eastAsia="Arial" w:hAnsi="Arial"/>
                <w:sz w:val="18"/>
                <w:szCs w:val="18"/>
                <w:color w:val="0000EE"/>
                <w:w w:val="97"/>
              </w:rPr>
            </w:pPr>
            <w:hyperlink w:anchor="page24">
              <w:r>
                <w:rPr>
                  <w:rFonts w:ascii="Arial" w:cs="Arial" w:eastAsia="Arial" w:hAnsi="Arial"/>
                  <w:sz w:val="18"/>
                  <w:szCs w:val="18"/>
                  <w:color w:val="0000EE"/>
                  <w:w w:val="97"/>
                </w:rPr>
                <w:t>Executive Summary</w:t>
              </w:r>
            </w:hyperlink>
          </w:p>
        </w:tc>
        <w:tc>
          <w:tcPr>
            <w:tcW w:w="5840" w:type="dxa"/>
            <w:vAlign w:val="bottom"/>
            <w:gridSpan w:val="28"/>
          </w:tcPr>
          <w:p>
            <w:pPr>
              <w:spacing w:after="0"/>
              <w:rPr>
                <w:sz w:val="24"/>
                <w:szCs w:val="24"/>
                <w:color w:val="auto"/>
              </w:rPr>
            </w:pPr>
          </w:p>
        </w:tc>
        <w:tc>
          <w:tcPr>
            <w:tcW w:w="1940" w:type="dxa"/>
            <w:vAlign w:val="bottom"/>
            <w:gridSpan w:val="4"/>
          </w:tcPr>
          <w:p>
            <w:pPr>
              <w:jc w:val="right"/>
              <w:ind w:right="920"/>
              <w:spacing w:after="0"/>
              <w:rPr>
                <w:rFonts w:ascii="Arial" w:cs="Arial" w:eastAsia="Arial" w:hAnsi="Arial"/>
                <w:sz w:val="18"/>
                <w:szCs w:val="18"/>
                <w:color w:val="0000EE"/>
              </w:rPr>
            </w:pPr>
            <w:hyperlink w:anchor="page24">
              <w:r>
                <w:rPr>
                  <w:rFonts w:ascii="Arial" w:cs="Arial" w:eastAsia="Arial" w:hAnsi="Arial"/>
                  <w:sz w:val="18"/>
                  <w:szCs w:val="18"/>
                  <w:color w:val="0000EE"/>
                </w:rPr>
                <w:t>19</w:t>
              </w:r>
            </w:hyperlink>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40" w:type="dxa"/>
            <w:vAlign w:val="bottom"/>
            <w:gridSpan w:val="5"/>
            <w:shd w:val="clear" w:color="auto" w:fill="0000EE"/>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0" w:type="dxa"/>
            <w:vAlign w:val="bottom"/>
            <w:gridSpan w:val="7"/>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20" w:type="dxa"/>
            <w:vAlign w:val="bottom"/>
            <w:gridSpan w:val="5"/>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91"/>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80" w:type="dxa"/>
            <w:vAlign w:val="bottom"/>
            <w:gridSpan w:val="33"/>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Business Performance</w:t>
              </w:r>
            </w:hyperlink>
          </w:p>
        </w:tc>
        <w:tc>
          <w:tcPr>
            <w:tcW w:w="1940" w:type="dxa"/>
            <w:vAlign w:val="bottom"/>
            <w:gridSpan w:val="4"/>
          </w:tcPr>
          <w:p>
            <w:pPr>
              <w:jc w:val="right"/>
              <w:ind w:right="920"/>
              <w:spacing w:after="0"/>
              <w:rPr>
                <w:rFonts w:ascii="Arial" w:cs="Arial" w:eastAsia="Arial" w:hAnsi="Arial"/>
                <w:sz w:val="18"/>
                <w:szCs w:val="18"/>
                <w:color w:val="0000EE"/>
              </w:rPr>
            </w:pPr>
            <w:hyperlink w:anchor="page24">
              <w:r>
                <w:rPr>
                  <w:rFonts w:ascii="Arial" w:cs="Arial" w:eastAsia="Arial" w:hAnsi="Arial"/>
                  <w:sz w:val="18"/>
                  <w:szCs w:val="18"/>
                  <w:color w:val="0000EE"/>
                </w:rPr>
                <w:t>19</w:t>
              </w:r>
            </w:hyperlink>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60" w:type="dxa"/>
            <w:vAlign w:val="bottom"/>
            <w:gridSpan w:val="11"/>
            <w:shd w:val="clear" w:color="auto" w:fill="0000EE"/>
          </w:tcPr>
          <w:p>
            <w:pPr>
              <w:spacing w:after="0" w:line="20" w:lineRule="exact"/>
              <w:rPr>
                <w:sz w:val="1"/>
                <w:szCs w:val="1"/>
                <w:color w:val="auto"/>
              </w:rPr>
            </w:pPr>
          </w:p>
        </w:tc>
        <w:tc>
          <w:tcPr>
            <w:tcW w:w="240" w:type="dxa"/>
            <w:vAlign w:val="bottom"/>
            <w:tcBorders>
              <w:left w:val="single" w:sz="8" w:color="0000EE"/>
            </w:tcBorders>
            <w:gridSpan w:val="2"/>
          </w:tcPr>
          <w:p>
            <w:pPr>
              <w:spacing w:after="0" w:line="20" w:lineRule="exact"/>
              <w:rPr>
                <w:sz w:val="1"/>
                <w:szCs w:val="1"/>
                <w:color w:val="auto"/>
              </w:rPr>
            </w:pPr>
          </w:p>
        </w:tc>
        <w:tc>
          <w:tcPr>
            <w:tcW w:w="800" w:type="dxa"/>
            <w:vAlign w:val="bottom"/>
            <w:gridSpan w:val="7"/>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20" w:type="dxa"/>
            <w:vAlign w:val="bottom"/>
            <w:gridSpan w:val="5"/>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91"/>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0" w:type="dxa"/>
            <w:vAlign w:val="bottom"/>
            <w:gridSpan w:val="13"/>
          </w:tcPr>
          <w:p>
            <w:pPr>
              <w:spacing w:after="0"/>
              <w:rPr>
                <w:rFonts w:ascii="Arial" w:cs="Arial" w:eastAsia="Arial" w:hAnsi="Arial"/>
                <w:sz w:val="18"/>
                <w:szCs w:val="18"/>
                <w:color w:val="0000EE"/>
                <w:w w:val="97"/>
              </w:rPr>
            </w:pPr>
            <w:hyperlink w:anchor="page25">
              <w:r>
                <w:rPr>
                  <w:rFonts w:ascii="Arial" w:cs="Arial" w:eastAsia="Arial" w:hAnsi="Arial"/>
                  <w:sz w:val="18"/>
                  <w:szCs w:val="18"/>
                  <w:color w:val="0000EE"/>
                  <w:w w:val="97"/>
                </w:rPr>
                <w:t>Compensation Highlights</w:t>
              </w:r>
            </w:hyperlink>
          </w:p>
        </w:tc>
        <w:tc>
          <w:tcPr>
            <w:tcW w:w="5080" w:type="dxa"/>
            <w:vAlign w:val="bottom"/>
            <w:gridSpan w:val="20"/>
          </w:tcPr>
          <w:p>
            <w:pPr>
              <w:spacing w:after="0"/>
              <w:rPr>
                <w:sz w:val="24"/>
                <w:szCs w:val="24"/>
                <w:color w:val="auto"/>
              </w:rPr>
            </w:pPr>
          </w:p>
        </w:tc>
        <w:tc>
          <w:tcPr>
            <w:tcW w:w="1940" w:type="dxa"/>
            <w:vAlign w:val="bottom"/>
            <w:gridSpan w:val="4"/>
          </w:tcPr>
          <w:p>
            <w:pPr>
              <w:jc w:val="right"/>
              <w:ind w:right="920"/>
              <w:spacing w:after="0"/>
              <w:rPr>
                <w:rFonts w:ascii="Arial" w:cs="Arial" w:eastAsia="Arial" w:hAnsi="Arial"/>
                <w:sz w:val="18"/>
                <w:szCs w:val="18"/>
                <w:color w:val="0000EE"/>
              </w:rPr>
            </w:pPr>
            <w:hyperlink w:anchor="page25">
              <w:r>
                <w:rPr>
                  <w:rFonts w:ascii="Arial" w:cs="Arial" w:eastAsia="Arial" w:hAnsi="Arial"/>
                  <w:sz w:val="18"/>
                  <w:szCs w:val="18"/>
                  <w:color w:val="0000EE"/>
                </w:rPr>
                <w:t>20</w:t>
              </w:r>
            </w:hyperlink>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60" w:type="dxa"/>
            <w:vAlign w:val="bottom"/>
            <w:gridSpan w:val="11"/>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800" w:type="dxa"/>
            <w:vAlign w:val="bottom"/>
            <w:gridSpan w:val="7"/>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20" w:type="dxa"/>
            <w:vAlign w:val="bottom"/>
            <w:gridSpan w:val="5"/>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90"/>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0" w:type="dxa"/>
            <w:vAlign w:val="bottom"/>
            <w:gridSpan w:val="20"/>
          </w:tcPr>
          <w:p>
            <w:pPr>
              <w:spacing w:after="0"/>
              <w:rPr>
                <w:rFonts w:ascii="Arial" w:cs="Arial" w:eastAsia="Arial" w:hAnsi="Arial"/>
                <w:sz w:val="18"/>
                <w:szCs w:val="18"/>
                <w:color w:val="0000EE"/>
                <w:w w:val="98"/>
              </w:rPr>
            </w:pPr>
            <w:hyperlink w:anchor="page26">
              <w:r>
                <w:rPr>
                  <w:rFonts w:ascii="Arial" w:cs="Arial" w:eastAsia="Arial" w:hAnsi="Arial"/>
                  <w:sz w:val="18"/>
                  <w:szCs w:val="18"/>
                  <w:color w:val="0000EE"/>
                  <w:w w:val="98"/>
                </w:rPr>
                <w:t>Linking CEO Pay and Performance</w:t>
              </w:r>
            </w:hyperlink>
          </w:p>
        </w:tc>
        <w:tc>
          <w:tcPr>
            <w:tcW w:w="4280" w:type="dxa"/>
            <w:vAlign w:val="bottom"/>
            <w:gridSpan w:val="13"/>
          </w:tcPr>
          <w:p>
            <w:pPr>
              <w:spacing w:after="0"/>
              <w:rPr>
                <w:sz w:val="24"/>
                <w:szCs w:val="24"/>
                <w:color w:val="auto"/>
              </w:rPr>
            </w:pPr>
          </w:p>
        </w:tc>
        <w:tc>
          <w:tcPr>
            <w:tcW w:w="1940" w:type="dxa"/>
            <w:vAlign w:val="bottom"/>
            <w:gridSpan w:val="4"/>
          </w:tcPr>
          <w:p>
            <w:pPr>
              <w:jc w:val="right"/>
              <w:ind w:right="920"/>
              <w:spacing w:after="0"/>
              <w:rPr>
                <w:rFonts w:ascii="Arial" w:cs="Arial" w:eastAsia="Arial" w:hAnsi="Arial"/>
                <w:sz w:val="18"/>
                <w:szCs w:val="18"/>
                <w:color w:val="0000EE"/>
              </w:rPr>
            </w:pPr>
            <w:hyperlink w:anchor="page26">
              <w:r>
                <w:rPr>
                  <w:rFonts w:ascii="Arial" w:cs="Arial" w:eastAsia="Arial" w:hAnsi="Arial"/>
                  <w:sz w:val="18"/>
                  <w:szCs w:val="18"/>
                  <w:color w:val="0000EE"/>
                </w:rPr>
                <w:t>21</w:t>
              </w:r>
            </w:hyperlink>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60" w:type="dxa"/>
            <w:vAlign w:val="bottom"/>
            <w:gridSpan w:val="11"/>
            <w:shd w:val="clear" w:color="auto" w:fill="0000EE"/>
          </w:tcPr>
          <w:p>
            <w:pPr>
              <w:spacing w:after="0" w:line="20" w:lineRule="exact"/>
              <w:rPr>
                <w:sz w:val="1"/>
                <w:szCs w:val="1"/>
                <w:color w:val="auto"/>
              </w:rPr>
            </w:pPr>
          </w:p>
        </w:tc>
        <w:tc>
          <w:tcPr>
            <w:tcW w:w="1040" w:type="dxa"/>
            <w:vAlign w:val="bottom"/>
            <w:tcBorders>
              <w:left w:val="single" w:sz="8" w:color="0000EE"/>
            </w:tcBorders>
            <w:gridSpan w:val="9"/>
            <w:shd w:val="clear" w:color="auto" w:fill="0000EE"/>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20" w:type="dxa"/>
            <w:vAlign w:val="bottom"/>
            <w:gridSpan w:val="5"/>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91"/>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0" w:type="dxa"/>
            <w:vAlign w:val="bottom"/>
            <w:gridSpan w:val="25"/>
          </w:tcPr>
          <w:p>
            <w:pPr>
              <w:spacing w:after="0"/>
              <w:rPr>
                <w:rFonts w:ascii="Arial" w:cs="Arial" w:eastAsia="Arial" w:hAnsi="Arial"/>
                <w:sz w:val="18"/>
                <w:szCs w:val="18"/>
                <w:color w:val="0000EE"/>
                <w:w w:val="99"/>
              </w:rPr>
            </w:pPr>
            <w:hyperlink w:anchor="page28">
              <w:r>
                <w:rPr>
                  <w:rFonts w:ascii="Arial" w:cs="Arial" w:eastAsia="Arial" w:hAnsi="Arial"/>
                  <w:sz w:val="18"/>
                  <w:szCs w:val="18"/>
                  <w:color w:val="0000EE"/>
                  <w:w w:val="99"/>
                </w:rPr>
                <w:t>Best Compensation Practices &amp; Policies</w:t>
              </w:r>
            </w:hyperlink>
          </w:p>
        </w:tc>
        <w:tc>
          <w:tcPr>
            <w:tcW w:w="3880" w:type="dxa"/>
            <w:vAlign w:val="bottom"/>
            <w:gridSpan w:val="8"/>
          </w:tcPr>
          <w:p>
            <w:pPr>
              <w:spacing w:after="0"/>
              <w:rPr>
                <w:sz w:val="24"/>
                <w:szCs w:val="24"/>
                <w:color w:val="auto"/>
              </w:rPr>
            </w:pPr>
          </w:p>
        </w:tc>
        <w:tc>
          <w:tcPr>
            <w:tcW w:w="1940" w:type="dxa"/>
            <w:vAlign w:val="bottom"/>
            <w:gridSpan w:val="4"/>
          </w:tcPr>
          <w:p>
            <w:pPr>
              <w:jc w:val="right"/>
              <w:ind w:right="920"/>
              <w:spacing w:after="0"/>
              <w:rPr>
                <w:rFonts w:ascii="Arial" w:cs="Arial" w:eastAsia="Arial" w:hAnsi="Arial"/>
                <w:sz w:val="18"/>
                <w:szCs w:val="18"/>
                <w:color w:val="0000EE"/>
              </w:rPr>
            </w:pPr>
            <w:hyperlink w:anchor="page28">
              <w:r>
                <w:rPr>
                  <w:rFonts w:ascii="Arial" w:cs="Arial" w:eastAsia="Arial" w:hAnsi="Arial"/>
                  <w:sz w:val="18"/>
                  <w:szCs w:val="18"/>
                  <w:color w:val="0000EE"/>
                </w:rPr>
                <w:t>23</w:t>
              </w:r>
            </w:hyperlink>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60" w:type="dxa"/>
            <w:vAlign w:val="bottom"/>
            <w:gridSpan w:val="11"/>
            <w:shd w:val="clear" w:color="auto" w:fill="0000EE"/>
          </w:tcPr>
          <w:p>
            <w:pPr>
              <w:spacing w:after="0" w:line="20" w:lineRule="exact"/>
              <w:rPr>
                <w:sz w:val="1"/>
                <w:szCs w:val="1"/>
                <w:color w:val="auto"/>
              </w:rPr>
            </w:pPr>
          </w:p>
        </w:tc>
        <w:tc>
          <w:tcPr>
            <w:tcW w:w="1440" w:type="dxa"/>
            <w:vAlign w:val="bottom"/>
            <w:tcBorders>
              <w:left w:val="single" w:sz="8" w:color="0000EE"/>
            </w:tcBorders>
            <w:gridSpan w:val="14"/>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20" w:type="dxa"/>
            <w:vAlign w:val="bottom"/>
            <w:gridSpan w:val="5"/>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91"/>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60" w:type="dxa"/>
            <w:vAlign w:val="bottom"/>
            <w:gridSpan w:val="28"/>
          </w:tcPr>
          <w:p>
            <w:pPr>
              <w:spacing w:after="0"/>
              <w:rPr>
                <w:rFonts w:ascii="Arial" w:cs="Arial" w:eastAsia="Arial" w:hAnsi="Arial"/>
                <w:sz w:val="18"/>
                <w:szCs w:val="18"/>
                <w:color w:val="0000EE"/>
                <w:w w:val="98"/>
              </w:rPr>
            </w:pPr>
            <w:hyperlink w:anchor="page28">
              <w:r>
                <w:rPr>
                  <w:rFonts w:ascii="Arial" w:cs="Arial" w:eastAsia="Arial" w:hAnsi="Arial"/>
                  <w:sz w:val="18"/>
                  <w:szCs w:val="18"/>
                  <w:color w:val="0000EE"/>
                  <w:w w:val="98"/>
                </w:rPr>
                <w:t>2020 Say-on-Pay &amp; Shareholder Engagement</w:t>
              </w:r>
            </w:hyperlink>
          </w:p>
        </w:tc>
        <w:tc>
          <w:tcPr>
            <w:tcW w:w="3420" w:type="dxa"/>
            <w:vAlign w:val="bottom"/>
            <w:gridSpan w:val="5"/>
          </w:tcPr>
          <w:p>
            <w:pPr>
              <w:spacing w:after="0"/>
              <w:rPr>
                <w:sz w:val="24"/>
                <w:szCs w:val="24"/>
                <w:color w:val="auto"/>
              </w:rPr>
            </w:pPr>
          </w:p>
        </w:tc>
        <w:tc>
          <w:tcPr>
            <w:tcW w:w="1940" w:type="dxa"/>
            <w:vAlign w:val="bottom"/>
            <w:gridSpan w:val="4"/>
          </w:tcPr>
          <w:p>
            <w:pPr>
              <w:jc w:val="right"/>
              <w:ind w:right="920"/>
              <w:spacing w:after="0"/>
              <w:rPr>
                <w:rFonts w:ascii="Arial" w:cs="Arial" w:eastAsia="Arial" w:hAnsi="Arial"/>
                <w:sz w:val="18"/>
                <w:szCs w:val="18"/>
                <w:color w:val="0000EE"/>
              </w:rPr>
            </w:pPr>
            <w:hyperlink w:anchor="page28">
              <w:r>
                <w:rPr>
                  <w:rFonts w:ascii="Arial" w:cs="Arial" w:eastAsia="Arial" w:hAnsi="Arial"/>
                  <w:sz w:val="18"/>
                  <w:szCs w:val="18"/>
                  <w:color w:val="0000EE"/>
                </w:rPr>
                <w:t>23</w:t>
              </w:r>
            </w:hyperlink>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60" w:type="dxa"/>
            <w:vAlign w:val="bottom"/>
            <w:gridSpan w:val="11"/>
            <w:shd w:val="clear" w:color="auto" w:fill="0000EE"/>
          </w:tcPr>
          <w:p>
            <w:pPr>
              <w:spacing w:after="0" w:line="20" w:lineRule="exact"/>
              <w:rPr>
                <w:sz w:val="1"/>
                <w:szCs w:val="1"/>
                <w:color w:val="auto"/>
              </w:rPr>
            </w:pPr>
          </w:p>
        </w:tc>
        <w:tc>
          <w:tcPr>
            <w:tcW w:w="1740" w:type="dxa"/>
            <w:vAlign w:val="bottom"/>
            <w:tcBorders>
              <w:left w:val="single" w:sz="8" w:color="0000EE"/>
            </w:tcBorders>
            <w:gridSpan w:val="15"/>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420" w:type="dxa"/>
            <w:vAlign w:val="bottom"/>
            <w:gridSpan w:val="5"/>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90"/>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40" w:type="dxa"/>
            <w:vAlign w:val="bottom"/>
            <w:gridSpan w:val="34"/>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What Guides Our Program</w:t>
              </w:r>
            </w:hyperlink>
          </w:p>
        </w:tc>
        <w:tc>
          <w:tcPr>
            <w:tcW w:w="1940" w:type="dxa"/>
            <w:vAlign w:val="bottom"/>
            <w:gridSpan w:val="4"/>
          </w:tcPr>
          <w:p>
            <w:pPr>
              <w:jc w:val="right"/>
              <w:ind w:right="920"/>
              <w:spacing w:after="0"/>
              <w:rPr>
                <w:rFonts w:ascii="Arial" w:cs="Arial" w:eastAsia="Arial" w:hAnsi="Arial"/>
                <w:sz w:val="18"/>
                <w:szCs w:val="18"/>
                <w:color w:val="0000EE"/>
              </w:rPr>
            </w:pPr>
            <w:hyperlink w:anchor="page29">
              <w:r>
                <w:rPr>
                  <w:rFonts w:ascii="Arial" w:cs="Arial" w:eastAsia="Arial" w:hAnsi="Arial"/>
                  <w:sz w:val="18"/>
                  <w:szCs w:val="18"/>
                  <w:color w:val="0000EE"/>
                </w:rPr>
                <w:t>24</w:t>
              </w:r>
            </w:hyperlink>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760" w:type="dxa"/>
            <w:vAlign w:val="bottom"/>
            <w:gridSpan w:val="11"/>
            <w:shd w:val="clear" w:color="auto" w:fill="0000EE"/>
          </w:tcPr>
          <w:p>
            <w:pPr>
              <w:spacing w:after="0" w:line="20" w:lineRule="exact"/>
              <w:rPr>
                <w:sz w:val="1"/>
                <w:szCs w:val="1"/>
                <w:color w:val="auto"/>
              </w:rPr>
            </w:pPr>
          </w:p>
        </w:tc>
        <w:tc>
          <w:tcPr>
            <w:tcW w:w="1740" w:type="dxa"/>
            <w:vAlign w:val="bottom"/>
            <w:gridSpan w:val="15"/>
          </w:tcPr>
          <w:p>
            <w:pPr>
              <w:spacing w:after="0" w:line="20" w:lineRule="exact"/>
              <w:rPr>
                <w:sz w:val="1"/>
                <w:szCs w:val="1"/>
                <w:color w:val="auto"/>
              </w:rPr>
            </w:pPr>
          </w:p>
        </w:tc>
        <w:tc>
          <w:tcPr>
            <w:tcW w:w="3580" w:type="dxa"/>
            <w:vAlign w:val="bottom"/>
            <w:gridSpan w:val="7"/>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90"/>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80" w:type="dxa"/>
            <w:vAlign w:val="bottom"/>
            <w:gridSpan w:val="33"/>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Our Compensation Philosophy &amp; Objectives</w:t>
              </w:r>
            </w:hyperlink>
          </w:p>
        </w:tc>
        <w:tc>
          <w:tcPr>
            <w:tcW w:w="1940" w:type="dxa"/>
            <w:vAlign w:val="bottom"/>
            <w:gridSpan w:val="4"/>
          </w:tcPr>
          <w:p>
            <w:pPr>
              <w:jc w:val="right"/>
              <w:ind w:right="920"/>
              <w:spacing w:after="0"/>
              <w:rPr>
                <w:rFonts w:ascii="Arial" w:cs="Arial" w:eastAsia="Arial" w:hAnsi="Arial"/>
                <w:sz w:val="18"/>
                <w:szCs w:val="18"/>
                <w:color w:val="0000EE"/>
              </w:rPr>
            </w:pPr>
            <w:hyperlink w:anchor="page29">
              <w:r>
                <w:rPr>
                  <w:rFonts w:ascii="Arial" w:cs="Arial" w:eastAsia="Arial" w:hAnsi="Arial"/>
                  <w:sz w:val="18"/>
                  <w:szCs w:val="18"/>
                  <w:color w:val="0000EE"/>
                </w:rPr>
                <w:t>24</w:t>
              </w:r>
            </w:hyperlink>
          </w:p>
        </w:tc>
      </w:tr>
      <w:tr>
        <w:trPr>
          <w:trHeight w:val="244"/>
        </w:trPr>
        <w:tc>
          <w:tcPr>
            <w:tcW w:w="9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460" w:type="dxa"/>
            <w:vAlign w:val="bottom"/>
            <w:tcBorders>
              <w:top w:val="single" w:sz="8" w:color="0000EE"/>
              <w:bottom w:val="single" w:sz="8" w:color="auto"/>
            </w:tcBorders>
          </w:tcPr>
          <w:p>
            <w:pPr>
              <w:spacing w:after="0"/>
              <w:rPr>
                <w:sz w:val="21"/>
                <w:szCs w:val="21"/>
                <w:color w:val="auto"/>
              </w:rPr>
            </w:pPr>
          </w:p>
        </w:tc>
        <w:tc>
          <w:tcPr>
            <w:tcW w:w="160" w:type="dxa"/>
            <w:vAlign w:val="bottom"/>
            <w:tcBorders>
              <w:top w:val="single" w:sz="8" w:color="0000EE"/>
              <w:bottom w:val="single" w:sz="8" w:color="auto"/>
            </w:tcBorders>
          </w:tcPr>
          <w:p>
            <w:pPr>
              <w:spacing w:after="0"/>
              <w:rPr>
                <w:sz w:val="21"/>
                <w:szCs w:val="21"/>
                <w:color w:val="auto"/>
              </w:rPr>
            </w:pPr>
          </w:p>
        </w:tc>
        <w:tc>
          <w:tcPr>
            <w:tcW w:w="200" w:type="dxa"/>
            <w:vAlign w:val="bottom"/>
            <w:tcBorders>
              <w:top w:val="single" w:sz="8" w:color="0000EE"/>
              <w:bottom w:val="single" w:sz="8" w:color="auto"/>
            </w:tcBorders>
          </w:tcPr>
          <w:p>
            <w:pPr>
              <w:spacing w:after="0"/>
              <w:rPr>
                <w:sz w:val="21"/>
                <w:szCs w:val="21"/>
                <w:color w:val="auto"/>
              </w:rPr>
            </w:pPr>
          </w:p>
        </w:tc>
        <w:tc>
          <w:tcPr>
            <w:tcW w:w="240" w:type="dxa"/>
            <w:vAlign w:val="bottom"/>
            <w:tcBorders>
              <w:top w:val="single" w:sz="8" w:color="0000EE"/>
              <w:bottom w:val="single" w:sz="8" w:color="auto"/>
            </w:tcBorders>
          </w:tcPr>
          <w:p>
            <w:pPr>
              <w:spacing w:after="0"/>
              <w:rPr>
                <w:sz w:val="21"/>
                <w:szCs w:val="21"/>
                <w:color w:val="auto"/>
              </w:rPr>
            </w:pPr>
          </w:p>
        </w:tc>
        <w:tc>
          <w:tcPr>
            <w:tcW w:w="180" w:type="dxa"/>
            <w:vAlign w:val="bottom"/>
            <w:tcBorders>
              <w:top w:val="single" w:sz="8" w:color="0000EE"/>
              <w:bottom w:val="single" w:sz="8" w:color="auto"/>
            </w:tcBorders>
          </w:tcPr>
          <w:p>
            <w:pPr>
              <w:spacing w:after="0"/>
              <w:rPr>
                <w:sz w:val="21"/>
                <w:szCs w:val="21"/>
                <w:color w:val="auto"/>
              </w:rPr>
            </w:pPr>
          </w:p>
        </w:tc>
        <w:tc>
          <w:tcPr>
            <w:tcW w:w="140" w:type="dxa"/>
            <w:vAlign w:val="bottom"/>
            <w:tcBorders>
              <w:top w:val="single" w:sz="8" w:color="0000EE"/>
              <w:bottom w:val="single" w:sz="8" w:color="auto"/>
            </w:tcBorders>
          </w:tcPr>
          <w:p>
            <w:pPr>
              <w:spacing w:after="0"/>
              <w:rPr>
                <w:sz w:val="21"/>
                <w:szCs w:val="21"/>
                <w:color w:val="auto"/>
              </w:rPr>
            </w:pPr>
          </w:p>
        </w:tc>
        <w:tc>
          <w:tcPr>
            <w:tcW w:w="160" w:type="dxa"/>
            <w:vAlign w:val="bottom"/>
            <w:tcBorders>
              <w:top w:val="single" w:sz="8" w:color="0000EE"/>
              <w:bottom w:val="single" w:sz="8" w:color="auto"/>
            </w:tcBorders>
          </w:tcPr>
          <w:p>
            <w:pPr>
              <w:spacing w:after="0"/>
              <w:rPr>
                <w:sz w:val="21"/>
                <w:szCs w:val="21"/>
                <w:color w:val="auto"/>
              </w:rPr>
            </w:pPr>
          </w:p>
        </w:tc>
        <w:tc>
          <w:tcPr>
            <w:tcW w:w="60" w:type="dxa"/>
            <w:vAlign w:val="bottom"/>
            <w:tcBorders>
              <w:top w:val="single" w:sz="8" w:color="0000EE"/>
              <w:bottom w:val="single" w:sz="8" w:color="auto"/>
            </w:tcBorders>
          </w:tcPr>
          <w:p>
            <w:pPr>
              <w:spacing w:after="0"/>
              <w:rPr>
                <w:sz w:val="21"/>
                <w:szCs w:val="21"/>
                <w:color w:val="auto"/>
              </w:rPr>
            </w:pPr>
          </w:p>
        </w:tc>
        <w:tc>
          <w:tcPr>
            <w:tcW w:w="60" w:type="dxa"/>
            <w:vAlign w:val="bottom"/>
            <w:tcBorders>
              <w:top w:val="single" w:sz="8" w:color="0000EE"/>
              <w:bottom w:val="single" w:sz="8" w:color="auto"/>
            </w:tcBorders>
          </w:tcPr>
          <w:p>
            <w:pPr>
              <w:spacing w:after="0"/>
              <w:rPr>
                <w:sz w:val="21"/>
                <w:szCs w:val="21"/>
                <w:color w:val="auto"/>
              </w:rPr>
            </w:pPr>
          </w:p>
        </w:tc>
        <w:tc>
          <w:tcPr>
            <w:tcW w:w="60" w:type="dxa"/>
            <w:vAlign w:val="bottom"/>
            <w:tcBorders>
              <w:top w:val="single" w:sz="8" w:color="0000EE"/>
              <w:bottom w:val="single" w:sz="8" w:color="auto"/>
            </w:tcBorders>
          </w:tcPr>
          <w:p>
            <w:pPr>
              <w:spacing w:after="0"/>
              <w:rPr>
                <w:sz w:val="21"/>
                <w:szCs w:val="21"/>
                <w:color w:val="auto"/>
              </w:rPr>
            </w:pPr>
          </w:p>
        </w:tc>
        <w:tc>
          <w:tcPr>
            <w:tcW w:w="40" w:type="dxa"/>
            <w:vAlign w:val="bottom"/>
            <w:tcBorders>
              <w:top w:val="single" w:sz="8" w:color="0000EE"/>
              <w:bottom w:val="single" w:sz="8" w:color="auto"/>
            </w:tcBorders>
          </w:tcPr>
          <w:p>
            <w:pPr>
              <w:spacing w:after="0"/>
              <w:rPr>
                <w:sz w:val="21"/>
                <w:szCs w:val="21"/>
                <w:color w:val="auto"/>
              </w:rPr>
            </w:pPr>
          </w:p>
        </w:tc>
        <w:tc>
          <w:tcPr>
            <w:tcW w:w="180" w:type="dxa"/>
            <w:vAlign w:val="bottom"/>
            <w:tcBorders>
              <w:top w:val="single" w:sz="8" w:color="0000EE"/>
              <w:bottom w:val="single" w:sz="8" w:color="auto"/>
            </w:tcBorders>
          </w:tcPr>
          <w:p>
            <w:pPr>
              <w:spacing w:after="0"/>
              <w:rPr>
                <w:sz w:val="21"/>
                <w:szCs w:val="21"/>
                <w:color w:val="auto"/>
              </w:rPr>
            </w:pPr>
          </w:p>
        </w:tc>
        <w:tc>
          <w:tcPr>
            <w:tcW w:w="60" w:type="dxa"/>
            <w:vAlign w:val="bottom"/>
            <w:tcBorders>
              <w:top w:val="single" w:sz="8" w:color="0000EE"/>
              <w:bottom w:val="single" w:sz="8" w:color="auto"/>
            </w:tcBorders>
          </w:tcPr>
          <w:p>
            <w:pPr>
              <w:spacing w:after="0"/>
              <w:rPr>
                <w:sz w:val="21"/>
                <w:szCs w:val="21"/>
                <w:color w:val="auto"/>
              </w:rPr>
            </w:pPr>
          </w:p>
        </w:tc>
        <w:tc>
          <w:tcPr>
            <w:tcW w:w="200" w:type="dxa"/>
            <w:vAlign w:val="bottom"/>
            <w:tcBorders>
              <w:top w:val="single" w:sz="8" w:color="0000EE"/>
              <w:bottom w:val="single" w:sz="8" w:color="auto"/>
            </w:tcBorders>
          </w:tcPr>
          <w:p>
            <w:pPr>
              <w:spacing w:after="0"/>
              <w:rPr>
                <w:sz w:val="21"/>
                <w:szCs w:val="21"/>
                <w:color w:val="auto"/>
              </w:rPr>
            </w:pPr>
          </w:p>
        </w:tc>
        <w:tc>
          <w:tcPr>
            <w:tcW w:w="80" w:type="dxa"/>
            <w:vAlign w:val="bottom"/>
            <w:tcBorders>
              <w:top w:val="single" w:sz="8" w:color="0000EE"/>
              <w:bottom w:val="single" w:sz="8" w:color="auto"/>
            </w:tcBorders>
          </w:tcPr>
          <w:p>
            <w:pPr>
              <w:spacing w:after="0"/>
              <w:rPr>
                <w:sz w:val="21"/>
                <w:szCs w:val="21"/>
                <w:color w:val="auto"/>
              </w:rPr>
            </w:pPr>
          </w:p>
        </w:tc>
        <w:tc>
          <w:tcPr>
            <w:tcW w:w="40" w:type="dxa"/>
            <w:vAlign w:val="bottom"/>
            <w:tcBorders>
              <w:top w:val="single" w:sz="8" w:color="0000EE"/>
              <w:bottom w:val="single" w:sz="8" w:color="auto"/>
            </w:tcBorders>
          </w:tcPr>
          <w:p>
            <w:pPr>
              <w:spacing w:after="0"/>
              <w:rPr>
                <w:sz w:val="21"/>
                <w:szCs w:val="21"/>
                <w:color w:val="auto"/>
              </w:rPr>
            </w:pPr>
          </w:p>
        </w:tc>
        <w:tc>
          <w:tcPr>
            <w:tcW w:w="120" w:type="dxa"/>
            <w:vAlign w:val="bottom"/>
            <w:tcBorders>
              <w:top w:val="single" w:sz="8" w:color="0000EE"/>
              <w:bottom w:val="single" w:sz="8" w:color="auto"/>
            </w:tcBorders>
          </w:tcPr>
          <w:p>
            <w:pPr>
              <w:spacing w:after="0"/>
              <w:rPr>
                <w:sz w:val="21"/>
                <w:szCs w:val="21"/>
                <w:color w:val="auto"/>
              </w:rPr>
            </w:pPr>
          </w:p>
        </w:tc>
        <w:tc>
          <w:tcPr>
            <w:tcW w:w="140" w:type="dxa"/>
            <w:vAlign w:val="bottom"/>
            <w:tcBorders>
              <w:top w:val="single" w:sz="8" w:color="0000EE"/>
              <w:bottom w:val="single" w:sz="8" w:color="auto"/>
            </w:tcBorders>
          </w:tcPr>
          <w:p>
            <w:pPr>
              <w:spacing w:after="0"/>
              <w:rPr>
                <w:sz w:val="21"/>
                <w:szCs w:val="21"/>
                <w:color w:val="auto"/>
              </w:rPr>
            </w:pPr>
          </w:p>
        </w:tc>
        <w:tc>
          <w:tcPr>
            <w:tcW w:w="20" w:type="dxa"/>
            <w:vAlign w:val="bottom"/>
            <w:tcBorders>
              <w:top w:val="single" w:sz="8" w:color="0000EE"/>
              <w:bottom w:val="single" w:sz="8" w:color="auto"/>
            </w:tcBorders>
          </w:tcPr>
          <w:p>
            <w:pPr>
              <w:spacing w:after="0"/>
              <w:rPr>
                <w:sz w:val="21"/>
                <w:szCs w:val="21"/>
                <w:color w:val="auto"/>
              </w:rPr>
            </w:pPr>
          </w:p>
        </w:tc>
        <w:tc>
          <w:tcPr>
            <w:tcW w:w="200" w:type="dxa"/>
            <w:vAlign w:val="bottom"/>
            <w:tcBorders>
              <w:top w:val="single" w:sz="8" w:color="0000EE"/>
              <w:bottom w:val="single" w:sz="8" w:color="auto"/>
            </w:tcBorders>
          </w:tcPr>
          <w:p>
            <w:pPr>
              <w:spacing w:after="0"/>
              <w:rPr>
                <w:sz w:val="21"/>
                <w:szCs w:val="21"/>
                <w:color w:val="auto"/>
              </w:rPr>
            </w:pPr>
          </w:p>
        </w:tc>
        <w:tc>
          <w:tcPr>
            <w:tcW w:w="100" w:type="dxa"/>
            <w:vAlign w:val="bottom"/>
            <w:tcBorders>
              <w:top w:val="single" w:sz="8" w:color="0000EE"/>
              <w:bottom w:val="single" w:sz="8" w:color="auto"/>
            </w:tcBorders>
          </w:tcPr>
          <w:p>
            <w:pPr>
              <w:spacing w:after="0"/>
              <w:rPr>
                <w:sz w:val="21"/>
                <w:szCs w:val="21"/>
                <w:color w:val="auto"/>
              </w:rPr>
            </w:pPr>
          </w:p>
        </w:tc>
        <w:tc>
          <w:tcPr>
            <w:tcW w:w="40" w:type="dxa"/>
            <w:vAlign w:val="bottom"/>
            <w:tcBorders>
              <w:top w:val="single" w:sz="8" w:color="0000EE"/>
              <w:bottom w:val="single" w:sz="8" w:color="auto"/>
            </w:tcBorders>
          </w:tcPr>
          <w:p>
            <w:pPr>
              <w:spacing w:after="0"/>
              <w:rPr>
                <w:sz w:val="21"/>
                <w:szCs w:val="21"/>
                <w:color w:val="auto"/>
              </w:rPr>
            </w:pPr>
          </w:p>
        </w:tc>
        <w:tc>
          <w:tcPr>
            <w:tcW w:w="120" w:type="dxa"/>
            <w:vAlign w:val="bottom"/>
            <w:tcBorders>
              <w:top w:val="single" w:sz="8" w:color="0000EE"/>
              <w:bottom w:val="single" w:sz="8" w:color="auto"/>
            </w:tcBorders>
          </w:tcPr>
          <w:p>
            <w:pPr>
              <w:spacing w:after="0"/>
              <w:rPr>
                <w:sz w:val="21"/>
                <w:szCs w:val="21"/>
                <w:color w:val="auto"/>
              </w:rPr>
            </w:pPr>
          </w:p>
        </w:tc>
        <w:tc>
          <w:tcPr>
            <w:tcW w:w="80" w:type="dxa"/>
            <w:vAlign w:val="bottom"/>
            <w:tcBorders>
              <w:top w:val="single" w:sz="8" w:color="0000EE"/>
              <w:bottom w:val="single" w:sz="8" w:color="auto"/>
            </w:tcBorders>
          </w:tcPr>
          <w:p>
            <w:pPr>
              <w:spacing w:after="0"/>
              <w:rPr>
                <w:sz w:val="21"/>
                <w:szCs w:val="21"/>
                <w:color w:val="auto"/>
              </w:rPr>
            </w:pPr>
          </w:p>
        </w:tc>
        <w:tc>
          <w:tcPr>
            <w:tcW w:w="60" w:type="dxa"/>
            <w:vAlign w:val="bottom"/>
            <w:tcBorders>
              <w:top w:val="single" w:sz="8" w:color="0000EE"/>
              <w:bottom w:val="single" w:sz="8" w:color="auto"/>
            </w:tcBorders>
          </w:tcPr>
          <w:p>
            <w:pPr>
              <w:spacing w:after="0"/>
              <w:rPr>
                <w:sz w:val="21"/>
                <w:szCs w:val="21"/>
                <w:color w:val="auto"/>
              </w:rPr>
            </w:pPr>
          </w:p>
        </w:tc>
        <w:tc>
          <w:tcPr>
            <w:tcW w:w="300" w:type="dxa"/>
            <w:vAlign w:val="bottom"/>
            <w:tcBorders>
              <w:top w:val="single" w:sz="8" w:color="0000EE"/>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80" w:type="dxa"/>
            <w:vAlign w:val="bottom"/>
            <w:tcBorders>
              <w:top w:val="single" w:sz="8" w:color="0000EE"/>
              <w:bottom w:val="single" w:sz="8" w:color="auto"/>
            </w:tcBorders>
          </w:tcPr>
          <w:p>
            <w:pPr>
              <w:spacing w:after="0"/>
              <w:rPr>
                <w:sz w:val="21"/>
                <w:szCs w:val="21"/>
                <w:color w:val="auto"/>
              </w:rPr>
            </w:pPr>
          </w:p>
        </w:tc>
        <w:tc>
          <w:tcPr>
            <w:tcW w:w="100" w:type="dxa"/>
            <w:vAlign w:val="bottom"/>
            <w:tcBorders>
              <w:top w:val="single" w:sz="8" w:color="0000EE"/>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r>
    </w:tbl>
    <w:p>
      <w:pPr>
        <w:sectPr>
          <w:pgSz w:w="11900" w:h="16838" w:orient="portrait"/>
          <w:cols w:equalWidth="0" w:num="1">
            <w:col w:w="11020"/>
          </w:cols>
          <w:pgMar w:left="440" w:top="262" w:right="4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3"/>
                <w:szCs w:val="13"/>
                <w:color w:val="auto"/>
              </w:rPr>
            </w:pPr>
          </w:p>
        </w:tc>
        <w:tc>
          <w:tcPr>
            <w:tcW w:w="1540" w:type="dxa"/>
            <w:vAlign w:val="bottom"/>
            <w:tcBorders>
              <w:bottom w:val="single" w:sz="8" w:color="0000EE"/>
            </w:tcBorders>
            <w:gridSpan w:val="5"/>
          </w:tcPr>
          <w:p>
            <w:pPr>
              <w:spacing w:after="0"/>
              <w:rPr>
                <w:rFonts w:ascii="Times New Roman" w:cs="Times New Roman" w:eastAsia="Times New Roman" w:hAnsi="Times New Roman"/>
                <w:sz w:val="14"/>
                <w:szCs w:val="14"/>
                <w:b w:val="1"/>
                <w:bCs w:val="1"/>
                <w:color w:val="0000EE"/>
              </w:rPr>
            </w:pPr>
            <w:hyperlink w:anchor="page3">
              <w:r>
                <w:rPr>
                  <w:rFonts w:ascii="Times New Roman" w:cs="Times New Roman" w:eastAsia="Times New Roman" w:hAnsi="Times New Roman"/>
                  <w:sz w:val="14"/>
                  <w:szCs w:val="14"/>
                  <w:b w:val="1"/>
                  <w:bCs w:val="1"/>
                  <w:color w:val="0000EE"/>
                </w:rPr>
                <w:t>TABLE OF CONTENTS</w:t>
              </w:r>
            </w:hyperlink>
          </w:p>
        </w:tc>
        <w:tc>
          <w:tcPr>
            <w:tcW w:w="6780" w:type="dxa"/>
            <w:vAlign w:val="bottom"/>
            <w:gridSpan w:val="32"/>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412"/>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160" w:type="dxa"/>
            <w:vAlign w:val="bottom"/>
            <w:gridSpan w:val="30"/>
          </w:tcPr>
          <w:p>
            <w:pPr>
              <w:spacing w:after="0"/>
              <w:rPr>
                <w:rFonts w:ascii="Arial" w:cs="Arial" w:eastAsia="Arial" w:hAnsi="Arial"/>
                <w:sz w:val="18"/>
                <w:szCs w:val="18"/>
                <w:color w:val="0000EE"/>
                <w:w w:val="99"/>
              </w:rPr>
            </w:pPr>
            <w:hyperlink w:anchor="page30">
              <w:r>
                <w:rPr>
                  <w:rFonts w:ascii="Arial" w:cs="Arial" w:eastAsia="Arial" w:hAnsi="Arial"/>
                  <w:sz w:val="18"/>
                  <w:szCs w:val="18"/>
                  <w:color w:val="0000EE"/>
                  <w:w w:val="99"/>
                </w:rPr>
                <w:t>The Principal Elements of Pay: Total Direct Compensation (TDC)</w:t>
              </w:r>
            </w:hyperlink>
          </w:p>
        </w:tc>
        <w:tc>
          <w:tcPr>
            <w:tcW w:w="2080" w:type="dxa"/>
            <w:vAlign w:val="bottom"/>
            <w:gridSpan w:val="4"/>
          </w:tcPr>
          <w:p>
            <w:pPr>
              <w:spacing w:after="0"/>
              <w:rPr>
                <w:sz w:val="24"/>
                <w:szCs w:val="24"/>
                <w:color w:val="auto"/>
              </w:rPr>
            </w:pPr>
          </w:p>
        </w:tc>
        <w:tc>
          <w:tcPr>
            <w:tcW w:w="1780" w:type="dxa"/>
            <w:vAlign w:val="bottom"/>
            <w:gridSpan w:val="3"/>
          </w:tcPr>
          <w:p>
            <w:pPr>
              <w:jc w:val="right"/>
              <w:ind w:right="920"/>
              <w:spacing w:after="0"/>
              <w:rPr>
                <w:rFonts w:ascii="Arial" w:cs="Arial" w:eastAsia="Arial" w:hAnsi="Arial"/>
                <w:sz w:val="18"/>
                <w:szCs w:val="18"/>
                <w:color w:val="0000EE"/>
              </w:rPr>
            </w:pPr>
            <w:hyperlink w:anchor="page30">
              <w:r>
                <w:rPr>
                  <w:rFonts w:ascii="Arial" w:cs="Arial" w:eastAsia="Arial" w:hAnsi="Arial"/>
                  <w:sz w:val="18"/>
                  <w:szCs w:val="18"/>
                  <w:color w:val="0000EE"/>
                </w:rPr>
                <w:t>25</w:t>
              </w:r>
            </w:hyperlink>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90"/>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gridSpan w:val="3"/>
          </w:tcPr>
          <w:p>
            <w:pPr>
              <w:spacing w:after="0"/>
              <w:rPr>
                <w:rFonts w:ascii="Arial" w:cs="Arial" w:eastAsia="Arial" w:hAnsi="Arial"/>
                <w:sz w:val="18"/>
                <w:szCs w:val="18"/>
                <w:color w:val="0000EE"/>
                <w:w w:val="96"/>
              </w:rPr>
            </w:pPr>
            <w:hyperlink w:anchor="page31">
              <w:r>
                <w:rPr>
                  <w:rFonts w:ascii="Arial" w:cs="Arial" w:eastAsia="Arial" w:hAnsi="Arial"/>
                  <w:sz w:val="18"/>
                  <w:szCs w:val="18"/>
                  <w:color w:val="0000EE"/>
                  <w:w w:val="96"/>
                </w:rPr>
                <w:t>Pay Mix</w:t>
              </w:r>
            </w:hyperlink>
          </w:p>
        </w:tc>
        <w:tc>
          <w:tcPr>
            <w:tcW w:w="4520" w:type="dxa"/>
            <w:vAlign w:val="bottom"/>
            <w:gridSpan w:val="27"/>
          </w:tcPr>
          <w:p>
            <w:pPr>
              <w:spacing w:after="0"/>
              <w:rPr>
                <w:sz w:val="24"/>
                <w:szCs w:val="24"/>
                <w:color w:val="auto"/>
              </w:rPr>
            </w:pPr>
          </w:p>
        </w:tc>
        <w:tc>
          <w:tcPr>
            <w:tcW w:w="2080" w:type="dxa"/>
            <w:vAlign w:val="bottom"/>
            <w:gridSpan w:val="4"/>
          </w:tcPr>
          <w:p>
            <w:pPr>
              <w:spacing w:after="0"/>
              <w:rPr>
                <w:sz w:val="24"/>
                <w:szCs w:val="24"/>
                <w:color w:val="auto"/>
              </w:rPr>
            </w:pPr>
          </w:p>
        </w:tc>
        <w:tc>
          <w:tcPr>
            <w:tcW w:w="1780" w:type="dxa"/>
            <w:vAlign w:val="bottom"/>
            <w:gridSpan w:val="3"/>
          </w:tcPr>
          <w:p>
            <w:pPr>
              <w:jc w:val="right"/>
              <w:ind w:right="920"/>
              <w:spacing w:after="0"/>
              <w:rPr>
                <w:rFonts w:ascii="Arial" w:cs="Arial" w:eastAsia="Arial" w:hAnsi="Arial"/>
                <w:sz w:val="18"/>
                <w:szCs w:val="18"/>
                <w:color w:val="0000EE"/>
              </w:rPr>
            </w:pPr>
            <w:hyperlink w:anchor="page31">
              <w:r>
                <w:rPr>
                  <w:rFonts w:ascii="Arial" w:cs="Arial" w:eastAsia="Arial" w:hAnsi="Arial"/>
                  <w:sz w:val="18"/>
                  <w:szCs w:val="18"/>
                  <w:color w:val="0000EE"/>
                </w:rPr>
                <w:t>26</w:t>
              </w:r>
            </w:hyperlink>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91"/>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380" w:type="dxa"/>
            <w:vAlign w:val="bottom"/>
            <w:gridSpan w:val="15"/>
          </w:tcPr>
          <w:p>
            <w:pPr>
              <w:spacing w:after="0"/>
              <w:rPr>
                <w:rFonts w:ascii="Arial" w:cs="Arial" w:eastAsia="Arial" w:hAnsi="Arial"/>
                <w:sz w:val="18"/>
                <w:szCs w:val="18"/>
                <w:color w:val="0000EE"/>
                <w:w w:val="99"/>
              </w:rPr>
            </w:pPr>
            <w:hyperlink w:anchor="page31">
              <w:r>
                <w:rPr>
                  <w:rFonts w:ascii="Arial" w:cs="Arial" w:eastAsia="Arial" w:hAnsi="Arial"/>
                  <w:sz w:val="18"/>
                  <w:szCs w:val="18"/>
                  <w:color w:val="0000EE"/>
                  <w:w w:val="99"/>
                </w:rPr>
                <w:t>Our Decision-Making Process</w:t>
              </w:r>
            </w:hyperlink>
          </w:p>
        </w:tc>
        <w:tc>
          <w:tcPr>
            <w:tcW w:w="4860" w:type="dxa"/>
            <w:vAlign w:val="bottom"/>
            <w:gridSpan w:val="19"/>
          </w:tcPr>
          <w:p>
            <w:pPr>
              <w:spacing w:after="0"/>
              <w:rPr>
                <w:sz w:val="24"/>
                <w:szCs w:val="24"/>
                <w:color w:val="auto"/>
              </w:rPr>
            </w:pPr>
          </w:p>
        </w:tc>
        <w:tc>
          <w:tcPr>
            <w:tcW w:w="1780" w:type="dxa"/>
            <w:vAlign w:val="bottom"/>
            <w:gridSpan w:val="3"/>
          </w:tcPr>
          <w:p>
            <w:pPr>
              <w:jc w:val="right"/>
              <w:ind w:right="920"/>
              <w:spacing w:after="0"/>
              <w:rPr>
                <w:rFonts w:ascii="Arial" w:cs="Arial" w:eastAsia="Arial" w:hAnsi="Arial"/>
                <w:sz w:val="18"/>
                <w:szCs w:val="18"/>
                <w:color w:val="0000EE"/>
              </w:rPr>
            </w:pPr>
            <w:hyperlink w:anchor="page31">
              <w:r>
                <w:rPr>
                  <w:rFonts w:ascii="Arial" w:cs="Arial" w:eastAsia="Arial" w:hAnsi="Arial"/>
                  <w:sz w:val="18"/>
                  <w:szCs w:val="18"/>
                  <w:color w:val="0000EE"/>
                </w:rPr>
                <w:t>26</w:t>
              </w:r>
            </w:hyperlink>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91"/>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320" w:type="dxa"/>
            <w:vAlign w:val="bottom"/>
            <w:gridSpan w:val="23"/>
          </w:tcPr>
          <w:p>
            <w:pPr>
              <w:spacing w:after="0"/>
              <w:rPr>
                <w:rFonts w:ascii="Arial" w:cs="Arial" w:eastAsia="Arial" w:hAnsi="Arial"/>
                <w:sz w:val="18"/>
                <w:szCs w:val="18"/>
                <w:color w:val="0000EE"/>
                <w:w w:val="97"/>
              </w:rPr>
            </w:pPr>
            <w:hyperlink w:anchor="page31">
              <w:r>
                <w:rPr>
                  <w:rFonts w:ascii="Arial" w:cs="Arial" w:eastAsia="Arial" w:hAnsi="Arial"/>
                  <w:sz w:val="18"/>
                  <w:szCs w:val="18"/>
                  <w:color w:val="0000EE"/>
                  <w:w w:val="97"/>
                </w:rPr>
                <w:t>The Role of the Compensation Committee</w:t>
              </w:r>
            </w:hyperlink>
          </w:p>
        </w:tc>
        <w:tc>
          <w:tcPr>
            <w:tcW w:w="3920" w:type="dxa"/>
            <w:vAlign w:val="bottom"/>
            <w:gridSpan w:val="11"/>
          </w:tcPr>
          <w:p>
            <w:pPr>
              <w:spacing w:after="0"/>
              <w:rPr>
                <w:sz w:val="24"/>
                <w:szCs w:val="24"/>
                <w:color w:val="auto"/>
              </w:rPr>
            </w:pPr>
          </w:p>
        </w:tc>
        <w:tc>
          <w:tcPr>
            <w:tcW w:w="1780" w:type="dxa"/>
            <w:vAlign w:val="bottom"/>
            <w:gridSpan w:val="3"/>
          </w:tcPr>
          <w:p>
            <w:pPr>
              <w:jc w:val="right"/>
              <w:ind w:right="920"/>
              <w:spacing w:after="0"/>
              <w:rPr>
                <w:rFonts w:ascii="Arial" w:cs="Arial" w:eastAsia="Arial" w:hAnsi="Arial"/>
                <w:sz w:val="18"/>
                <w:szCs w:val="18"/>
                <w:color w:val="0000EE"/>
              </w:rPr>
            </w:pPr>
            <w:hyperlink w:anchor="page31">
              <w:r>
                <w:rPr>
                  <w:rFonts w:ascii="Arial" w:cs="Arial" w:eastAsia="Arial" w:hAnsi="Arial"/>
                  <w:sz w:val="18"/>
                  <w:szCs w:val="18"/>
                  <w:color w:val="0000EE"/>
                </w:rPr>
                <w:t>26</w:t>
              </w:r>
            </w:hyperlink>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90"/>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320" w:type="dxa"/>
            <w:vAlign w:val="bottom"/>
            <w:gridSpan w:val="23"/>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The Role of Management</w:t>
              </w:r>
            </w:hyperlink>
          </w:p>
        </w:tc>
        <w:tc>
          <w:tcPr>
            <w:tcW w:w="3920" w:type="dxa"/>
            <w:vAlign w:val="bottom"/>
            <w:gridSpan w:val="11"/>
          </w:tcPr>
          <w:p>
            <w:pPr>
              <w:spacing w:after="0"/>
              <w:rPr>
                <w:sz w:val="24"/>
                <w:szCs w:val="24"/>
                <w:color w:val="auto"/>
              </w:rPr>
            </w:pPr>
          </w:p>
        </w:tc>
        <w:tc>
          <w:tcPr>
            <w:tcW w:w="1780" w:type="dxa"/>
            <w:vAlign w:val="bottom"/>
            <w:gridSpan w:val="3"/>
          </w:tcPr>
          <w:p>
            <w:pPr>
              <w:jc w:val="right"/>
              <w:ind w:right="920"/>
              <w:spacing w:after="0"/>
              <w:rPr>
                <w:rFonts w:ascii="Arial" w:cs="Arial" w:eastAsia="Arial" w:hAnsi="Arial"/>
                <w:sz w:val="18"/>
                <w:szCs w:val="18"/>
                <w:color w:val="0000EE"/>
              </w:rPr>
            </w:pPr>
            <w:hyperlink w:anchor="page31">
              <w:r>
                <w:rPr>
                  <w:rFonts w:ascii="Arial" w:cs="Arial" w:eastAsia="Arial" w:hAnsi="Arial"/>
                  <w:sz w:val="18"/>
                  <w:szCs w:val="18"/>
                  <w:color w:val="0000EE"/>
                </w:rPr>
                <w:t>26</w:t>
              </w:r>
            </w:hyperlink>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91"/>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40" w:type="dxa"/>
            <w:vAlign w:val="bottom"/>
            <w:gridSpan w:val="34"/>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The Role of the Independent Consultant</w:t>
              </w:r>
            </w:hyperlink>
          </w:p>
        </w:tc>
        <w:tc>
          <w:tcPr>
            <w:tcW w:w="1780" w:type="dxa"/>
            <w:vAlign w:val="bottom"/>
            <w:gridSpan w:val="3"/>
          </w:tcPr>
          <w:p>
            <w:pPr>
              <w:jc w:val="right"/>
              <w:ind w:right="920"/>
              <w:spacing w:after="0"/>
              <w:rPr>
                <w:rFonts w:ascii="Arial" w:cs="Arial" w:eastAsia="Arial" w:hAnsi="Arial"/>
                <w:sz w:val="18"/>
                <w:szCs w:val="18"/>
                <w:color w:val="0000EE"/>
              </w:rPr>
            </w:pPr>
            <w:hyperlink w:anchor="page31">
              <w:r>
                <w:rPr>
                  <w:rFonts w:ascii="Arial" w:cs="Arial" w:eastAsia="Arial" w:hAnsi="Arial"/>
                  <w:sz w:val="18"/>
                  <w:szCs w:val="18"/>
                  <w:color w:val="0000EE"/>
                </w:rPr>
                <w:t>26</w:t>
              </w:r>
            </w:hyperlink>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90"/>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80" w:type="dxa"/>
            <w:vAlign w:val="bottom"/>
            <w:gridSpan w:val="14"/>
          </w:tcPr>
          <w:p>
            <w:pPr>
              <w:spacing w:after="0"/>
              <w:rPr>
                <w:rFonts w:ascii="Arial" w:cs="Arial" w:eastAsia="Arial" w:hAnsi="Arial"/>
                <w:sz w:val="18"/>
                <w:szCs w:val="18"/>
                <w:color w:val="0000EE"/>
                <w:w w:val="96"/>
              </w:rPr>
            </w:pPr>
            <w:hyperlink w:anchor="page32">
              <w:r>
                <w:rPr>
                  <w:rFonts w:ascii="Arial" w:cs="Arial" w:eastAsia="Arial" w:hAnsi="Arial"/>
                  <w:sz w:val="18"/>
                  <w:szCs w:val="18"/>
                  <w:color w:val="0000EE"/>
                  <w:w w:val="96"/>
                </w:rPr>
                <w:t>The Role of Peer Companies</w:t>
              </w:r>
            </w:hyperlink>
          </w:p>
        </w:tc>
        <w:tc>
          <w:tcPr>
            <w:tcW w:w="880" w:type="dxa"/>
            <w:vAlign w:val="bottom"/>
            <w:gridSpan w:val="8"/>
          </w:tcPr>
          <w:p>
            <w:pPr>
              <w:spacing w:after="0"/>
              <w:rPr>
                <w:sz w:val="24"/>
                <w:szCs w:val="24"/>
                <w:color w:val="auto"/>
              </w:rPr>
            </w:pPr>
          </w:p>
        </w:tc>
        <w:tc>
          <w:tcPr>
            <w:tcW w:w="4080" w:type="dxa"/>
            <w:vAlign w:val="bottom"/>
            <w:gridSpan w:val="12"/>
          </w:tcPr>
          <w:p>
            <w:pPr>
              <w:spacing w:after="0"/>
              <w:rPr>
                <w:sz w:val="24"/>
                <w:szCs w:val="24"/>
                <w:color w:val="auto"/>
              </w:rPr>
            </w:pPr>
          </w:p>
        </w:tc>
        <w:tc>
          <w:tcPr>
            <w:tcW w:w="1780" w:type="dxa"/>
            <w:vAlign w:val="bottom"/>
            <w:gridSpan w:val="3"/>
          </w:tcPr>
          <w:p>
            <w:pPr>
              <w:jc w:val="right"/>
              <w:ind w:right="920"/>
              <w:spacing w:after="0"/>
              <w:rPr>
                <w:rFonts w:ascii="Arial" w:cs="Arial" w:eastAsia="Arial" w:hAnsi="Arial"/>
                <w:sz w:val="18"/>
                <w:szCs w:val="18"/>
                <w:color w:val="0000EE"/>
              </w:rPr>
            </w:pPr>
            <w:hyperlink w:anchor="page32">
              <w:r>
                <w:rPr>
                  <w:rFonts w:ascii="Arial" w:cs="Arial" w:eastAsia="Arial" w:hAnsi="Arial"/>
                  <w:sz w:val="18"/>
                  <w:szCs w:val="18"/>
                  <w:color w:val="0000EE"/>
                </w:rPr>
                <w:t>27</w:t>
              </w:r>
            </w:hyperlink>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91"/>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20" w:type="dxa"/>
            <w:vAlign w:val="bottom"/>
            <w:gridSpan w:val="28"/>
          </w:tcPr>
          <w:p>
            <w:pPr>
              <w:spacing w:after="0"/>
              <w:rPr>
                <w:rFonts w:ascii="Arial" w:cs="Arial" w:eastAsia="Arial" w:hAnsi="Arial"/>
                <w:sz w:val="18"/>
                <w:szCs w:val="18"/>
                <w:color w:val="0000EE"/>
                <w:w w:val="98"/>
              </w:rPr>
            </w:pPr>
            <w:hyperlink w:anchor="page33">
              <w:r>
                <w:rPr>
                  <w:rFonts w:ascii="Arial" w:cs="Arial" w:eastAsia="Arial" w:hAnsi="Arial"/>
                  <w:sz w:val="18"/>
                  <w:szCs w:val="18"/>
                  <w:color w:val="0000EE"/>
                  <w:w w:val="98"/>
                </w:rPr>
                <w:t>The 2020 Executive Compensation Program in Detail</w:t>
              </w:r>
            </w:hyperlink>
          </w:p>
        </w:tc>
        <w:tc>
          <w:tcPr>
            <w:tcW w:w="3380" w:type="dxa"/>
            <w:vAlign w:val="bottom"/>
            <w:gridSpan w:val="7"/>
          </w:tcPr>
          <w:p>
            <w:pPr>
              <w:spacing w:after="0"/>
              <w:rPr>
                <w:sz w:val="24"/>
                <w:szCs w:val="24"/>
                <w:color w:val="auto"/>
              </w:rPr>
            </w:pPr>
          </w:p>
        </w:tc>
        <w:tc>
          <w:tcPr>
            <w:tcW w:w="1780" w:type="dxa"/>
            <w:vAlign w:val="bottom"/>
            <w:gridSpan w:val="3"/>
          </w:tcPr>
          <w:p>
            <w:pPr>
              <w:jc w:val="right"/>
              <w:ind w:right="920"/>
              <w:spacing w:after="0"/>
              <w:rPr>
                <w:rFonts w:ascii="Arial" w:cs="Arial" w:eastAsia="Arial" w:hAnsi="Arial"/>
                <w:sz w:val="18"/>
                <w:szCs w:val="18"/>
                <w:color w:val="0000EE"/>
              </w:rPr>
            </w:pPr>
            <w:hyperlink w:anchor="page33">
              <w:r>
                <w:rPr>
                  <w:rFonts w:ascii="Arial" w:cs="Arial" w:eastAsia="Arial" w:hAnsi="Arial"/>
                  <w:sz w:val="18"/>
                  <w:szCs w:val="18"/>
                  <w:color w:val="0000EE"/>
                </w:rPr>
                <w:t>28</w:t>
              </w:r>
            </w:hyperlink>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90"/>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60" w:type="dxa"/>
            <w:vAlign w:val="bottom"/>
            <w:gridSpan w:val="27"/>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Base Salary</w:t>
              </w:r>
            </w:hyperlink>
          </w:p>
        </w:tc>
        <w:tc>
          <w:tcPr>
            <w:tcW w:w="3380" w:type="dxa"/>
            <w:vAlign w:val="bottom"/>
            <w:gridSpan w:val="7"/>
          </w:tcPr>
          <w:p>
            <w:pPr>
              <w:spacing w:after="0"/>
              <w:rPr>
                <w:sz w:val="24"/>
                <w:szCs w:val="24"/>
                <w:color w:val="auto"/>
              </w:rPr>
            </w:pPr>
          </w:p>
        </w:tc>
        <w:tc>
          <w:tcPr>
            <w:tcW w:w="1780" w:type="dxa"/>
            <w:vAlign w:val="bottom"/>
            <w:gridSpan w:val="3"/>
          </w:tcPr>
          <w:p>
            <w:pPr>
              <w:jc w:val="right"/>
              <w:ind w:right="920"/>
              <w:spacing w:after="0"/>
              <w:rPr>
                <w:rFonts w:ascii="Arial" w:cs="Arial" w:eastAsia="Arial" w:hAnsi="Arial"/>
                <w:sz w:val="18"/>
                <w:szCs w:val="18"/>
                <w:color w:val="0000EE"/>
              </w:rPr>
            </w:pPr>
            <w:hyperlink w:anchor="page33">
              <w:r>
                <w:rPr>
                  <w:rFonts w:ascii="Arial" w:cs="Arial" w:eastAsia="Arial" w:hAnsi="Arial"/>
                  <w:sz w:val="18"/>
                  <w:szCs w:val="18"/>
                  <w:color w:val="0000EE"/>
                </w:rPr>
                <w:t>28</w:t>
              </w:r>
            </w:hyperlink>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91"/>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20" w:type="dxa"/>
            <w:vAlign w:val="bottom"/>
            <w:gridSpan w:val="31"/>
          </w:tcPr>
          <w:p>
            <w:pPr>
              <w:spacing w:after="0"/>
              <w:rPr>
                <w:rFonts w:ascii="Arial" w:cs="Arial" w:eastAsia="Arial" w:hAnsi="Arial"/>
                <w:sz w:val="18"/>
                <w:szCs w:val="18"/>
                <w:color w:val="0000EE"/>
                <w:w w:val="99"/>
              </w:rPr>
            </w:pPr>
            <w:hyperlink w:anchor="page33">
              <w:r>
                <w:rPr>
                  <w:rFonts w:ascii="Arial" w:cs="Arial" w:eastAsia="Arial" w:hAnsi="Arial"/>
                  <w:sz w:val="18"/>
                  <w:szCs w:val="18"/>
                  <w:color w:val="0000EE"/>
                  <w:w w:val="99"/>
                </w:rPr>
                <w:t>Annual Cash Incentives: The Executive Management Incentive Plan (EMIP)</w:t>
              </w:r>
            </w:hyperlink>
          </w:p>
        </w:tc>
        <w:tc>
          <w:tcPr>
            <w:tcW w:w="1220" w:type="dxa"/>
            <w:vAlign w:val="bottom"/>
            <w:gridSpan w:val="3"/>
          </w:tcPr>
          <w:p>
            <w:pPr>
              <w:spacing w:after="0"/>
              <w:rPr>
                <w:sz w:val="24"/>
                <w:szCs w:val="24"/>
                <w:color w:val="auto"/>
              </w:rPr>
            </w:pPr>
          </w:p>
        </w:tc>
        <w:tc>
          <w:tcPr>
            <w:tcW w:w="1780" w:type="dxa"/>
            <w:vAlign w:val="bottom"/>
            <w:gridSpan w:val="3"/>
          </w:tcPr>
          <w:p>
            <w:pPr>
              <w:jc w:val="right"/>
              <w:ind w:right="920"/>
              <w:spacing w:after="0"/>
              <w:rPr>
                <w:rFonts w:ascii="Arial" w:cs="Arial" w:eastAsia="Arial" w:hAnsi="Arial"/>
                <w:sz w:val="18"/>
                <w:szCs w:val="18"/>
                <w:color w:val="0000EE"/>
              </w:rPr>
            </w:pPr>
            <w:hyperlink w:anchor="page33">
              <w:r>
                <w:rPr>
                  <w:rFonts w:ascii="Arial" w:cs="Arial" w:eastAsia="Arial" w:hAnsi="Arial"/>
                  <w:sz w:val="18"/>
                  <w:szCs w:val="18"/>
                  <w:color w:val="0000EE"/>
                </w:rPr>
                <w:t>28</w:t>
              </w:r>
            </w:hyperlink>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91"/>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20" w:type="dxa"/>
            <w:vAlign w:val="bottom"/>
            <w:gridSpan w:val="7"/>
          </w:tcPr>
          <w:p>
            <w:pPr>
              <w:spacing w:after="0"/>
              <w:rPr>
                <w:rFonts w:ascii="Arial" w:cs="Arial" w:eastAsia="Arial" w:hAnsi="Arial"/>
                <w:sz w:val="18"/>
                <w:szCs w:val="18"/>
                <w:color w:val="0000EE"/>
                <w:w w:val="97"/>
              </w:rPr>
            </w:pPr>
            <w:hyperlink w:anchor="page34">
              <w:r>
                <w:rPr>
                  <w:rFonts w:ascii="Arial" w:cs="Arial" w:eastAsia="Arial" w:hAnsi="Arial"/>
                  <w:sz w:val="18"/>
                  <w:szCs w:val="18"/>
                  <w:color w:val="0000EE"/>
                  <w:w w:val="97"/>
                </w:rPr>
                <w:t>Long-Term Incentives</w:t>
              </w:r>
            </w:hyperlink>
          </w:p>
        </w:tc>
        <w:tc>
          <w:tcPr>
            <w:tcW w:w="4300" w:type="dxa"/>
            <w:vAlign w:val="bottom"/>
            <w:gridSpan w:val="24"/>
          </w:tcPr>
          <w:p>
            <w:pPr>
              <w:spacing w:after="0"/>
              <w:rPr>
                <w:sz w:val="24"/>
                <w:szCs w:val="24"/>
                <w:color w:val="auto"/>
              </w:rPr>
            </w:pPr>
          </w:p>
        </w:tc>
        <w:tc>
          <w:tcPr>
            <w:tcW w:w="1220" w:type="dxa"/>
            <w:vAlign w:val="bottom"/>
            <w:gridSpan w:val="3"/>
          </w:tcPr>
          <w:p>
            <w:pPr>
              <w:spacing w:after="0"/>
              <w:rPr>
                <w:sz w:val="24"/>
                <w:szCs w:val="24"/>
                <w:color w:val="auto"/>
              </w:rPr>
            </w:pPr>
          </w:p>
        </w:tc>
        <w:tc>
          <w:tcPr>
            <w:tcW w:w="1780" w:type="dxa"/>
            <w:vAlign w:val="bottom"/>
            <w:gridSpan w:val="3"/>
          </w:tcPr>
          <w:p>
            <w:pPr>
              <w:jc w:val="right"/>
              <w:ind w:right="920"/>
              <w:spacing w:after="0"/>
              <w:rPr>
                <w:rFonts w:ascii="Arial" w:cs="Arial" w:eastAsia="Arial" w:hAnsi="Arial"/>
                <w:sz w:val="18"/>
                <w:szCs w:val="18"/>
                <w:color w:val="0000EE"/>
              </w:rPr>
            </w:pPr>
            <w:hyperlink w:anchor="page34">
              <w:r>
                <w:rPr>
                  <w:rFonts w:ascii="Arial" w:cs="Arial" w:eastAsia="Arial" w:hAnsi="Arial"/>
                  <w:sz w:val="18"/>
                  <w:szCs w:val="18"/>
                  <w:color w:val="0000EE"/>
                </w:rPr>
                <w:t>29</w:t>
              </w:r>
            </w:hyperlink>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90"/>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40" w:type="dxa"/>
            <w:vAlign w:val="bottom"/>
            <w:gridSpan w:val="34"/>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Program Changes for 2021</w:t>
              </w:r>
            </w:hyperlink>
          </w:p>
        </w:tc>
        <w:tc>
          <w:tcPr>
            <w:tcW w:w="1780" w:type="dxa"/>
            <w:vAlign w:val="bottom"/>
            <w:gridSpan w:val="3"/>
          </w:tcPr>
          <w:p>
            <w:pPr>
              <w:jc w:val="right"/>
              <w:ind w:right="920"/>
              <w:spacing w:after="0"/>
              <w:rPr>
                <w:rFonts w:ascii="Arial" w:cs="Arial" w:eastAsia="Arial" w:hAnsi="Arial"/>
                <w:sz w:val="18"/>
                <w:szCs w:val="18"/>
                <w:color w:val="0000EE"/>
              </w:rPr>
            </w:pPr>
            <w:hyperlink w:anchor="page36">
              <w:r>
                <w:rPr>
                  <w:rFonts w:ascii="Arial" w:cs="Arial" w:eastAsia="Arial" w:hAnsi="Arial"/>
                  <w:sz w:val="18"/>
                  <w:szCs w:val="18"/>
                  <w:color w:val="0000EE"/>
                </w:rPr>
                <w:t>31</w:t>
              </w:r>
            </w:hyperlink>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91"/>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40" w:type="dxa"/>
            <w:vAlign w:val="bottom"/>
            <w:gridSpan w:val="34"/>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Other Practices, Policies and Guidelines</w:t>
              </w:r>
            </w:hyperlink>
          </w:p>
        </w:tc>
        <w:tc>
          <w:tcPr>
            <w:tcW w:w="1780" w:type="dxa"/>
            <w:vAlign w:val="bottom"/>
            <w:gridSpan w:val="3"/>
          </w:tcPr>
          <w:p>
            <w:pPr>
              <w:jc w:val="right"/>
              <w:ind w:right="920"/>
              <w:spacing w:after="0"/>
              <w:rPr>
                <w:rFonts w:ascii="Arial" w:cs="Arial" w:eastAsia="Arial" w:hAnsi="Arial"/>
                <w:sz w:val="18"/>
                <w:szCs w:val="18"/>
                <w:color w:val="0000EE"/>
              </w:rPr>
            </w:pPr>
            <w:hyperlink w:anchor="page37">
              <w:r>
                <w:rPr>
                  <w:rFonts w:ascii="Arial" w:cs="Arial" w:eastAsia="Arial" w:hAnsi="Arial"/>
                  <w:sz w:val="18"/>
                  <w:szCs w:val="18"/>
                  <w:color w:val="0000EE"/>
                </w:rPr>
                <w:t>32</w:t>
              </w:r>
            </w:hyperlink>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90"/>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20" w:type="dxa"/>
            <w:vAlign w:val="bottom"/>
            <w:gridSpan w:val="16"/>
          </w:tcPr>
          <w:p>
            <w:pPr>
              <w:spacing w:after="0"/>
              <w:rPr>
                <w:rFonts w:ascii="Arial" w:cs="Arial" w:eastAsia="Arial" w:hAnsi="Arial"/>
                <w:sz w:val="18"/>
                <w:szCs w:val="18"/>
                <w:color w:val="0000EE"/>
                <w:w w:val="96"/>
              </w:rPr>
            </w:pPr>
            <w:hyperlink w:anchor="page37">
              <w:r>
                <w:rPr>
                  <w:rFonts w:ascii="Arial" w:cs="Arial" w:eastAsia="Arial" w:hAnsi="Arial"/>
                  <w:sz w:val="18"/>
                  <w:szCs w:val="18"/>
                  <w:color w:val="0000EE"/>
                  <w:w w:val="96"/>
                </w:rPr>
                <w:t>Stock Ownership Guidelines</w:t>
              </w:r>
            </w:hyperlink>
          </w:p>
        </w:tc>
        <w:tc>
          <w:tcPr>
            <w:tcW w:w="580" w:type="dxa"/>
            <w:vAlign w:val="bottom"/>
            <w:gridSpan w:val="5"/>
          </w:tcPr>
          <w:p>
            <w:pPr>
              <w:spacing w:after="0"/>
              <w:rPr>
                <w:sz w:val="24"/>
                <w:szCs w:val="24"/>
                <w:color w:val="auto"/>
              </w:rPr>
            </w:pPr>
          </w:p>
        </w:tc>
        <w:tc>
          <w:tcPr>
            <w:tcW w:w="4080" w:type="dxa"/>
            <w:vAlign w:val="bottom"/>
            <w:gridSpan w:val="12"/>
          </w:tcPr>
          <w:p>
            <w:pPr>
              <w:spacing w:after="0"/>
              <w:rPr>
                <w:sz w:val="24"/>
                <w:szCs w:val="24"/>
                <w:color w:val="auto"/>
              </w:rPr>
            </w:pPr>
          </w:p>
        </w:tc>
        <w:tc>
          <w:tcPr>
            <w:tcW w:w="1780" w:type="dxa"/>
            <w:vAlign w:val="bottom"/>
            <w:gridSpan w:val="3"/>
          </w:tcPr>
          <w:p>
            <w:pPr>
              <w:jc w:val="right"/>
              <w:ind w:right="920"/>
              <w:spacing w:after="0"/>
              <w:rPr>
                <w:rFonts w:ascii="Arial" w:cs="Arial" w:eastAsia="Arial" w:hAnsi="Arial"/>
                <w:sz w:val="18"/>
                <w:szCs w:val="18"/>
                <w:color w:val="0000EE"/>
              </w:rPr>
            </w:pPr>
            <w:hyperlink w:anchor="page37">
              <w:r>
                <w:rPr>
                  <w:rFonts w:ascii="Arial" w:cs="Arial" w:eastAsia="Arial" w:hAnsi="Arial"/>
                  <w:sz w:val="18"/>
                  <w:szCs w:val="18"/>
                  <w:color w:val="0000EE"/>
                </w:rPr>
                <w:t>32</w:t>
              </w:r>
            </w:hyperlink>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91"/>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20" w:type="dxa"/>
            <w:vAlign w:val="bottom"/>
            <w:gridSpan w:val="16"/>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Anti-Hedging Policy</w:t>
              </w:r>
            </w:hyperlink>
          </w:p>
        </w:tc>
        <w:tc>
          <w:tcPr>
            <w:tcW w:w="4660" w:type="dxa"/>
            <w:vAlign w:val="bottom"/>
            <w:gridSpan w:val="17"/>
          </w:tcPr>
          <w:p>
            <w:pPr>
              <w:spacing w:after="0"/>
              <w:rPr>
                <w:sz w:val="24"/>
                <w:szCs w:val="24"/>
                <w:color w:val="auto"/>
              </w:rPr>
            </w:pPr>
          </w:p>
        </w:tc>
        <w:tc>
          <w:tcPr>
            <w:tcW w:w="1780" w:type="dxa"/>
            <w:vAlign w:val="bottom"/>
            <w:gridSpan w:val="3"/>
          </w:tcPr>
          <w:p>
            <w:pPr>
              <w:jc w:val="right"/>
              <w:ind w:right="920"/>
              <w:spacing w:after="0"/>
              <w:rPr>
                <w:rFonts w:ascii="Arial" w:cs="Arial" w:eastAsia="Arial" w:hAnsi="Arial"/>
                <w:sz w:val="18"/>
                <w:szCs w:val="18"/>
                <w:color w:val="0000EE"/>
              </w:rPr>
            </w:pPr>
            <w:hyperlink w:anchor="page37">
              <w:r>
                <w:rPr>
                  <w:rFonts w:ascii="Arial" w:cs="Arial" w:eastAsia="Arial" w:hAnsi="Arial"/>
                  <w:sz w:val="18"/>
                  <w:szCs w:val="18"/>
                  <w:color w:val="0000EE"/>
                </w:rPr>
                <w:t>32</w:t>
              </w:r>
            </w:hyperlink>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90"/>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80" w:type="dxa"/>
            <w:vAlign w:val="bottom"/>
            <w:gridSpan w:val="33"/>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Change-in-Control Agreements</w:t>
              </w:r>
            </w:hyperlink>
          </w:p>
        </w:tc>
        <w:tc>
          <w:tcPr>
            <w:tcW w:w="1780" w:type="dxa"/>
            <w:vAlign w:val="bottom"/>
            <w:gridSpan w:val="3"/>
          </w:tcPr>
          <w:p>
            <w:pPr>
              <w:jc w:val="right"/>
              <w:ind w:right="920"/>
              <w:spacing w:after="0"/>
              <w:rPr>
                <w:rFonts w:ascii="Arial" w:cs="Arial" w:eastAsia="Arial" w:hAnsi="Arial"/>
                <w:sz w:val="18"/>
                <w:szCs w:val="18"/>
                <w:color w:val="0000EE"/>
              </w:rPr>
            </w:pPr>
            <w:hyperlink w:anchor="page37">
              <w:r>
                <w:rPr>
                  <w:rFonts w:ascii="Arial" w:cs="Arial" w:eastAsia="Arial" w:hAnsi="Arial"/>
                  <w:sz w:val="18"/>
                  <w:szCs w:val="18"/>
                  <w:color w:val="0000EE"/>
                </w:rPr>
                <w:t>32</w:t>
              </w:r>
            </w:hyperlink>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91"/>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80" w:type="dxa"/>
            <w:vAlign w:val="bottom"/>
            <w:gridSpan w:val="33"/>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Employment Agreements; Severance Policy</w:t>
              </w:r>
            </w:hyperlink>
          </w:p>
        </w:tc>
        <w:tc>
          <w:tcPr>
            <w:tcW w:w="1780" w:type="dxa"/>
            <w:vAlign w:val="bottom"/>
            <w:gridSpan w:val="3"/>
          </w:tcPr>
          <w:p>
            <w:pPr>
              <w:jc w:val="right"/>
              <w:ind w:right="920"/>
              <w:spacing w:after="0"/>
              <w:rPr>
                <w:rFonts w:ascii="Arial" w:cs="Arial" w:eastAsia="Arial" w:hAnsi="Arial"/>
                <w:sz w:val="18"/>
                <w:szCs w:val="18"/>
                <w:color w:val="0000EE"/>
              </w:rPr>
            </w:pPr>
            <w:hyperlink w:anchor="page37">
              <w:r>
                <w:rPr>
                  <w:rFonts w:ascii="Arial" w:cs="Arial" w:eastAsia="Arial" w:hAnsi="Arial"/>
                  <w:sz w:val="18"/>
                  <w:szCs w:val="18"/>
                  <w:color w:val="0000EE"/>
                </w:rPr>
                <w:t>32</w:t>
              </w:r>
            </w:hyperlink>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91"/>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500" w:type="dxa"/>
            <w:vAlign w:val="bottom"/>
            <w:gridSpan w:val="26"/>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Incentive Repayment (Clawback) Policy</w:t>
              </w:r>
            </w:hyperlink>
          </w:p>
        </w:tc>
        <w:tc>
          <w:tcPr>
            <w:tcW w:w="3380" w:type="dxa"/>
            <w:vAlign w:val="bottom"/>
            <w:gridSpan w:val="7"/>
          </w:tcPr>
          <w:p>
            <w:pPr>
              <w:spacing w:after="0"/>
              <w:rPr>
                <w:sz w:val="24"/>
                <w:szCs w:val="24"/>
                <w:color w:val="auto"/>
              </w:rPr>
            </w:pPr>
          </w:p>
        </w:tc>
        <w:tc>
          <w:tcPr>
            <w:tcW w:w="1780" w:type="dxa"/>
            <w:vAlign w:val="bottom"/>
            <w:gridSpan w:val="3"/>
          </w:tcPr>
          <w:p>
            <w:pPr>
              <w:jc w:val="right"/>
              <w:ind w:right="920"/>
              <w:spacing w:after="0"/>
              <w:rPr>
                <w:rFonts w:ascii="Arial" w:cs="Arial" w:eastAsia="Arial" w:hAnsi="Arial"/>
                <w:sz w:val="18"/>
                <w:szCs w:val="18"/>
                <w:color w:val="0000EE"/>
              </w:rPr>
            </w:pPr>
            <w:hyperlink w:anchor="page38">
              <w:r>
                <w:rPr>
                  <w:rFonts w:ascii="Arial" w:cs="Arial" w:eastAsia="Arial" w:hAnsi="Arial"/>
                  <w:sz w:val="18"/>
                  <w:szCs w:val="18"/>
                  <w:color w:val="0000EE"/>
                </w:rPr>
                <w:t>33</w:t>
              </w:r>
            </w:hyperlink>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90"/>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740" w:type="dxa"/>
            <w:vAlign w:val="bottom"/>
            <w:gridSpan w:val="20"/>
          </w:tcPr>
          <w:p>
            <w:pPr>
              <w:spacing w:after="0"/>
              <w:rPr>
                <w:rFonts w:ascii="Arial" w:cs="Arial" w:eastAsia="Arial" w:hAnsi="Arial"/>
                <w:sz w:val="18"/>
                <w:szCs w:val="18"/>
                <w:color w:val="0000EE"/>
                <w:w w:val="99"/>
              </w:rPr>
            </w:pPr>
            <w:hyperlink w:anchor="page38">
              <w:r>
                <w:rPr>
                  <w:rFonts w:ascii="Arial" w:cs="Arial" w:eastAsia="Arial" w:hAnsi="Arial"/>
                  <w:sz w:val="18"/>
                  <w:szCs w:val="18"/>
                  <w:color w:val="0000EE"/>
                  <w:w w:val="99"/>
                </w:rPr>
                <w:t>Executive Deferred Compensation</w:t>
              </w:r>
            </w:hyperlink>
          </w:p>
        </w:tc>
        <w:tc>
          <w:tcPr>
            <w:tcW w:w="420" w:type="dxa"/>
            <w:vAlign w:val="bottom"/>
            <w:gridSpan w:val="4"/>
          </w:tcPr>
          <w:p>
            <w:pPr>
              <w:spacing w:after="0"/>
              <w:rPr>
                <w:sz w:val="24"/>
                <w:szCs w:val="24"/>
                <w:color w:val="auto"/>
              </w:rPr>
            </w:pPr>
          </w:p>
        </w:tc>
        <w:tc>
          <w:tcPr>
            <w:tcW w:w="3720" w:type="dxa"/>
            <w:vAlign w:val="bottom"/>
            <w:gridSpan w:val="9"/>
          </w:tcPr>
          <w:p>
            <w:pPr>
              <w:spacing w:after="0"/>
              <w:rPr>
                <w:sz w:val="24"/>
                <w:szCs w:val="24"/>
                <w:color w:val="auto"/>
              </w:rPr>
            </w:pPr>
          </w:p>
        </w:tc>
        <w:tc>
          <w:tcPr>
            <w:tcW w:w="1780" w:type="dxa"/>
            <w:vAlign w:val="bottom"/>
            <w:gridSpan w:val="3"/>
          </w:tcPr>
          <w:p>
            <w:pPr>
              <w:jc w:val="right"/>
              <w:ind w:right="920"/>
              <w:spacing w:after="0"/>
              <w:rPr>
                <w:rFonts w:ascii="Arial" w:cs="Arial" w:eastAsia="Arial" w:hAnsi="Arial"/>
                <w:sz w:val="18"/>
                <w:szCs w:val="18"/>
                <w:color w:val="0000EE"/>
              </w:rPr>
            </w:pPr>
            <w:hyperlink w:anchor="page38">
              <w:r>
                <w:rPr>
                  <w:rFonts w:ascii="Arial" w:cs="Arial" w:eastAsia="Arial" w:hAnsi="Arial"/>
                  <w:sz w:val="18"/>
                  <w:szCs w:val="18"/>
                  <w:color w:val="0000EE"/>
                </w:rPr>
                <w:t>33</w:t>
              </w:r>
            </w:hyperlink>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91"/>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740" w:type="dxa"/>
            <w:vAlign w:val="bottom"/>
            <w:gridSpan w:val="20"/>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General Benefits and Perquisites</w:t>
              </w:r>
            </w:hyperlink>
          </w:p>
        </w:tc>
        <w:tc>
          <w:tcPr>
            <w:tcW w:w="4140" w:type="dxa"/>
            <w:vAlign w:val="bottom"/>
            <w:gridSpan w:val="13"/>
          </w:tcPr>
          <w:p>
            <w:pPr>
              <w:spacing w:after="0"/>
              <w:rPr>
                <w:sz w:val="24"/>
                <w:szCs w:val="24"/>
                <w:color w:val="auto"/>
              </w:rPr>
            </w:pPr>
          </w:p>
        </w:tc>
        <w:tc>
          <w:tcPr>
            <w:tcW w:w="1780" w:type="dxa"/>
            <w:vAlign w:val="bottom"/>
            <w:gridSpan w:val="3"/>
          </w:tcPr>
          <w:p>
            <w:pPr>
              <w:jc w:val="right"/>
              <w:ind w:right="920"/>
              <w:spacing w:after="0"/>
              <w:rPr>
                <w:rFonts w:ascii="Arial" w:cs="Arial" w:eastAsia="Arial" w:hAnsi="Arial"/>
                <w:sz w:val="18"/>
                <w:szCs w:val="18"/>
                <w:color w:val="0000EE"/>
              </w:rPr>
            </w:pPr>
            <w:hyperlink w:anchor="page38">
              <w:r>
                <w:rPr>
                  <w:rFonts w:ascii="Arial" w:cs="Arial" w:eastAsia="Arial" w:hAnsi="Arial"/>
                  <w:sz w:val="18"/>
                  <w:szCs w:val="18"/>
                  <w:color w:val="0000EE"/>
                </w:rPr>
                <w:t>33</w:t>
              </w:r>
            </w:hyperlink>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90"/>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40" w:type="dxa"/>
            <w:vAlign w:val="bottom"/>
            <w:gridSpan w:val="28"/>
          </w:tcPr>
          <w:p>
            <w:pPr>
              <w:spacing w:after="0"/>
              <w:rPr>
                <w:rFonts w:ascii="Arial" w:cs="Arial" w:eastAsia="Arial" w:hAnsi="Arial"/>
                <w:sz w:val="18"/>
                <w:szCs w:val="18"/>
                <w:color w:val="0000EE"/>
                <w:w w:val="99"/>
              </w:rPr>
            </w:pPr>
            <w:hyperlink w:anchor="page38">
              <w:r>
                <w:rPr>
                  <w:rFonts w:ascii="Arial" w:cs="Arial" w:eastAsia="Arial" w:hAnsi="Arial"/>
                  <w:sz w:val="18"/>
                  <w:szCs w:val="18"/>
                  <w:color w:val="0000EE"/>
                  <w:w w:val="99"/>
                </w:rPr>
                <w:t>401(k) Plan and Employee Stock Purchase Plan</w:t>
              </w:r>
            </w:hyperlink>
          </w:p>
        </w:tc>
        <w:tc>
          <w:tcPr>
            <w:tcW w:w="3040" w:type="dxa"/>
            <w:vAlign w:val="bottom"/>
            <w:gridSpan w:val="5"/>
          </w:tcPr>
          <w:p>
            <w:pPr>
              <w:spacing w:after="0"/>
              <w:rPr>
                <w:sz w:val="24"/>
                <w:szCs w:val="24"/>
                <w:color w:val="auto"/>
              </w:rPr>
            </w:pPr>
          </w:p>
        </w:tc>
        <w:tc>
          <w:tcPr>
            <w:tcW w:w="1780" w:type="dxa"/>
            <w:vAlign w:val="bottom"/>
            <w:gridSpan w:val="3"/>
          </w:tcPr>
          <w:p>
            <w:pPr>
              <w:jc w:val="right"/>
              <w:ind w:right="920"/>
              <w:spacing w:after="0"/>
              <w:rPr>
                <w:rFonts w:ascii="Arial" w:cs="Arial" w:eastAsia="Arial" w:hAnsi="Arial"/>
                <w:sz w:val="18"/>
                <w:szCs w:val="18"/>
                <w:color w:val="0000EE"/>
              </w:rPr>
            </w:pPr>
            <w:hyperlink w:anchor="page38">
              <w:r>
                <w:rPr>
                  <w:rFonts w:ascii="Arial" w:cs="Arial" w:eastAsia="Arial" w:hAnsi="Arial"/>
                  <w:sz w:val="18"/>
                  <w:szCs w:val="18"/>
                  <w:color w:val="0000EE"/>
                </w:rPr>
                <w:t>33</w:t>
              </w:r>
            </w:hyperlink>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90"/>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40" w:type="dxa"/>
            <w:vAlign w:val="bottom"/>
            <w:gridSpan w:val="28"/>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2020 Risk Assessment</w:t>
              </w:r>
            </w:hyperlink>
          </w:p>
        </w:tc>
        <w:tc>
          <w:tcPr>
            <w:tcW w:w="3040" w:type="dxa"/>
            <w:vAlign w:val="bottom"/>
            <w:gridSpan w:val="5"/>
          </w:tcPr>
          <w:p>
            <w:pPr>
              <w:spacing w:after="0"/>
              <w:rPr>
                <w:sz w:val="24"/>
                <w:szCs w:val="24"/>
                <w:color w:val="auto"/>
              </w:rPr>
            </w:pPr>
          </w:p>
        </w:tc>
        <w:tc>
          <w:tcPr>
            <w:tcW w:w="1780" w:type="dxa"/>
            <w:vAlign w:val="bottom"/>
            <w:gridSpan w:val="3"/>
          </w:tcPr>
          <w:p>
            <w:pPr>
              <w:jc w:val="right"/>
              <w:ind w:right="920"/>
              <w:spacing w:after="0"/>
              <w:rPr>
                <w:rFonts w:ascii="Arial" w:cs="Arial" w:eastAsia="Arial" w:hAnsi="Arial"/>
                <w:sz w:val="18"/>
                <w:szCs w:val="18"/>
                <w:color w:val="0000EE"/>
              </w:rPr>
            </w:pPr>
            <w:hyperlink w:anchor="page38">
              <w:r>
                <w:rPr>
                  <w:rFonts w:ascii="Arial" w:cs="Arial" w:eastAsia="Arial" w:hAnsi="Arial"/>
                  <w:sz w:val="18"/>
                  <w:szCs w:val="18"/>
                  <w:color w:val="0000EE"/>
                </w:rPr>
                <w:t>33</w:t>
              </w:r>
            </w:hyperlink>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90"/>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gridSpan w:val="5"/>
          </w:tcPr>
          <w:p>
            <w:pPr>
              <w:spacing w:after="0"/>
              <w:rPr>
                <w:rFonts w:ascii="Arial" w:cs="Arial" w:eastAsia="Arial" w:hAnsi="Arial"/>
                <w:sz w:val="18"/>
                <w:szCs w:val="18"/>
                <w:color w:val="0000EE"/>
                <w:w w:val="98"/>
              </w:rPr>
            </w:pPr>
            <w:hyperlink w:anchor="page39">
              <w:r>
                <w:rPr>
                  <w:rFonts w:ascii="Arial" w:cs="Arial" w:eastAsia="Arial" w:hAnsi="Arial"/>
                  <w:sz w:val="18"/>
                  <w:szCs w:val="18"/>
                  <w:color w:val="0000EE"/>
                  <w:w w:val="98"/>
                </w:rPr>
                <w:t>CEO Pay Ratio</w:t>
              </w:r>
            </w:hyperlink>
          </w:p>
        </w:tc>
        <w:tc>
          <w:tcPr>
            <w:tcW w:w="600" w:type="dxa"/>
            <w:vAlign w:val="bottom"/>
            <w:gridSpan w:val="7"/>
          </w:tcPr>
          <w:p>
            <w:pPr>
              <w:spacing w:after="0"/>
              <w:rPr>
                <w:sz w:val="24"/>
                <w:szCs w:val="24"/>
                <w:color w:val="auto"/>
              </w:rPr>
            </w:pPr>
          </w:p>
        </w:tc>
        <w:tc>
          <w:tcPr>
            <w:tcW w:w="5060" w:type="dxa"/>
            <w:vAlign w:val="bottom"/>
            <w:gridSpan w:val="21"/>
          </w:tcPr>
          <w:p>
            <w:pPr>
              <w:spacing w:after="0"/>
              <w:rPr>
                <w:sz w:val="24"/>
                <w:szCs w:val="24"/>
                <w:color w:val="auto"/>
              </w:rPr>
            </w:pPr>
          </w:p>
        </w:tc>
        <w:tc>
          <w:tcPr>
            <w:tcW w:w="1780" w:type="dxa"/>
            <w:vAlign w:val="bottom"/>
            <w:gridSpan w:val="3"/>
          </w:tcPr>
          <w:p>
            <w:pPr>
              <w:jc w:val="right"/>
              <w:ind w:right="920"/>
              <w:spacing w:after="0"/>
              <w:rPr>
                <w:rFonts w:ascii="Arial" w:cs="Arial" w:eastAsia="Arial" w:hAnsi="Arial"/>
                <w:sz w:val="18"/>
                <w:szCs w:val="18"/>
                <w:color w:val="0000EE"/>
              </w:rPr>
            </w:pPr>
            <w:hyperlink w:anchor="page39">
              <w:r>
                <w:rPr>
                  <w:rFonts w:ascii="Arial" w:cs="Arial" w:eastAsia="Arial" w:hAnsi="Arial"/>
                  <w:sz w:val="18"/>
                  <w:szCs w:val="18"/>
                  <w:color w:val="0000EE"/>
                </w:rPr>
                <w:t>34</w:t>
              </w:r>
            </w:hyperlink>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90"/>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340" w:type="dxa"/>
            <w:vAlign w:val="bottom"/>
            <w:gridSpan w:val="17"/>
          </w:tcPr>
          <w:p>
            <w:pPr>
              <w:spacing w:after="0"/>
              <w:rPr>
                <w:rFonts w:ascii="Arial" w:cs="Arial" w:eastAsia="Arial" w:hAnsi="Arial"/>
                <w:sz w:val="18"/>
                <w:szCs w:val="18"/>
                <w:color w:val="0000EE"/>
                <w:w w:val="96"/>
              </w:rPr>
            </w:pPr>
            <w:hyperlink w:anchor="page39">
              <w:r>
                <w:rPr>
                  <w:rFonts w:ascii="Arial" w:cs="Arial" w:eastAsia="Arial" w:hAnsi="Arial"/>
                  <w:sz w:val="18"/>
                  <w:szCs w:val="18"/>
                  <w:color w:val="0000EE"/>
                  <w:w w:val="96"/>
                </w:rPr>
                <w:t>Impact of Tax and Accounting</w:t>
              </w:r>
            </w:hyperlink>
          </w:p>
        </w:tc>
        <w:tc>
          <w:tcPr>
            <w:tcW w:w="4540" w:type="dxa"/>
            <w:vAlign w:val="bottom"/>
            <w:gridSpan w:val="16"/>
          </w:tcPr>
          <w:p>
            <w:pPr>
              <w:spacing w:after="0"/>
              <w:rPr>
                <w:sz w:val="24"/>
                <w:szCs w:val="24"/>
                <w:color w:val="auto"/>
              </w:rPr>
            </w:pPr>
          </w:p>
        </w:tc>
        <w:tc>
          <w:tcPr>
            <w:tcW w:w="1780" w:type="dxa"/>
            <w:vAlign w:val="bottom"/>
            <w:gridSpan w:val="3"/>
          </w:tcPr>
          <w:p>
            <w:pPr>
              <w:jc w:val="right"/>
              <w:ind w:right="920"/>
              <w:spacing w:after="0"/>
              <w:rPr>
                <w:rFonts w:ascii="Arial" w:cs="Arial" w:eastAsia="Arial" w:hAnsi="Arial"/>
                <w:sz w:val="18"/>
                <w:szCs w:val="18"/>
                <w:color w:val="0000EE"/>
              </w:rPr>
            </w:pPr>
            <w:hyperlink w:anchor="page39">
              <w:r>
                <w:rPr>
                  <w:rFonts w:ascii="Arial" w:cs="Arial" w:eastAsia="Arial" w:hAnsi="Arial"/>
                  <w:sz w:val="18"/>
                  <w:szCs w:val="18"/>
                  <w:color w:val="0000EE"/>
                </w:rPr>
                <w:t>34</w:t>
              </w:r>
            </w:hyperlink>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900" w:type="dxa"/>
            <w:vAlign w:val="bottom"/>
            <w:gridSpan w:val="4"/>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90"/>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960" w:type="dxa"/>
            <w:vAlign w:val="bottom"/>
            <w:gridSpan w:val="36"/>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Compensation Committee Report</w:t>
              </w:r>
            </w:hyperlink>
          </w:p>
        </w:tc>
        <w:tc>
          <w:tcPr>
            <w:tcW w:w="1780" w:type="dxa"/>
            <w:vAlign w:val="bottom"/>
            <w:gridSpan w:val="3"/>
          </w:tcPr>
          <w:p>
            <w:pPr>
              <w:jc w:val="right"/>
              <w:ind w:right="920"/>
              <w:spacing w:after="0"/>
              <w:rPr>
                <w:rFonts w:ascii="Arial" w:cs="Arial" w:eastAsia="Arial" w:hAnsi="Arial"/>
                <w:sz w:val="18"/>
                <w:szCs w:val="18"/>
                <w:color w:val="0000EE"/>
              </w:rPr>
            </w:pPr>
            <w:hyperlink w:anchor="page40">
              <w:r>
                <w:rPr>
                  <w:rFonts w:ascii="Arial" w:cs="Arial" w:eastAsia="Arial" w:hAnsi="Arial"/>
                  <w:sz w:val="18"/>
                  <w:szCs w:val="18"/>
                  <w:color w:val="0000EE"/>
                </w:rPr>
                <w:t>35</w:t>
              </w:r>
            </w:hyperlink>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60" w:type="dxa"/>
            <w:vAlign w:val="bottom"/>
            <w:gridSpan w:val="7"/>
            <w:shd w:val="clear" w:color="auto" w:fill="0000EE"/>
          </w:tcPr>
          <w:p>
            <w:pPr>
              <w:spacing w:after="0" w:line="20" w:lineRule="exact"/>
              <w:rPr>
                <w:sz w:val="1"/>
                <w:szCs w:val="1"/>
                <w:color w:val="auto"/>
              </w:rPr>
            </w:pPr>
          </w:p>
        </w:tc>
        <w:tc>
          <w:tcPr>
            <w:tcW w:w="900" w:type="dxa"/>
            <w:vAlign w:val="bottom"/>
            <w:gridSpan w:val="4"/>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80"/>
        </w:trPr>
        <w:tc>
          <w:tcPr>
            <w:tcW w:w="920" w:type="dxa"/>
            <w:vAlign w:val="bottom"/>
          </w:tcPr>
          <w:p>
            <w:pPr>
              <w:spacing w:after="0"/>
              <w:rPr>
                <w:sz w:val="24"/>
                <w:szCs w:val="24"/>
                <w:color w:val="auto"/>
              </w:rPr>
            </w:pPr>
          </w:p>
        </w:tc>
        <w:tc>
          <w:tcPr>
            <w:tcW w:w="3260" w:type="dxa"/>
            <w:vAlign w:val="bottom"/>
            <w:gridSpan w:val="16"/>
          </w:tcPr>
          <w:p>
            <w:pPr>
              <w:spacing w:after="0"/>
              <w:rPr>
                <w:rFonts w:ascii="Arial" w:cs="Arial" w:eastAsia="Arial" w:hAnsi="Arial"/>
                <w:sz w:val="18"/>
                <w:szCs w:val="18"/>
                <w:b w:val="1"/>
                <w:bCs w:val="1"/>
                <w:color w:val="0000EE"/>
                <w:w w:val="97"/>
              </w:rPr>
            </w:pPr>
            <w:hyperlink w:anchor="page41">
              <w:r>
                <w:rPr>
                  <w:rFonts w:ascii="Arial" w:cs="Arial" w:eastAsia="Arial" w:hAnsi="Arial"/>
                  <w:sz w:val="18"/>
                  <w:szCs w:val="18"/>
                  <w:b w:val="1"/>
                  <w:bCs w:val="1"/>
                  <w:color w:val="0000EE"/>
                  <w:w w:val="97"/>
                </w:rPr>
                <w:t>EXECUTIVE COMPENSATION TABLES</w:t>
              </w:r>
            </w:hyperlink>
          </w:p>
        </w:tc>
        <w:tc>
          <w:tcPr>
            <w:tcW w:w="5060" w:type="dxa"/>
            <w:vAlign w:val="bottom"/>
            <w:gridSpan w:val="21"/>
          </w:tcPr>
          <w:p>
            <w:pPr>
              <w:spacing w:after="0"/>
              <w:rPr>
                <w:sz w:val="24"/>
                <w:szCs w:val="24"/>
                <w:color w:val="auto"/>
              </w:rPr>
            </w:pPr>
          </w:p>
        </w:tc>
        <w:tc>
          <w:tcPr>
            <w:tcW w:w="1780" w:type="dxa"/>
            <w:vAlign w:val="bottom"/>
            <w:gridSpan w:val="3"/>
          </w:tcPr>
          <w:p>
            <w:pPr>
              <w:jc w:val="right"/>
              <w:ind w:right="920"/>
              <w:spacing w:after="0"/>
              <w:rPr>
                <w:rFonts w:ascii="Arial" w:cs="Arial" w:eastAsia="Arial" w:hAnsi="Arial"/>
                <w:sz w:val="18"/>
                <w:szCs w:val="18"/>
                <w:color w:val="0000EE"/>
              </w:rPr>
            </w:pPr>
            <w:hyperlink w:anchor="page41">
              <w:r>
                <w:rPr>
                  <w:rFonts w:ascii="Arial" w:cs="Arial" w:eastAsia="Arial" w:hAnsi="Arial"/>
                  <w:sz w:val="18"/>
                  <w:szCs w:val="18"/>
                  <w:color w:val="0000EE"/>
                </w:rPr>
                <w:t>36</w:t>
              </w:r>
            </w:hyperlink>
          </w:p>
        </w:tc>
      </w:tr>
      <w:tr>
        <w:trPr>
          <w:trHeight w:val="20"/>
        </w:trPr>
        <w:tc>
          <w:tcPr>
            <w:tcW w:w="9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760" w:type="dxa"/>
            <w:vAlign w:val="bottom"/>
            <w:gridSpan w:val="7"/>
            <w:shd w:val="clear" w:color="auto" w:fill="0000EE"/>
          </w:tcPr>
          <w:p>
            <w:pPr>
              <w:spacing w:after="0" w:line="20" w:lineRule="exact"/>
              <w:rPr>
                <w:sz w:val="1"/>
                <w:szCs w:val="1"/>
                <w:color w:val="auto"/>
              </w:rPr>
            </w:pPr>
          </w:p>
        </w:tc>
        <w:tc>
          <w:tcPr>
            <w:tcW w:w="1040" w:type="dxa"/>
            <w:vAlign w:val="bottom"/>
            <w:gridSpan w:val="6"/>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77"/>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00" w:type="dxa"/>
            <w:vAlign w:val="bottom"/>
            <w:gridSpan w:val="15"/>
          </w:tcPr>
          <w:p>
            <w:pPr>
              <w:spacing w:after="0"/>
              <w:rPr>
                <w:rFonts w:ascii="Arial" w:cs="Arial" w:eastAsia="Arial" w:hAnsi="Arial"/>
                <w:sz w:val="18"/>
                <w:szCs w:val="18"/>
                <w:color w:val="0000EE"/>
                <w:w w:val="97"/>
              </w:rPr>
            </w:pPr>
            <w:hyperlink w:anchor="page41">
              <w:r>
                <w:rPr>
                  <w:rFonts w:ascii="Arial" w:cs="Arial" w:eastAsia="Arial" w:hAnsi="Arial"/>
                  <w:sz w:val="18"/>
                  <w:szCs w:val="18"/>
                  <w:color w:val="0000EE"/>
                  <w:w w:val="97"/>
                </w:rPr>
                <w:t>2020 Summary Compensation Table</w:t>
              </w:r>
            </w:hyperlink>
          </w:p>
        </w:tc>
        <w:tc>
          <w:tcPr>
            <w:tcW w:w="5060" w:type="dxa"/>
            <w:vAlign w:val="bottom"/>
            <w:gridSpan w:val="21"/>
          </w:tcPr>
          <w:p>
            <w:pPr>
              <w:spacing w:after="0"/>
              <w:rPr>
                <w:sz w:val="24"/>
                <w:szCs w:val="24"/>
                <w:color w:val="auto"/>
              </w:rPr>
            </w:pPr>
          </w:p>
        </w:tc>
        <w:tc>
          <w:tcPr>
            <w:tcW w:w="1780" w:type="dxa"/>
            <w:vAlign w:val="bottom"/>
            <w:gridSpan w:val="3"/>
          </w:tcPr>
          <w:p>
            <w:pPr>
              <w:jc w:val="right"/>
              <w:ind w:right="920"/>
              <w:spacing w:after="0"/>
              <w:rPr>
                <w:rFonts w:ascii="Arial" w:cs="Arial" w:eastAsia="Arial" w:hAnsi="Arial"/>
                <w:sz w:val="18"/>
                <w:szCs w:val="18"/>
                <w:color w:val="0000EE"/>
              </w:rPr>
            </w:pPr>
            <w:hyperlink w:anchor="page41">
              <w:r>
                <w:rPr>
                  <w:rFonts w:ascii="Arial" w:cs="Arial" w:eastAsia="Arial" w:hAnsi="Arial"/>
                  <w:sz w:val="18"/>
                  <w:szCs w:val="18"/>
                  <w:color w:val="0000EE"/>
                </w:rPr>
                <w:t>36</w:t>
              </w:r>
            </w:hyperlink>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60" w:type="dxa"/>
            <w:vAlign w:val="bottom"/>
            <w:gridSpan w:val="7"/>
            <w:shd w:val="clear" w:color="auto" w:fill="0000EE"/>
          </w:tcPr>
          <w:p>
            <w:pPr>
              <w:spacing w:after="0" w:line="20" w:lineRule="exact"/>
              <w:rPr>
                <w:sz w:val="1"/>
                <w:szCs w:val="1"/>
                <w:color w:val="auto"/>
              </w:rPr>
            </w:pPr>
          </w:p>
        </w:tc>
        <w:tc>
          <w:tcPr>
            <w:tcW w:w="1040" w:type="dxa"/>
            <w:vAlign w:val="bottom"/>
            <w:gridSpan w:val="6"/>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90"/>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300" w:type="dxa"/>
            <w:vAlign w:val="bottom"/>
            <w:gridSpan w:val="19"/>
          </w:tcPr>
          <w:p>
            <w:pPr>
              <w:spacing w:after="0"/>
              <w:rPr>
                <w:rFonts w:ascii="Arial" w:cs="Arial" w:eastAsia="Arial" w:hAnsi="Arial"/>
                <w:sz w:val="18"/>
                <w:szCs w:val="18"/>
                <w:color w:val="0000EE"/>
                <w:w w:val="98"/>
              </w:rPr>
            </w:pPr>
            <w:hyperlink w:anchor="page42">
              <w:r>
                <w:rPr>
                  <w:rFonts w:ascii="Arial" w:cs="Arial" w:eastAsia="Arial" w:hAnsi="Arial"/>
                  <w:sz w:val="18"/>
                  <w:szCs w:val="18"/>
                  <w:color w:val="0000EE"/>
                  <w:w w:val="98"/>
                </w:rPr>
                <w:t>2020 Grants of Plan-Based Awards Table</w:t>
              </w:r>
            </w:hyperlink>
          </w:p>
        </w:tc>
        <w:tc>
          <w:tcPr>
            <w:tcW w:w="4660" w:type="dxa"/>
            <w:vAlign w:val="bottom"/>
            <w:gridSpan w:val="17"/>
          </w:tcPr>
          <w:p>
            <w:pPr>
              <w:spacing w:after="0"/>
              <w:rPr>
                <w:sz w:val="24"/>
                <w:szCs w:val="24"/>
                <w:color w:val="auto"/>
              </w:rPr>
            </w:pPr>
          </w:p>
        </w:tc>
        <w:tc>
          <w:tcPr>
            <w:tcW w:w="1780" w:type="dxa"/>
            <w:vAlign w:val="bottom"/>
            <w:gridSpan w:val="3"/>
          </w:tcPr>
          <w:p>
            <w:pPr>
              <w:jc w:val="right"/>
              <w:ind w:right="920"/>
              <w:spacing w:after="0"/>
              <w:rPr>
                <w:rFonts w:ascii="Arial" w:cs="Arial" w:eastAsia="Arial" w:hAnsi="Arial"/>
                <w:sz w:val="18"/>
                <w:szCs w:val="18"/>
                <w:color w:val="0000EE"/>
              </w:rPr>
            </w:pPr>
            <w:hyperlink w:anchor="page42">
              <w:r>
                <w:rPr>
                  <w:rFonts w:ascii="Arial" w:cs="Arial" w:eastAsia="Arial" w:hAnsi="Arial"/>
                  <w:sz w:val="18"/>
                  <w:szCs w:val="18"/>
                  <w:color w:val="0000EE"/>
                </w:rPr>
                <w:t>37</w:t>
              </w:r>
            </w:hyperlink>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60" w:type="dxa"/>
            <w:vAlign w:val="bottom"/>
            <w:gridSpan w:val="7"/>
            <w:shd w:val="clear" w:color="auto" w:fill="0000EE"/>
          </w:tcPr>
          <w:p>
            <w:pPr>
              <w:spacing w:after="0" w:line="20" w:lineRule="exact"/>
              <w:rPr>
                <w:sz w:val="1"/>
                <w:szCs w:val="1"/>
                <w:color w:val="auto"/>
              </w:rPr>
            </w:pPr>
          </w:p>
        </w:tc>
        <w:tc>
          <w:tcPr>
            <w:tcW w:w="1040" w:type="dxa"/>
            <w:vAlign w:val="bottom"/>
            <w:gridSpan w:val="6"/>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90"/>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960" w:type="dxa"/>
            <w:vAlign w:val="bottom"/>
            <w:gridSpan w:val="36"/>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2020 Outstanding Equity Awards at Fiscal Year-End Table</w:t>
              </w:r>
            </w:hyperlink>
          </w:p>
        </w:tc>
        <w:tc>
          <w:tcPr>
            <w:tcW w:w="1780" w:type="dxa"/>
            <w:vAlign w:val="bottom"/>
            <w:gridSpan w:val="3"/>
          </w:tcPr>
          <w:p>
            <w:pPr>
              <w:jc w:val="right"/>
              <w:ind w:right="920"/>
              <w:spacing w:after="0"/>
              <w:rPr>
                <w:rFonts w:ascii="Arial" w:cs="Arial" w:eastAsia="Arial" w:hAnsi="Arial"/>
                <w:sz w:val="18"/>
                <w:szCs w:val="18"/>
                <w:color w:val="0000EE"/>
              </w:rPr>
            </w:pPr>
            <w:hyperlink w:anchor="page43">
              <w:r>
                <w:rPr>
                  <w:rFonts w:ascii="Arial" w:cs="Arial" w:eastAsia="Arial" w:hAnsi="Arial"/>
                  <w:sz w:val="18"/>
                  <w:szCs w:val="18"/>
                  <w:color w:val="0000EE"/>
                </w:rPr>
                <w:t>38</w:t>
              </w:r>
            </w:hyperlink>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60" w:type="dxa"/>
            <w:vAlign w:val="bottom"/>
            <w:gridSpan w:val="7"/>
            <w:shd w:val="clear" w:color="auto" w:fill="0000EE"/>
          </w:tcPr>
          <w:p>
            <w:pPr>
              <w:spacing w:after="0" w:line="20" w:lineRule="exact"/>
              <w:rPr>
                <w:sz w:val="1"/>
                <w:szCs w:val="1"/>
                <w:color w:val="auto"/>
              </w:rPr>
            </w:pPr>
          </w:p>
        </w:tc>
        <w:tc>
          <w:tcPr>
            <w:tcW w:w="1040" w:type="dxa"/>
            <w:vAlign w:val="bottom"/>
            <w:gridSpan w:val="6"/>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4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90"/>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700" w:type="dxa"/>
            <w:vAlign w:val="bottom"/>
            <w:gridSpan w:val="22"/>
          </w:tcPr>
          <w:p>
            <w:pPr>
              <w:spacing w:after="0"/>
              <w:rPr>
                <w:rFonts w:ascii="Arial" w:cs="Arial" w:eastAsia="Arial" w:hAnsi="Arial"/>
                <w:sz w:val="18"/>
                <w:szCs w:val="18"/>
                <w:color w:val="0000EE"/>
                <w:w w:val="97"/>
              </w:rPr>
            </w:pPr>
            <w:hyperlink w:anchor="page45">
              <w:r>
                <w:rPr>
                  <w:rFonts w:ascii="Arial" w:cs="Arial" w:eastAsia="Arial" w:hAnsi="Arial"/>
                  <w:sz w:val="18"/>
                  <w:szCs w:val="18"/>
                  <w:color w:val="0000EE"/>
                  <w:w w:val="97"/>
                </w:rPr>
                <w:t>2020 Option Exercises and Stock Vested Table</w:t>
              </w:r>
            </w:hyperlink>
          </w:p>
        </w:tc>
        <w:tc>
          <w:tcPr>
            <w:tcW w:w="880" w:type="dxa"/>
            <w:vAlign w:val="bottom"/>
            <w:gridSpan w:val="7"/>
          </w:tcPr>
          <w:p>
            <w:pPr>
              <w:spacing w:after="0"/>
              <w:rPr>
                <w:sz w:val="24"/>
                <w:szCs w:val="24"/>
                <w:color w:val="auto"/>
              </w:rPr>
            </w:pPr>
          </w:p>
        </w:tc>
        <w:tc>
          <w:tcPr>
            <w:tcW w:w="3380" w:type="dxa"/>
            <w:vAlign w:val="bottom"/>
            <w:gridSpan w:val="7"/>
          </w:tcPr>
          <w:p>
            <w:pPr>
              <w:spacing w:after="0"/>
              <w:rPr>
                <w:sz w:val="24"/>
                <w:szCs w:val="24"/>
                <w:color w:val="auto"/>
              </w:rPr>
            </w:pPr>
          </w:p>
        </w:tc>
        <w:tc>
          <w:tcPr>
            <w:tcW w:w="1780" w:type="dxa"/>
            <w:vAlign w:val="bottom"/>
            <w:gridSpan w:val="3"/>
          </w:tcPr>
          <w:p>
            <w:pPr>
              <w:jc w:val="right"/>
              <w:ind w:right="920"/>
              <w:spacing w:after="0"/>
              <w:rPr>
                <w:rFonts w:ascii="Arial" w:cs="Arial" w:eastAsia="Arial" w:hAnsi="Arial"/>
                <w:sz w:val="18"/>
                <w:szCs w:val="18"/>
                <w:color w:val="0000EE"/>
              </w:rPr>
            </w:pPr>
            <w:hyperlink w:anchor="page45">
              <w:r>
                <w:rPr>
                  <w:rFonts w:ascii="Arial" w:cs="Arial" w:eastAsia="Arial" w:hAnsi="Arial"/>
                  <w:sz w:val="18"/>
                  <w:szCs w:val="18"/>
                  <w:color w:val="0000EE"/>
                </w:rPr>
                <w:t>40</w:t>
              </w:r>
            </w:hyperlink>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60" w:type="dxa"/>
            <w:vAlign w:val="bottom"/>
            <w:gridSpan w:val="7"/>
            <w:shd w:val="clear" w:color="auto" w:fill="0000EE"/>
          </w:tcPr>
          <w:p>
            <w:pPr>
              <w:spacing w:after="0" w:line="20" w:lineRule="exact"/>
              <w:rPr>
                <w:sz w:val="1"/>
                <w:szCs w:val="1"/>
                <w:color w:val="auto"/>
              </w:rPr>
            </w:pPr>
          </w:p>
        </w:tc>
        <w:tc>
          <w:tcPr>
            <w:tcW w:w="1040" w:type="dxa"/>
            <w:vAlign w:val="bottom"/>
            <w:gridSpan w:val="6"/>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90"/>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960" w:type="dxa"/>
            <w:vAlign w:val="bottom"/>
            <w:gridSpan w:val="36"/>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2020 Nonqualified Deferred Compensation Table</w:t>
              </w:r>
            </w:hyperlink>
          </w:p>
        </w:tc>
        <w:tc>
          <w:tcPr>
            <w:tcW w:w="1780" w:type="dxa"/>
            <w:vAlign w:val="bottom"/>
            <w:gridSpan w:val="3"/>
          </w:tcPr>
          <w:p>
            <w:pPr>
              <w:jc w:val="right"/>
              <w:ind w:right="920"/>
              <w:spacing w:after="0"/>
              <w:rPr>
                <w:rFonts w:ascii="Arial" w:cs="Arial" w:eastAsia="Arial" w:hAnsi="Arial"/>
                <w:sz w:val="18"/>
                <w:szCs w:val="18"/>
                <w:color w:val="0000EE"/>
              </w:rPr>
            </w:pPr>
            <w:hyperlink w:anchor="page45">
              <w:r>
                <w:rPr>
                  <w:rFonts w:ascii="Arial" w:cs="Arial" w:eastAsia="Arial" w:hAnsi="Arial"/>
                  <w:sz w:val="18"/>
                  <w:szCs w:val="18"/>
                  <w:color w:val="0000EE"/>
                </w:rPr>
                <w:t>40</w:t>
              </w:r>
            </w:hyperlink>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60" w:type="dxa"/>
            <w:vAlign w:val="bottom"/>
            <w:gridSpan w:val="7"/>
            <w:shd w:val="clear" w:color="auto" w:fill="0000EE"/>
          </w:tcPr>
          <w:p>
            <w:pPr>
              <w:spacing w:after="0" w:line="20" w:lineRule="exact"/>
              <w:rPr>
                <w:sz w:val="1"/>
                <w:szCs w:val="1"/>
                <w:color w:val="auto"/>
              </w:rPr>
            </w:pPr>
          </w:p>
        </w:tc>
        <w:tc>
          <w:tcPr>
            <w:tcW w:w="1040" w:type="dxa"/>
            <w:vAlign w:val="bottom"/>
            <w:gridSpan w:val="6"/>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90"/>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80" w:type="dxa"/>
            <w:vAlign w:val="bottom"/>
            <w:gridSpan w:val="24"/>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Executive Deferred Compensation Plan</w:t>
              </w:r>
            </w:hyperlink>
          </w:p>
        </w:tc>
        <w:tc>
          <w:tcPr>
            <w:tcW w:w="4080" w:type="dxa"/>
            <w:vAlign w:val="bottom"/>
            <w:gridSpan w:val="12"/>
          </w:tcPr>
          <w:p>
            <w:pPr>
              <w:spacing w:after="0"/>
              <w:rPr>
                <w:sz w:val="24"/>
                <w:szCs w:val="24"/>
                <w:color w:val="auto"/>
              </w:rPr>
            </w:pPr>
          </w:p>
        </w:tc>
        <w:tc>
          <w:tcPr>
            <w:tcW w:w="1780" w:type="dxa"/>
            <w:vAlign w:val="bottom"/>
            <w:gridSpan w:val="3"/>
          </w:tcPr>
          <w:p>
            <w:pPr>
              <w:jc w:val="right"/>
              <w:ind w:right="920"/>
              <w:spacing w:after="0"/>
              <w:rPr>
                <w:rFonts w:ascii="Arial" w:cs="Arial" w:eastAsia="Arial" w:hAnsi="Arial"/>
                <w:sz w:val="18"/>
                <w:szCs w:val="18"/>
                <w:color w:val="0000EE"/>
              </w:rPr>
            </w:pPr>
            <w:hyperlink w:anchor="page46">
              <w:r>
                <w:rPr>
                  <w:rFonts w:ascii="Arial" w:cs="Arial" w:eastAsia="Arial" w:hAnsi="Arial"/>
                  <w:sz w:val="18"/>
                  <w:szCs w:val="18"/>
                  <w:color w:val="0000EE"/>
                </w:rPr>
                <w:t>41</w:t>
              </w:r>
            </w:hyperlink>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60" w:type="dxa"/>
            <w:vAlign w:val="bottom"/>
            <w:gridSpan w:val="7"/>
            <w:shd w:val="clear" w:color="auto" w:fill="0000EE"/>
          </w:tcPr>
          <w:p>
            <w:pPr>
              <w:spacing w:after="0" w:line="20" w:lineRule="exact"/>
              <w:rPr>
                <w:sz w:val="1"/>
                <w:szCs w:val="1"/>
                <w:color w:val="auto"/>
              </w:rPr>
            </w:pPr>
          </w:p>
        </w:tc>
        <w:tc>
          <w:tcPr>
            <w:tcW w:w="1040" w:type="dxa"/>
            <w:vAlign w:val="bottom"/>
            <w:gridSpan w:val="6"/>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91"/>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140" w:type="dxa"/>
            <w:vAlign w:val="bottom"/>
            <w:gridSpan w:val="18"/>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Potential Payments Upon Termination</w:t>
              </w:r>
            </w:hyperlink>
          </w:p>
        </w:tc>
        <w:tc>
          <w:tcPr>
            <w:tcW w:w="4820" w:type="dxa"/>
            <w:vAlign w:val="bottom"/>
            <w:gridSpan w:val="18"/>
          </w:tcPr>
          <w:p>
            <w:pPr>
              <w:spacing w:after="0"/>
              <w:rPr>
                <w:sz w:val="24"/>
                <w:szCs w:val="24"/>
                <w:color w:val="auto"/>
              </w:rPr>
            </w:pPr>
          </w:p>
        </w:tc>
        <w:tc>
          <w:tcPr>
            <w:tcW w:w="1780" w:type="dxa"/>
            <w:vAlign w:val="bottom"/>
            <w:gridSpan w:val="3"/>
          </w:tcPr>
          <w:p>
            <w:pPr>
              <w:jc w:val="right"/>
              <w:ind w:right="920"/>
              <w:spacing w:after="0"/>
              <w:rPr>
                <w:rFonts w:ascii="Arial" w:cs="Arial" w:eastAsia="Arial" w:hAnsi="Arial"/>
                <w:sz w:val="18"/>
                <w:szCs w:val="18"/>
                <w:color w:val="0000EE"/>
              </w:rPr>
            </w:pPr>
            <w:hyperlink w:anchor="page46">
              <w:r>
                <w:rPr>
                  <w:rFonts w:ascii="Arial" w:cs="Arial" w:eastAsia="Arial" w:hAnsi="Arial"/>
                  <w:sz w:val="18"/>
                  <w:szCs w:val="18"/>
                  <w:color w:val="0000EE"/>
                </w:rPr>
                <w:t>41</w:t>
              </w:r>
            </w:hyperlink>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60" w:type="dxa"/>
            <w:vAlign w:val="bottom"/>
            <w:gridSpan w:val="7"/>
            <w:shd w:val="clear" w:color="auto" w:fill="0000EE"/>
          </w:tcPr>
          <w:p>
            <w:pPr>
              <w:spacing w:after="0" w:line="20" w:lineRule="exact"/>
              <w:rPr>
                <w:sz w:val="1"/>
                <w:szCs w:val="1"/>
                <w:color w:val="auto"/>
              </w:rPr>
            </w:pPr>
          </w:p>
        </w:tc>
        <w:tc>
          <w:tcPr>
            <w:tcW w:w="1040" w:type="dxa"/>
            <w:vAlign w:val="bottom"/>
            <w:gridSpan w:val="6"/>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90"/>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60" w:type="dxa"/>
            <w:vAlign w:val="bottom"/>
            <w:gridSpan w:val="7"/>
          </w:tcPr>
          <w:p>
            <w:pPr>
              <w:spacing w:after="0"/>
              <w:rPr>
                <w:rFonts w:ascii="Arial" w:cs="Arial" w:eastAsia="Arial" w:hAnsi="Arial"/>
                <w:sz w:val="18"/>
                <w:szCs w:val="18"/>
                <w:color w:val="0000EE"/>
                <w:w w:val="97"/>
              </w:rPr>
            </w:pPr>
            <w:hyperlink w:anchor="page46">
              <w:r>
                <w:rPr>
                  <w:rFonts w:ascii="Arial" w:cs="Arial" w:eastAsia="Arial" w:hAnsi="Arial"/>
                  <w:sz w:val="18"/>
                  <w:szCs w:val="18"/>
                  <w:color w:val="0000EE"/>
                  <w:w w:val="97"/>
                </w:rPr>
                <w:t>Termination for Cause</w:t>
              </w:r>
            </w:hyperlink>
          </w:p>
        </w:tc>
        <w:tc>
          <w:tcPr>
            <w:tcW w:w="1240" w:type="dxa"/>
            <w:vAlign w:val="bottom"/>
            <w:gridSpan w:val="9"/>
          </w:tcPr>
          <w:p>
            <w:pPr>
              <w:spacing w:after="0"/>
              <w:rPr>
                <w:sz w:val="24"/>
                <w:szCs w:val="24"/>
                <w:color w:val="auto"/>
              </w:rPr>
            </w:pPr>
          </w:p>
        </w:tc>
        <w:tc>
          <w:tcPr>
            <w:tcW w:w="4960" w:type="dxa"/>
            <w:vAlign w:val="bottom"/>
            <w:gridSpan w:val="20"/>
          </w:tcPr>
          <w:p>
            <w:pPr>
              <w:spacing w:after="0"/>
              <w:rPr>
                <w:sz w:val="24"/>
                <w:szCs w:val="24"/>
                <w:color w:val="auto"/>
              </w:rPr>
            </w:pPr>
          </w:p>
        </w:tc>
        <w:tc>
          <w:tcPr>
            <w:tcW w:w="1780" w:type="dxa"/>
            <w:vAlign w:val="bottom"/>
            <w:gridSpan w:val="3"/>
          </w:tcPr>
          <w:p>
            <w:pPr>
              <w:jc w:val="right"/>
              <w:ind w:right="920"/>
              <w:spacing w:after="0"/>
              <w:rPr>
                <w:rFonts w:ascii="Arial" w:cs="Arial" w:eastAsia="Arial" w:hAnsi="Arial"/>
                <w:sz w:val="18"/>
                <w:szCs w:val="18"/>
                <w:color w:val="0000EE"/>
              </w:rPr>
            </w:pPr>
            <w:hyperlink w:anchor="page46">
              <w:r>
                <w:rPr>
                  <w:rFonts w:ascii="Arial" w:cs="Arial" w:eastAsia="Arial" w:hAnsi="Arial"/>
                  <w:sz w:val="18"/>
                  <w:szCs w:val="18"/>
                  <w:color w:val="0000EE"/>
                </w:rPr>
                <w:t>41</w:t>
              </w:r>
            </w:hyperlink>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60" w:type="dxa"/>
            <w:vAlign w:val="bottom"/>
            <w:gridSpan w:val="7"/>
            <w:shd w:val="clear" w:color="auto" w:fill="0000EE"/>
          </w:tcPr>
          <w:p>
            <w:pPr>
              <w:spacing w:after="0" w:line="20" w:lineRule="exact"/>
              <w:rPr>
                <w:sz w:val="1"/>
                <w:szCs w:val="1"/>
                <w:color w:val="auto"/>
              </w:rPr>
            </w:pPr>
          </w:p>
        </w:tc>
        <w:tc>
          <w:tcPr>
            <w:tcW w:w="1040" w:type="dxa"/>
            <w:vAlign w:val="bottom"/>
            <w:gridSpan w:val="6"/>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90"/>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40" w:type="dxa"/>
            <w:vAlign w:val="bottom"/>
            <w:gridSpan w:val="25"/>
          </w:tcPr>
          <w:p>
            <w:pPr>
              <w:spacing w:after="0"/>
              <w:rPr>
                <w:rFonts w:ascii="Arial" w:cs="Arial" w:eastAsia="Arial" w:hAnsi="Arial"/>
                <w:sz w:val="18"/>
                <w:szCs w:val="18"/>
                <w:color w:val="0000EE"/>
                <w:w w:val="98"/>
              </w:rPr>
            </w:pPr>
            <w:hyperlink w:anchor="page47">
              <w:r>
                <w:rPr>
                  <w:rFonts w:ascii="Arial" w:cs="Arial" w:eastAsia="Arial" w:hAnsi="Arial"/>
                  <w:sz w:val="18"/>
                  <w:szCs w:val="18"/>
                  <w:color w:val="0000EE"/>
                  <w:w w:val="98"/>
                </w:rPr>
                <w:t>Termination Due to Death, Disability, or Retirement</w:t>
              </w:r>
            </w:hyperlink>
          </w:p>
        </w:tc>
        <w:tc>
          <w:tcPr>
            <w:tcW w:w="3920" w:type="dxa"/>
            <w:vAlign w:val="bottom"/>
            <w:gridSpan w:val="11"/>
          </w:tcPr>
          <w:p>
            <w:pPr>
              <w:spacing w:after="0"/>
              <w:rPr>
                <w:sz w:val="24"/>
                <w:szCs w:val="24"/>
                <w:color w:val="auto"/>
              </w:rPr>
            </w:pPr>
          </w:p>
        </w:tc>
        <w:tc>
          <w:tcPr>
            <w:tcW w:w="1780" w:type="dxa"/>
            <w:vAlign w:val="bottom"/>
            <w:gridSpan w:val="3"/>
          </w:tcPr>
          <w:p>
            <w:pPr>
              <w:jc w:val="right"/>
              <w:ind w:right="920"/>
              <w:spacing w:after="0"/>
              <w:rPr>
                <w:rFonts w:ascii="Arial" w:cs="Arial" w:eastAsia="Arial" w:hAnsi="Arial"/>
                <w:sz w:val="18"/>
                <w:szCs w:val="18"/>
                <w:color w:val="0000EE"/>
              </w:rPr>
            </w:pPr>
            <w:hyperlink w:anchor="page47">
              <w:r>
                <w:rPr>
                  <w:rFonts w:ascii="Arial" w:cs="Arial" w:eastAsia="Arial" w:hAnsi="Arial"/>
                  <w:sz w:val="18"/>
                  <w:szCs w:val="18"/>
                  <w:color w:val="0000EE"/>
                </w:rPr>
                <w:t>42</w:t>
              </w:r>
            </w:hyperlink>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0" w:type="dxa"/>
            <w:vAlign w:val="bottom"/>
            <w:gridSpan w:val="13"/>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20" w:type="dxa"/>
            <w:vAlign w:val="bottom"/>
            <w:tcBorders>
              <w:left w:val="single" w:sz="8" w:color="0000EE"/>
            </w:tcBorders>
            <w:gridSpan w:val="4"/>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90"/>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960" w:type="dxa"/>
            <w:vAlign w:val="bottom"/>
            <w:gridSpan w:val="36"/>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Voluntary Termination or Termination without Cause</w:t>
              </w:r>
            </w:hyperlink>
          </w:p>
        </w:tc>
        <w:tc>
          <w:tcPr>
            <w:tcW w:w="1780" w:type="dxa"/>
            <w:vAlign w:val="bottom"/>
            <w:gridSpan w:val="3"/>
          </w:tcPr>
          <w:p>
            <w:pPr>
              <w:jc w:val="right"/>
              <w:ind w:right="920"/>
              <w:spacing w:after="0"/>
              <w:rPr>
                <w:rFonts w:ascii="Arial" w:cs="Arial" w:eastAsia="Arial" w:hAnsi="Arial"/>
                <w:sz w:val="18"/>
                <w:szCs w:val="18"/>
                <w:color w:val="0000EE"/>
              </w:rPr>
            </w:pPr>
            <w:hyperlink w:anchor="page48">
              <w:r>
                <w:rPr>
                  <w:rFonts w:ascii="Arial" w:cs="Arial" w:eastAsia="Arial" w:hAnsi="Arial"/>
                  <w:sz w:val="18"/>
                  <w:szCs w:val="18"/>
                  <w:color w:val="0000EE"/>
                </w:rPr>
                <w:t>43</w:t>
              </w:r>
            </w:hyperlink>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0" w:type="dxa"/>
            <w:vAlign w:val="bottom"/>
            <w:gridSpan w:val="13"/>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20" w:type="dxa"/>
            <w:vAlign w:val="bottom"/>
            <w:tcBorders>
              <w:left w:val="single" w:sz="8" w:color="0000EE"/>
            </w:tcBorders>
            <w:gridSpan w:val="4"/>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0" w:type="dxa"/>
            <w:vAlign w:val="bottom"/>
            <w:tcBorders>
              <w:left w:val="single" w:sz="8" w:color="0000EE"/>
            </w:tcBorders>
            <w:gridSpan w:val="4"/>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90"/>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100" w:type="dxa"/>
            <w:vAlign w:val="bottom"/>
            <w:gridSpan w:val="26"/>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Potential Payments Upon Change-in-Control</w:t>
              </w:r>
            </w:hyperlink>
          </w:p>
        </w:tc>
        <w:tc>
          <w:tcPr>
            <w:tcW w:w="3860" w:type="dxa"/>
            <w:vAlign w:val="bottom"/>
            <w:gridSpan w:val="10"/>
          </w:tcPr>
          <w:p>
            <w:pPr>
              <w:spacing w:after="0"/>
              <w:rPr>
                <w:sz w:val="24"/>
                <w:szCs w:val="24"/>
                <w:color w:val="auto"/>
              </w:rPr>
            </w:pPr>
          </w:p>
        </w:tc>
        <w:tc>
          <w:tcPr>
            <w:tcW w:w="1780" w:type="dxa"/>
            <w:vAlign w:val="bottom"/>
            <w:gridSpan w:val="3"/>
          </w:tcPr>
          <w:p>
            <w:pPr>
              <w:jc w:val="right"/>
              <w:ind w:right="920"/>
              <w:spacing w:after="0"/>
              <w:rPr>
                <w:rFonts w:ascii="Arial" w:cs="Arial" w:eastAsia="Arial" w:hAnsi="Arial"/>
                <w:sz w:val="18"/>
                <w:szCs w:val="18"/>
                <w:color w:val="0000EE"/>
              </w:rPr>
            </w:pPr>
            <w:hyperlink w:anchor="page48">
              <w:r>
                <w:rPr>
                  <w:rFonts w:ascii="Arial" w:cs="Arial" w:eastAsia="Arial" w:hAnsi="Arial"/>
                  <w:sz w:val="18"/>
                  <w:szCs w:val="18"/>
                  <w:color w:val="0000EE"/>
                </w:rPr>
                <w:t>43</w:t>
              </w:r>
            </w:hyperlink>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0" w:type="dxa"/>
            <w:vAlign w:val="bottom"/>
            <w:gridSpan w:val="13"/>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20" w:type="dxa"/>
            <w:vAlign w:val="bottom"/>
            <w:tcBorders>
              <w:left w:val="single" w:sz="8" w:color="0000EE"/>
            </w:tcBorders>
            <w:gridSpan w:val="4"/>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91"/>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960" w:type="dxa"/>
            <w:vAlign w:val="bottom"/>
            <w:gridSpan w:val="36"/>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Second A&amp;R 2010 Plan Change-in-Control Provisions</w:t>
              </w:r>
            </w:hyperlink>
          </w:p>
        </w:tc>
        <w:tc>
          <w:tcPr>
            <w:tcW w:w="1780" w:type="dxa"/>
            <w:vAlign w:val="bottom"/>
            <w:gridSpan w:val="3"/>
          </w:tcPr>
          <w:p>
            <w:pPr>
              <w:jc w:val="right"/>
              <w:ind w:right="920"/>
              <w:spacing w:after="0"/>
              <w:rPr>
                <w:rFonts w:ascii="Arial" w:cs="Arial" w:eastAsia="Arial" w:hAnsi="Arial"/>
                <w:sz w:val="18"/>
                <w:szCs w:val="18"/>
                <w:color w:val="0000EE"/>
              </w:rPr>
            </w:pPr>
            <w:hyperlink w:anchor="page49">
              <w:r>
                <w:rPr>
                  <w:rFonts w:ascii="Arial" w:cs="Arial" w:eastAsia="Arial" w:hAnsi="Arial"/>
                  <w:sz w:val="18"/>
                  <w:szCs w:val="18"/>
                  <w:color w:val="0000EE"/>
                </w:rPr>
                <w:t>44</w:t>
              </w:r>
            </w:hyperlink>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0" w:type="dxa"/>
            <w:vAlign w:val="bottom"/>
            <w:gridSpan w:val="13"/>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20" w:type="dxa"/>
            <w:vAlign w:val="bottom"/>
            <w:tcBorders>
              <w:left w:val="single" w:sz="8" w:color="0000EE"/>
            </w:tcBorders>
            <w:gridSpan w:val="4"/>
            <w:shd w:val="clear" w:color="auto" w:fill="0000EE"/>
          </w:tcPr>
          <w:p>
            <w:pPr>
              <w:spacing w:after="0" w:line="20" w:lineRule="exact"/>
              <w:rPr>
                <w:sz w:val="1"/>
                <w:szCs w:val="1"/>
                <w:color w:val="auto"/>
              </w:rPr>
            </w:pPr>
          </w:p>
        </w:tc>
        <w:tc>
          <w:tcPr>
            <w:tcW w:w="28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580" w:type="dxa"/>
            <w:vAlign w:val="bottom"/>
            <w:tcBorders>
              <w:left w:val="single" w:sz="8" w:color="0000EE"/>
            </w:tcBorders>
            <w:gridSpan w:val="6"/>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90"/>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960" w:type="dxa"/>
            <w:vAlign w:val="bottom"/>
            <w:gridSpan w:val="36"/>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Performance-Based (PRSU) Change-in-Control Provisions</w:t>
              </w:r>
            </w:hyperlink>
          </w:p>
        </w:tc>
        <w:tc>
          <w:tcPr>
            <w:tcW w:w="1780" w:type="dxa"/>
            <w:vAlign w:val="bottom"/>
            <w:gridSpan w:val="3"/>
          </w:tcPr>
          <w:p>
            <w:pPr>
              <w:jc w:val="right"/>
              <w:ind w:right="920"/>
              <w:spacing w:after="0"/>
              <w:rPr>
                <w:rFonts w:ascii="Arial" w:cs="Arial" w:eastAsia="Arial" w:hAnsi="Arial"/>
                <w:sz w:val="18"/>
                <w:szCs w:val="18"/>
                <w:color w:val="0000EE"/>
              </w:rPr>
            </w:pPr>
            <w:hyperlink w:anchor="page49">
              <w:r>
                <w:rPr>
                  <w:rFonts w:ascii="Arial" w:cs="Arial" w:eastAsia="Arial" w:hAnsi="Arial"/>
                  <w:sz w:val="18"/>
                  <w:szCs w:val="18"/>
                  <w:color w:val="0000EE"/>
                </w:rPr>
                <w:t>44</w:t>
              </w:r>
            </w:hyperlink>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0" w:type="dxa"/>
            <w:vAlign w:val="bottom"/>
            <w:gridSpan w:val="13"/>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20" w:type="dxa"/>
            <w:vAlign w:val="bottom"/>
            <w:tcBorders>
              <w:left w:val="single" w:sz="8" w:color="0000EE"/>
            </w:tcBorders>
            <w:gridSpan w:val="4"/>
            <w:shd w:val="clear" w:color="auto" w:fill="0000EE"/>
          </w:tcPr>
          <w:p>
            <w:pPr>
              <w:spacing w:after="0" w:line="20" w:lineRule="exact"/>
              <w:rPr>
                <w:sz w:val="1"/>
                <w:szCs w:val="1"/>
                <w:color w:val="auto"/>
              </w:rPr>
            </w:pPr>
          </w:p>
        </w:tc>
        <w:tc>
          <w:tcPr>
            <w:tcW w:w="28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960" w:type="dxa"/>
            <w:vAlign w:val="bottom"/>
            <w:tcBorders>
              <w:left w:val="single" w:sz="8" w:color="0000EE"/>
            </w:tcBorders>
            <w:gridSpan w:val="8"/>
            <w:shd w:val="clear" w:color="auto" w:fill="0000EE"/>
          </w:tcPr>
          <w:p>
            <w:pPr>
              <w:spacing w:after="0" w:line="20" w:lineRule="exact"/>
              <w:rPr>
                <w:sz w:val="1"/>
                <w:szCs w:val="1"/>
                <w:color w:val="auto"/>
              </w:rPr>
            </w:pPr>
          </w:p>
        </w:tc>
        <w:tc>
          <w:tcPr>
            <w:tcW w:w="24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90"/>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0" w:type="dxa"/>
            <w:vAlign w:val="bottom"/>
            <w:gridSpan w:val="13"/>
          </w:tcPr>
          <w:p>
            <w:pPr>
              <w:spacing w:after="0"/>
              <w:rPr>
                <w:rFonts w:ascii="Arial" w:cs="Arial" w:eastAsia="Arial" w:hAnsi="Arial"/>
                <w:sz w:val="18"/>
                <w:szCs w:val="18"/>
                <w:color w:val="0000EE"/>
                <w:w w:val="99"/>
              </w:rPr>
            </w:pPr>
            <w:hyperlink w:anchor="page49">
              <w:r>
                <w:rPr>
                  <w:rFonts w:ascii="Arial" w:cs="Arial" w:eastAsia="Arial" w:hAnsi="Arial"/>
                  <w:sz w:val="18"/>
                  <w:szCs w:val="18"/>
                  <w:color w:val="0000EE"/>
                  <w:w w:val="99"/>
                </w:rPr>
                <w:t>Executive Officer Severance Policy</w:t>
              </w:r>
            </w:hyperlink>
          </w:p>
        </w:tc>
        <w:tc>
          <w:tcPr>
            <w:tcW w:w="1860" w:type="dxa"/>
            <w:vAlign w:val="bottom"/>
            <w:gridSpan w:val="17"/>
          </w:tcPr>
          <w:p>
            <w:pPr>
              <w:spacing w:after="0"/>
              <w:rPr>
                <w:sz w:val="24"/>
                <w:szCs w:val="24"/>
                <w:color w:val="auto"/>
              </w:rPr>
            </w:pPr>
          </w:p>
        </w:tc>
        <w:tc>
          <w:tcPr>
            <w:tcW w:w="3300" w:type="dxa"/>
            <w:vAlign w:val="bottom"/>
            <w:gridSpan w:val="6"/>
          </w:tcPr>
          <w:p>
            <w:pPr>
              <w:spacing w:after="0"/>
              <w:rPr>
                <w:sz w:val="24"/>
                <w:szCs w:val="24"/>
                <w:color w:val="auto"/>
              </w:rPr>
            </w:pPr>
          </w:p>
        </w:tc>
        <w:tc>
          <w:tcPr>
            <w:tcW w:w="1780" w:type="dxa"/>
            <w:vAlign w:val="bottom"/>
            <w:gridSpan w:val="3"/>
          </w:tcPr>
          <w:p>
            <w:pPr>
              <w:jc w:val="right"/>
              <w:ind w:right="920"/>
              <w:spacing w:after="0"/>
              <w:rPr>
                <w:rFonts w:ascii="Arial" w:cs="Arial" w:eastAsia="Arial" w:hAnsi="Arial"/>
                <w:sz w:val="18"/>
                <w:szCs w:val="18"/>
                <w:color w:val="0000EE"/>
              </w:rPr>
            </w:pPr>
            <w:hyperlink w:anchor="page49">
              <w:r>
                <w:rPr>
                  <w:rFonts w:ascii="Arial" w:cs="Arial" w:eastAsia="Arial" w:hAnsi="Arial"/>
                  <w:sz w:val="18"/>
                  <w:szCs w:val="18"/>
                  <w:color w:val="0000EE"/>
                </w:rPr>
                <w:t>44</w:t>
              </w:r>
            </w:hyperlink>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0" w:type="dxa"/>
            <w:vAlign w:val="bottom"/>
            <w:gridSpan w:val="13"/>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420" w:type="dxa"/>
            <w:vAlign w:val="bottom"/>
            <w:gridSpan w:val="1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90"/>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960" w:type="dxa"/>
            <w:vAlign w:val="bottom"/>
            <w:gridSpan w:val="36"/>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Termination Payment Tables for NEOs</w:t>
              </w:r>
            </w:hyperlink>
          </w:p>
        </w:tc>
        <w:tc>
          <w:tcPr>
            <w:tcW w:w="1780" w:type="dxa"/>
            <w:vAlign w:val="bottom"/>
            <w:gridSpan w:val="3"/>
          </w:tcPr>
          <w:p>
            <w:pPr>
              <w:jc w:val="right"/>
              <w:ind w:right="920"/>
              <w:spacing w:after="0"/>
              <w:rPr>
                <w:rFonts w:ascii="Arial" w:cs="Arial" w:eastAsia="Arial" w:hAnsi="Arial"/>
                <w:sz w:val="18"/>
                <w:szCs w:val="18"/>
                <w:color w:val="0000EE"/>
              </w:rPr>
            </w:pPr>
            <w:hyperlink w:anchor="page47">
              <w:r>
                <w:rPr>
                  <w:rFonts w:ascii="Arial" w:cs="Arial" w:eastAsia="Arial" w:hAnsi="Arial"/>
                  <w:sz w:val="18"/>
                  <w:szCs w:val="18"/>
                  <w:color w:val="0000EE"/>
                </w:rPr>
                <w:t>42</w:t>
              </w:r>
            </w:hyperlink>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0" w:type="dxa"/>
            <w:vAlign w:val="bottom"/>
            <w:gridSpan w:val="16"/>
            <w:shd w:val="clear" w:color="auto" w:fill="0000EE"/>
          </w:tcPr>
          <w:p>
            <w:pPr>
              <w:spacing w:after="0" w:line="20" w:lineRule="exact"/>
              <w:rPr>
                <w:sz w:val="1"/>
                <w:szCs w:val="1"/>
                <w:color w:val="auto"/>
              </w:rPr>
            </w:pPr>
          </w:p>
        </w:tc>
        <w:tc>
          <w:tcPr>
            <w:tcW w:w="420" w:type="dxa"/>
            <w:vAlign w:val="bottom"/>
            <w:tcBorders>
              <w:left w:val="single" w:sz="8" w:color="0000EE"/>
            </w:tcBorders>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420" w:type="dxa"/>
            <w:vAlign w:val="bottom"/>
            <w:gridSpan w:val="1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80"/>
        </w:trPr>
        <w:tc>
          <w:tcPr>
            <w:tcW w:w="920" w:type="dxa"/>
            <w:vAlign w:val="bottom"/>
          </w:tcPr>
          <w:p>
            <w:pPr>
              <w:spacing w:after="0"/>
              <w:rPr>
                <w:sz w:val="24"/>
                <w:szCs w:val="24"/>
                <w:color w:val="auto"/>
              </w:rPr>
            </w:pPr>
          </w:p>
        </w:tc>
        <w:tc>
          <w:tcPr>
            <w:tcW w:w="8320" w:type="dxa"/>
            <w:vAlign w:val="bottom"/>
            <w:gridSpan w:val="37"/>
          </w:tcPr>
          <w:p>
            <w:pPr>
              <w:spacing w:after="0"/>
              <w:rPr>
                <w:rFonts w:ascii="Arial" w:cs="Arial" w:eastAsia="Arial" w:hAnsi="Arial"/>
                <w:sz w:val="18"/>
                <w:szCs w:val="18"/>
                <w:b w:val="1"/>
                <w:bCs w:val="1"/>
                <w:color w:val="0000EE"/>
              </w:rPr>
            </w:pPr>
            <w:hyperlink w:anchor="page55">
              <w:r>
                <w:rPr>
                  <w:rFonts w:ascii="Arial" w:cs="Arial" w:eastAsia="Arial" w:hAnsi="Arial"/>
                  <w:sz w:val="18"/>
                  <w:szCs w:val="18"/>
                  <w:b w:val="1"/>
                  <w:bCs w:val="1"/>
                  <w:color w:val="0000EE"/>
                </w:rPr>
                <w:t>PROPOSAL 3 – RATIFICATION OF INDEPENDENT REGISTERED PUBLIC ACCOUNTANT</w:t>
              </w:r>
            </w:hyperlink>
          </w:p>
        </w:tc>
        <w:tc>
          <w:tcPr>
            <w:tcW w:w="1780" w:type="dxa"/>
            <w:vAlign w:val="bottom"/>
            <w:gridSpan w:val="3"/>
          </w:tcPr>
          <w:p>
            <w:pPr>
              <w:jc w:val="right"/>
              <w:ind w:right="920"/>
              <w:spacing w:after="0"/>
              <w:rPr>
                <w:rFonts w:ascii="Arial" w:cs="Arial" w:eastAsia="Arial" w:hAnsi="Arial"/>
                <w:sz w:val="18"/>
                <w:szCs w:val="18"/>
                <w:color w:val="0000EE"/>
              </w:rPr>
            </w:pPr>
            <w:hyperlink w:anchor="page55">
              <w:r>
                <w:rPr>
                  <w:rFonts w:ascii="Arial" w:cs="Arial" w:eastAsia="Arial" w:hAnsi="Arial"/>
                  <w:sz w:val="18"/>
                  <w:szCs w:val="18"/>
                  <w:color w:val="0000EE"/>
                </w:rPr>
                <w:t>50</w:t>
              </w:r>
            </w:hyperlink>
          </w:p>
        </w:tc>
      </w:tr>
      <w:tr>
        <w:trPr>
          <w:trHeight w:val="20"/>
        </w:trPr>
        <w:tc>
          <w:tcPr>
            <w:tcW w:w="920" w:type="dxa"/>
            <w:vAlign w:val="bottom"/>
          </w:tcPr>
          <w:p>
            <w:pPr>
              <w:spacing w:after="0" w:line="20" w:lineRule="exact"/>
              <w:rPr>
                <w:sz w:val="1"/>
                <w:szCs w:val="1"/>
                <w:color w:val="auto"/>
              </w:rPr>
            </w:pPr>
          </w:p>
        </w:tc>
        <w:tc>
          <w:tcPr>
            <w:tcW w:w="3780" w:type="dxa"/>
            <w:vAlign w:val="bottom"/>
            <w:gridSpan w:val="21"/>
            <w:shd w:val="clear" w:color="auto" w:fill="0000EE"/>
          </w:tcPr>
          <w:p>
            <w:pPr>
              <w:spacing w:after="0" w:line="20" w:lineRule="exact"/>
              <w:rPr>
                <w:sz w:val="1"/>
                <w:szCs w:val="1"/>
                <w:color w:val="auto"/>
              </w:rPr>
            </w:pPr>
          </w:p>
        </w:tc>
        <w:tc>
          <w:tcPr>
            <w:tcW w:w="28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3420" w:type="dxa"/>
            <w:vAlign w:val="bottom"/>
            <w:tcBorders>
              <w:left w:val="single" w:sz="8" w:color="0000EE"/>
            </w:tcBorders>
            <w:gridSpan w:val="1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66"/>
        </w:trPr>
        <w:tc>
          <w:tcPr>
            <w:tcW w:w="920" w:type="dxa"/>
            <w:vAlign w:val="bottom"/>
          </w:tcPr>
          <w:p>
            <w:pPr>
              <w:spacing w:after="0"/>
              <w:rPr>
                <w:sz w:val="24"/>
                <w:szCs w:val="24"/>
                <w:color w:val="auto"/>
              </w:rPr>
            </w:pPr>
          </w:p>
        </w:tc>
        <w:tc>
          <w:tcPr>
            <w:tcW w:w="8320" w:type="dxa"/>
            <w:vAlign w:val="bottom"/>
            <w:gridSpan w:val="37"/>
          </w:tcPr>
          <w:p>
            <w:pPr>
              <w:spacing w:after="0"/>
              <w:rPr>
                <w:rFonts w:ascii="Arial" w:cs="Arial" w:eastAsia="Arial" w:hAnsi="Arial"/>
                <w:sz w:val="18"/>
                <w:szCs w:val="18"/>
                <w:b w:val="1"/>
                <w:bCs w:val="1"/>
                <w:color w:val="0000EE"/>
              </w:rPr>
            </w:pPr>
            <w:hyperlink w:anchor="page55">
              <w:r>
                <w:rPr>
                  <w:rFonts w:ascii="Arial" w:cs="Arial" w:eastAsia="Arial" w:hAnsi="Arial"/>
                  <w:sz w:val="18"/>
                  <w:szCs w:val="18"/>
                  <w:b w:val="1"/>
                  <w:bCs w:val="1"/>
                  <w:color w:val="0000EE"/>
                </w:rPr>
                <w:t>INDEPENDENT REGISTERED PUBLIC ACCOUNTING FIRM’S AUDIT FEES AND SERVICES</w:t>
              </w:r>
            </w:hyperlink>
          </w:p>
        </w:tc>
        <w:tc>
          <w:tcPr>
            <w:tcW w:w="1780" w:type="dxa"/>
            <w:vAlign w:val="bottom"/>
            <w:gridSpan w:val="3"/>
          </w:tcPr>
          <w:p>
            <w:pPr>
              <w:jc w:val="right"/>
              <w:ind w:right="920"/>
              <w:spacing w:after="0"/>
              <w:rPr>
                <w:rFonts w:ascii="Arial" w:cs="Arial" w:eastAsia="Arial" w:hAnsi="Arial"/>
                <w:sz w:val="18"/>
                <w:szCs w:val="18"/>
                <w:color w:val="0000EE"/>
              </w:rPr>
            </w:pPr>
            <w:hyperlink w:anchor="page55">
              <w:r>
                <w:rPr>
                  <w:rFonts w:ascii="Arial" w:cs="Arial" w:eastAsia="Arial" w:hAnsi="Arial"/>
                  <w:sz w:val="18"/>
                  <w:szCs w:val="18"/>
                  <w:color w:val="0000EE"/>
                </w:rPr>
                <w:t>50</w:t>
              </w:r>
            </w:hyperlink>
          </w:p>
        </w:tc>
      </w:tr>
      <w:tr>
        <w:trPr>
          <w:trHeight w:val="20"/>
        </w:trPr>
        <w:tc>
          <w:tcPr>
            <w:tcW w:w="920" w:type="dxa"/>
            <w:vAlign w:val="bottom"/>
          </w:tcPr>
          <w:p>
            <w:pPr>
              <w:spacing w:after="0" w:line="20" w:lineRule="exact"/>
              <w:rPr>
                <w:sz w:val="1"/>
                <w:szCs w:val="1"/>
                <w:color w:val="auto"/>
              </w:rPr>
            </w:pPr>
          </w:p>
        </w:tc>
        <w:tc>
          <w:tcPr>
            <w:tcW w:w="3780" w:type="dxa"/>
            <w:vAlign w:val="bottom"/>
            <w:gridSpan w:val="21"/>
            <w:shd w:val="clear" w:color="auto" w:fill="0000EE"/>
          </w:tcPr>
          <w:p>
            <w:pPr>
              <w:spacing w:after="0" w:line="20" w:lineRule="exact"/>
              <w:rPr>
                <w:sz w:val="1"/>
                <w:szCs w:val="1"/>
                <w:color w:val="auto"/>
              </w:rPr>
            </w:pPr>
          </w:p>
        </w:tc>
        <w:tc>
          <w:tcPr>
            <w:tcW w:w="28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3600" w:type="dxa"/>
            <w:vAlign w:val="bottom"/>
            <w:tcBorders>
              <w:left w:val="single" w:sz="8" w:color="0000EE"/>
            </w:tcBorders>
            <w:gridSpan w:val="13"/>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66"/>
        </w:trPr>
        <w:tc>
          <w:tcPr>
            <w:tcW w:w="920" w:type="dxa"/>
            <w:vAlign w:val="bottom"/>
          </w:tcPr>
          <w:p>
            <w:pPr>
              <w:spacing w:after="0"/>
              <w:rPr>
                <w:sz w:val="24"/>
                <w:szCs w:val="24"/>
                <w:color w:val="auto"/>
              </w:rPr>
            </w:pPr>
          </w:p>
        </w:tc>
        <w:tc>
          <w:tcPr>
            <w:tcW w:w="3780" w:type="dxa"/>
            <w:vAlign w:val="bottom"/>
            <w:gridSpan w:val="21"/>
          </w:tcPr>
          <w:p>
            <w:pPr>
              <w:spacing w:after="0"/>
              <w:rPr>
                <w:rFonts w:ascii="Arial" w:cs="Arial" w:eastAsia="Arial" w:hAnsi="Arial"/>
                <w:sz w:val="18"/>
                <w:szCs w:val="18"/>
                <w:b w:val="1"/>
                <w:bCs w:val="1"/>
                <w:color w:val="0000EE"/>
                <w:w w:val="98"/>
              </w:rPr>
            </w:pPr>
            <w:hyperlink w:anchor="page56">
              <w:r>
                <w:rPr>
                  <w:rFonts w:ascii="Arial" w:cs="Arial" w:eastAsia="Arial" w:hAnsi="Arial"/>
                  <w:sz w:val="18"/>
                  <w:szCs w:val="18"/>
                  <w:b w:val="1"/>
                  <w:bCs w:val="1"/>
                  <w:color w:val="0000EE"/>
                  <w:w w:val="98"/>
                </w:rPr>
                <w:t>2020 AUDIT/FINANCE COMMITTEE REPORT</w:t>
              </w:r>
            </w:hyperlink>
          </w:p>
        </w:tc>
        <w:tc>
          <w:tcPr>
            <w:tcW w:w="3880" w:type="dxa"/>
            <w:vAlign w:val="bottom"/>
            <w:gridSpan w:val="15"/>
          </w:tcPr>
          <w:p>
            <w:pPr>
              <w:spacing w:after="0"/>
              <w:rPr>
                <w:sz w:val="24"/>
                <w:szCs w:val="24"/>
                <w:color w:val="auto"/>
              </w:rPr>
            </w:pPr>
          </w:p>
        </w:tc>
        <w:tc>
          <w:tcPr>
            <w:tcW w:w="660" w:type="dxa"/>
            <w:vAlign w:val="bottom"/>
          </w:tcPr>
          <w:p>
            <w:pPr>
              <w:spacing w:after="0"/>
              <w:rPr>
                <w:sz w:val="24"/>
                <w:szCs w:val="24"/>
                <w:color w:val="auto"/>
              </w:rPr>
            </w:pPr>
          </w:p>
        </w:tc>
        <w:tc>
          <w:tcPr>
            <w:tcW w:w="1780" w:type="dxa"/>
            <w:vAlign w:val="bottom"/>
            <w:gridSpan w:val="3"/>
          </w:tcPr>
          <w:p>
            <w:pPr>
              <w:jc w:val="right"/>
              <w:ind w:right="920"/>
              <w:spacing w:after="0"/>
              <w:rPr>
                <w:rFonts w:ascii="Arial" w:cs="Arial" w:eastAsia="Arial" w:hAnsi="Arial"/>
                <w:sz w:val="18"/>
                <w:szCs w:val="18"/>
                <w:color w:val="0000EE"/>
              </w:rPr>
            </w:pPr>
            <w:hyperlink w:anchor="page56">
              <w:r>
                <w:rPr>
                  <w:rFonts w:ascii="Arial" w:cs="Arial" w:eastAsia="Arial" w:hAnsi="Arial"/>
                  <w:sz w:val="18"/>
                  <w:szCs w:val="18"/>
                  <w:color w:val="0000EE"/>
                </w:rPr>
                <w:t>51</w:t>
              </w:r>
            </w:hyperlink>
          </w:p>
        </w:tc>
      </w:tr>
      <w:tr>
        <w:trPr>
          <w:trHeight w:val="20"/>
        </w:trPr>
        <w:tc>
          <w:tcPr>
            <w:tcW w:w="920" w:type="dxa"/>
            <w:vAlign w:val="bottom"/>
          </w:tcPr>
          <w:p>
            <w:pPr>
              <w:spacing w:after="0" w:line="20" w:lineRule="exact"/>
              <w:rPr>
                <w:sz w:val="1"/>
                <w:szCs w:val="1"/>
                <w:color w:val="auto"/>
              </w:rPr>
            </w:pPr>
          </w:p>
        </w:tc>
        <w:tc>
          <w:tcPr>
            <w:tcW w:w="3780" w:type="dxa"/>
            <w:vAlign w:val="bottom"/>
            <w:gridSpan w:val="21"/>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260" w:type="dxa"/>
            <w:vAlign w:val="bottom"/>
            <w:gridSpan w:val="1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66"/>
        </w:trPr>
        <w:tc>
          <w:tcPr>
            <w:tcW w:w="920" w:type="dxa"/>
            <w:vAlign w:val="bottom"/>
          </w:tcPr>
          <w:p>
            <w:pPr>
              <w:spacing w:after="0"/>
              <w:rPr>
                <w:sz w:val="24"/>
                <w:szCs w:val="24"/>
                <w:color w:val="auto"/>
              </w:rPr>
            </w:pPr>
          </w:p>
        </w:tc>
        <w:tc>
          <w:tcPr>
            <w:tcW w:w="8320" w:type="dxa"/>
            <w:vAlign w:val="bottom"/>
            <w:gridSpan w:val="37"/>
          </w:tcPr>
          <w:p>
            <w:pPr>
              <w:spacing w:after="0"/>
              <w:rPr>
                <w:rFonts w:ascii="Arial" w:cs="Arial" w:eastAsia="Arial" w:hAnsi="Arial"/>
                <w:sz w:val="18"/>
                <w:szCs w:val="18"/>
                <w:b w:val="1"/>
                <w:bCs w:val="1"/>
                <w:color w:val="0000EE"/>
              </w:rPr>
            </w:pPr>
            <w:hyperlink w:anchor="page57">
              <w:r>
                <w:rPr>
                  <w:rFonts w:ascii="Arial" w:cs="Arial" w:eastAsia="Arial" w:hAnsi="Arial"/>
                  <w:sz w:val="18"/>
                  <w:szCs w:val="18"/>
                  <w:b w:val="1"/>
                  <w:bCs w:val="1"/>
                  <w:color w:val="0000EE"/>
                </w:rPr>
                <w:t>EQUITY COMPENSATION PLAN INFORMATION</w:t>
              </w:r>
            </w:hyperlink>
          </w:p>
        </w:tc>
        <w:tc>
          <w:tcPr>
            <w:tcW w:w="1780" w:type="dxa"/>
            <w:vAlign w:val="bottom"/>
            <w:gridSpan w:val="3"/>
          </w:tcPr>
          <w:p>
            <w:pPr>
              <w:jc w:val="right"/>
              <w:ind w:right="920"/>
              <w:spacing w:after="0"/>
              <w:rPr>
                <w:rFonts w:ascii="Arial" w:cs="Arial" w:eastAsia="Arial" w:hAnsi="Arial"/>
                <w:sz w:val="18"/>
                <w:szCs w:val="18"/>
                <w:color w:val="0000EE"/>
              </w:rPr>
            </w:pPr>
            <w:hyperlink w:anchor="page57">
              <w:r>
                <w:rPr>
                  <w:rFonts w:ascii="Arial" w:cs="Arial" w:eastAsia="Arial" w:hAnsi="Arial"/>
                  <w:sz w:val="18"/>
                  <w:szCs w:val="18"/>
                  <w:color w:val="0000EE"/>
                </w:rPr>
                <w:t>52</w:t>
              </w:r>
            </w:hyperlink>
          </w:p>
        </w:tc>
      </w:tr>
      <w:tr>
        <w:trPr>
          <w:trHeight w:val="244"/>
        </w:trPr>
        <w:tc>
          <w:tcPr>
            <w:tcW w:w="920" w:type="dxa"/>
            <w:vAlign w:val="bottom"/>
            <w:tcBorders>
              <w:bottom w:val="single" w:sz="8" w:color="auto"/>
            </w:tcBorders>
          </w:tcPr>
          <w:p>
            <w:pPr>
              <w:spacing w:after="0"/>
              <w:rPr>
                <w:sz w:val="21"/>
                <w:szCs w:val="21"/>
                <w:color w:val="auto"/>
              </w:rPr>
            </w:pPr>
          </w:p>
        </w:tc>
        <w:tc>
          <w:tcPr>
            <w:tcW w:w="360" w:type="dxa"/>
            <w:vAlign w:val="bottom"/>
            <w:tcBorders>
              <w:top w:val="single" w:sz="8" w:color="0000EE"/>
              <w:bottom w:val="single" w:sz="8" w:color="auto"/>
            </w:tcBorders>
          </w:tcPr>
          <w:p>
            <w:pPr>
              <w:spacing w:after="0"/>
              <w:rPr>
                <w:sz w:val="21"/>
                <w:szCs w:val="21"/>
                <w:color w:val="auto"/>
              </w:rPr>
            </w:pPr>
          </w:p>
        </w:tc>
        <w:tc>
          <w:tcPr>
            <w:tcW w:w="360" w:type="dxa"/>
            <w:vAlign w:val="bottom"/>
            <w:tcBorders>
              <w:top w:val="single" w:sz="8" w:color="0000EE"/>
              <w:bottom w:val="single" w:sz="8" w:color="auto"/>
            </w:tcBorders>
          </w:tcPr>
          <w:p>
            <w:pPr>
              <w:spacing w:after="0"/>
              <w:rPr>
                <w:sz w:val="21"/>
                <w:szCs w:val="21"/>
                <w:color w:val="auto"/>
              </w:rPr>
            </w:pPr>
          </w:p>
        </w:tc>
        <w:tc>
          <w:tcPr>
            <w:tcW w:w="360" w:type="dxa"/>
            <w:vAlign w:val="bottom"/>
            <w:tcBorders>
              <w:top w:val="single" w:sz="8" w:color="0000EE"/>
              <w:bottom w:val="single" w:sz="8" w:color="auto"/>
            </w:tcBorders>
          </w:tcPr>
          <w:p>
            <w:pPr>
              <w:spacing w:after="0"/>
              <w:rPr>
                <w:sz w:val="21"/>
                <w:szCs w:val="21"/>
                <w:color w:val="auto"/>
              </w:rPr>
            </w:pPr>
          </w:p>
        </w:tc>
        <w:tc>
          <w:tcPr>
            <w:tcW w:w="360" w:type="dxa"/>
            <w:vAlign w:val="bottom"/>
            <w:tcBorders>
              <w:top w:val="single" w:sz="8" w:color="0000EE"/>
              <w:bottom w:val="single" w:sz="8" w:color="auto"/>
            </w:tcBorders>
          </w:tcPr>
          <w:p>
            <w:pPr>
              <w:spacing w:after="0"/>
              <w:rPr>
                <w:sz w:val="21"/>
                <w:szCs w:val="21"/>
                <w:color w:val="auto"/>
              </w:rPr>
            </w:pPr>
          </w:p>
        </w:tc>
        <w:tc>
          <w:tcPr>
            <w:tcW w:w="100" w:type="dxa"/>
            <w:vAlign w:val="bottom"/>
            <w:tcBorders>
              <w:top w:val="single" w:sz="8" w:color="0000EE"/>
              <w:bottom w:val="single" w:sz="8" w:color="auto"/>
            </w:tcBorders>
          </w:tcPr>
          <w:p>
            <w:pPr>
              <w:spacing w:after="0"/>
              <w:rPr>
                <w:sz w:val="21"/>
                <w:szCs w:val="21"/>
                <w:color w:val="auto"/>
              </w:rPr>
            </w:pPr>
          </w:p>
        </w:tc>
        <w:tc>
          <w:tcPr>
            <w:tcW w:w="180" w:type="dxa"/>
            <w:vAlign w:val="bottom"/>
            <w:tcBorders>
              <w:top w:val="single" w:sz="8" w:color="0000EE"/>
              <w:bottom w:val="single" w:sz="8" w:color="auto"/>
            </w:tcBorders>
          </w:tcPr>
          <w:p>
            <w:pPr>
              <w:spacing w:after="0"/>
              <w:rPr>
                <w:sz w:val="21"/>
                <w:szCs w:val="21"/>
                <w:color w:val="auto"/>
              </w:rPr>
            </w:pPr>
          </w:p>
        </w:tc>
        <w:tc>
          <w:tcPr>
            <w:tcW w:w="320" w:type="dxa"/>
            <w:vAlign w:val="bottom"/>
            <w:tcBorders>
              <w:top w:val="single" w:sz="8" w:color="0000EE"/>
              <w:bottom w:val="single" w:sz="8" w:color="auto"/>
            </w:tcBorders>
          </w:tcPr>
          <w:p>
            <w:pPr>
              <w:spacing w:after="0"/>
              <w:rPr>
                <w:sz w:val="21"/>
                <w:szCs w:val="21"/>
                <w:color w:val="auto"/>
              </w:rPr>
            </w:pPr>
          </w:p>
        </w:tc>
        <w:tc>
          <w:tcPr>
            <w:tcW w:w="80" w:type="dxa"/>
            <w:vAlign w:val="bottom"/>
            <w:tcBorders>
              <w:top w:val="single" w:sz="8" w:color="0000EE"/>
              <w:bottom w:val="single" w:sz="8" w:color="auto"/>
            </w:tcBorders>
          </w:tcPr>
          <w:p>
            <w:pPr>
              <w:spacing w:after="0"/>
              <w:rPr>
                <w:sz w:val="21"/>
                <w:szCs w:val="21"/>
                <w:color w:val="auto"/>
              </w:rPr>
            </w:pPr>
          </w:p>
        </w:tc>
        <w:tc>
          <w:tcPr>
            <w:tcW w:w="540" w:type="dxa"/>
            <w:vAlign w:val="bottom"/>
            <w:tcBorders>
              <w:top w:val="single" w:sz="8" w:color="0000EE"/>
              <w:bottom w:val="single" w:sz="8" w:color="auto"/>
            </w:tcBorders>
          </w:tcPr>
          <w:p>
            <w:pPr>
              <w:spacing w:after="0"/>
              <w:rPr>
                <w:sz w:val="21"/>
                <w:szCs w:val="21"/>
                <w:color w:val="auto"/>
              </w:rPr>
            </w:pPr>
          </w:p>
        </w:tc>
        <w:tc>
          <w:tcPr>
            <w:tcW w:w="140" w:type="dxa"/>
            <w:vAlign w:val="bottom"/>
            <w:tcBorders>
              <w:top w:val="single" w:sz="8" w:color="0000EE"/>
              <w:bottom w:val="single" w:sz="8" w:color="auto"/>
            </w:tcBorders>
          </w:tcPr>
          <w:p>
            <w:pPr>
              <w:spacing w:after="0"/>
              <w:rPr>
                <w:sz w:val="21"/>
                <w:szCs w:val="21"/>
                <w:color w:val="auto"/>
              </w:rPr>
            </w:pPr>
          </w:p>
        </w:tc>
        <w:tc>
          <w:tcPr>
            <w:tcW w:w="200" w:type="dxa"/>
            <w:vAlign w:val="bottom"/>
            <w:tcBorders>
              <w:top w:val="single" w:sz="8" w:color="0000EE"/>
              <w:bottom w:val="single" w:sz="8" w:color="auto"/>
            </w:tcBorders>
          </w:tcPr>
          <w:p>
            <w:pPr>
              <w:spacing w:after="0"/>
              <w:rPr>
                <w:sz w:val="21"/>
                <w:szCs w:val="21"/>
                <w:color w:val="auto"/>
              </w:rPr>
            </w:pPr>
          </w:p>
        </w:tc>
        <w:tc>
          <w:tcPr>
            <w:tcW w:w="20" w:type="dxa"/>
            <w:vAlign w:val="bottom"/>
            <w:tcBorders>
              <w:top w:val="single" w:sz="8" w:color="0000EE"/>
              <w:bottom w:val="single" w:sz="8" w:color="auto"/>
            </w:tcBorders>
          </w:tcPr>
          <w:p>
            <w:pPr>
              <w:spacing w:after="0"/>
              <w:rPr>
                <w:sz w:val="21"/>
                <w:szCs w:val="21"/>
                <w:color w:val="auto"/>
              </w:rPr>
            </w:pPr>
          </w:p>
        </w:tc>
        <w:tc>
          <w:tcPr>
            <w:tcW w:w="80" w:type="dxa"/>
            <w:vAlign w:val="bottom"/>
            <w:tcBorders>
              <w:top w:val="single" w:sz="8" w:color="0000EE"/>
              <w:bottom w:val="single" w:sz="8" w:color="auto"/>
            </w:tcBorders>
          </w:tcPr>
          <w:p>
            <w:pPr>
              <w:spacing w:after="0"/>
              <w:rPr>
                <w:sz w:val="21"/>
                <w:szCs w:val="21"/>
                <w:color w:val="auto"/>
              </w:rPr>
            </w:pPr>
          </w:p>
        </w:tc>
        <w:tc>
          <w:tcPr>
            <w:tcW w:w="60" w:type="dxa"/>
            <w:vAlign w:val="bottom"/>
            <w:tcBorders>
              <w:top w:val="single" w:sz="8" w:color="0000EE"/>
              <w:bottom w:val="single" w:sz="8" w:color="auto"/>
            </w:tcBorders>
          </w:tcPr>
          <w:p>
            <w:pPr>
              <w:spacing w:after="0"/>
              <w:rPr>
                <w:sz w:val="21"/>
                <w:szCs w:val="21"/>
                <w:color w:val="auto"/>
              </w:rPr>
            </w:pPr>
          </w:p>
        </w:tc>
        <w:tc>
          <w:tcPr>
            <w:tcW w:w="80" w:type="dxa"/>
            <w:vAlign w:val="bottom"/>
            <w:tcBorders>
              <w:top w:val="single" w:sz="8" w:color="0000EE"/>
              <w:bottom w:val="single" w:sz="8" w:color="auto"/>
            </w:tcBorders>
          </w:tcPr>
          <w:p>
            <w:pPr>
              <w:spacing w:after="0"/>
              <w:rPr>
                <w:sz w:val="21"/>
                <w:szCs w:val="21"/>
                <w:color w:val="auto"/>
              </w:rPr>
            </w:pPr>
          </w:p>
        </w:tc>
        <w:tc>
          <w:tcPr>
            <w:tcW w:w="20" w:type="dxa"/>
            <w:vAlign w:val="bottom"/>
            <w:tcBorders>
              <w:top w:val="single" w:sz="8" w:color="0000EE"/>
              <w:bottom w:val="single" w:sz="8" w:color="auto"/>
            </w:tcBorders>
          </w:tcPr>
          <w:p>
            <w:pPr>
              <w:spacing w:after="0"/>
              <w:rPr>
                <w:sz w:val="21"/>
                <w:szCs w:val="21"/>
                <w:color w:val="auto"/>
              </w:rPr>
            </w:pPr>
          </w:p>
        </w:tc>
        <w:tc>
          <w:tcPr>
            <w:tcW w:w="100" w:type="dxa"/>
            <w:vAlign w:val="bottom"/>
            <w:tcBorders>
              <w:top w:val="single" w:sz="8" w:color="0000EE"/>
              <w:bottom w:val="single" w:sz="8" w:color="auto"/>
            </w:tcBorders>
          </w:tcPr>
          <w:p>
            <w:pPr>
              <w:spacing w:after="0"/>
              <w:rPr>
                <w:sz w:val="21"/>
                <w:szCs w:val="21"/>
                <w:color w:val="auto"/>
              </w:rPr>
            </w:pPr>
          </w:p>
        </w:tc>
        <w:tc>
          <w:tcPr>
            <w:tcW w:w="100" w:type="dxa"/>
            <w:vAlign w:val="bottom"/>
            <w:tcBorders>
              <w:top w:val="single" w:sz="8" w:color="0000EE"/>
              <w:bottom w:val="single" w:sz="8" w:color="auto"/>
            </w:tcBorders>
          </w:tcPr>
          <w:p>
            <w:pPr>
              <w:spacing w:after="0"/>
              <w:rPr>
                <w:sz w:val="21"/>
                <w:szCs w:val="21"/>
                <w:color w:val="auto"/>
              </w:rPr>
            </w:pPr>
          </w:p>
        </w:tc>
        <w:tc>
          <w:tcPr>
            <w:tcW w:w="40" w:type="dxa"/>
            <w:vAlign w:val="bottom"/>
            <w:tcBorders>
              <w:top w:val="single" w:sz="8" w:color="0000EE"/>
              <w:bottom w:val="single" w:sz="8" w:color="auto"/>
            </w:tcBorders>
          </w:tcPr>
          <w:p>
            <w:pPr>
              <w:spacing w:after="0"/>
              <w:rPr>
                <w:sz w:val="21"/>
                <w:szCs w:val="21"/>
                <w:color w:val="auto"/>
              </w:rPr>
            </w:pPr>
          </w:p>
        </w:tc>
        <w:tc>
          <w:tcPr>
            <w:tcW w:w="160" w:type="dxa"/>
            <w:vAlign w:val="bottom"/>
            <w:tcBorders>
              <w:top w:val="single" w:sz="8" w:color="0000EE"/>
              <w:bottom w:val="single" w:sz="8" w:color="auto"/>
            </w:tcBorders>
          </w:tcPr>
          <w:p>
            <w:pPr>
              <w:spacing w:after="0"/>
              <w:rPr>
                <w:sz w:val="21"/>
                <w:szCs w:val="21"/>
                <w:color w:val="auto"/>
              </w:rPr>
            </w:pPr>
          </w:p>
        </w:tc>
        <w:tc>
          <w:tcPr>
            <w:tcW w:w="120" w:type="dxa"/>
            <w:vAlign w:val="bottom"/>
            <w:tcBorders>
              <w:top w:val="single" w:sz="8" w:color="0000EE"/>
              <w:bottom w:val="single" w:sz="8" w:color="auto"/>
            </w:tcBorders>
          </w:tcPr>
          <w:p>
            <w:pPr>
              <w:spacing w:after="0"/>
              <w:rPr>
                <w:sz w:val="21"/>
                <w:szCs w:val="21"/>
                <w:color w:val="auto"/>
              </w:rPr>
            </w:pPr>
          </w:p>
        </w:tc>
        <w:tc>
          <w:tcPr>
            <w:tcW w:w="120" w:type="dxa"/>
            <w:vAlign w:val="bottom"/>
            <w:tcBorders>
              <w:top w:val="single" w:sz="8" w:color="0000EE"/>
              <w:bottom w:val="single" w:sz="8" w:color="auto"/>
            </w:tcBorders>
          </w:tcPr>
          <w:p>
            <w:pPr>
              <w:spacing w:after="0"/>
              <w:rPr>
                <w:sz w:val="21"/>
                <w:szCs w:val="21"/>
                <w:color w:val="auto"/>
              </w:rPr>
            </w:pPr>
          </w:p>
        </w:tc>
        <w:tc>
          <w:tcPr>
            <w:tcW w:w="160" w:type="dxa"/>
            <w:vAlign w:val="bottom"/>
            <w:tcBorders>
              <w:top w:val="single" w:sz="8" w:color="0000EE"/>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200" w:type="dxa"/>
            <w:vAlign w:val="bottom"/>
            <w:tcBorders>
              <w:top w:val="single" w:sz="8" w:color="0000EE"/>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r>
    </w:tbl>
    <w:p>
      <w:pPr>
        <w:sectPr>
          <w:pgSz w:w="11900" w:h="16838" w:orient="portrait"/>
          <w:cols w:equalWidth="0" w:num="1">
            <w:col w:w="11020"/>
          </w:cols>
          <w:pgMar w:left="440" w:top="262" w:right="439" w:bottom="582" w:gutter="0" w:footer="0" w:header="0"/>
        </w:sectPr>
      </w:pPr>
    </w:p>
    <w:bookmarkStart w:id="4" w:name="page5"/>
    <w:bookmarkEnd w:id="4"/>
    <w:p>
      <w:pPr>
        <w:ind w:left="920"/>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17"/>
                <w:szCs w:val="17"/>
                <w:color w:val="auto"/>
              </w:rPr>
            </w:pPr>
          </w:p>
        </w:tc>
        <w:tc>
          <w:tcPr>
            <w:tcW w:w="7980" w:type="dxa"/>
            <w:vAlign w:val="bottom"/>
            <w:gridSpan w:val="10"/>
          </w:tcPr>
          <w:p>
            <w:pPr>
              <w:spacing w:after="0"/>
              <w:rPr>
                <w:rFonts w:ascii="Arial" w:cs="Arial" w:eastAsia="Arial" w:hAnsi="Arial"/>
                <w:sz w:val="18"/>
                <w:szCs w:val="18"/>
                <w:b w:val="1"/>
                <w:bCs w:val="1"/>
                <w:color w:val="0000EE"/>
              </w:rPr>
            </w:pPr>
            <w:hyperlink w:anchor="page58">
              <w:r>
                <w:rPr>
                  <w:rFonts w:ascii="Arial" w:cs="Arial" w:eastAsia="Arial" w:hAnsi="Arial"/>
                  <w:sz w:val="18"/>
                  <w:szCs w:val="18"/>
                  <w:b w:val="1"/>
                  <w:bCs w:val="1"/>
                  <w:color w:val="0000EE"/>
                </w:rPr>
                <w:t>SECURITY OWNERSHIP OF CERTAIN BENEFICIAL OWNERS AND MANAGEMENT</w:t>
              </w:r>
            </w:hyperlink>
          </w:p>
        </w:tc>
        <w:tc>
          <w:tcPr>
            <w:tcW w:w="2120" w:type="dxa"/>
            <w:vAlign w:val="bottom"/>
            <w:gridSpan w:val="3"/>
          </w:tcPr>
          <w:p>
            <w:pPr>
              <w:jc w:val="right"/>
              <w:ind w:right="920"/>
              <w:spacing w:after="0"/>
              <w:rPr>
                <w:rFonts w:ascii="Arial" w:cs="Arial" w:eastAsia="Arial" w:hAnsi="Arial"/>
                <w:sz w:val="18"/>
                <w:szCs w:val="18"/>
                <w:color w:val="0000EE"/>
              </w:rPr>
            </w:pPr>
            <w:hyperlink w:anchor="page58">
              <w:r>
                <w:rPr>
                  <w:rFonts w:ascii="Arial" w:cs="Arial" w:eastAsia="Arial" w:hAnsi="Arial"/>
                  <w:sz w:val="18"/>
                  <w:szCs w:val="18"/>
                  <w:color w:val="0000EE"/>
                </w:rPr>
                <w:t>53</w:t>
              </w:r>
            </w:hyperlink>
          </w:p>
        </w:tc>
      </w:tr>
      <w:tr>
        <w:trPr>
          <w:trHeight w:val="20"/>
        </w:trPr>
        <w:tc>
          <w:tcPr>
            <w:tcW w:w="9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77"/>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20" w:type="dxa"/>
            <w:vAlign w:val="bottom"/>
            <w:gridSpan w:val="8"/>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Directors and Executive Officers</w:t>
              </w:r>
            </w:hyperlink>
          </w:p>
        </w:tc>
        <w:tc>
          <w:tcPr>
            <w:tcW w:w="1000" w:type="dxa"/>
            <w:vAlign w:val="bottom"/>
          </w:tcPr>
          <w:p>
            <w:pPr>
              <w:spacing w:after="0"/>
              <w:rPr>
                <w:sz w:val="24"/>
                <w:szCs w:val="24"/>
                <w:color w:val="auto"/>
              </w:rPr>
            </w:pPr>
          </w:p>
        </w:tc>
        <w:tc>
          <w:tcPr>
            <w:tcW w:w="2120" w:type="dxa"/>
            <w:vAlign w:val="bottom"/>
            <w:gridSpan w:val="3"/>
          </w:tcPr>
          <w:p>
            <w:pPr>
              <w:jc w:val="right"/>
              <w:ind w:right="920"/>
              <w:spacing w:after="0"/>
              <w:rPr>
                <w:rFonts w:ascii="Arial" w:cs="Arial" w:eastAsia="Arial" w:hAnsi="Arial"/>
                <w:sz w:val="18"/>
                <w:szCs w:val="18"/>
                <w:color w:val="0000EE"/>
              </w:rPr>
            </w:pPr>
            <w:hyperlink w:anchor="page58">
              <w:r>
                <w:rPr>
                  <w:rFonts w:ascii="Arial" w:cs="Arial" w:eastAsia="Arial" w:hAnsi="Arial"/>
                  <w:sz w:val="18"/>
                  <w:szCs w:val="18"/>
                  <w:color w:val="0000EE"/>
                </w:rPr>
                <w:t>53</w:t>
              </w:r>
            </w:hyperlink>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91"/>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60" w:type="dxa"/>
            <w:vAlign w:val="bottom"/>
            <w:gridSpan w:val="3"/>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Principal Shareholders</w:t>
              </w:r>
            </w:hyperlink>
          </w:p>
        </w:tc>
        <w:tc>
          <w:tcPr>
            <w:tcW w:w="5060" w:type="dxa"/>
            <w:vAlign w:val="bottom"/>
            <w:gridSpan w:val="6"/>
          </w:tcPr>
          <w:p>
            <w:pPr>
              <w:spacing w:after="0"/>
              <w:rPr>
                <w:sz w:val="24"/>
                <w:szCs w:val="24"/>
                <w:color w:val="auto"/>
              </w:rPr>
            </w:pPr>
          </w:p>
        </w:tc>
        <w:tc>
          <w:tcPr>
            <w:tcW w:w="2120" w:type="dxa"/>
            <w:vAlign w:val="bottom"/>
            <w:gridSpan w:val="3"/>
          </w:tcPr>
          <w:p>
            <w:pPr>
              <w:jc w:val="right"/>
              <w:ind w:right="920"/>
              <w:spacing w:after="0"/>
              <w:rPr>
                <w:rFonts w:ascii="Arial" w:cs="Arial" w:eastAsia="Arial" w:hAnsi="Arial"/>
                <w:sz w:val="18"/>
                <w:szCs w:val="18"/>
                <w:color w:val="0000EE"/>
              </w:rPr>
            </w:pPr>
            <w:hyperlink w:anchor="page59">
              <w:r>
                <w:rPr>
                  <w:rFonts w:ascii="Arial" w:cs="Arial" w:eastAsia="Arial" w:hAnsi="Arial"/>
                  <w:sz w:val="18"/>
                  <w:szCs w:val="18"/>
                  <w:color w:val="0000EE"/>
                </w:rPr>
                <w:t>54</w:t>
              </w:r>
            </w:hyperlink>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79"/>
        </w:trPr>
        <w:tc>
          <w:tcPr>
            <w:tcW w:w="920" w:type="dxa"/>
            <w:vAlign w:val="bottom"/>
          </w:tcPr>
          <w:p>
            <w:pPr>
              <w:spacing w:after="0"/>
              <w:rPr>
                <w:sz w:val="24"/>
                <w:szCs w:val="24"/>
                <w:color w:val="auto"/>
              </w:rPr>
            </w:pPr>
          </w:p>
        </w:tc>
        <w:tc>
          <w:tcPr>
            <w:tcW w:w="5940" w:type="dxa"/>
            <w:vAlign w:val="bottom"/>
            <w:gridSpan w:val="8"/>
          </w:tcPr>
          <w:p>
            <w:pPr>
              <w:spacing w:after="0"/>
              <w:rPr>
                <w:rFonts w:ascii="Arial" w:cs="Arial" w:eastAsia="Arial" w:hAnsi="Arial"/>
                <w:sz w:val="18"/>
                <w:szCs w:val="18"/>
                <w:b w:val="1"/>
                <w:bCs w:val="1"/>
                <w:color w:val="0000EE"/>
                <w:w w:val="99"/>
              </w:rPr>
            </w:pPr>
            <w:hyperlink w:anchor="page59">
              <w:r>
                <w:rPr>
                  <w:rFonts w:ascii="Arial" w:cs="Arial" w:eastAsia="Arial" w:hAnsi="Arial"/>
                  <w:sz w:val="18"/>
                  <w:szCs w:val="18"/>
                  <w:b w:val="1"/>
                  <w:bCs w:val="1"/>
                  <w:color w:val="0000EE"/>
                  <w:w w:val="99"/>
                </w:rPr>
                <w:t>SECTION 16(a) BENEFICIAL OWNERSHIP REPORTING COMPLIANCE</w:t>
              </w:r>
            </w:hyperlink>
          </w:p>
        </w:tc>
        <w:tc>
          <w:tcPr>
            <w:tcW w:w="2040" w:type="dxa"/>
            <w:vAlign w:val="bottom"/>
            <w:gridSpan w:val="2"/>
          </w:tcPr>
          <w:p>
            <w:pPr>
              <w:spacing w:after="0"/>
              <w:rPr>
                <w:sz w:val="24"/>
                <w:szCs w:val="24"/>
                <w:color w:val="auto"/>
              </w:rPr>
            </w:pPr>
          </w:p>
        </w:tc>
        <w:tc>
          <w:tcPr>
            <w:tcW w:w="2120" w:type="dxa"/>
            <w:vAlign w:val="bottom"/>
            <w:gridSpan w:val="3"/>
          </w:tcPr>
          <w:p>
            <w:pPr>
              <w:jc w:val="right"/>
              <w:ind w:right="920"/>
              <w:spacing w:after="0"/>
              <w:rPr>
                <w:rFonts w:ascii="Arial" w:cs="Arial" w:eastAsia="Arial" w:hAnsi="Arial"/>
                <w:sz w:val="18"/>
                <w:szCs w:val="18"/>
                <w:color w:val="0000EE"/>
              </w:rPr>
            </w:pPr>
            <w:hyperlink w:anchor="page59">
              <w:r>
                <w:rPr>
                  <w:rFonts w:ascii="Arial" w:cs="Arial" w:eastAsia="Arial" w:hAnsi="Arial"/>
                  <w:sz w:val="18"/>
                  <w:szCs w:val="18"/>
                  <w:color w:val="0000EE"/>
                </w:rPr>
                <w:t>54</w:t>
              </w:r>
            </w:hyperlink>
          </w:p>
        </w:tc>
      </w:tr>
      <w:tr>
        <w:trPr>
          <w:trHeight w:val="20"/>
        </w:trPr>
        <w:tc>
          <w:tcPr>
            <w:tcW w:w="920" w:type="dxa"/>
            <w:vAlign w:val="bottom"/>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1460" w:type="dxa"/>
            <w:vAlign w:val="bottom"/>
            <w:gridSpan w:val="3"/>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66"/>
        </w:trPr>
        <w:tc>
          <w:tcPr>
            <w:tcW w:w="920" w:type="dxa"/>
            <w:vAlign w:val="bottom"/>
          </w:tcPr>
          <w:p>
            <w:pPr>
              <w:spacing w:after="0"/>
              <w:rPr>
                <w:sz w:val="24"/>
                <w:szCs w:val="24"/>
                <w:color w:val="auto"/>
              </w:rPr>
            </w:pPr>
          </w:p>
        </w:tc>
        <w:tc>
          <w:tcPr>
            <w:tcW w:w="3380" w:type="dxa"/>
            <w:vAlign w:val="bottom"/>
            <w:gridSpan w:val="5"/>
          </w:tcPr>
          <w:p>
            <w:pPr>
              <w:spacing w:after="0"/>
              <w:rPr>
                <w:rFonts w:ascii="Arial" w:cs="Arial" w:eastAsia="Arial" w:hAnsi="Arial"/>
                <w:sz w:val="18"/>
                <w:szCs w:val="18"/>
                <w:b w:val="1"/>
                <w:bCs w:val="1"/>
                <w:color w:val="0000EE"/>
                <w:w w:val="99"/>
              </w:rPr>
            </w:pPr>
            <w:hyperlink w:anchor="page59">
              <w:r>
                <w:rPr>
                  <w:rFonts w:ascii="Arial" w:cs="Arial" w:eastAsia="Arial" w:hAnsi="Arial"/>
                  <w:sz w:val="18"/>
                  <w:szCs w:val="18"/>
                  <w:b w:val="1"/>
                  <w:bCs w:val="1"/>
                  <w:color w:val="0000EE"/>
                  <w:w w:val="99"/>
                </w:rPr>
                <w:t>LIST OF SHAREHOLDERS OF RECORD</w:t>
              </w:r>
            </w:hyperlink>
          </w:p>
        </w:tc>
        <w:tc>
          <w:tcPr>
            <w:tcW w:w="2560" w:type="dxa"/>
            <w:vAlign w:val="bottom"/>
            <w:gridSpan w:val="3"/>
          </w:tcPr>
          <w:p>
            <w:pPr>
              <w:spacing w:after="0"/>
              <w:rPr>
                <w:sz w:val="24"/>
                <w:szCs w:val="24"/>
                <w:color w:val="auto"/>
              </w:rPr>
            </w:pPr>
          </w:p>
        </w:tc>
        <w:tc>
          <w:tcPr>
            <w:tcW w:w="2040" w:type="dxa"/>
            <w:vAlign w:val="bottom"/>
            <w:gridSpan w:val="2"/>
          </w:tcPr>
          <w:p>
            <w:pPr>
              <w:spacing w:after="0"/>
              <w:rPr>
                <w:sz w:val="24"/>
                <w:szCs w:val="24"/>
                <w:color w:val="auto"/>
              </w:rPr>
            </w:pPr>
          </w:p>
        </w:tc>
        <w:tc>
          <w:tcPr>
            <w:tcW w:w="2120" w:type="dxa"/>
            <w:vAlign w:val="bottom"/>
            <w:gridSpan w:val="3"/>
          </w:tcPr>
          <w:p>
            <w:pPr>
              <w:jc w:val="right"/>
              <w:ind w:right="920"/>
              <w:spacing w:after="0"/>
              <w:rPr>
                <w:rFonts w:ascii="Arial" w:cs="Arial" w:eastAsia="Arial" w:hAnsi="Arial"/>
                <w:sz w:val="18"/>
                <w:szCs w:val="18"/>
                <w:color w:val="0000EE"/>
              </w:rPr>
            </w:pPr>
            <w:hyperlink w:anchor="page59">
              <w:r>
                <w:rPr>
                  <w:rFonts w:ascii="Arial" w:cs="Arial" w:eastAsia="Arial" w:hAnsi="Arial"/>
                  <w:sz w:val="18"/>
                  <w:szCs w:val="18"/>
                  <w:color w:val="0000EE"/>
                </w:rPr>
                <w:t>54</w:t>
              </w:r>
            </w:hyperlink>
          </w:p>
        </w:tc>
      </w:tr>
      <w:tr>
        <w:trPr>
          <w:trHeight w:val="20"/>
        </w:trPr>
        <w:tc>
          <w:tcPr>
            <w:tcW w:w="920" w:type="dxa"/>
            <w:vAlign w:val="bottom"/>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1460" w:type="dxa"/>
            <w:vAlign w:val="bottom"/>
            <w:gridSpan w:val="3"/>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66"/>
        </w:trPr>
        <w:tc>
          <w:tcPr>
            <w:tcW w:w="920" w:type="dxa"/>
            <w:vAlign w:val="bottom"/>
          </w:tcPr>
          <w:p>
            <w:pPr>
              <w:spacing w:after="0"/>
              <w:rPr>
                <w:sz w:val="24"/>
                <w:szCs w:val="24"/>
                <w:color w:val="auto"/>
              </w:rPr>
            </w:pPr>
          </w:p>
        </w:tc>
        <w:tc>
          <w:tcPr>
            <w:tcW w:w="4260" w:type="dxa"/>
            <w:vAlign w:val="bottom"/>
            <w:gridSpan w:val="6"/>
          </w:tcPr>
          <w:p>
            <w:pPr>
              <w:spacing w:after="0"/>
              <w:rPr>
                <w:rFonts w:ascii="Arial" w:cs="Arial" w:eastAsia="Arial" w:hAnsi="Arial"/>
                <w:sz w:val="18"/>
                <w:szCs w:val="18"/>
                <w:b w:val="1"/>
                <w:bCs w:val="1"/>
                <w:color w:val="0000EE"/>
                <w:w w:val="98"/>
              </w:rPr>
            </w:pPr>
            <w:hyperlink w:anchor="page59">
              <w:r>
                <w:rPr>
                  <w:rFonts w:ascii="Arial" w:cs="Arial" w:eastAsia="Arial" w:hAnsi="Arial"/>
                  <w:sz w:val="18"/>
                  <w:szCs w:val="18"/>
                  <w:b w:val="1"/>
                  <w:bCs w:val="1"/>
                  <w:color w:val="0000EE"/>
                  <w:w w:val="98"/>
                </w:rPr>
                <w:t>ANNUAL REPORT AND FINANCIAL STATEMENTS</w:t>
              </w:r>
            </w:hyperlink>
          </w:p>
        </w:tc>
        <w:tc>
          <w:tcPr>
            <w:tcW w:w="3720" w:type="dxa"/>
            <w:vAlign w:val="bottom"/>
            <w:gridSpan w:val="4"/>
          </w:tcPr>
          <w:p>
            <w:pPr>
              <w:spacing w:after="0"/>
              <w:rPr>
                <w:sz w:val="24"/>
                <w:szCs w:val="24"/>
                <w:color w:val="auto"/>
              </w:rPr>
            </w:pPr>
          </w:p>
        </w:tc>
        <w:tc>
          <w:tcPr>
            <w:tcW w:w="2120" w:type="dxa"/>
            <w:vAlign w:val="bottom"/>
            <w:gridSpan w:val="3"/>
          </w:tcPr>
          <w:p>
            <w:pPr>
              <w:jc w:val="right"/>
              <w:ind w:right="920"/>
              <w:spacing w:after="0"/>
              <w:rPr>
                <w:rFonts w:ascii="Arial" w:cs="Arial" w:eastAsia="Arial" w:hAnsi="Arial"/>
                <w:sz w:val="18"/>
                <w:szCs w:val="18"/>
                <w:color w:val="0000EE"/>
              </w:rPr>
            </w:pPr>
            <w:hyperlink w:anchor="page59">
              <w:r>
                <w:rPr>
                  <w:rFonts w:ascii="Arial" w:cs="Arial" w:eastAsia="Arial" w:hAnsi="Arial"/>
                  <w:sz w:val="18"/>
                  <w:szCs w:val="18"/>
                  <w:color w:val="0000EE"/>
                </w:rPr>
                <w:t>54</w:t>
              </w:r>
            </w:hyperlink>
          </w:p>
        </w:tc>
      </w:tr>
      <w:tr>
        <w:trPr>
          <w:trHeight w:val="20"/>
        </w:trPr>
        <w:tc>
          <w:tcPr>
            <w:tcW w:w="920" w:type="dxa"/>
            <w:vAlign w:val="bottom"/>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2340" w:type="dxa"/>
            <w:vAlign w:val="bottom"/>
            <w:gridSpan w:val="4"/>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66"/>
        </w:trPr>
        <w:tc>
          <w:tcPr>
            <w:tcW w:w="920" w:type="dxa"/>
            <w:vAlign w:val="bottom"/>
          </w:tcPr>
          <w:p>
            <w:pPr>
              <w:spacing w:after="0"/>
              <w:rPr>
                <w:sz w:val="24"/>
                <w:szCs w:val="24"/>
                <w:color w:val="auto"/>
              </w:rPr>
            </w:pPr>
          </w:p>
        </w:tc>
        <w:tc>
          <w:tcPr>
            <w:tcW w:w="5540" w:type="dxa"/>
            <w:vAlign w:val="bottom"/>
            <w:gridSpan w:val="7"/>
          </w:tcPr>
          <w:p>
            <w:pPr>
              <w:spacing w:after="0"/>
              <w:rPr>
                <w:rFonts w:ascii="Arial" w:cs="Arial" w:eastAsia="Arial" w:hAnsi="Arial"/>
                <w:sz w:val="18"/>
                <w:szCs w:val="18"/>
                <w:b w:val="1"/>
                <w:bCs w:val="1"/>
                <w:color w:val="0000EE"/>
                <w:w w:val="99"/>
              </w:rPr>
            </w:pPr>
            <w:hyperlink w:anchor="page60">
              <w:r>
                <w:rPr>
                  <w:rFonts w:ascii="Arial" w:cs="Arial" w:eastAsia="Arial" w:hAnsi="Arial"/>
                  <w:sz w:val="18"/>
                  <w:szCs w:val="18"/>
                  <w:b w:val="1"/>
                  <w:bCs w:val="1"/>
                  <w:color w:val="0000EE"/>
                  <w:w w:val="99"/>
                </w:rPr>
                <w:t>SHAREHOLDER PROPOSALS FOR THE 2022 ANNUAL MEETING</w:t>
              </w:r>
            </w:hyperlink>
          </w:p>
        </w:tc>
        <w:tc>
          <w:tcPr>
            <w:tcW w:w="2440" w:type="dxa"/>
            <w:vAlign w:val="bottom"/>
            <w:gridSpan w:val="3"/>
          </w:tcPr>
          <w:p>
            <w:pPr>
              <w:spacing w:after="0"/>
              <w:rPr>
                <w:sz w:val="24"/>
                <w:szCs w:val="24"/>
                <w:color w:val="auto"/>
              </w:rPr>
            </w:pPr>
          </w:p>
        </w:tc>
        <w:tc>
          <w:tcPr>
            <w:tcW w:w="2120" w:type="dxa"/>
            <w:vAlign w:val="bottom"/>
            <w:gridSpan w:val="3"/>
          </w:tcPr>
          <w:p>
            <w:pPr>
              <w:jc w:val="right"/>
              <w:ind w:right="920"/>
              <w:spacing w:after="0"/>
              <w:rPr>
                <w:rFonts w:ascii="Arial" w:cs="Arial" w:eastAsia="Arial" w:hAnsi="Arial"/>
                <w:sz w:val="18"/>
                <w:szCs w:val="18"/>
                <w:color w:val="0000EE"/>
              </w:rPr>
            </w:pPr>
            <w:hyperlink w:anchor="page60">
              <w:r>
                <w:rPr>
                  <w:rFonts w:ascii="Arial" w:cs="Arial" w:eastAsia="Arial" w:hAnsi="Arial"/>
                  <w:sz w:val="18"/>
                  <w:szCs w:val="18"/>
                  <w:color w:val="0000EE"/>
                </w:rPr>
                <w:t>55</w:t>
              </w:r>
            </w:hyperlink>
          </w:p>
        </w:tc>
      </w:tr>
      <w:tr>
        <w:trPr>
          <w:trHeight w:val="20"/>
        </w:trPr>
        <w:tc>
          <w:tcPr>
            <w:tcW w:w="920" w:type="dxa"/>
            <w:vAlign w:val="bottom"/>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3620" w:type="dxa"/>
            <w:vAlign w:val="bottom"/>
            <w:gridSpan w:val="5"/>
            <w:shd w:val="clear" w:color="auto" w:fill="0000EE"/>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66"/>
        </w:trPr>
        <w:tc>
          <w:tcPr>
            <w:tcW w:w="920" w:type="dxa"/>
            <w:vAlign w:val="bottom"/>
          </w:tcPr>
          <w:p>
            <w:pPr>
              <w:spacing w:after="0"/>
              <w:rPr>
                <w:sz w:val="24"/>
                <w:szCs w:val="24"/>
                <w:color w:val="auto"/>
              </w:rPr>
            </w:pPr>
          </w:p>
        </w:tc>
        <w:tc>
          <w:tcPr>
            <w:tcW w:w="5540" w:type="dxa"/>
            <w:vAlign w:val="bottom"/>
            <w:gridSpan w:val="7"/>
          </w:tcPr>
          <w:p>
            <w:pPr>
              <w:spacing w:after="0"/>
              <w:rPr>
                <w:rFonts w:ascii="Arial" w:cs="Arial" w:eastAsia="Arial" w:hAnsi="Arial"/>
                <w:sz w:val="18"/>
                <w:szCs w:val="18"/>
                <w:b w:val="1"/>
                <w:bCs w:val="1"/>
                <w:color w:val="0000EE"/>
              </w:rPr>
            </w:pPr>
            <w:hyperlink w:anchor="page60">
              <w:r>
                <w:rPr>
                  <w:rFonts w:ascii="Arial" w:cs="Arial" w:eastAsia="Arial" w:hAnsi="Arial"/>
                  <w:sz w:val="18"/>
                  <w:szCs w:val="18"/>
                  <w:b w:val="1"/>
                  <w:bCs w:val="1"/>
                  <w:color w:val="0000EE"/>
                </w:rPr>
                <w:t>OTHER INFORMATION</w:t>
              </w:r>
            </w:hyperlink>
          </w:p>
        </w:tc>
        <w:tc>
          <w:tcPr>
            <w:tcW w:w="2440" w:type="dxa"/>
            <w:vAlign w:val="bottom"/>
            <w:gridSpan w:val="3"/>
          </w:tcPr>
          <w:p>
            <w:pPr>
              <w:spacing w:after="0"/>
              <w:rPr>
                <w:sz w:val="24"/>
                <w:szCs w:val="24"/>
                <w:color w:val="auto"/>
              </w:rPr>
            </w:pPr>
          </w:p>
        </w:tc>
        <w:tc>
          <w:tcPr>
            <w:tcW w:w="2120" w:type="dxa"/>
            <w:vAlign w:val="bottom"/>
            <w:gridSpan w:val="3"/>
          </w:tcPr>
          <w:p>
            <w:pPr>
              <w:jc w:val="right"/>
              <w:ind w:right="920"/>
              <w:spacing w:after="0"/>
              <w:rPr>
                <w:rFonts w:ascii="Arial" w:cs="Arial" w:eastAsia="Arial" w:hAnsi="Arial"/>
                <w:sz w:val="18"/>
                <w:szCs w:val="18"/>
                <w:color w:val="0000EE"/>
              </w:rPr>
            </w:pPr>
            <w:hyperlink w:anchor="page60">
              <w:r>
                <w:rPr>
                  <w:rFonts w:ascii="Arial" w:cs="Arial" w:eastAsia="Arial" w:hAnsi="Arial"/>
                  <w:sz w:val="18"/>
                  <w:szCs w:val="18"/>
                  <w:color w:val="0000EE"/>
                </w:rPr>
                <w:t>55</w:t>
              </w:r>
            </w:hyperlink>
          </w:p>
        </w:tc>
      </w:tr>
      <w:tr>
        <w:trPr>
          <w:trHeight w:val="243"/>
        </w:trPr>
        <w:tc>
          <w:tcPr>
            <w:tcW w:w="920" w:type="dxa"/>
            <w:vAlign w:val="bottom"/>
            <w:tcBorders>
              <w:bottom w:val="single" w:sz="8" w:color="auto"/>
            </w:tcBorders>
          </w:tcPr>
          <w:p>
            <w:pPr>
              <w:spacing w:after="0"/>
              <w:rPr>
                <w:sz w:val="21"/>
                <w:szCs w:val="21"/>
                <w:color w:val="auto"/>
              </w:rPr>
            </w:pPr>
          </w:p>
        </w:tc>
        <w:tc>
          <w:tcPr>
            <w:tcW w:w="360" w:type="dxa"/>
            <w:vAlign w:val="bottom"/>
            <w:tcBorders>
              <w:top w:val="single" w:sz="8" w:color="0000EE"/>
              <w:bottom w:val="single" w:sz="8" w:color="auto"/>
            </w:tcBorders>
          </w:tcPr>
          <w:p>
            <w:pPr>
              <w:spacing w:after="0"/>
              <w:rPr>
                <w:sz w:val="21"/>
                <w:szCs w:val="21"/>
                <w:color w:val="auto"/>
              </w:rPr>
            </w:pPr>
          </w:p>
        </w:tc>
        <w:tc>
          <w:tcPr>
            <w:tcW w:w="1560" w:type="dxa"/>
            <w:vAlign w:val="bottom"/>
            <w:tcBorders>
              <w:top w:val="single" w:sz="8" w:color="0000EE"/>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00" w:type="dxa"/>
            <w:vAlign w:val="bottom"/>
            <w:tcBorders>
              <w:top w:val="single" w:sz="8" w:color="0000EE"/>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r>
    </w:tbl>
    <w:p>
      <w:pPr>
        <w:sectPr>
          <w:pgSz w:w="11900" w:h="16838" w:orient="portrait"/>
          <w:cols w:equalWidth="0" w:num="1">
            <w:col w:w="11020"/>
          </w:cols>
          <w:pgMar w:left="440" w:top="263" w:right="439" w:bottom="1440" w:gutter="0" w:footer="0" w:header="0"/>
        </w:sectPr>
      </w:pPr>
    </w:p>
    <w:bookmarkStart w:id="5" w:name="page6"/>
    <w:bookmarkEnd w:id="5"/>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93345</wp:posOffset>
            </wp:positionV>
            <wp:extent cx="1345565" cy="548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4556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This proxy statement is being furnished to shareholders of Itron, Inc. (the Company or Itron) in connection with the solicitation by our Board of Directors of proxies for use at the 2021 Annual Meeting of Shareholders. The meeting is scheduled to be held on May 13, 2021, at 9:00 a.m., Central Time, via live webcast through the link, for the purposes listed in the accompanying Notice of Annual Meeting of Shareholders. You will need the 16-digit control number provided on the Notice of Internet Availability of Proxy Materials or your proxy card (if applicable). We have made these materials available to you over the Internet, or have delivered printed versions of these materials to you by mail, in connection with the Board’s solicitation of proxies for use at the 2021 Annual Meeting. This solicitation is for proxies for use at the annual meeting or at any reconvened meeting after an adjournment or postponement of the annual meeting. The Company’s principal executive office is at 2111 North Molter Road, Liberty Lake, Washington, 99019.</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Attending the Annual Meeting</w:t>
      </w:r>
    </w:p>
    <w:p>
      <w:pPr>
        <w:spacing w:after="0" w:line="146" w:lineRule="exact"/>
        <w:rPr>
          <w:sz w:val="20"/>
          <w:szCs w:val="20"/>
          <w:color w:val="auto"/>
        </w:rPr>
      </w:pPr>
    </w:p>
    <w:p>
      <w:pPr>
        <w:ind w:right="60"/>
        <w:spacing w:after="0"/>
        <w:rPr>
          <w:sz w:val="20"/>
          <w:szCs w:val="20"/>
          <w:color w:val="auto"/>
        </w:rPr>
      </w:pPr>
      <w:r>
        <w:rPr>
          <w:rFonts w:ascii="Arial" w:cs="Arial" w:eastAsia="Arial" w:hAnsi="Arial"/>
          <w:sz w:val="18"/>
          <w:szCs w:val="18"/>
          <w:color w:val="auto"/>
        </w:rPr>
        <w:t xml:space="preserve">You are entitled to attend the virtual annual meeting only if you were a shareholder of record as of the Record Date for the annual meeting, or you hold a valid proxy for the annual meeting. You may attend the annual meeting, vote, submit a question, and view the list of registered shareholders as of the record date during the annual meeting by visiting </w:t>
      </w:r>
      <w:r>
        <w:rPr>
          <w:rFonts w:ascii="Arial" w:cs="Arial" w:eastAsia="Arial" w:hAnsi="Arial"/>
          <w:sz w:val="18"/>
          <w:szCs w:val="18"/>
          <w:b w:val="1"/>
          <w:bCs w:val="1"/>
          <w:color w:val="auto"/>
        </w:rPr>
        <w:t>www.virtualshareholdermeeting.com/ITRI2021</w:t>
      </w:r>
      <w:r>
        <w:rPr>
          <w:rFonts w:ascii="Arial" w:cs="Arial" w:eastAsia="Arial" w:hAnsi="Arial"/>
          <w:sz w:val="18"/>
          <w:szCs w:val="18"/>
          <w:color w:val="auto"/>
        </w:rPr>
        <w:t xml:space="preserve"> and using your 16-digit control number to enter the meeting. If you are not a shareholder of record but hold shares as a beneficial owner in street name, you may be required to provide proof of beneficial ownership, such as your most recent account statement as of the Record Date, a copy of the voting instruction form provided by your broker, bank, trustee, or nominee, or other similar evidence of ownership. If you do not comply with the procedures outlined above, you will not be admitted to the virtual annual meeting.</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Internet Availability of Annual Meeting Materials</w:t>
      </w:r>
    </w:p>
    <w:p>
      <w:pPr>
        <w:spacing w:after="0" w:line="146"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Our proxy materials will be available for you to access over the Internet. On or about March 26, 2021, we will mail to our shareholders a Notice of Internet Availability of Proxy Materials (Notice) directing shareholders to the website provided on the Notice where they can access our proxy materials and view instructions on how to vote via the Internet or by phone. The Notice will also provide instructions for obtaining paper copies of the proxy materials and a proxy card, if requested by a shareholder.</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proxy materials will be available for you to review online:</w:t>
      </w:r>
    </w:p>
    <w:p>
      <w:pPr>
        <w:spacing w:after="0" w:line="144" w:lineRule="exact"/>
        <w:rPr>
          <w:sz w:val="20"/>
          <w:szCs w:val="20"/>
          <w:color w:val="auto"/>
        </w:rPr>
      </w:pPr>
    </w:p>
    <w:p>
      <w:pPr>
        <w:ind w:left="700" w:hanging="346"/>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Company’s Notice of Annual Meeting of Shareholders;</w:t>
      </w:r>
    </w:p>
    <w:p>
      <w:pPr>
        <w:spacing w:after="0" w:line="144" w:lineRule="exact"/>
        <w:rPr>
          <w:rFonts w:ascii="Arial" w:cs="Arial" w:eastAsia="Arial" w:hAnsi="Arial"/>
          <w:sz w:val="18"/>
          <w:szCs w:val="18"/>
          <w:color w:val="auto"/>
        </w:rPr>
      </w:pPr>
    </w:p>
    <w:p>
      <w:pPr>
        <w:ind w:left="700" w:hanging="346"/>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Company’s 2021 Proxy Statement;</w:t>
      </w:r>
    </w:p>
    <w:p>
      <w:pPr>
        <w:spacing w:after="0" w:line="130" w:lineRule="exact"/>
        <w:rPr>
          <w:rFonts w:ascii="Arial" w:cs="Arial" w:eastAsia="Arial" w:hAnsi="Arial"/>
          <w:sz w:val="18"/>
          <w:szCs w:val="18"/>
          <w:color w:val="auto"/>
        </w:rPr>
      </w:pPr>
    </w:p>
    <w:p>
      <w:pPr>
        <w:ind w:left="700" w:right="480" w:hanging="346"/>
        <w:spacing w:after="0" w:line="276"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Company’s Annual Report to Shareholders for the year ended December 31, 2020 (which is not deemed to be part of the official proxy soliciting materials); and</w:t>
      </w:r>
    </w:p>
    <w:p>
      <w:pPr>
        <w:spacing w:after="0" w:line="77" w:lineRule="exact"/>
        <w:rPr>
          <w:rFonts w:ascii="Arial" w:cs="Arial" w:eastAsia="Arial" w:hAnsi="Arial"/>
          <w:sz w:val="18"/>
          <w:szCs w:val="18"/>
          <w:color w:val="auto"/>
        </w:rPr>
      </w:pPr>
    </w:p>
    <w:p>
      <w:pPr>
        <w:ind w:left="700" w:right="200" w:hanging="346"/>
        <w:spacing w:after="0" w:line="276"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amendments to the foregoing materials that may be required to be furnished to the shareholders by the Securities and Exchange Commission (SEC).</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Proposals to Be Voted on at the Annual Meeting</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At the annual meeting, we will consider and vote on the following proposals:</w:t>
      </w:r>
    </w:p>
    <w:p>
      <w:pPr>
        <w:spacing w:after="0" w:line="171" w:lineRule="exact"/>
        <w:rPr>
          <w:sz w:val="20"/>
          <w:szCs w:val="20"/>
          <w:color w:val="auto"/>
        </w:rPr>
      </w:pPr>
    </w:p>
    <w:p>
      <w:pPr>
        <w:ind w:left="700" w:right="200" w:hanging="346"/>
        <w:spacing w:after="0" w:line="276" w:lineRule="auto"/>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elect two directors to the Itron, Inc. Board of Directors, each for a term of three years ending upon our 2024 annual meeting of shareholders;</w:t>
      </w:r>
    </w:p>
    <w:p>
      <w:pPr>
        <w:spacing w:after="0" w:line="117" w:lineRule="exact"/>
        <w:rPr>
          <w:rFonts w:ascii="Arial" w:cs="Arial" w:eastAsia="Arial" w:hAnsi="Arial"/>
          <w:sz w:val="18"/>
          <w:szCs w:val="18"/>
          <w:color w:val="auto"/>
        </w:rPr>
      </w:pPr>
    </w:p>
    <w:p>
      <w:pPr>
        <w:ind w:left="700" w:right="340" w:hanging="346"/>
        <w:spacing w:after="0" w:line="276" w:lineRule="auto"/>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on a non-binding advisory basis, the compensation of our named executive officers for the fiscal year that ended December 31, 2020 (Say-on-Pay vote);</w:t>
      </w:r>
    </w:p>
    <w:p>
      <w:pPr>
        <w:spacing w:after="0" w:line="104" w:lineRule="exact"/>
        <w:rPr>
          <w:rFonts w:ascii="Arial" w:cs="Arial" w:eastAsia="Arial" w:hAnsi="Arial"/>
          <w:sz w:val="18"/>
          <w:szCs w:val="18"/>
          <w:color w:val="auto"/>
        </w:rPr>
      </w:pPr>
    </w:p>
    <w:p>
      <w:pPr>
        <w:ind w:left="700" w:right="600" w:hanging="346"/>
        <w:spacing w:after="0" w:line="276" w:lineRule="auto"/>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ratify the appointment of Deloitte &amp; Touche LLP as the Company’s independent registered public accountant for the 2021 fiscal year; and</w:t>
      </w:r>
    </w:p>
    <w:p>
      <w:pPr>
        <w:spacing w:after="0" w:line="104" w:lineRule="exact"/>
        <w:rPr>
          <w:rFonts w:ascii="Arial" w:cs="Arial" w:eastAsia="Arial" w:hAnsi="Arial"/>
          <w:sz w:val="18"/>
          <w:szCs w:val="18"/>
          <w:color w:val="auto"/>
        </w:rPr>
      </w:pPr>
    </w:p>
    <w:p>
      <w:pPr>
        <w:ind w:left="700" w:hanging="346"/>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transact any other business that may properly come before the annual meeting.</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165735</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60"/>
          </w:cols>
          <w:pgMar w:left="1360" w:top="263" w:right="1379" w:bottom="1440" w:gutter="0" w:footer="0" w:header="0"/>
        </w:sectPr>
      </w:pPr>
    </w:p>
    <w:bookmarkStart w:id="6" w:name="page7"/>
    <w:bookmarkEnd w:id="6"/>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 and Outstanding Shares</w:t>
      </w:r>
    </w:p>
    <w:p>
      <w:pPr>
        <w:spacing w:after="0" w:line="187" w:lineRule="exact"/>
        <w:rPr>
          <w:sz w:val="20"/>
          <w:szCs w:val="20"/>
          <w:color w:val="auto"/>
        </w:rPr>
      </w:pPr>
    </w:p>
    <w:p>
      <w:pPr>
        <w:ind w:right="20"/>
        <w:spacing w:after="0"/>
        <w:rPr>
          <w:sz w:val="20"/>
          <w:szCs w:val="20"/>
          <w:color w:val="auto"/>
        </w:rPr>
      </w:pPr>
      <w:r>
        <w:rPr>
          <w:rFonts w:ascii="Arial" w:cs="Arial" w:eastAsia="Arial" w:hAnsi="Arial"/>
          <w:sz w:val="18"/>
          <w:szCs w:val="18"/>
          <w:color w:val="auto"/>
        </w:rPr>
        <w:t>Holders of record of our common stock at the close of business on March 16, 2021, are entitled to notice of, and to vote at, the annual meeting. On the record date, there were 45,121,684 shares of our common stock outstanding. Each outstanding share of our common stock will entitle its holder to one vote on each of the two directors to be elected and one vote on each other matter to be voted on at the annual meeting. Each of our directors and executive officers intends to vote or direct the vote of all shares of common stock over which he or she has voting control in favor of: (1) the election of the nominees for director; (2) the advisory approval of the compensation we paid our named executive officers in 2020; and (3) the ratification of Deloitte &amp; Touche LLP as our independent registered public accountant for the 2021 fiscal year.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and Voting</w:t>
      </w:r>
    </w:p>
    <w:p>
      <w:pPr>
        <w:spacing w:after="0" w:line="187" w:lineRule="exact"/>
        <w:rPr>
          <w:sz w:val="20"/>
          <w:szCs w:val="20"/>
          <w:color w:val="auto"/>
        </w:rPr>
      </w:pPr>
    </w:p>
    <w:p>
      <w:pPr>
        <w:ind w:right="200"/>
        <w:spacing w:after="0" w:line="241" w:lineRule="auto"/>
        <w:rPr>
          <w:sz w:val="20"/>
          <w:szCs w:val="20"/>
          <w:color w:val="auto"/>
        </w:rPr>
      </w:pPr>
      <w:r>
        <w:rPr>
          <w:rFonts w:ascii="Arial" w:cs="Arial" w:eastAsia="Arial" w:hAnsi="Arial"/>
          <w:sz w:val="18"/>
          <w:szCs w:val="18"/>
          <w:color w:val="auto"/>
        </w:rPr>
        <w:t>Each shareholder is entitled to one vote per share of common stock held on each matter to be voted on. Our annual meeting will be through a virtual-only format solely through means of remote communication, and participation by such means shall constitute presence in person at the meeting. The presence at the annual meeting, in person or by proxy, of holders of a majority of the outstanding shares of common stock on the record date will constitute a quorum. Attendance by abstentions and “broker non-votes” (shares held by a broker or nominee who does not have the authority, express or discretionary, to vote on a particular matter) on any of the proposals to be voted on will be counted only for purposes of determining the presence of a quorum.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Vote Your Shares in Person and Participate at the Annual Meeting</w:t>
      </w:r>
    </w:p>
    <w:p>
      <w:pPr>
        <w:spacing w:after="0" w:line="187" w:lineRule="exact"/>
        <w:rPr>
          <w:sz w:val="20"/>
          <w:szCs w:val="20"/>
          <w:color w:val="auto"/>
        </w:rPr>
      </w:pPr>
    </w:p>
    <w:p>
      <w:pPr>
        <w:ind w:right="80"/>
        <w:spacing w:after="0"/>
        <w:rPr>
          <w:sz w:val="20"/>
          <w:szCs w:val="20"/>
          <w:color w:val="auto"/>
        </w:rPr>
      </w:pPr>
      <w:r>
        <w:rPr>
          <w:rFonts w:ascii="Arial" w:cs="Arial" w:eastAsia="Arial" w:hAnsi="Arial"/>
          <w:sz w:val="18"/>
          <w:szCs w:val="18"/>
          <w:color w:val="auto"/>
        </w:rPr>
        <w:t xml:space="preserve">This year’s annual meeting will be held entirely online. Shareholders may participate in the annual meeting by visiting the following website: </w:t>
      </w:r>
      <w:r>
        <w:rPr>
          <w:rFonts w:ascii="Arial" w:cs="Arial" w:eastAsia="Arial" w:hAnsi="Arial"/>
          <w:sz w:val="18"/>
          <w:szCs w:val="18"/>
          <w:b w:val="1"/>
          <w:bCs w:val="1"/>
          <w:color w:val="auto"/>
        </w:rPr>
        <w:t>www.virtualshareholdermeeting.com/ITRI2021</w:t>
      </w:r>
      <w:r>
        <w:rPr>
          <w:rFonts w:ascii="Arial" w:cs="Arial" w:eastAsia="Arial" w:hAnsi="Arial"/>
          <w:sz w:val="18"/>
          <w:szCs w:val="18"/>
          <w:color w:val="auto"/>
        </w:rPr>
        <w:t>. To participate in the meeting, you will need the 16-digit control number included on your Notice, on your proxy card or on the instructions that accompanied your proxy materials. Shares held in your name as the shareholder of record may be voted electronically during the annual meeting. Shares for which you are the beneficial owner but not the shareholder of record also may be voted electronically during the annual meeting. However, even if you plan to attend the annual meeting, the Company recommends that you vote your shares in advance, so that your vote will be counted if you later decide not to attend the annual meeting.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Vote Your Shares without Attending the Annual Meeting</w:t>
      </w:r>
    </w:p>
    <w:p>
      <w:pPr>
        <w:spacing w:after="0" w:line="187"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To vote your shares without attending the meeting, please follow the instructions for Internet or telephone voting on the Notice. If you request printed copies of the proxy materials by mail, you may also vote by signing and submitting your proxy card and returning it by mail, if you are the shareholder of record, or by signing the voter instruction form provided by your bank or broker and returning it by mail, if you are the beneficial owner but not the shareholder of record. This way your shares will be represented whether or not you are able to attend the meeting.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You may vote your shares in one of several ways, depending on how you own your shares.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Registered Shareholders (Shares held in your name)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Registered shareholders can vote in person, by Internet, by telephone, or by mail, by casting their vote as follows:</w:t>
      </w:r>
    </w:p>
    <w:p>
      <w:pPr>
        <w:spacing w:after="0" w:line="185" w:lineRule="exact"/>
        <w:rPr>
          <w:sz w:val="20"/>
          <w:szCs w:val="20"/>
          <w:color w:val="auto"/>
        </w:rPr>
      </w:pPr>
    </w:p>
    <w:p>
      <w:pPr>
        <w:ind w:left="700" w:right="40" w:hanging="346"/>
        <w:spacing w:after="0" w:line="255" w:lineRule="auto"/>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Accessing the Internet website specified in the Notice of Internet Availability and following the instructions provided on the website (or if printed copies of the proxy materials were requested, as specified in the printed proxy card); or</w:t>
      </w:r>
    </w:p>
    <w:p>
      <w:pPr>
        <w:spacing w:after="0" w:line="123" w:lineRule="exact"/>
        <w:rPr>
          <w:rFonts w:ascii="Arial" w:cs="Arial" w:eastAsia="Arial" w:hAnsi="Arial"/>
          <w:sz w:val="18"/>
          <w:szCs w:val="18"/>
          <w:color w:val="auto"/>
        </w:rPr>
      </w:pPr>
    </w:p>
    <w:p>
      <w:pPr>
        <w:jc w:val="both"/>
        <w:ind w:left="700" w:right="80" w:hanging="346"/>
        <w:spacing w:after="0" w:line="255" w:lineRule="auto"/>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Requesting a printed proxy card and either calling the telephone number specified on the proxy card and following the instructions provided on the phone line, or completing, signing, dating, and promptly mailing the proxy card in the envelope provided; or</w:t>
      </w:r>
    </w:p>
    <w:p>
      <w:pPr>
        <w:spacing w:after="0" w:line="123" w:lineRule="exact"/>
        <w:rPr>
          <w:rFonts w:ascii="Arial" w:cs="Arial" w:eastAsia="Arial" w:hAnsi="Arial"/>
          <w:sz w:val="18"/>
          <w:szCs w:val="18"/>
          <w:color w:val="auto"/>
        </w:rPr>
      </w:pPr>
    </w:p>
    <w:p>
      <w:pPr>
        <w:ind w:left="700" w:hanging="346"/>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Attending and voting in person at the annual meeting.</w:t>
      </w:r>
    </w:p>
    <w:p>
      <w:pPr>
        <w:spacing w:after="0" w:line="32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165735</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20"/>
          </w:cols>
          <w:pgMar w:left="1360" w:top="263" w:right="1419" w:bottom="1440" w:gutter="0" w:footer="0" w:header="0"/>
        </w:sectPr>
      </w:pPr>
    </w:p>
    <w:bookmarkStart w:id="7" w:name="page8"/>
    <w:bookmarkEnd w:id="7"/>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122"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b w:val="1"/>
          <w:bCs w:val="1"/>
          <w:u w:val="single" w:color="auto"/>
          <w:color w:val="auto"/>
        </w:rPr>
        <w:t>Beneficial Shareholders (Shares held in the name of a broker, bank or other holder of record on your behalf)</w:t>
      </w:r>
    </w:p>
    <w:p>
      <w:pPr>
        <w:spacing w:after="0" w:line="101" w:lineRule="exact"/>
        <w:rPr>
          <w:sz w:val="20"/>
          <w:szCs w:val="20"/>
          <w:color w:val="auto"/>
        </w:rPr>
      </w:pPr>
    </w:p>
    <w:p>
      <w:pPr>
        <w:ind w:right="640"/>
        <w:spacing w:after="0" w:line="306" w:lineRule="auto"/>
        <w:rPr>
          <w:sz w:val="20"/>
          <w:szCs w:val="20"/>
          <w:color w:val="auto"/>
        </w:rPr>
      </w:pPr>
      <w:r>
        <w:rPr>
          <w:rFonts w:ascii="Arial" w:cs="Arial" w:eastAsia="Arial" w:hAnsi="Arial"/>
          <w:sz w:val="17"/>
          <w:szCs w:val="17"/>
          <w:color w:val="auto"/>
        </w:rPr>
        <w:t>If your shares are held in the name of a broker, bank, or other nominee or holder of record, follow the voting instructions on the voting instruction form provided to you by the holder of record to vote your shares.</w:t>
      </w:r>
    </w:p>
    <w:p>
      <w:pPr>
        <w:spacing w:after="0" w:line="82"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i w:val="1"/>
          <w:iCs w:val="1"/>
          <w:u w:val="single" w:color="auto"/>
          <w:color w:val="auto"/>
        </w:rPr>
        <w:t>Proposal One – Election of Directors</w:t>
      </w:r>
      <w:r>
        <w:rPr>
          <w:rFonts w:ascii="Arial" w:cs="Arial" w:eastAsia="Arial" w:hAnsi="Arial"/>
          <w:sz w:val="18"/>
          <w:szCs w:val="18"/>
          <w:color w:val="auto"/>
        </w:rPr>
        <w:t>: Each nominee for director is elected by the vote of the majority of the votes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cast with respect to that director’s election (meaning the number of votes cast “for” a nominee must exceed the number of votes cast “against” such nominee). Holders of common stock are not entitled to cumulative votes in the election of directors. Abstentions from voting on this matter will not be counted. Brokers and other holders of record do not have discretionary voting authority to vote your shares in the election of directors, absent voting instructions from you. Therefore, if you are a beneficial shareholder and do not provide voting instructions on proposal number one to the holder of record for your shares, they will </w:t>
      </w:r>
      <w:r>
        <w:rPr>
          <w:rFonts w:ascii="Arial" w:cs="Arial" w:eastAsia="Arial" w:hAnsi="Arial"/>
          <w:sz w:val="18"/>
          <w:szCs w:val="18"/>
          <w:i w:val="1"/>
          <w:iCs w:val="1"/>
          <w:color w:val="auto"/>
        </w:rPr>
        <w:t>not</w:t>
      </w:r>
      <w:r>
        <w:rPr>
          <w:rFonts w:ascii="Arial" w:cs="Arial" w:eastAsia="Arial" w:hAnsi="Arial"/>
          <w:sz w:val="18"/>
          <w:szCs w:val="18"/>
          <w:color w:val="auto"/>
        </w:rPr>
        <w:t xml:space="preserve"> be voted in the election of directors.</w:t>
      </w:r>
    </w:p>
    <w:p>
      <w:pPr>
        <w:spacing w:after="0" w:line="138"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i w:val="1"/>
          <w:iCs w:val="1"/>
          <w:u w:val="single" w:color="auto"/>
          <w:color w:val="auto"/>
        </w:rPr>
        <w:t>Proposal Two – Say-on-Pay Vote (non-binding)</w:t>
      </w:r>
      <w:r>
        <w:rPr>
          <w:rFonts w:ascii="Arial" w:cs="Arial" w:eastAsia="Arial" w:hAnsi="Arial"/>
          <w:sz w:val="17"/>
          <w:szCs w:val="17"/>
          <w:color w:val="auto"/>
        </w:rPr>
        <w:t>: The non-binding advisory vote on this proposal will be approved if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majority of votes cast are in favor of the proposal (meaning the number of votes cast “for” the proposal must exceed the number of votes cast “against” the proposal). Abstentions from voting on this matter will not be counted. Brokers and other holders of record do not have discretionary voting authority to vote your shares for this proposal, absent voting instructions from you. Therefore, if you are a beneficial shareholder and do not provide voting instructions on proposal number two to the holder of record for your shares, they will </w:t>
      </w:r>
      <w:r>
        <w:rPr>
          <w:rFonts w:ascii="Arial" w:cs="Arial" w:eastAsia="Arial" w:hAnsi="Arial"/>
          <w:sz w:val="17"/>
          <w:szCs w:val="17"/>
          <w:i w:val="1"/>
          <w:iCs w:val="1"/>
          <w:color w:val="auto"/>
        </w:rPr>
        <w:t>not</w:t>
      </w:r>
      <w:r>
        <w:rPr>
          <w:rFonts w:ascii="Arial" w:cs="Arial" w:eastAsia="Arial" w:hAnsi="Arial"/>
          <w:sz w:val="17"/>
          <w:szCs w:val="17"/>
          <w:color w:val="auto"/>
        </w:rPr>
        <w:t xml:space="preserve"> be voted on this proposal.</w:t>
      </w:r>
    </w:p>
    <w:p>
      <w:pPr>
        <w:spacing w:after="0" w:line="133" w:lineRule="exact"/>
        <w:rPr>
          <w:sz w:val="20"/>
          <w:szCs w:val="20"/>
          <w:color w:val="auto"/>
        </w:rPr>
      </w:pPr>
    </w:p>
    <w:p>
      <w:pPr>
        <w:spacing w:after="0" w:line="243" w:lineRule="auto"/>
        <w:rPr>
          <w:sz w:val="20"/>
          <w:szCs w:val="20"/>
          <w:color w:val="auto"/>
        </w:rPr>
      </w:pPr>
      <w:r>
        <w:rPr>
          <w:rFonts w:ascii="Arial" w:cs="Arial" w:eastAsia="Arial" w:hAnsi="Arial"/>
          <w:sz w:val="18"/>
          <w:szCs w:val="18"/>
          <w:i w:val="1"/>
          <w:iCs w:val="1"/>
          <w:u w:val="single" w:color="auto"/>
          <w:color w:val="auto"/>
        </w:rPr>
        <w:t>Proposal Three – Ratification of Appointment of Independent Auditor</w:t>
      </w:r>
      <w:r>
        <w:rPr>
          <w:rFonts w:ascii="Arial" w:cs="Arial" w:eastAsia="Arial" w:hAnsi="Arial"/>
          <w:sz w:val="18"/>
          <w:szCs w:val="18"/>
          <w:color w:val="auto"/>
        </w:rPr>
        <w:t>: The appointment of Deloitte &amp; Touche LLP as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Company’s independent registered public accountant for 2021 will be ratified if the majority of the votes cast are in favor of the proposal (meaning the number of votes cast “for” the proposal must exceed the number of votes cast “against” the proposal). Abstentions from voting on this matter will not be counted. Brokers and other holders of record </w:t>
      </w:r>
      <w:r>
        <w:rPr>
          <w:rFonts w:ascii="Arial" w:cs="Arial" w:eastAsia="Arial" w:hAnsi="Arial"/>
          <w:sz w:val="18"/>
          <w:szCs w:val="18"/>
          <w:i w:val="1"/>
          <w:iCs w:val="1"/>
          <w:color w:val="auto"/>
        </w:rPr>
        <w:t>do</w:t>
      </w:r>
      <w:r>
        <w:rPr>
          <w:rFonts w:ascii="Arial" w:cs="Arial" w:eastAsia="Arial" w:hAnsi="Arial"/>
          <w:sz w:val="18"/>
          <w:szCs w:val="18"/>
          <w:color w:val="auto"/>
        </w:rPr>
        <w:t xml:space="preserve"> have discretionary authority to vote shares on this matter. Therefore, there will be no broker non-votes on the ratification of the Company’s independent registered public accountant.</w:t>
      </w:r>
    </w:p>
    <w:p>
      <w:pPr>
        <w:spacing w:after="0" w:line="133" w:lineRule="exact"/>
        <w:rPr>
          <w:sz w:val="20"/>
          <w:szCs w:val="20"/>
          <w:color w:val="auto"/>
        </w:rPr>
      </w:pPr>
    </w:p>
    <w:p>
      <w:pPr>
        <w:ind w:right="320"/>
        <w:spacing w:after="0" w:line="248" w:lineRule="auto"/>
        <w:rPr>
          <w:sz w:val="20"/>
          <w:szCs w:val="20"/>
          <w:color w:val="auto"/>
        </w:rPr>
      </w:pPr>
      <w:r>
        <w:rPr>
          <w:rFonts w:ascii="Arial" w:cs="Arial" w:eastAsia="Arial" w:hAnsi="Arial"/>
          <w:sz w:val="18"/>
          <w:szCs w:val="18"/>
          <w:color w:val="auto"/>
        </w:rPr>
        <w:t>Unless contrary instructions are specified, if the proxy is completed and submitted (and not revoked) prior to the annual meeting, the shares represented by the proxy will be voted as follows: (i) FOR proposals one, two, and three; and (ii) in accordance with the best judgment of the named proxies on any other matters properly brought before the annual meeting.</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Revocability of Proxies</w:t>
      </w:r>
    </w:p>
    <w:p>
      <w:pPr>
        <w:spacing w:after="0" w:line="17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Shares represented at the annual meeting by properly signed proxies will be voted at the annual meeting in accordance with the instructions given in the proxy. A shareholder may revoke a proxy at any time before the vote. Mere attendance at the annual meeting will not revoke a proxy. A proxy may be revoked only by:</w:t>
      </w:r>
    </w:p>
    <w:p>
      <w:pPr>
        <w:spacing w:after="0" w:line="137" w:lineRule="exact"/>
        <w:rPr>
          <w:sz w:val="20"/>
          <w:szCs w:val="20"/>
          <w:color w:val="auto"/>
        </w:rPr>
      </w:pPr>
    </w:p>
    <w:p>
      <w:pPr>
        <w:ind w:left="700" w:right="120" w:hanging="346"/>
        <w:spacing w:after="0" w:line="276"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submitting a later-dated proxy by mail, by Internet or by telephone for the same shares at any time before the proxy is voted;</w:t>
      </w:r>
    </w:p>
    <w:p>
      <w:pPr>
        <w:spacing w:after="0" w:line="104" w:lineRule="exact"/>
        <w:rPr>
          <w:rFonts w:ascii="Arial" w:cs="Arial" w:eastAsia="Arial" w:hAnsi="Arial"/>
          <w:sz w:val="18"/>
          <w:szCs w:val="18"/>
          <w:color w:val="auto"/>
        </w:rPr>
      </w:pPr>
    </w:p>
    <w:p>
      <w:pPr>
        <w:ind w:left="700" w:right="240" w:hanging="346"/>
        <w:spacing w:after="0" w:line="276"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delivering written notice of revocation to the Corporate Secretary of the Company at any time before the vote; or</w:t>
      </w:r>
    </w:p>
    <w:p>
      <w:pPr>
        <w:spacing w:after="0" w:line="104" w:lineRule="exact"/>
        <w:rPr>
          <w:rFonts w:ascii="Arial" w:cs="Arial" w:eastAsia="Arial" w:hAnsi="Arial"/>
          <w:sz w:val="18"/>
          <w:szCs w:val="18"/>
          <w:color w:val="auto"/>
        </w:rPr>
      </w:pPr>
    </w:p>
    <w:p>
      <w:pPr>
        <w:ind w:left="700" w:hanging="346"/>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attending the annual meeting </w:t>
      </w:r>
      <w:r>
        <w:rPr>
          <w:rFonts w:ascii="Arial" w:cs="Arial" w:eastAsia="Arial" w:hAnsi="Arial"/>
          <w:sz w:val="18"/>
          <w:szCs w:val="18"/>
          <w:i w:val="1"/>
          <w:iCs w:val="1"/>
          <w:color w:val="auto"/>
        </w:rPr>
        <w:t>and</w:t>
      </w:r>
      <w:r>
        <w:rPr>
          <w:rFonts w:ascii="Arial" w:cs="Arial" w:eastAsia="Arial" w:hAnsi="Arial"/>
          <w:sz w:val="18"/>
          <w:szCs w:val="18"/>
          <w:color w:val="auto"/>
        </w:rPr>
        <w:t xml:space="preserve"> voting in person.</w:t>
      </w:r>
    </w:p>
    <w:p>
      <w:pPr>
        <w:spacing w:after="0" w:line="185" w:lineRule="exact"/>
        <w:rPr>
          <w:sz w:val="20"/>
          <w:szCs w:val="20"/>
          <w:color w:val="auto"/>
        </w:rPr>
      </w:pPr>
    </w:p>
    <w:p>
      <w:pPr>
        <w:ind w:right="480"/>
        <w:spacing w:after="0" w:line="248" w:lineRule="auto"/>
        <w:rPr>
          <w:sz w:val="20"/>
          <w:szCs w:val="20"/>
          <w:color w:val="auto"/>
        </w:rPr>
      </w:pPr>
      <w:r>
        <w:rPr>
          <w:rFonts w:ascii="Arial" w:cs="Arial" w:eastAsia="Arial" w:hAnsi="Arial"/>
          <w:sz w:val="18"/>
          <w:szCs w:val="18"/>
          <w:color w:val="auto"/>
        </w:rPr>
        <w:t>If the annual meeting is postponed or adjourned for any reason, at any subsequent reconvening of the annual meeting, all proxies will be voted in the same manner as the proxies would have been voted at the original convening of the annual meeting (except for any proxies that have at that time effectively been revoked or withdrawn).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Solicitation</w:t>
      </w:r>
    </w:p>
    <w:p>
      <w:pPr>
        <w:spacing w:after="0" w:line="173"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For the 2021 annual meeting, we have retained Broadridge Financial Solutions, Inc. to aid in the solicitation of proxies. We will bear the cost of such solicitation of proxies, which we estimate will be approximately $10,000, plus expenses. Proxies may be solicited by personal contact, mail, email, telephone, or facsimile. In addition, we may reimburse brokerage firms and other persons representing beneficial owners of our common stock for their reasonable expenses in forwarding solicitation materials to the beneficial owners. Our directors, officers, and employees may also solicit proxies personally or by telephone, without additional compensation.</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157480</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263" w:right="1359" w:bottom="1440" w:gutter="0" w:footer="0" w:header="0"/>
        </w:sectPr>
      </w:pPr>
    </w:p>
    <w:bookmarkStart w:id="8" w:name="page9"/>
    <w:bookmarkEnd w:id="8"/>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1 – ELECTION OF DIRECTORS</w:t>
      </w:r>
    </w:p>
    <w:p>
      <w:pPr>
        <w:spacing w:after="0" w:line="187"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The Board of Directors (Board) is divided into three classes, with each director holding office for a three-year term or until his or her successor has been duly elected and qualified, or until his or her death, resignation, or removal from office. At the 2021 Annual Meeting of Shareholders (Annual Meeting), shareholders are being asked to re-elect two Class 2 directors for terms of three years or until their death, resignation, or removal from office or their successors are duly elected and qualified. Unless authority is withheld, the persons named as proxies will vote for the election of the nominees listed below. If any of the nominees become unavailable to serve, the persons named as proxies will have discretionary authority to vote for a substitute nominee.</w:t>
      </w:r>
    </w:p>
    <w:p>
      <w:pPr>
        <w:spacing w:after="0" w:line="138" w:lineRule="exact"/>
        <w:rPr>
          <w:sz w:val="20"/>
          <w:szCs w:val="20"/>
          <w:color w:val="auto"/>
        </w:rPr>
      </w:pPr>
    </w:p>
    <w:p>
      <w:pPr>
        <w:ind w:right="60"/>
        <w:spacing w:after="0" w:line="276" w:lineRule="auto"/>
        <w:rPr>
          <w:sz w:val="20"/>
          <w:szCs w:val="20"/>
          <w:color w:val="auto"/>
        </w:rPr>
      </w:pPr>
      <w:r>
        <w:rPr>
          <w:rFonts w:ascii="Arial" w:cs="Arial" w:eastAsia="Arial" w:hAnsi="Arial"/>
          <w:sz w:val="18"/>
          <w:szCs w:val="18"/>
          <w:color w:val="auto"/>
        </w:rPr>
        <w:t>Our Board has nominated the following persons for election to the Board. Each nominee is currently a director and has indicated that he or she is willing and able to continue to serve as a director.</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Class 2 (to serve until the 2024 annual meeting)</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Thomas L. Deitrich</w:t>
      </w:r>
    </w:p>
    <w:p>
      <w:pPr>
        <w:jc w:val="center"/>
        <w:ind w:right="-19"/>
        <w:spacing w:after="0"/>
        <w:rPr>
          <w:sz w:val="20"/>
          <w:szCs w:val="20"/>
          <w:color w:val="auto"/>
        </w:rPr>
      </w:pPr>
      <w:r>
        <w:rPr>
          <w:rFonts w:ascii="Arial" w:cs="Arial" w:eastAsia="Arial" w:hAnsi="Arial"/>
          <w:sz w:val="18"/>
          <w:szCs w:val="18"/>
          <w:color w:val="auto"/>
        </w:rPr>
        <w:t>Timothy M. Leyden</w:t>
      </w:r>
    </w:p>
    <w:p>
      <w:pPr>
        <w:spacing w:after="0" w:line="149"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We have concluded that each of the nominees for re-election, as well as the other directors who will continue in office, have the skills, experience, knowledge, and personal attributes that are necessary to effectively serve on our Board. As described below in their biographies and the section “</w:t>
      </w:r>
      <w:r>
        <w:rPr>
          <w:rFonts w:ascii="Arial" w:cs="Arial" w:eastAsia="Arial" w:hAnsi="Arial"/>
          <w:sz w:val="18"/>
          <w:szCs w:val="18"/>
          <w:i w:val="1"/>
          <w:iCs w:val="1"/>
          <w:color w:val="auto"/>
        </w:rPr>
        <w:t>Director and Director Nominee Qualifications</w:t>
      </w:r>
      <w:r>
        <w:rPr>
          <w:rFonts w:ascii="Arial" w:cs="Arial" w:eastAsia="Arial" w:hAnsi="Arial"/>
          <w:sz w:val="18"/>
          <w:szCs w:val="18"/>
          <w:color w:val="auto"/>
        </w:rPr>
        <w:t>” that follows, the qualifications of our directors and director nominees support our conclusion that each of the individuals should serve as a director in light of our current business operations and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1539240</wp:posOffset>
            </wp:positionH>
            <wp:positionV relativeFrom="paragraph">
              <wp:posOffset>38100</wp:posOffset>
            </wp:positionV>
            <wp:extent cx="248285" cy="5918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48285" cy="591820"/>
                    </a:xfrm>
                    <a:prstGeom prst="rect">
                      <a:avLst/>
                    </a:prstGeom>
                    <a:noFill/>
                  </pic:spPr>
                </pic:pic>
              </a:graphicData>
            </a:graphic>
          </wp:anchor>
        </w:drawing>
      </w:r>
    </w:p>
    <w:p>
      <w:pPr>
        <w:spacing w:after="0" w:line="231"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The Board recommends that shareholders</w:t>
      </w:r>
    </w:p>
    <w:p>
      <w:pPr>
        <w:spacing w:after="0" w:line="15"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vote “FOR” the election of each of the Class 2</w:t>
      </w:r>
    </w:p>
    <w:p>
      <w:pPr>
        <w:ind w:left="2920"/>
        <w:spacing w:after="0"/>
        <w:rPr>
          <w:sz w:val="20"/>
          <w:szCs w:val="20"/>
          <w:color w:val="auto"/>
        </w:rPr>
      </w:pPr>
      <w:r>
        <w:rPr>
          <w:rFonts w:ascii="Arial" w:cs="Arial" w:eastAsia="Arial" w:hAnsi="Arial"/>
          <w:sz w:val="18"/>
          <w:szCs w:val="18"/>
          <w:b w:val="1"/>
          <w:bCs w:val="1"/>
          <w:color w:val="auto"/>
        </w:rPr>
        <w:t>director nominees.</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MORE INFORMATION ABOUT OUR DIRECTORS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2 Director Nominees – Three Year Terms That Will Expire 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582930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829300" cy="137160"/>
                    </a:xfrm>
                    <a:prstGeom prst="rect">
                      <a:avLst/>
                    </a:prstGeom>
                    <a:noFill/>
                  </pic:spPr>
                </pic:pic>
              </a:graphicData>
            </a:graphic>
          </wp:anchor>
        </w:drawing>
      </w:r>
    </w:p>
    <w:p>
      <w:pPr>
        <w:spacing w:after="0" w:line="324"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980" w:type="dxa"/>
            <w:vAlign w:val="bottom"/>
          </w:tcPr>
          <w:p>
            <w:pPr>
              <w:spacing w:after="0"/>
              <w:rPr>
                <w:sz w:val="20"/>
                <w:szCs w:val="20"/>
                <w:color w:val="auto"/>
              </w:rPr>
            </w:pPr>
            <w:r>
              <w:rPr>
                <w:rFonts w:ascii="Arial" w:cs="Arial" w:eastAsia="Arial" w:hAnsi="Arial"/>
                <w:sz w:val="18"/>
                <w:szCs w:val="18"/>
                <w:b w:val="1"/>
                <w:bCs w:val="1"/>
                <w:color w:val="auto"/>
              </w:rPr>
              <w:t>Thomas L. Deitrich</w:t>
            </w:r>
          </w:p>
        </w:tc>
        <w:tc>
          <w:tcPr>
            <w:tcW w:w="2400" w:type="dxa"/>
            <w:vAlign w:val="bottom"/>
          </w:tcPr>
          <w:p>
            <w:pPr>
              <w:ind w:left="36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2019</w:t>
            </w:r>
          </w:p>
        </w:tc>
        <w:tc>
          <w:tcPr>
            <w:tcW w:w="3680" w:type="dxa"/>
            <w:vAlign w:val="bottom"/>
          </w:tcPr>
          <w:p>
            <w:pPr>
              <w:ind w:left="320"/>
              <w:spacing w:after="0"/>
              <w:rPr>
                <w:sz w:val="20"/>
                <w:szCs w:val="20"/>
                <w:color w:val="auto"/>
              </w:rPr>
            </w:pPr>
            <w:r>
              <w:rPr>
                <w:rFonts w:ascii="Arial" w:cs="Arial" w:eastAsia="Arial" w:hAnsi="Arial"/>
                <w:sz w:val="18"/>
                <w:szCs w:val="18"/>
                <w:b w:val="1"/>
                <w:bCs w:val="1"/>
                <w:color w:val="auto"/>
                <w:w w:val="99"/>
              </w:rPr>
              <w:t xml:space="preserve">Other Current Public Directorships: </w:t>
            </w:r>
            <w:r>
              <w:rPr>
                <w:rFonts w:ascii="Arial" w:cs="Arial" w:eastAsia="Arial" w:hAnsi="Arial"/>
                <w:sz w:val="18"/>
                <w:szCs w:val="18"/>
                <w:color w:val="auto"/>
                <w:w w:val="99"/>
              </w:rPr>
              <w:t>ON</w:t>
            </w:r>
          </w:p>
        </w:tc>
      </w:tr>
      <w:tr>
        <w:trPr>
          <w:trHeight w:val="297"/>
        </w:trPr>
        <w:tc>
          <w:tcPr>
            <w:tcW w:w="1980" w:type="dxa"/>
            <w:vAlign w:val="bottom"/>
          </w:tcPr>
          <w:p>
            <w:pPr>
              <w:spacing w:after="0"/>
              <w:rPr>
                <w:sz w:val="20"/>
                <w:szCs w:val="20"/>
                <w:color w:val="auto"/>
              </w:rPr>
            </w:pPr>
            <w:r>
              <w:rPr>
                <w:rFonts w:ascii="Arial" w:cs="Arial" w:eastAsia="Arial" w:hAnsi="Arial"/>
                <w:sz w:val="18"/>
                <w:szCs w:val="18"/>
                <w:color w:val="auto"/>
              </w:rPr>
              <w:t>Age: 54</w:t>
            </w:r>
          </w:p>
        </w:tc>
        <w:tc>
          <w:tcPr>
            <w:tcW w:w="2400" w:type="dxa"/>
            <w:vAlign w:val="bottom"/>
          </w:tcPr>
          <w:p>
            <w:pPr>
              <w:spacing w:after="0"/>
              <w:rPr>
                <w:sz w:val="24"/>
                <w:szCs w:val="24"/>
                <w:color w:val="auto"/>
              </w:rPr>
            </w:pPr>
          </w:p>
        </w:tc>
        <w:tc>
          <w:tcPr>
            <w:tcW w:w="3680" w:type="dxa"/>
            <w:vAlign w:val="bottom"/>
          </w:tcPr>
          <w:p>
            <w:pPr>
              <w:ind w:left="320"/>
              <w:spacing w:after="0"/>
              <w:rPr>
                <w:sz w:val="20"/>
                <w:szCs w:val="20"/>
                <w:color w:val="auto"/>
              </w:rPr>
            </w:pPr>
            <w:r>
              <w:rPr>
                <w:rFonts w:ascii="Arial" w:cs="Arial" w:eastAsia="Arial" w:hAnsi="Arial"/>
                <w:sz w:val="18"/>
                <w:szCs w:val="18"/>
                <w:color w:val="auto"/>
              </w:rPr>
              <w:t>Semiconductor Corporation</w:t>
            </w:r>
          </w:p>
        </w:tc>
      </w:tr>
    </w:tbl>
    <w:p>
      <w:pPr>
        <w:spacing w:after="0" w:line="108" w:lineRule="exact"/>
        <w:rPr>
          <w:sz w:val="20"/>
          <w:szCs w:val="20"/>
          <w:color w:val="auto"/>
        </w:rPr>
      </w:pPr>
    </w:p>
    <w:p>
      <w:pPr>
        <w:ind w:left="120" w:right="100"/>
        <w:spacing w:after="0"/>
        <w:rPr>
          <w:sz w:val="20"/>
          <w:szCs w:val="20"/>
          <w:color w:val="auto"/>
        </w:rPr>
      </w:pPr>
      <w:r>
        <w:rPr>
          <w:rFonts w:ascii="Arial" w:cs="Arial" w:eastAsia="Arial" w:hAnsi="Arial"/>
          <w:sz w:val="18"/>
          <w:szCs w:val="18"/>
          <w:color w:val="auto"/>
        </w:rPr>
        <w:t>Tom Deitrich is our President and Chief Executive Officer and a member of our Board of Directors. Mr. Deitrich was appointed to his current position and to the Board of Directors in August 2019. Mr. Deitrich joined Itron in October 2015, serving as Itron’s Executive Vice President and Chief Operating Officer until August 2019. From 2012 to September 2015, Mr. Deitrich was Senior Vice President and General Manager for Digital Networking at Freescale Semiconductor, Inc. (Freescale), and he served as the Senior Vice President and General Manager of Freescale’s RF, Analog, Sensor, and Cellular Products Group from 2009 to 2012. Mr. Deitrich held other roles of increasing responsibility at Freescale from 2006 to 2009. Prior to Freescale, Mr. Deitrich worked for Flextronics, Sony-Ericsson/Ericsson, and 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wp:posOffset>
            </wp:positionV>
            <wp:extent cx="5829300" cy="12687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829300" cy="1268730"/>
                    </a:xfrm>
                    <a:prstGeom prst="rect">
                      <a:avLst/>
                    </a:prstGeom>
                    <a:noFill/>
                  </pic:spPr>
                </pic:pic>
              </a:graphicData>
            </a:graphic>
          </wp:anchor>
        </w:drawing>
      </w:r>
    </w:p>
    <w:p>
      <w:pPr>
        <w:spacing w:after="0" w:line="91" w:lineRule="exact"/>
        <w:rPr>
          <w:sz w:val="20"/>
          <w:szCs w:val="20"/>
          <w:color w:val="auto"/>
        </w:rPr>
      </w:pPr>
    </w:p>
    <w:p>
      <w:pPr>
        <w:ind w:left="120" w:right="160"/>
        <w:spacing w:after="0" w:line="256" w:lineRule="auto"/>
        <w:rPr>
          <w:sz w:val="20"/>
          <w:szCs w:val="20"/>
          <w:color w:val="auto"/>
        </w:rPr>
      </w:pPr>
      <w:r>
        <w:rPr>
          <w:rFonts w:ascii="Arial" w:cs="Arial" w:eastAsia="Arial" w:hAnsi="Arial"/>
          <w:sz w:val="17"/>
          <w:szCs w:val="17"/>
          <w:b w:val="1"/>
          <w:bCs w:val="1"/>
          <w:color w:val="auto"/>
        </w:rPr>
        <w:t xml:space="preserve">Qualifications: </w:t>
      </w:r>
      <w:r>
        <w:rPr>
          <w:rFonts w:ascii="Arial" w:cs="Arial" w:eastAsia="Arial" w:hAnsi="Arial"/>
          <w:sz w:val="17"/>
          <w:szCs w:val="17"/>
          <w:color w:val="auto"/>
        </w:rPr>
        <w:t>Mr. Deitrich brings to the Board more than 20 years of executive experience in technology</w:t>
      </w:r>
      <w:r>
        <w:rPr>
          <w:rFonts w:ascii="Arial" w:cs="Arial" w:eastAsia="Arial" w:hAnsi="Arial"/>
          <w:sz w:val="17"/>
          <w:szCs w:val="17"/>
          <w:b w:val="1"/>
          <w:bCs w:val="1"/>
          <w:color w:val="auto"/>
        </w:rPr>
        <w:t xml:space="preserve"> </w:t>
      </w:r>
      <w:r>
        <w:rPr>
          <w:rFonts w:ascii="Arial" w:cs="Arial" w:eastAsia="Arial" w:hAnsi="Arial"/>
          <w:sz w:val="17"/>
          <w:szCs w:val="17"/>
          <w:color w:val="auto"/>
        </w:rPr>
        <w:t>businesses, having held roles in research and development, product management, manufacturing, business development, and general management. As Itron’s prior Chief Operating Officer, Mr. Deitrich has extensive knowledge of Itron’s global operations, including finance, product development, manufacturing, procurement, product management, go-to-market and sales, and strategy. Additionally, Mr. Deitrich has been involved with a number of mergers and acquisitions at Itron. During his tenure at Itron, he has had extensive exposure to global systems and utilities throughout the world. As the only employee director, Mr. Deitrich provides the Board with valuable insight into management’s views and perspectives, as well as the day-to-day operations of Itron. In 2020, Mr. Deitrich was appointed to the board of directors of ON Semiconductor Corporation (NASDAQ: “ON”).</w:t>
      </w: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157480</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40"/>
          </w:cols>
          <w:pgMar w:left="1360" w:top="263" w:right="139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61"/>
        </w:trPr>
        <w:tc>
          <w:tcPr>
            <w:tcW w:w="2100" w:type="dxa"/>
            <w:vAlign w:val="bottom"/>
            <w:gridSpan w:val="2"/>
          </w:tcPr>
          <w:p>
            <w:pPr>
              <w:spacing w:after="0"/>
              <w:rPr>
                <w:rFonts w:ascii="Times New Roman" w:cs="Times New Roman" w:eastAsia="Times New Roman" w:hAnsi="Times New Roman"/>
                <w:sz w:val="14"/>
                <w:szCs w:val="14"/>
                <w:b w:val="1"/>
                <w:bCs w:val="1"/>
                <w:color w:val="0000EE"/>
              </w:rPr>
            </w:pPr>
            <w:hyperlink w:anchor="page3">
              <w:r>
                <w:rPr>
                  <w:rFonts w:ascii="Times New Roman" w:cs="Times New Roman" w:eastAsia="Times New Roman" w:hAnsi="Times New Roman"/>
                  <w:sz w:val="14"/>
                  <w:szCs w:val="14"/>
                  <w:b w:val="1"/>
                  <w:bCs w:val="1"/>
                  <w:color w:val="0000EE"/>
                </w:rPr>
                <w:t>TABLE OF CONTENTS</w:t>
              </w:r>
            </w:hyperlink>
          </w:p>
        </w:tc>
        <w:tc>
          <w:tcPr>
            <w:tcW w:w="2400" w:type="dxa"/>
            <w:vAlign w:val="bottom"/>
          </w:tcPr>
          <w:p>
            <w:pPr>
              <w:spacing w:after="0"/>
              <w:rPr>
                <w:sz w:val="13"/>
                <w:szCs w:val="13"/>
                <w:color w:val="auto"/>
              </w:rPr>
            </w:pPr>
          </w:p>
        </w:tc>
        <w:tc>
          <w:tcPr>
            <w:tcW w:w="4680" w:type="dxa"/>
            <w:vAlign w:val="bottom"/>
          </w:tcPr>
          <w:p>
            <w:pPr>
              <w:spacing w:after="0"/>
              <w:rPr>
                <w:sz w:val="13"/>
                <w:szCs w:val="13"/>
                <w:color w:val="auto"/>
              </w:rPr>
            </w:pPr>
          </w:p>
        </w:tc>
      </w:tr>
      <w:tr>
        <w:trPr>
          <w:trHeight w:val="128"/>
        </w:trPr>
        <w:tc>
          <w:tcPr>
            <w:tcW w:w="1540" w:type="dxa"/>
            <w:vAlign w:val="bottom"/>
            <w:tcBorders>
              <w:top w:val="single" w:sz="8" w:color="0000EE"/>
            </w:tcBorders>
          </w:tcPr>
          <w:p>
            <w:pPr>
              <w:spacing w:after="0"/>
              <w:rPr>
                <w:sz w:val="11"/>
                <w:szCs w:val="11"/>
                <w:color w:val="auto"/>
              </w:rPr>
            </w:pPr>
          </w:p>
        </w:tc>
        <w:tc>
          <w:tcPr>
            <w:tcW w:w="56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4680" w:type="dxa"/>
            <w:vAlign w:val="bottom"/>
          </w:tcPr>
          <w:p>
            <w:pPr>
              <w:spacing w:after="0"/>
              <w:rPr>
                <w:sz w:val="11"/>
                <w:szCs w:val="11"/>
                <w:color w:val="auto"/>
              </w:rPr>
            </w:pPr>
          </w:p>
        </w:tc>
      </w:tr>
      <w:tr>
        <w:trPr>
          <w:trHeight w:val="216"/>
        </w:trPr>
        <w:tc>
          <w:tcPr>
            <w:tcW w:w="1540" w:type="dxa"/>
            <w:vAlign w:val="bottom"/>
            <w:shd w:val="clear" w:color="auto" w:fill="000000"/>
          </w:tcPr>
          <w:p>
            <w:pPr>
              <w:spacing w:after="0"/>
              <w:rPr>
                <w:sz w:val="18"/>
                <w:szCs w:val="18"/>
                <w:color w:val="auto"/>
              </w:rPr>
            </w:pPr>
          </w:p>
        </w:tc>
        <w:tc>
          <w:tcPr>
            <w:tcW w:w="560" w:type="dxa"/>
            <w:vAlign w:val="bottom"/>
            <w:shd w:val="clear" w:color="auto" w:fill="000000"/>
          </w:tcPr>
          <w:p>
            <w:pPr>
              <w:spacing w:after="0"/>
              <w:rPr>
                <w:sz w:val="18"/>
                <w:szCs w:val="18"/>
                <w:color w:val="auto"/>
              </w:rPr>
            </w:pPr>
          </w:p>
        </w:tc>
        <w:tc>
          <w:tcPr>
            <w:tcW w:w="2400" w:type="dxa"/>
            <w:vAlign w:val="bottom"/>
            <w:shd w:val="clear" w:color="auto" w:fill="000000"/>
          </w:tcPr>
          <w:p>
            <w:pPr>
              <w:spacing w:after="0"/>
              <w:rPr>
                <w:sz w:val="18"/>
                <w:szCs w:val="18"/>
                <w:color w:val="auto"/>
              </w:rPr>
            </w:pPr>
          </w:p>
        </w:tc>
        <w:tc>
          <w:tcPr>
            <w:tcW w:w="4680" w:type="dxa"/>
            <w:vAlign w:val="bottom"/>
            <w:shd w:val="clear" w:color="auto" w:fill="000000"/>
          </w:tcPr>
          <w:p>
            <w:pPr>
              <w:spacing w:after="0"/>
              <w:rPr>
                <w:sz w:val="18"/>
                <w:szCs w:val="18"/>
                <w:color w:val="auto"/>
              </w:rPr>
            </w:pPr>
          </w:p>
        </w:tc>
      </w:tr>
      <w:tr>
        <w:trPr>
          <w:trHeight w:val="282"/>
        </w:trPr>
        <w:tc>
          <w:tcPr>
            <w:tcW w:w="2100" w:type="dxa"/>
            <w:vAlign w:val="bottom"/>
            <w:gridSpan w:val="2"/>
          </w:tcPr>
          <w:p>
            <w:pPr>
              <w:ind w:left="120"/>
              <w:spacing w:after="0"/>
              <w:rPr>
                <w:sz w:val="20"/>
                <w:szCs w:val="20"/>
                <w:color w:val="auto"/>
              </w:rPr>
            </w:pPr>
            <w:r>
              <w:rPr>
                <w:rFonts w:ascii="Arial" w:cs="Arial" w:eastAsia="Arial" w:hAnsi="Arial"/>
                <w:sz w:val="18"/>
                <w:szCs w:val="18"/>
                <w:b w:val="1"/>
                <w:bCs w:val="1"/>
                <w:color w:val="auto"/>
              </w:rPr>
              <w:t>Timothy M. Leyden</w:t>
            </w:r>
          </w:p>
        </w:tc>
        <w:tc>
          <w:tcPr>
            <w:tcW w:w="2400" w:type="dxa"/>
            <w:vAlign w:val="bottom"/>
          </w:tcPr>
          <w:p>
            <w:pPr>
              <w:ind w:left="36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2015</w:t>
            </w:r>
          </w:p>
        </w:tc>
        <w:tc>
          <w:tcPr>
            <w:tcW w:w="4680" w:type="dxa"/>
            <w:vAlign w:val="bottom"/>
          </w:tcPr>
          <w:p>
            <w:pPr>
              <w:ind w:left="320"/>
              <w:spacing w:after="0"/>
              <w:rPr>
                <w:sz w:val="20"/>
                <w:szCs w:val="20"/>
                <w:color w:val="auto"/>
              </w:rPr>
            </w:pPr>
            <w:r>
              <w:rPr>
                <w:rFonts w:ascii="Arial" w:cs="Arial" w:eastAsia="Arial" w:hAnsi="Arial"/>
                <w:sz w:val="18"/>
                <w:szCs w:val="18"/>
                <w:b w:val="1"/>
                <w:bCs w:val="1"/>
                <w:color w:val="auto"/>
              </w:rPr>
              <w:t xml:space="preserve">Other Current Public Directorships: </w:t>
            </w:r>
            <w:r>
              <w:rPr>
                <w:rFonts w:ascii="Arial" w:cs="Arial" w:eastAsia="Arial" w:hAnsi="Arial"/>
                <w:sz w:val="18"/>
                <w:szCs w:val="18"/>
                <w:color w:val="auto"/>
              </w:rPr>
              <w:t>None</w:t>
            </w:r>
          </w:p>
        </w:tc>
      </w:tr>
      <w:tr>
        <w:trPr>
          <w:trHeight w:val="257"/>
        </w:trPr>
        <w:tc>
          <w:tcPr>
            <w:tcW w:w="2100" w:type="dxa"/>
            <w:vAlign w:val="bottom"/>
            <w:gridSpan w:val="2"/>
          </w:tcPr>
          <w:p>
            <w:pPr>
              <w:ind w:left="12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69</w:t>
            </w:r>
          </w:p>
        </w:tc>
        <w:tc>
          <w:tcPr>
            <w:tcW w:w="2400" w:type="dxa"/>
            <w:vAlign w:val="bottom"/>
          </w:tcPr>
          <w:p>
            <w:pPr>
              <w:ind w:left="360"/>
              <w:spacing w:after="0"/>
              <w:rPr>
                <w:sz w:val="20"/>
                <w:szCs w:val="20"/>
                <w:color w:val="auto"/>
              </w:rPr>
            </w:pPr>
            <w:r>
              <w:rPr>
                <w:rFonts w:ascii="Arial" w:cs="Arial" w:eastAsia="Arial" w:hAnsi="Arial"/>
                <w:sz w:val="18"/>
                <w:szCs w:val="18"/>
                <w:b w:val="1"/>
                <w:bCs w:val="1"/>
                <w:color w:val="auto"/>
              </w:rPr>
              <w:t>Independent</w:t>
            </w:r>
          </w:p>
        </w:tc>
        <w:tc>
          <w:tcPr>
            <w:tcW w:w="4680" w:type="dxa"/>
            <w:vAlign w:val="bottom"/>
          </w:tcPr>
          <w:p>
            <w:pPr>
              <w:spacing w:after="0"/>
              <w:rPr>
                <w:sz w:val="22"/>
                <w:szCs w:val="22"/>
                <w:color w:val="auto"/>
              </w:rPr>
            </w:pPr>
          </w:p>
        </w:tc>
      </w:tr>
    </w:tbl>
    <w:p>
      <w:pPr>
        <w:spacing w:after="0" w:line="10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Tim Leyden retired in 2015 after eight years with Western Digital Corporation (NASDAQ: “WDC”), a company</w:t>
      </w:r>
    </w:p>
    <w:p>
      <w:pPr>
        <w:spacing w:after="0" w:line="1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that manufactures hard-disk drives and solid state storage devices used to record, store, and recall volumes of</w:t>
      </w:r>
    </w:p>
    <w:p>
      <w:pPr>
        <w:ind w:left="120"/>
        <w:spacing w:after="0" w:line="234" w:lineRule="auto"/>
        <w:rPr>
          <w:sz w:val="20"/>
          <w:szCs w:val="20"/>
          <w:color w:val="auto"/>
        </w:rPr>
      </w:pPr>
      <w:r>
        <w:rPr>
          <w:rFonts w:ascii="Arial" w:cs="Arial" w:eastAsia="Arial" w:hAnsi="Arial"/>
          <w:sz w:val="18"/>
          <w:szCs w:val="18"/>
          <w:color w:val="auto"/>
        </w:rPr>
        <w:t>data. He served as WDC’s Chief Financial Officer from 2013 until January 2015, President of Western Digital,</w:t>
      </w:r>
    </w:p>
    <w:p>
      <w:pPr>
        <w:ind w:left="120"/>
        <w:spacing w:after="0" w:line="235" w:lineRule="auto"/>
        <w:rPr>
          <w:sz w:val="20"/>
          <w:szCs w:val="20"/>
          <w:color w:val="auto"/>
        </w:rPr>
      </w:pPr>
      <w:r>
        <w:rPr>
          <w:rFonts w:ascii="Arial" w:cs="Arial" w:eastAsia="Arial" w:hAnsi="Arial"/>
          <w:sz w:val="18"/>
          <w:szCs w:val="18"/>
          <w:color w:val="auto"/>
        </w:rPr>
        <w:t>one of WDC’s two operating subsidiaries, from 2012 to 2013, its Chief Operating Officer from 2010 to 2012, and</w:t>
      </w:r>
    </w:p>
    <w:p>
      <w:pPr>
        <w:ind w:left="120"/>
        <w:spacing w:after="0" w:line="235" w:lineRule="auto"/>
        <w:rPr>
          <w:sz w:val="20"/>
          <w:szCs w:val="20"/>
          <w:color w:val="auto"/>
        </w:rPr>
      </w:pPr>
      <w:r>
        <w:rPr>
          <w:rFonts w:ascii="Arial" w:cs="Arial" w:eastAsia="Arial" w:hAnsi="Arial"/>
          <w:sz w:val="18"/>
          <w:szCs w:val="18"/>
          <w:color w:val="auto"/>
        </w:rPr>
        <w:t>its Executive Vice President of Finance and Chief Financial Officer from 2007 to 2010. Prior to joining WDC,</w:t>
      </w:r>
    </w:p>
    <w:p>
      <w:pPr>
        <w:ind w:left="120"/>
        <w:spacing w:after="0" w:line="235" w:lineRule="auto"/>
        <w:rPr>
          <w:sz w:val="20"/>
          <w:szCs w:val="20"/>
          <w:color w:val="auto"/>
        </w:rPr>
      </w:pPr>
      <w:r>
        <w:rPr>
          <w:rFonts w:ascii="Arial" w:cs="Arial" w:eastAsia="Arial" w:hAnsi="Arial"/>
          <w:sz w:val="18"/>
          <w:szCs w:val="18"/>
          <w:color w:val="auto"/>
        </w:rPr>
        <w:t>Mr. Leyden was Vice President and then Senior Vice President of Finance and Chief Financial Officer for various</w:t>
      </w:r>
    </w:p>
    <w:p>
      <w:pPr>
        <w:ind w:left="120"/>
        <w:spacing w:after="0" w:line="235" w:lineRule="auto"/>
        <w:rPr>
          <w:sz w:val="20"/>
          <w:szCs w:val="20"/>
          <w:color w:val="auto"/>
        </w:rPr>
      </w:pPr>
      <w:r>
        <w:rPr>
          <w:rFonts w:ascii="Arial" w:cs="Arial" w:eastAsia="Arial" w:hAnsi="Arial"/>
          <w:sz w:val="18"/>
          <w:szCs w:val="18"/>
          <w:color w:val="auto"/>
        </w:rPr>
        <w:t>USA divisions of Sage Software PLC, a customized software solutions business, from 2001 to 2007. Mr. Leyden</w:t>
      </w:r>
    </w:p>
    <w:p>
      <w:pPr>
        <w:ind w:left="120"/>
        <w:spacing w:after="0" w:line="234" w:lineRule="auto"/>
        <w:rPr>
          <w:sz w:val="20"/>
          <w:szCs w:val="20"/>
          <w:color w:val="auto"/>
        </w:rPr>
      </w:pPr>
      <w:r>
        <w:rPr>
          <w:rFonts w:ascii="Arial" w:cs="Arial" w:eastAsia="Arial" w:hAnsi="Arial"/>
          <w:sz w:val="18"/>
          <w:szCs w:val="18"/>
          <w:color w:val="auto"/>
        </w:rPr>
        <w:t>serves on the board of advisors for Oracle Elevator Company, a private company providing maintenance, repair,</w:t>
      </w:r>
    </w:p>
    <w:p>
      <w:pPr>
        <w:ind w:left="120"/>
        <w:spacing w:after="0" w:line="235" w:lineRule="auto"/>
        <w:rPr>
          <w:sz w:val="20"/>
          <w:szCs w:val="20"/>
          <w:color w:val="auto"/>
        </w:rPr>
      </w:pPr>
      <w:r>
        <w:rPr>
          <w:rFonts w:ascii="Arial" w:cs="Arial" w:eastAsia="Arial" w:hAnsi="Arial"/>
          <w:sz w:val="18"/>
          <w:szCs w:val="18"/>
          <w:color w:val="auto"/>
        </w:rPr>
        <w:t>and modifications to commercial elevators, and on the board of advisors of BlytheCo, a private company that</w:t>
      </w:r>
    </w:p>
    <w:p>
      <w:pPr>
        <w:ind w:left="120"/>
        <w:spacing w:after="0" w:line="184" w:lineRule="auto"/>
        <w:rPr>
          <w:sz w:val="20"/>
          <w:szCs w:val="20"/>
          <w:color w:val="auto"/>
        </w:rPr>
      </w:pPr>
      <w:r>
        <w:rPr>
          <w:rFonts w:ascii="Arial" w:cs="Arial" w:eastAsia="Arial" w:hAnsi="Arial"/>
          <w:sz w:val="15"/>
          <w:szCs w:val="15"/>
          <w:color w:val="auto"/>
        </w:rPr>
        <w:t>brokers a variety of 3</w:t>
      </w:r>
      <w:r>
        <w:rPr>
          <w:rFonts w:ascii="Arial" w:cs="Arial" w:eastAsia="Arial" w:hAnsi="Arial"/>
          <w:sz w:val="23"/>
          <w:szCs w:val="23"/>
          <w:color w:val="auto"/>
          <w:vertAlign w:val="superscript"/>
        </w:rPr>
        <w:t>rd</w:t>
      </w:r>
      <w:r>
        <w:rPr>
          <w:rFonts w:ascii="Arial" w:cs="Arial" w:eastAsia="Arial" w:hAnsi="Arial"/>
          <w:sz w:val="15"/>
          <w:szCs w:val="15"/>
          <w:color w:val="auto"/>
        </w:rPr>
        <w:t xml:space="preserve"> party software solutions to all sizes of businesses. These solutions include ERP and</w:t>
      </w:r>
    </w:p>
    <w:p>
      <w:pPr>
        <w:ind w:left="120"/>
        <w:spacing w:after="0" w:line="235" w:lineRule="auto"/>
        <w:rPr>
          <w:sz w:val="20"/>
          <w:szCs w:val="20"/>
          <w:color w:val="auto"/>
        </w:rPr>
      </w:pPr>
      <w:r>
        <w:rPr>
          <w:rFonts w:ascii="Arial" w:cs="Arial" w:eastAsia="Arial" w:hAnsi="Arial"/>
          <w:sz w:val="18"/>
          <w:szCs w:val="18"/>
          <w:color w:val="auto"/>
        </w:rPr>
        <w:t>CRM software installations. Mr. Leyden also serves on the Dean’s Advisory Board at the University of California</w:t>
      </w:r>
    </w:p>
    <w:p>
      <w:pPr>
        <w:ind w:left="120"/>
        <w:spacing w:after="0"/>
        <w:rPr>
          <w:sz w:val="20"/>
          <w:szCs w:val="20"/>
          <w:color w:val="auto"/>
        </w:rPr>
      </w:pPr>
      <w:r>
        <w:rPr>
          <w:rFonts w:ascii="Arial" w:cs="Arial" w:eastAsia="Arial" w:hAnsi="Arial"/>
          <w:sz w:val="18"/>
          <w:szCs w:val="18"/>
          <w:color w:val="auto"/>
        </w:rPr>
        <w:t>Irvine’s Paul Merage School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5829300" cy="7543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29300" cy="754380"/>
                    </a:xfrm>
                    <a:prstGeom prst="rect">
                      <a:avLst/>
                    </a:prstGeom>
                    <a:noFill/>
                  </pic:spPr>
                </pic:pic>
              </a:graphicData>
            </a:graphic>
          </wp:anchor>
        </w:drawing>
      </w:r>
    </w:p>
    <w:p>
      <w:pPr>
        <w:spacing w:after="0" w:line="100" w:lineRule="exact"/>
        <w:rPr>
          <w:sz w:val="20"/>
          <w:szCs w:val="20"/>
          <w:color w:val="auto"/>
        </w:rPr>
      </w:pPr>
    </w:p>
    <w:p>
      <w:pPr>
        <w:ind w:left="120" w:right="120"/>
        <w:spacing w:after="0" w:line="245" w:lineRule="auto"/>
        <w:rPr>
          <w:sz w:val="20"/>
          <w:szCs w:val="20"/>
          <w:color w:val="auto"/>
        </w:rPr>
      </w:pPr>
      <w:r>
        <w:rPr>
          <w:rFonts w:ascii="Arial" w:cs="Arial" w:eastAsia="Arial" w:hAnsi="Arial"/>
          <w:sz w:val="18"/>
          <w:szCs w:val="18"/>
          <w:b w:val="1"/>
          <w:bCs w:val="1"/>
          <w:color w:val="auto"/>
        </w:rPr>
        <w:t xml:space="preserve">Qualifications: </w:t>
      </w:r>
      <w:r>
        <w:rPr>
          <w:rFonts w:ascii="Arial" w:cs="Arial" w:eastAsia="Arial" w:hAnsi="Arial"/>
          <w:sz w:val="18"/>
          <w:szCs w:val="18"/>
          <w:color w:val="auto"/>
        </w:rPr>
        <w:t>Mr. Leyden brings to the Board a mix of financial and operational experience (in both hardware</w:t>
      </w:r>
      <w:r>
        <w:rPr>
          <w:rFonts w:ascii="Arial" w:cs="Arial" w:eastAsia="Arial" w:hAnsi="Arial"/>
          <w:sz w:val="18"/>
          <w:szCs w:val="18"/>
          <w:b w:val="1"/>
          <w:bCs w:val="1"/>
          <w:color w:val="auto"/>
        </w:rPr>
        <w:t xml:space="preserve"> </w:t>
      </w:r>
      <w:r>
        <w:rPr>
          <w:rFonts w:ascii="Arial" w:cs="Arial" w:eastAsia="Arial" w:hAnsi="Arial"/>
          <w:sz w:val="18"/>
          <w:szCs w:val="18"/>
          <w:color w:val="auto"/>
        </w:rPr>
        <w:t>and software industries), in addition to a background that includes mergers and acquisitions and integration experience related to the assimilation of acquired companies into both WDC and Sage Software. His prior experience with overseeing global manufacturing, engineering, marketing, and sales operations, when combined with his financial and accounting background, adds a depth of international insight to the Board.</w:t>
      </w: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Class 2 Director – Not Nominated for Reelection — Director With Term That Will Expire in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582930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829300" cy="137160"/>
                    </a:xfrm>
                    <a:prstGeom prst="rect">
                      <a:avLst/>
                    </a:prstGeom>
                    <a:noFill/>
                  </pic:spPr>
                </pic:pic>
              </a:graphicData>
            </a:graphic>
          </wp:anchor>
        </w:drawing>
      </w:r>
    </w:p>
    <w:p>
      <w:pPr>
        <w:sectPr>
          <w:pgSz w:w="11900" w:h="16838" w:orient="portrait"/>
          <w:cols w:equalWidth="0" w:num="1">
            <w:col w:w="9180"/>
          </w:cols>
          <w:pgMar w:left="1360" w:top="262" w:right="1359" w:bottom="1440" w:gutter="0" w:footer="0" w:header="0"/>
        </w:sectPr>
      </w:pPr>
    </w:p>
    <w:p>
      <w:pPr>
        <w:spacing w:after="0" w:line="347" w:lineRule="exact"/>
        <w:rPr>
          <w:sz w:val="20"/>
          <w:szCs w:val="20"/>
          <w:color w:val="auto"/>
        </w:rPr>
      </w:pPr>
    </w:p>
    <w:p>
      <w:pPr>
        <w:ind w:left="120" w:right="280"/>
        <w:spacing w:after="0" w:line="350" w:lineRule="auto"/>
        <w:rPr>
          <w:sz w:val="20"/>
          <w:szCs w:val="20"/>
          <w:color w:val="auto"/>
        </w:rPr>
      </w:pPr>
      <w:r>
        <w:rPr>
          <w:rFonts w:ascii="Arial" w:cs="Arial" w:eastAsia="Arial" w:hAnsi="Arial"/>
          <w:sz w:val="18"/>
          <w:szCs w:val="18"/>
          <w:b w:val="1"/>
          <w:bCs w:val="1"/>
          <w:color w:val="auto"/>
        </w:rPr>
        <w:t xml:space="preserve">Daniel S. Pelino Age: </w:t>
      </w: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br w:type="column"/>
      </w:r>
    </w:p>
    <w:p>
      <w:pPr>
        <w:spacing w:after="0" w:line="327" w:lineRule="exact"/>
        <w:rPr>
          <w:sz w:val="20"/>
          <w:szCs w:val="20"/>
          <w:color w:val="auto"/>
        </w:rPr>
      </w:pPr>
    </w:p>
    <w:p>
      <w:pPr>
        <w:spacing w:after="0" w:line="350" w:lineRule="auto"/>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2014</w:t>
      </w:r>
      <w:r>
        <w:rPr>
          <w:rFonts w:ascii="Arial" w:cs="Arial" w:eastAsia="Arial" w:hAnsi="Arial"/>
          <w:sz w:val="18"/>
          <w:szCs w:val="18"/>
          <w:b w:val="1"/>
          <w:bCs w:val="1"/>
          <w:color w:val="auto"/>
        </w:rPr>
        <w:t xml:space="preserve"> Independent</w:t>
      </w:r>
    </w:p>
    <w:p>
      <w:pPr>
        <w:spacing w:after="0" w:line="20" w:lineRule="exact"/>
        <w:rPr>
          <w:sz w:val="20"/>
          <w:szCs w:val="20"/>
          <w:color w:val="auto"/>
        </w:rPr>
      </w:pPr>
      <w:r>
        <w:rPr>
          <w:sz w:val="20"/>
          <w:szCs w:val="20"/>
          <w:color w:val="auto"/>
        </w:rPr>
        <w:br w:type="column"/>
      </w: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Other Current Public Directorships: </w:t>
      </w:r>
      <w:r>
        <w:rPr>
          <w:rFonts w:ascii="Arial" w:cs="Arial" w:eastAsia="Arial" w:hAnsi="Arial"/>
          <w:sz w:val="17"/>
          <w:szCs w:val="17"/>
          <w:color w:val="auto"/>
        </w:rPr>
        <w:t>None</w:t>
      </w:r>
    </w:p>
    <w:p>
      <w:pPr>
        <w:spacing w:after="0" w:line="414" w:lineRule="exact"/>
        <w:rPr>
          <w:sz w:val="20"/>
          <w:szCs w:val="20"/>
          <w:color w:val="auto"/>
        </w:rPr>
      </w:pPr>
    </w:p>
    <w:p>
      <w:pPr>
        <w:sectPr>
          <w:pgSz w:w="11900" w:h="16838" w:orient="portrait"/>
          <w:cols w:equalWidth="0" w:num="3">
            <w:col w:w="1740" w:space="720"/>
            <w:col w:w="1700" w:space="660"/>
            <w:col w:w="4360"/>
          </w:cols>
          <w:pgMar w:left="1360" w:top="262" w:right="1359" w:bottom="1440" w:gutter="0" w:footer="0" w:header="0"/>
          <w:type w:val="continuous"/>
        </w:sectPr>
      </w:pPr>
    </w:p>
    <w:p>
      <w:pPr>
        <w:ind w:left="120" w:right="100"/>
        <w:spacing w:after="0" w:line="239" w:lineRule="auto"/>
        <w:rPr>
          <w:sz w:val="20"/>
          <w:szCs w:val="20"/>
          <w:color w:val="auto"/>
        </w:rPr>
      </w:pPr>
      <w:r>
        <w:rPr>
          <w:rFonts w:ascii="Arial" w:cs="Arial" w:eastAsia="Arial" w:hAnsi="Arial"/>
          <w:sz w:val="18"/>
          <w:szCs w:val="18"/>
          <w:color w:val="auto"/>
        </w:rPr>
        <w:t>Dan Pelino will be retiring from the Board effective May 13, 2021 and is not a nominee for election at the forthcoming Annual Meeting. Mr. Pelino has served as a distinguished member of the Board since 2014. We gratefully acknowledge his dedicated service and numerous contributions to Itron. He retired from International Business Machines Corp., the multinational technology company (NYSE: “IBM”) in November 2016, where he had been employed since 1980, most recently as General Manager of IBM’s public sector business, a position he had held since 2012. The public sector business focused on government, education, healthcare and life sciences industries, including IBM’s Smarter Cities initiative. While at IBM, Mr. Pelino held several other positions of escalating responsibility focused on helping organizations, states, and countries transform and digitize their technology systems. Mr. Pelino currently serves on the executive committee for the Patient Centered Primary Care Collaborative and on the board of directors of the Healthcare Executive Network.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wp:posOffset>
            </wp:positionV>
            <wp:extent cx="5829300" cy="7543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829300" cy="754380"/>
                    </a:xfrm>
                    <a:prstGeom prst="rect">
                      <a:avLst/>
                    </a:prstGeom>
                    <a:noFill/>
                  </pic:spPr>
                </pic:pic>
              </a:graphicData>
            </a:graphic>
          </wp:anchor>
        </w:drawing>
      </w:r>
    </w:p>
    <w:p>
      <w:pPr>
        <w:spacing w:after="0" w:line="90" w:lineRule="exact"/>
        <w:rPr>
          <w:sz w:val="20"/>
          <w:szCs w:val="20"/>
          <w:color w:val="auto"/>
        </w:rPr>
      </w:pPr>
    </w:p>
    <w:p>
      <w:pPr>
        <w:ind w:left="120" w:right="220"/>
        <w:spacing w:after="0" w:line="245" w:lineRule="auto"/>
        <w:rPr>
          <w:sz w:val="20"/>
          <w:szCs w:val="20"/>
          <w:color w:val="auto"/>
        </w:rPr>
      </w:pPr>
      <w:r>
        <w:rPr>
          <w:rFonts w:ascii="Arial" w:cs="Arial" w:eastAsia="Arial" w:hAnsi="Arial"/>
          <w:sz w:val="18"/>
          <w:szCs w:val="18"/>
          <w:b w:val="1"/>
          <w:bCs w:val="1"/>
          <w:color w:val="auto"/>
        </w:rPr>
        <w:t xml:space="preserve">Qualifications: </w:t>
      </w:r>
      <w:r>
        <w:rPr>
          <w:rFonts w:ascii="Arial" w:cs="Arial" w:eastAsia="Arial" w:hAnsi="Arial"/>
          <w:sz w:val="18"/>
          <w:szCs w:val="18"/>
          <w:color w:val="auto"/>
        </w:rPr>
        <w:t>Mr. Pelino provides the Board with a strong background in technology, brand marketing, and</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innovation and development. With his worldwide experience in governmental business and strategies, he brings a current global business perspective to the Board. In addition, Mr. Pelino’s knowledge of digitized services created for economic development adds invaluable insight to the Company’s smart metering systems and strategies for its utility customers.</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157480</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262" w:right="1359" w:bottom="1440" w:gutter="0" w:footer="0" w:header="0"/>
          <w:type w:val="continuous"/>
        </w:sectPr>
      </w:pPr>
    </w:p>
    <w:bookmarkStart w:id="10" w:name="page11"/>
    <w:bookmarkEnd w:id="10"/>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Current Class 3 Directors– Directors With Terms That Will Expire in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71755</wp:posOffset>
            </wp:positionV>
            <wp:extent cx="582930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829300" cy="137160"/>
                    </a:xfrm>
                    <a:prstGeom prst="rect">
                      <a:avLst/>
                    </a:prstGeom>
                    <a:noFill/>
                  </pic:spPr>
                </pic:pic>
              </a:graphicData>
            </a:graphic>
          </wp:anchor>
        </w:drawing>
      </w:r>
    </w:p>
    <w:p>
      <w:pPr>
        <w:sectPr>
          <w:pgSz w:w="11900" w:h="16838" w:orient="portrait"/>
          <w:cols w:equalWidth="0" w:num="1">
            <w:col w:w="9100"/>
          </w:cols>
          <w:pgMar w:left="1360" w:top="263" w:right="1439" w:bottom="1440" w:gutter="0" w:footer="0" w:header="0"/>
        </w:sectPr>
      </w:pPr>
    </w:p>
    <w:p>
      <w:pPr>
        <w:spacing w:after="0" w:line="358" w:lineRule="exact"/>
        <w:rPr>
          <w:sz w:val="20"/>
          <w:szCs w:val="20"/>
          <w:color w:val="auto"/>
        </w:rPr>
      </w:pPr>
    </w:p>
    <w:p>
      <w:pPr>
        <w:ind w:left="120" w:right="260"/>
        <w:spacing w:after="0" w:line="350" w:lineRule="auto"/>
        <w:rPr>
          <w:sz w:val="20"/>
          <w:szCs w:val="20"/>
          <w:color w:val="auto"/>
        </w:rPr>
      </w:pPr>
      <w:r>
        <w:rPr>
          <w:rFonts w:ascii="Arial" w:cs="Arial" w:eastAsia="Arial" w:hAnsi="Arial"/>
          <w:sz w:val="18"/>
          <w:szCs w:val="18"/>
          <w:b w:val="1"/>
          <w:bCs w:val="1"/>
          <w:color w:val="auto"/>
        </w:rPr>
        <w:t xml:space="preserve">Lynda L. Ziegler Age: </w:t>
      </w: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br w:type="column"/>
      </w:r>
    </w:p>
    <w:p>
      <w:pPr>
        <w:spacing w:after="0" w:line="338" w:lineRule="exact"/>
        <w:rPr>
          <w:sz w:val="20"/>
          <w:szCs w:val="20"/>
          <w:color w:val="auto"/>
        </w:rPr>
      </w:pPr>
    </w:p>
    <w:p>
      <w:pPr>
        <w:spacing w:after="0" w:line="350" w:lineRule="auto"/>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2013</w:t>
      </w:r>
      <w:r>
        <w:rPr>
          <w:rFonts w:ascii="Arial" w:cs="Arial" w:eastAsia="Arial" w:hAnsi="Arial"/>
          <w:sz w:val="18"/>
          <w:szCs w:val="18"/>
          <w:b w:val="1"/>
          <w:bCs w:val="1"/>
          <w:color w:val="auto"/>
        </w:rPr>
        <w:t xml:space="preserve"> Independent</w:t>
      </w:r>
    </w:p>
    <w:p>
      <w:pPr>
        <w:spacing w:after="0" w:line="20" w:lineRule="exact"/>
        <w:rPr>
          <w:sz w:val="20"/>
          <w:szCs w:val="20"/>
          <w:color w:val="auto"/>
        </w:rPr>
      </w:pPr>
      <w:r>
        <w:rPr>
          <w:sz w:val="20"/>
          <w:szCs w:val="20"/>
          <w:color w:val="auto"/>
        </w:rPr>
        <w:br w:type="column"/>
      </w:r>
    </w:p>
    <w:p>
      <w:pPr>
        <w:spacing w:after="0" w:line="3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Other Current Public Directorships: </w:t>
      </w:r>
      <w:r>
        <w:rPr>
          <w:rFonts w:ascii="Arial" w:cs="Arial" w:eastAsia="Arial" w:hAnsi="Arial"/>
          <w:sz w:val="17"/>
          <w:szCs w:val="17"/>
          <w:color w:val="auto"/>
        </w:rPr>
        <w:t>None</w:t>
      </w:r>
    </w:p>
    <w:p>
      <w:pPr>
        <w:spacing w:after="0" w:line="414" w:lineRule="exact"/>
        <w:rPr>
          <w:sz w:val="20"/>
          <w:szCs w:val="20"/>
          <w:color w:val="auto"/>
        </w:rPr>
      </w:pPr>
    </w:p>
    <w:p>
      <w:pPr>
        <w:sectPr>
          <w:pgSz w:w="11900" w:h="16838" w:orient="portrait"/>
          <w:cols w:equalWidth="0" w:num="3">
            <w:col w:w="1740" w:space="720"/>
            <w:col w:w="1700" w:space="660"/>
            <w:col w:w="4280"/>
          </w:cols>
          <w:pgMar w:left="1360" w:top="263" w:right="1439" w:bottom="1440" w:gutter="0" w:footer="0" w:header="0"/>
          <w:type w:val="continuous"/>
        </w:sectPr>
      </w:pPr>
    </w:p>
    <w:p>
      <w:pPr>
        <w:ind w:left="120" w:right="20"/>
        <w:spacing w:after="0" w:line="247" w:lineRule="auto"/>
        <w:rPr>
          <w:sz w:val="20"/>
          <w:szCs w:val="20"/>
          <w:color w:val="auto"/>
        </w:rPr>
      </w:pPr>
      <w:r>
        <w:rPr>
          <w:rFonts w:ascii="Arial" w:cs="Arial" w:eastAsia="Arial" w:hAnsi="Arial"/>
          <w:sz w:val="18"/>
          <w:szCs w:val="18"/>
          <w:color w:val="auto"/>
        </w:rPr>
        <w:t>Lynda Ziegler was elected Vice Chair of the Board in April 2015, and then Chair of the Board in September 2016. She was elected to a second term as Chair of the Board at the 2019 annual meeting. In September 2012,</w:t>
      </w:r>
    </w:p>
    <w:p>
      <w:pPr>
        <w:spacing w:after="0" w:line="1"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Ms. Ziegler retired from Southern California Edison (SCE), one of the largest electric utilities in the U.S. (and a customer of Itron), whose parent is Edison International. During her tenure at SCE, she held various management positions related to customer program offerings, customer service, development, communication and implementation of energy efficiency programs, marketing and communication of smart meters, and generally led all aspects of delivering power to almost 5 million customers. From 2006 to 2011, Ms. Ziegler was Senior Vice President of Customer Service, and from January 1, 2011 until her retirement in September of 2012, she served as Executive Vice President of Power Delivery Services, where she was responsible for transmission and distribution construction and maintenance, customer service, information technology (IT), and support services including procurement and real estate management. In the past, she has served on the advisory committee for power delivery and utilization at the Electric Power Research Institute and was a founding member of the Board of the Association for Women in Water and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5829300" cy="6254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829300" cy="625475"/>
                    </a:xfrm>
                    <a:prstGeom prst="rect">
                      <a:avLst/>
                    </a:prstGeom>
                    <a:noFill/>
                  </pic:spPr>
                </pic:pic>
              </a:graphicData>
            </a:graphic>
          </wp:anchor>
        </w:drawing>
      </w:r>
    </w:p>
    <w:p>
      <w:pPr>
        <w:spacing w:after="0" w:line="93" w:lineRule="exact"/>
        <w:rPr>
          <w:sz w:val="20"/>
          <w:szCs w:val="20"/>
          <w:color w:val="auto"/>
        </w:rPr>
      </w:pPr>
    </w:p>
    <w:p>
      <w:pPr>
        <w:ind w:left="120" w:right="60"/>
        <w:spacing w:after="0" w:line="268" w:lineRule="auto"/>
        <w:rPr>
          <w:sz w:val="20"/>
          <w:szCs w:val="20"/>
          <w:color w:val="auto"/>
        </w:rPr>
      </w:pPr>
      <w:r>
        <w:rPr>
          <w:rFonts w:ascii="Arial" w:cs="Arial" w:eastAsia="Arial" w:hAnsi="Arial"/>
          <w:sz w:val="17"/>
          <w:szCs w:val="17"/>
          <w:b w:val="1"/>
          <w:bCs w:val="1"/>
          <w:color w:val="auto"/>
        </w:rPr>
        <w:t xml:space="preserve">Qualifications: </w:t>
      </w:r>
      <w:r>
        <w:rPr>
          <w:rFonts w:ascii="Arial" w:cs="Arial" w:eastAsia="Arial" w:hAnsi="Arial"/>
          <w:sz w:val="17"/>
          <w:szCs w:val="17"/>
          <w:color w:val="auto"/>
        </w:rPr>
        <w:t>Ms. Ziegler brings to the Board her extensive background with public utilities, especially with her</w:t>
      </w:r>
      <w:r>
        <w:rPr>
          <w:rFonts w:ascii="Arial" w:cs="Arial" w:eastAsia="Arial" w:hAnsi="Arial"/>
          <w:sz w:val="17"/>
          <w:szCs w:val="17"/>
          <w:b w:val="1"/>
          <w:bCs w:val="1"/>
          <w:color w:val="auto"/>
        </w:rPr>
        <w:t xml:space="preserve"> </w:t>
      </w:r>
      <w:r>
        <w:rPr>
          <w:rFonts w:ascii="Arial" w:cs="Arial" w:eastAsia="Arial" w:hAnsi="Arial"/>
          <w:sz w:val="17"/>
          <w:szCs w:val="17"/>
          <w:color w:val="auto"/>
        </w:rPr>
        <w:t>recent responsibilities in the industry related to smart meters and customer relations from the utility perspective. Her breadth of knowledge of software services, transmission and distribution construction and maintenance, IT, and business development adds to the diverse business backgrounds of our other members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52705</wp:posOffset>
            </wp:positionV>
            <wp:extent cx="582930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829300" cy="137160"/>
                    </a:xfrm>
                    <a:prstGeom prst="rect">
                      <a:avLst/>
                    </a:prstGeom>
                    <a:noFill/>
                  </pic:spPr>
                </pic:pic>
              </a:graphicData>
            </a:graphic>
          </wp:anchor>
        </w:drawing>
      </w:r>
    </w:p>
    <w:p>
      <w:pPr>
        <w:spacing w:after="0" w:line="306"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2020" w:type="dxa"/>
            <w:vAlign w:val="bottom"/>
          </w:tcPr>
          <w:p>
            <w:pPr>
              <w:spacing w:after="0"/>
              <w:rPr>
                <w:sz w:val="20"/>
                <w:szCs w:val="20"/>
                <w:color w:val="auto"/>
              </w:rPr>
            </w:pPr>
            <w:r>
              <w:rPr>
                <w:rFonts w:ascii="Arial" w:cs="Arial" w:eastAsia="Arial" w:hAnsi="Arial"/>
                <w:sz w:val="18"/>
                <w:szCs w:val="18"/>
                <w:b w:val="1"/>
                <w:bCs w:val="1"/>
                <w:color w:val="auto"/>
              </w:rPr>
              <w:t>Thomas S. Glanville</w:t>
            </w:r>
          </w:p>
        </w:tc>
        <w:tc>
          <w:tcPr>
            <w:tcW w:w="2360" w:type="dxa"/>
            <w:vAlign w:val="bottom"/>
          </w:tcPr>
          <w:p>
            <w:pPr>
              <w:ind w:left="32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2001</w:t>
            </w:r>
          </w:p>
        </w:tc>
        <w:tc>
          <w:tcPr>
            <w:tcW w:w="3880" w:type="dxa"/>
            <w:vAlign w:val="bottom"/>
          </w:tcPr>
          <w:p>
            <w:pPr>
              <w:ind w:left="320"/>
              <w:spacing w:after="0"/>
              <w:rPr>
                <w:sz w:val="20"/>
                <w:szCs w:val="20"/>
                <w:color w:val="auto"/>
              </w:rPr>
            </w:pPr>
            <w:r>
              <w:rPr>
                <w:rFonts w:ascii="Arial" w:cs="Arial" w:eastAsia="Arial" w:hAnsi="Arial"/>
                <w:sz w:val="18"/>
                <w:szCs w:val="18"/>
                <w:b w:val="1"/>
                <w:bCs w:val="1"/>
                <w:color w:val="auto"/>
                <w:w w:val="99"/>
              </w:rPr>
              <w:t xml:space="preserve">Other Current Public Directorships: </w:t>
            </w:r>
            <w:r>
              <w:rPr>
                <w:rFonts w:ascii="Arial" w:cs="Arial" w:eastAsia="Arial" w:hAnsi="Arial"/>
                <w:sz w:val="18"/>
                <w:szCs w:val="18"/>
                <w:color w:val="auto"/>
                <w:w w:val="99"/>
              </w:rPr>
              <w:t>MIND</w:t>
            </w:r>
          </w:p>
        </w:tc>
      </w:tr>
      <w:tr>
        <w:trPr>
          <w:trHeight w:val="305"/>
        </w:trPr>
        <w:tc>
          <w:tcPr>
            <w:tcW w:w="2020" w:type="dxa"/>
            <w:vAlign w:val="bottom"/>
          </w:tcPr>
          <w:p>
            <w:pPr>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62</w:t>
            </w:r>
          </w:p>
        </w:tc>
        <w:tc>
          <w:tcPr>
            <w:tcW w:w="2360" w:type="dxa"/>
            <w:vAlign w:val="bottom"/>
          </w:tcPr>
          <w:p>
            <w:pPr>
              <w:ind w:left="320"/>
              <w:spacing w:after="0"/>
              <w:rPr>
                <w:sz w:val="20"/>
                <w:szCs w:val="20"/>
                <w:color w:val="auto"/>
              </w:rPr>
            </w:pPr>
            <w:r>
              <w:rPr>
                <w:rFonts w:ascii="Arial" w:cs="Arial" w:eastAsia="Arial" w:hAnsi="Arial"/>
                <w:sz w:val="18"/>
                <w:szCs w:val="18"/>
                <w:b w:val="1"/>
                <w:bCs w:val="1"/>
                <w:color w:val="auto"/>
              </w:rPr>
              <w:t>Independent</w:t>
            </w:r>
          </w:p>
        </w:tc>
        <w:tc>
          <w:tcPr>
            <w:tcW w:w="3880" w:type="dxa"/>
            <w:vAlign w:val="bottom"/>
          </w:tcPr>
          <w:p>
            <w:pPr>
              <w:ind w:left="320"/>
              <w:spacing w:after="0"/>
              <w:rPr>
                <w:sz w:val="20"/>
                <w:szCs w:val="20"/>
                <w:color w:val="auto"/>
              </w:rPr>
            </w:pPr>
            <w:r>
              <w:rPr>
                <w:rFonts w:ascii="Arial" w:cs="Arial" w:eastAsia="Arial" w:hAnsi="Arial"/>
                <w:sz w:val="18"/>
                <w:szCs w:val="18"/>
                <w:color w:val="auto"/>
              </w:rPr>
              <w:t>Technology, Inc.</w:t>
            </w:r>
          </w:p>
        </w:tc>
      </w:tr>
    </w:tbl>
    <w:p>
      <w:pPr>
        <w:spacing w:after="0" w:line="100"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Thomas Glanville has been the Managing Partner of Eschelon Advisors, LP and affiliates, providing energy and private equity investment and advisory services since 2003. From 1999 to 2002, Mr. Glanville served as Vice President of Technology and New Ventures for Reliant Energy, Inc., one of the world’s largest international energy services companies, and its affiliate, Reliant Resources, Inc. In September 2015, he was appointed to the board of directors of MIND Technology, Inc. (NASDAQ: “MIND”), a publicly traded company providing technology and solutions in oceanographic, hydrographic, defense, seismic, and security industries, where he also serves as chair of the board’s audit committee and on its nominating and compensation committees. He currently serves on the board of directors for Strand Energy, LLC, a privately-held oil and gas exploration and production company, and Crescent Pass Energy, LLC, a private oil and gas production company. He served as Chairman of the Texas TriCities Chapter of the National Association of Corporate Directors (Houston, Austin, San Antonio) from 2011 through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5829300" cy="6254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829300" cy="625475"/>
                    </a:xfrm>
                    <a:prstGeom prst="rect">
                      <a:avLst/>
                    </a:prstGeom>
                    <a:noFill/>
                  </pic:spPr>
                </pic:pic>
              </a:graphicData>
            </a:graphic>
          </wp:anchor>
        </w:drawing>
      </w:r>
    </w:p>
    <w:p>
      <w:pPr>
        <w:spacing w:after="0" w:line="87" w:lineRule="exact"/>
        <w:rPr>
          <w:sz w:val="20"/>
          <w:szCs w:val="20"/>
          <w:color w:val="auto"/>
        </w:rPr>
      </w:pPr>
    </w:p>
    <w:p>
      <w:pPr>
        <w:ind w:left="120" w:right="40"/>
        <w:spacing w:after="0" w:line="249" w:lineRule="auto"/>
        <w:rPr>
          <w:sz w:val="20"/>
          <w:szCs w:val="20"/>
          <w:color w:val="auto"/>
        </w:rPr>
      </w:pPr>
      <w:r>
        <w:rPr>
          <w:rFonts w:ascii="Arial" w:cs="Arial" w:eastAsia="Arial" w:hAnsi="Arial"/>
          <w:sz w:val="18"/>
          <w:szCs w:val="18"/>
          <w:b w:val="1"/>
          <w:bCs w:val="1"/>
          <w:color w:val="auto"/>
        </w:rPr>
        <w:t xml:space="preserve">Qualifications: </w:t>
      </w:r>
      <w:r>
        <w:rPr>
          <w:rFonts w:ascii="Arial" w:cs="Arial" w:eastAsia="Arial" w:hAnsi="Arial"/>
          <w:sz w:val="18"/>
          <w:szCs w:val="18"/>
          <w:color w:val="auto"/>
        </w:rPr>
        <w:t>Mr. Glanville brings to the Board financial expertise, industry-related experience through his</w:t>
      </w:r>
      <w:r>
        <w:rPr>
          <w:rFonts w:ascii="Arial" w:cs="Arial" w:eastAsia="Arial" w:hAnsi="Arial"/>
          <w:sz w:val="18"/>
          <w:szCs w:val="18"/>
          <w:b w:val="1"/>
          <w:bCs w:val="1"/>
          <w:color w:val="auto"/>
        </w:rPr>
        <w:t xml:space="preserve"> </w:t>
      </w:r>
      <w:r>
        <w:rPr>
          <w:rFonts w:ascii="Arial" w:cs="Arial" w:eastAsia="Arial" w:hAnsi="Arial"/>
          <w:sz w:val="18"/>
          <w:szCs w:val="18"/>
          <w:color w:val="auto"/>
        </w:rPr>
        <w:t>association with Reliant Energy, energy sector exposure through the Eschelon entities and MIND Technology, and skills that include his involvement with electric metering studies and research while he was Vice President of Technology and New Ventures for Reliant Energy.</w:t>
      </w:r>
    </w:p>
    <w:p>
      <w:pPr>
        <w:spacing w:after="0" w:line="33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157480</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00"/>
          </w:cols>
          <w:pgMar w:left="1360" w:top="263" w:right="1439" w:bottom="144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161"/>
        </w:trPr>
        <w:tc>
          <w:tcPr>
            <w:tcW w:w="2060" w:type="dxa"/>
            <w:vAlign w:val="bottom"/>
            <w:gridSpan w:val="2"/>
          </w:tcPr>
          <w:p>
            <w:pPr>
              <w:spacing w:after="0"/>
              <w:rPr>
                <w:rFonts w:ascii="Times New Roman" w:cs="Times New Roman" w:eastAsia="Times New Roman" w:hAnsi="Times New Roman"/>
                <w:sz w:val="14"/>
                <w:szCs w:val="14"/>
                <w:b w:val="1"/>
                <w:bCs w:val="1"/>
                <w:color w:val="0000EE"/>
              </w:rPr>
            </w:pPr>
            <w:hyperlink w:anchor="page3">
              <w:r>
                <w:rPr>
                  <w:rFonts w:ascii="Times New Roman" w:cs="Times New Roman" w:eastAsia="Times New Roman" w:hAnsi="Times New Roman"/>
                  <w:sz w:val="14"/>
                  <w:szCs w:val="14"/>
                  <w:b w:val="1"/>
                  <w:bCs w:val="1"/>
                  <w:color w:val="0000EE"/>
                </w:rPr>
                <w:t>TABLE OF CONTENTS</w:t>
              </w:r>
            </w:hyperlink>
          </w:p>
        </w:tc>
        <w:tc>
          <w:tcPr>
            <w:tcW w:w="2440" w:type="dxa"/>
            <w:vAlign w:val="bottom"/>
          </w:tcPr>
          <w:p>
            <w:pPr>
              <w:spacing w:after="0"/>
              <w:rPr>
                <w:sz w:val="13"/>
                <w:szCs w:val="13"/>
                <w:color w:val="auto"/>
              </w:rPr>
            </w:pPr>
          </w:p>
        </w:tc>
        <w:tc>
          <w:tcPr>
            <w:tcW w:w="4680" w:type="dxa"/>
            <w:vAlign w:val="bottom"/>
          </w:tcPr>
          <w:p>
            <w:pPr>
              <w:spacing w:after="0"/>
              <w:rPr>
                <w:sz w:val="13"/>
                <w:szCs w:val="13"/>
                <w:color w:val="auto"/>
              </w:rPr>
            </w:pPr>
          </w:p>
        </w:tc>
      </w:tr>
      <w:tr>
        <w:trPr>
          <w:trHeight w:val="128"/>
        </w:trPr>
        <w:tc>
          <w:tcPr>
            <w:tcW w:w="1540" w:type="dxa"/>
            <w:vAlign w:val="bottom"/>
            <w:tcBorders>
              <w:top w:val="single" w:sz="8" w:color="0000EE"/>
            </w:tcBorders>
          </w:tcPr>
          <w:p>
            <w:pPr>
              <w:spacing w:after="0"/>
              <w:rPr>
                <w:sz w:val="11"/>
                <w:szCs w:val="11"/>
                <w:color w:val="auto"/>
              </w:rPr>
            </w:pPr>
          </w:p>
        </w:tc>
        <w:tc>
          <w:tcPr>
            <w:tcW w:w="5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4680" w:type="dxa"/>
            <w:vAlign w:val="bottom"/>
          </w:tcPr>
          <w:p>
            <w:pPr>
              <w:spacing w:after="0"/>
              <w:rPr>
                <w:sz w:val="11"/>
                <w:szCs w:val="11"/>
                <w:color w:val="auto"/>
              </w:rPr>
            </w:pPr>
          </w:p>
        </w:tc>
      </w:tr>
      <w:tr>
        <w:trPr>
          <w:trHeight w:val="216"/>
        </w:trPr>
        <w:tc>
          <w:tcPr>
            <w:tcW w:w="1540" w:type="dxa"/>
            <w:vAlign w:val="bottom"/>
            <w:shd w:val="clear" w:color="auto" w:fill="000000"/>
          </w:tcPr>
          <w:p>
            <w:pPr>
              <w:spacing w:after="0"/>
              <w:rPr>
                <w:sz w:val="18"/>
                <w:szCs w:val="18"/>
                <w:color w:val="auto"/>
              </w:rPr>
            </w:pPr>
          </w:p>
        </w:tc>
        <w:tc>
          <w:tcPr>
            <w:tcW w:w="520" w:type="dxa"/>
            <w:vAlign w:val="bottom"/>
            <w:shd w:val="clear" w:color="auto" w:fill="000000"/>
          </w:tcPr>
          <w:p>
            <w:pPr>
              <w:spacing w:after="0"/>
              <w:rPr>
                <w:sz w:val="18"/>
                <w:szCs w:val="18"/>
                <w:color w:val="auto"/>
              </w:rPr>
            </w:pPr>
          </w:p>
        </w:tc>
        <w:tc>
          <w:tcPr>
            <w:tcW w:w="2440" w:type="dxa"/>
            <w:vAlign w:val="bottom"/>
            <w:shd w:val="clear" w:color="auto" w:fill="000000"/>
          </w:tcPr>
          <w:p>
            <w:pPr>
              <w:spacing w:after="0"/>
              <w:rPr>
                <w:sz w:val="18"/>
                <w:szCs w:val="18"/>
                <w:color w:val="auto"/>
              </w:rPr>
            </w:pPr>
          </w:p>
        </w:tc>
        <w:tc>
          <w:tcPr>
            <w:tcW w:w="4680" w:type="dxa"/>
            <w:vAlign w:val="bottom"/>
            <w:shd w:val="clear" w:color="auto" w:fill="000000"/>
          </w:tcPr>
          <w:p>
            <w:pPr>
              <w:spacing w:after="0"/>
              <w:rPr>
                <w:sz w:val="18"/>
                <w:szCs w:val="18"/>
                <w:color w:val="auto"/>
              </w:rPr>
            </w:pPr>
          </w:p>
        </w:tc>
      </w:tr>
      <w:tr>
        <w:trPr>
          <w:trHeight w:val="282"/>
        </w:trPr>
        <w:tc>
          <w:tcPr>
            <w:tcW w:w="2060" w:type="dxa"/>
            <w:vAlign w:val="bottom"/>
            <w:gridSpan w:val="2"/>
          </w:tcPr>
          <w:p>
            <w:pPr>
              <w:ind w:left="120"/>
              <w:spacing w:after="0"/>
              <w:rPr>
                <w:sz w:val="20"/>
                <w:szCs w:val="20"/>
                <w:color w:val="auto"/>
              </w:rPr>
            </w:pPr>
            <w:r>
              <w:rPr>
                <w:rFonts w:ascii="Arial" w:cs="Arial" w:eastAsia="Arial" w:hAnsi="Arial"/>
                <w:sz w:val="18"/>
                <w:szCs w:val="18"/>
                <w:b w:val="1"/>
                <w:bCs w:val="1"/>
                <w:color w:val="auto"/>
              </w:rPr>
              <w:t>Diana D. Tremblay</w:t>
            </w:r>
          </w:p>
        </w:tc>
        <w:tc>
          <w:tcPr>
            <w:tcW w:w="2440" w:type="dxa"/>
            <w:vAlign w:val="bottom"/>
          </w:tcPr>
          <w:p>
            <w:pPr>
              <w:ind w:left="40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2015</w:t>
            </w:r>
          </w:p>
        </w:tc>
        <w:tc>
          <w:tcPr>
            <w:tcW w:w="4680" w:type="dxa"/>
            <w:vAlign w:val="bottom"/>
          </w:tcPr>
          <w:p>
            <w:pPr>
              <w:ind w:left="320"/>
              <w:spacing w:after="0"/>
              <w:rPr>
                <w:sz w:val="20"/>
                <w:szCs w:val="20"/>
                <w:color w:val="auto"/>
              </w:rPr>
            </w:pPr>
            <w:r>
              <w:rPr>
                <w:rFonts w:ascii="Arial" w:cs="Arial" w:eastAsia="Arial" w:hAnsi="Arial"/>
                <w:sz w:val="18"/>
                <w:szCs w:val="18"/>
                <w:b w:val="1"/>
                <w:bCs w:val="1"/>
                <w:color w:val="auto"/>
              </w:rPr>
              <w:t xml:space="preserve">Other Current Public Directorships: </w:t>
            </w:r>
            <w:r>
              <w:rPr>
                <w:rFonts w:ascii="Arial" w:cs="Arial" w:eastAsia="Arial" w:hAnsi="Arial"/>
                <w:sz w:val="18"/>
                <w:szCs w:val="18"/>
                <w:color w:val="auto"/>
              </w:rPr>
              <w:t>None</w:t>
            </w:r>
          </w:p>
        </w:tc>
      </w:tr>
      <w:tr>
        <w:trPr>
          <w:trHeight w:val="257"/>
        </w:trPr>
        <w:tc>
          <w:tcPr>
            <w:tcW w:w="2060" w:type="dxa"/>
            <w:vAlign w:val="bottom"/>
            <w:gridSpan w:val="2"/>
          </w:tcPr>
          <w:p>
            <w:pPr>
              <w:ind w:left="12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61</w:t>
            </w:r>
          </w:p>
        </w:tc>
        <w:tc>
          <w:tcPr>
            <w:tcW w:w="2440" w:type="dxa"/>
            <w:vAlign w:val="bottom"/>
          </w:tcPr>
          <w:p>
            <w:pPr>
              <w:ind w:left="400"/>
              <w:spacing w:after="0"/>
              <w:rPr>
                <w:sz w:val="20"/>
                <w:szCs w:val="20"/>
                <w:color w:val="auto"/>
              </w:rPr>
            </w:pPr>
            <w:r>
              <w:rPr>
                <w:rFonts w:ascii="Arial" w:cs="Arial" w:eastAsia="Arial" w:hAnsi="Arial"/>
                <w:sz w:val="18"/>
                <w:szCs w:val="18"/>
                <w:b w:val="1"/>
                <w:bCs w:val="1"/>
                <w:color w:val="auto"/>
              </w:rPr>
              <w:t>Independent</w:t>
            </w:r>
          </w:p>
        </w:tc>
        <w:tc>
          <w:tcPr>
            <w:tcW w:w="4680" w:type="dxa"/>
            <w:vAlign w:val="bottom"/>
          </w:tcPr>
          <w:p>
            <w:pPr>
              <w:spacing w:after="0"/>
              <w:rPr>
                <w:sz w:val="22"/>
                <w:szCs w:val="22"/>
                <w:color w:val="auto"/>
              </w:rPr>
            </w:pPr>
          </w:p>
        </w:tc>
      </w:tr>
    </w:tbl>
    <w:p>
      <w:pPr>
        <w:spacing w:after="0" w:line="10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Diana Tremblay retired from General Motors Company, the motor vehicle manufacturer and distributor</w:t>
      </w:r>
    </w:p>
    <w:p>
      <w:pPr>
        <w:spacing w:after="0" w:line="1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multinational corporation (NYSE: “GM”) in September 2017. She had been with that company since 1977, and</w:t>
      </w:r>
    </w:p>
    <w:p>
      <w:pPr>
        <w:ind w:left="120"/>
        <w:spacing w:after="0" w:line="234" w:lineRule="auto"/>
        <w:rPr>
          <w:sz w:val="20"/>
          <w:szCs w:val="20"/>
          <w:color w:val="auto"/>
        </w:rPr>
      </w:pPr>
      <w:r>
        <w:rPr>
          <w:rFonts w:ascii="Arial" w:cs="Arial" w:eastAsia="Arial" w:hAnsi="Arial"/>
          <w:sz w:val="18"/>
          <w:szCs w:val="18"/>
          <w:color w:val="auto"/>
        </w:rPr>
        <w:t>during her tenure at GM, she held a variety of positions in engineering, manufacturing, and labor relations,</w:t>
      </w:r>
    </w:p>
    <w:p>
      <w:pPr>
        <w:ind w:left="120"/>
        <w:spacing w:after="0" w:line="235" w:lineRule="auto"/>
        <w:rPr>
          <w:sz w:val="20"/>
          <w:szCs w:val="20"/>
          <w:color w:val="auto"/>
        </w:rPr>
      </w:pPr>
      <w:r>
        <w:rPr>
          <w:rFonts w:ascii="Arial" w:cs="Arial" w:eastAsia="Arial" w:hAnsi="Arial"/>
          <w:sz w:val="18"/>
          <w:szCs w:val="18"/>
          <w:color w:val="auto"/>
        </w:rPr>
        <w:t>including direct operational responsibility for over 50,000 employees. From July 2013 until her retirement,</w:t>
      </w:r>
    </w:p>
    <w:p>
      <w:pPr>
        <w:ind w:left="120"/>
        <w:spacing w:after="0" w:line="235" w:lineRule="auto"/>
        <w:rPr>
          <w:sz w:val="20"/>
          <w:szCs w:val="20"/>
          <w:color w:val="auto"/>
        </w:rPr>
      </w:pPr>
      <w:r>
        <w:rPr>
          <w:rFonts w:ascii="Arial" w:cs="Arial" w:eastAsia="Arial" w:hAnsi="Arial"/>
          <w:sz w:val="18"/>
          <w:szCs w:val="18"/>
          <w:color w:val="auto"/>
        </w:rPr>
        <w:t>Ms. Tremblay served as Vice President of Global Business Services, where she was charged with streamlining</w:t>
      </w:r>
    </w:p>
    <w:p>
      <w:pPr>
        <w:ind w:left="120"/>
        <w:spacing w:after="0" w:line="235" w:lineRule="auto"/>
        <w:rPr>
          <w:sz w:val="20"/>
          <w:szCs w:val="20"/>
          <w:color w:val="auto"/>
        </w:rPr>
      </w:pPr>
      <w:r>
        <w:rPr>
          <w:rFonts w:ascii="Arial" w:cs="Arial" w:eastAsia="Arial" w:hAnsi="Arial"/>
          <w:sz w:val="18"/>
          <w:szCs w:val="18"/>
          <w:color w:val="auto"/>
        </w:rPr>
        <w:t>administrative processes around the world to improve service quality, reduce complexity, and achieve cost</w:t>
      </w:r>
    </w:p>
    <w:p>
      <w:pPr>
        <w:ind w:left="120"/>
        <w:spacing w:after="0" w:line="235" w:lineRule="auto"/>
        <w:rPr>
          <w:sz w:val="20"/>
          <w:szCs w:val="20"/>
          <w:color w:val="auto"/>
        </w:rPr>
      </w:pPr>
      <w:r>
        <w:rPr>
          <w:rFonts w:ascii="Arial" w:cs="Arial" w:eastAsia="Arial" w:hAnsi="Arial"/>
          <w:sz w:val="18"/>
          <w:szCs w:val="18"/>
          <w:color w:val="auto"/>
        </w:rPr>
        <w:t>efficiencies in such areas as finance, human resources, real estate, purchasing, asset management, and master</w:t>
      </w:r>
    </w:p>
    <w:p>
      <w:pPr>
        <w:ind w:left="120"/>
        <w:spacing w:after="0" w:line="234" w:lineRule="auto"/>
        <w:rPr>
          <w:sz w:val="20"/>
          <w:szCs w:val="20"/>
          <w:color w:val="auto"/>
        </w:rPr>
      </w:pPr>
      <w:r>
        <w:rPr>
          <w:rFonts w:ascii="Arial" w:cs="Arial" w:eastAsia="Arial" w:hAnsi="Arial"/>
          <w:sz w:val="18"/>
          <w:szCs w:val="18"/>
          <w:color w:val="auto"/>
        </w:rPr>
        <w:t>data. From December 2009 to July 2013, Ms. Tremblay held the position of Vice President of Manufacturing at</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5829300" cy="6254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829300" cy="625475"/>
                    </a:xfrm>
                    <a:prstGeom prst="rect">
                      <a:avLst/>
                    </a:prstGeom>
                    <a:noFill/>
                  </pic:spPr>
                </pic:pic>
              </a:graphicData>
            </a:graphic>
          </wp:anchor>
        </w:drawing>
      </w:r>
    </w:p>
    <w:p>
      <w:pPr>
        <w:spacing w:after="0" w:line="100" w:lineRule="exact"/>
        <w:rPr>
          <w:sz w:val="20"/>
          <w:szCs w:val="20"/>
          <w:color w:val="auto"/>
        </w:rPr>
      </w:pPr>
    </w:p>
    <w:p>
      <w:pPr>
        <w:ind w:left="120" w:right="400"/>
        <w:spacing w:after="0" w:line="249" w:lineRule="auto"/>
        <w:rPr>
          <w:sz w:val="20"/>
          <w:szCs w:val="20"/>
          <w:color w:val="auto"/>
        </w:rPr>
      </w:pPr>
      <w:r>
        <w:rPr>
          <w:rFonts w:ascii="Arial" w:cs="Arial" w:eastAsia="Arial" w:hAnsi="Arial"/>
          <w:sz w:val="18"/>
          <w:szCs w:val="18"/>
          <w:b w:val="1"/>
          <w:bCs w:val="1"/>
          <w:color w:val="auto"/>
        </w:rPr>
        <w:t xml:space="preserve">Qualifications: </w:t>
      </w:r>
      <w:r>
        <w:rPr>
          <w:rFonts w:ascii="Arial" w:cs="Arial" w:eastAsia="Arial" w:hAnsi="Arial"/>
          <w:sz w:val="18"/>
          <w:szCs w:val="18"/>
          <w:color w:val="auto"/>
        </w:rPr>
        <w:t>Ms. Tremblay brings to the Board her broad business experience that includes her previous</w:t>
      </w:r>
      <w:r>
        <w:rPr>
          <w:rFonts w:ascii="Arial" w:cs="Arial" w:eastAsia="Arial" w:hAnsi="Arial"/>
          <w:sz w:val="18"/>
          <w:szCs w:val="18"/>
          <w:b w:val="1"/>
          <w:bCs w:val="1"/>
          <w:color w:val="auto"/>
        </w:rPr>
        <w:t xml:space="preserve"> </w:t>
      </w:r>
      <w:r>
        <w:rPr>
          <w:rFonts w:ascii="Arial" w:cs="Arial" w:eastAsia="Arial" w:hAnsi="Arial"/>
          <w:sz w:val="18"/>
          <w:szCs w:val="18"/>
          <w:color w:val="auto"/>
        </w:rPr>
        <w:t>roles at GM as an engineer, plant manager, head of manufacturing, and lead labor relations negotiator, which together with her knowledge of business services and global manufacturing processes, provide additional international, administrative, and manufacturing perspectives to the Board.</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Class 1 Directors– Directors with Terms That Will Expire in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582930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829300" cy="137160"/>
                    </a:xfrm>
                    <a:prstGeom prst="rect">
                      <a:avLst/>
                    </a:prstGeom>
                    <a:noFill/>
                  </pic:spPr>
                </pic:pic>
              </a:graphicData>
            </a:graphic>
          </wp:anchor>
        </w:drawing>
      </w:r>
    </w:p>
    <w:p>
      <w:pPr>
        <w:sectPr>
          <w:pgSz w:w="11900" w:h="16838" w:orient="portrait"/>
          <w:cols w:equalWidth="0" w:num="1">
            <w:col w:w="9180"/>
          </w:cols>
          <w:pgMar w:left="1360" w:top="262" w:right="1359" w:bottom="1440" w:gutter="0" w:footer="0" w:header="0"/>
        </w:sectPr>
      </w:pPr>
    </w:p>
    <w:p>
      <w:pPr>
        <w:spacing w:after="0" w:line="347" w:lineRule="exact"/>
        <w:rPr>
          <w:sz w:val="20"/>
          <w:szCs w:val="20"/>
          <w:color w:val="auto"/>
        </w:rPr>
      </w:pPr>
    </w:p>
    <w:p>
      <w:pPr>
        <w:ind w:left="120" w:right="200"/>
        <w:spacing w:after="0" w:line="350" w:lineRule="auto"/>
        <w:rPr>
          <w:sz w:val="20"/>
          <w:szCs w:val="20"/>
          <w:color w:val="auto"/>
        </w:rPr>
      </w:pPr>
      <w:r>
        <w:rPr>
          <w:rFonts w:ascii="Arial" w:cs="Arial" w:eastAsia="Arial" w:hAnsi="Arial"/>
          <w:sz w:val="18"/>
          <w:szCs w:val="18"/>
          <w:b w:val="1"/>
          <w:bCs w:val="1"/>
          <w:color w:val="auto"/>
        </w:rPr>
        <w:t xml:space="preserve">Jerome J. Lande Age: </w:t>
      </w: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br w:type="column"/>
      </w:r>
    </w:p>
    <w:p>
      <w:pPr>
        <w:spacing w:after="0" w:line="327" w:lineRule="exact"/>
        <w:rPr>
          <w:sz w:val="20"/>
          <w:szCs w:val="20"/>
          <w:color w:val="auto"/>
        </w:rPr>
      </w:pPr>
    </w:p>
    <w:p>
      <w:pPr>
        <w:spacing w:after="0" w:line="350" w:lineRule="auto"/>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2015</w:t>
      </w:r>
      <w:r>
        <w:rPr>
          <w:rFonts w:ascii="Arial" w:cs="Arial" w:eastAsia="Arial" w:hAnsi="Arial"/>
          <w:sz w:val="18"/>
          <w:szCs w:val="18"/>
          <w:b w:val="1"/>
          <w:bCs w:val="1"/>
          <w:color w:val="auto"/>
        </w:rPr>
        <w:t xml:space="preserve"> Independent</w:t>
      </w:r>
    </w:p>
    <w:p>
      <w:pPr>
        <w:spacing w:after="0" w:line="20" w:lineRule="exact"/>
        <w:rPr>
          <w:sz w:val="20"/>
          <w:szCs w:val="20"/>
          <w:color w:val="auto"/>
        </w:rPr>
      </w:pPr>
      <w:r>
        <w:rPr>
          <w:sz w:val="20"/>
          <w:szCs w:val="20"/>
          <w:color w:val="auto"/>
        </w:rPr>
        <w:br w:type="column"/>
      </w:r>
    </w:p>
    <w:p>
      <w:pPr>
        <w:spacing w:after="0" w:line="327" w:lineRule="exact"/>
        <w:rPr>
          <w:sz w:val="20"/>
          <w:szCs w:val="20"/>
          <w:color w:val="auto"/>
        </w:rPr>
      </w:pPr>
    </w:p>
    <w:p>
      <w:pPr>
        <w:ind w:right="460"/>
        <w:spacing w:after="0" w:line="278" w:lineRule="auto"/>
        <w:rPr>
          <w:sz w:val="20"/>
          <w:szCs w:val="20"/>
          <w:color w:val="auto"/>
        </w:rPr>
      </w:pPr>
      <w:r>
        <w:rPr>
          <w:rFonts w:ascii="Arial" w:cs="Arial" w:eastAsia="Arial" w:hAnsi="Arial"/>
          <w:sz w:val="18"/>
          <w:szCs w:val="18"/>
          <w:b w:val="1"/>
          <w:bCs w:val="1"/>
          <w:color w:val="auto"/>
        </w:rPr>
        <w:t xml:space="preserve">Other Current Public Directorships: </w:t>
      </w:r>
      <w:r>
        <w:rPr>
          <w:rFonts w:ascii="Arial" w:cs="Arial" w:eastAsia="Arial" w:hAnsi="Arial"/>
          <w:sz w:val="18"/>
          <w:szCs w:val="18"/>
          <w:color w:val="auto"/>
        </w:rPr>
        <w:t>CONMED</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w:t>
      </w:r>
    </w:p>
    <w:p>
      <w:pPr>
        <w:spacing w:after="0" w:line="130" w:lineRule="exact"/>
        <w:rPr>
          <w:sz w:val="20"/>
          <w:szCs w:val="20"/>
          <w:color w:val="auto"/>
        </w:rPr>
      </w:pPr>
    </w:p>
    <w:p>
      <w:pPr>
        <w:sectPr>
          <w:pgSz w:w="11900" w:h="16838" w:orient="portrait"/>
          <w:cols w:equalWidth="0" w:num="3">
            <w:col w:w="1740" w:space="720"/>
            <w:col w:w="1700" w:space="660"/>
            <w:col w:w="4360"/>
          </w:cols>
          <w:pgMar w:left="1360" w:top="262" w:right="1359" w:bottom="1440" w:gutter="0" w:footer="0" w:header="0"/>
          <w:type w:val="continuous"/>
        </w:sectPr>
      </w:pPr>
    </w:p>
    <w:p>
      <w:pPr>
        <w:ind w:left="120" w:right="120"/>
        <w:spacing w:after="0" w:line="239" w:lineRule="auto"/>
        <w:rPr>
          <w:sz w:val="20"/>
          <w:szCs w:val="20"/>
          <w:color w:val="auto"/>
        </w:rPr>
      </w:pPr>
      <w:r>
        <w:rPr>
          <w:rFonts w:ascii="Arial" w:cs="Arial" w:eastAsia="Arial" w:hAnsi="Arial"/>
          <w:sz w:val="18"/>
          <w:szCs w:val="18"/>
          <w:color w:val="auto"/>
        </w:rPr>
        <w:t>Jerome Lande joined Scopia Capital Management LP (Scopia), an asset management firm, in April 2016 and is currently a Partner and Head of Special-Situation Investments. He was previously the Managing Partner of Coppersmith Capital Management LLC (Coppersmith), an asset management firm focused on equity investing in small to mid-cap markets and in long-term value creation, which he co-founded in April 2012. Prior to co-founding Coppersmith, Mr. Lande was a partner of MCM Capital Management, LLC, the general partner of MMI Investments, LP, a small-cap investment fund founded in 1996 to employ private equity investing methodologies in public equities, and where Mr. Lande oversaw research, trading and activism from 1998 to 2011. Prior to that time, he was associated with other equity investment firms where he was directly involved with corporate development as well as equity growth. Mr. Lande is a member of the board of directors of CONMED Corporation (NASDAQ: “CNMD”), a public global medical technology company, where he also serves on the compensation committee and chairs the strategy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5829300" cy="3683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829300" cy="368300"/>
                    </a:xfrm>
                    <a:prstGeom prst="rect">
                      <a:avLst/>
                    </a:prstGeom>
                    <a:noFill/>
                  </pic:spPr>
                </pic:pic>
              </a:graphicData>
            </a:graphic>
          </wp:anchor>
        </w:drawing>
      </w:r>
    </w:p>
    <w:p>
      <w:pPr>
        <w:spacing w:after="0" w:line="87" w:lineRule="exact"/>
        <w:rPr>
          <w:sz w:val="20"/>
          <w:szCs w:val="20"/>
          <w:color w:val="auto"/>
        </w:rPr>
      </w:pPr>
    </w:p>
    <w:p>
      <w:pPr>
        <w:ind w:left="120" w:right="180"/>
        <w:spacing w:after="0" w:line="278" w:lineRule="auto"/>
        <w:rPr>
          <w:sz w:val="20"/>
          <w:szCs w:val="20"/>
          <w:color w:val="auto"/>
        </w:rPr>
      </w:pPr>
      <w:r>
        <w:rPr>
          <w:rFonts w:ascii="Arial" w:cs="Arial" w:eastAsia="Arial" w:hAnsi="Arial"/>
          <w:sz w:val="18"/>
          <w:szCs w:val="18"/>
          <w:b w:val="1"/>
          <w:bCs w:val="1"/>
          <w:color w:val="auto"/>
        </w:rPr>
        <w:t xml:space="preserve">Qualifications: </w:t>
      </w:r>
      <w:r>
        <w:rPr>
          <w:rFonts w:ascii="Arial" w:cs="Arial" w:eastAsia="Arial" w:hAnsi="Arial"/>
          <w:sz w:val="18"/>
          <w:szCs w:val="18"/>
          <w:color w:val="auto"/>
        </w:rPr>
        <w:t>Mr. Lande brings to the Board financial and investing acumen gained through his many years of</w:t>
      </w:r>
      <w:r>
        <w:rPr>
          <w:rFonts w:ascii="Arial" w:cs="Arial" w:eastAsia="Arial" w:hAnsi="Arial"/>
          <w:sz w:val="18"/>
          <w:szCs w:val="18"/>
          <w:b w:val="1"/>
          <w:bCs w:val="1"/>
          <w:color w:val="auto"/>
        </w:rPr>
        <w:t xml:space="preserve"> </w:t>
      </w:r>
      <w:r>
        <w:rPr>
          <w:rFonts w:ascii="Arial" w:cs="Arial" w:eastAsia="Arial" w:hAnsi="Arial"/>
          <w:sz w:val="18"/>
          <w:szCs w:val="18"/>
          <w:color w:val="auto"/>
        </w:rPr>
        <w:t>experience at several equity investment firms, including his current employer Scopia (and affiliates).</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157480</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262" w:right="1359" w:bottom="144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161"/>
        </w:trPr>
        <w:tc>
          <w:tcPr>
            <w:tcW w:w="2060" w:type="dxa"/>
            <w:vAlign w:val="bottom"/>
            <w:gridSpan w:val="2"/>
          </w:tcPr>
          <w:p>
            <w:pPr>
              <w:spacing w:after="0"/>
              <w:rPr>
                <w:rFonts w:ascii="Times New Roman" w:cs="Times New Roman" w:eastAsia="Times New Roman" w:hAnsi="Times New Roman"/>
                <w:sz w:val="14"/>
                <w:szCs w:val="14"/>
                <w:b w:val="1"/>
                <w:bCs w:val="1"/>
                <w:color w:val="0000EE"/>
              </w:rPr>
            </w:pPr>
            <w:hyperlink w:anchor="page3">
              <w:r>
                <w:rPr>
                  <w:rFonts w:ascii="Times New Roman" w:cs="Times New Roman" w:eastAsia="Times New Roman" w:hAnsi="Times New Roman"/>
                  <w:sz w:val="14"/>
                  <w:szCs w:val="14"/>
                  <w:b w:val="1"/>
                  <w:bCs w:val="1"/>
                  <w:color w:val="0000EE"/>
                </w:rPr>
                <w:t>TABLE OF CONTENTS</w:t>
              </w:r>
            </w:hyperlink>
          </w:p>
        </w:tc>
        <w:tc>
          <w:tcPr>
            <w:tcW w:w="2440" w:type="dxa"/>
            <w:vAlign w:val="bottom"/>
          </w:tcPr>
          <w:p>
            <w:pPr>
              <w:spacing w:after="0"/>
              <w:rPr>
                <w:sz w:val="13"/>
                <w:szCs w:val="13"/>
                <w:color w:val="auto"/>
              </w:rPr>
            </w:pPr>
          </w:p>
        </w:tc>
        <w:tc>
          <w:tcPr>
            <w:tcW w:w="4680" w:type="dxa"/>
            <w:vAlign w:val="bottom"/>
          </w:tcPr>
          <w:p>
            <w:pPr>
              <w:spacing w:after="0"/>
              <w:rPr>
                <w:sz w:val="13"/>
                <w:szCs w:val="13"/>
                <w:color w:val="auto"/>
              </w:rPr>
            </w:pPr>
          </w:p>
        </w:tc>
      </w:tr>
      <w:tr>
        <w:trPr>
          <w:trHeight w:val="128"/>
        </w:trPr>
        <w:tc>
          <w:tcPr>
            <w:tcW w:w="1540" w:type="dxa"/>
            <w:vAlign w:val="bottom"/>
            <w:tcBorders>
              <w:top w:val="single" w:sz="8" w:color="0000EE"/>
            </w:tcBorders>
          </w:tcPr>
          <w:p>
            <w:pPr>
              <w:spacing w:after="0"/>
              <w:rPr>
                <w:sz w:val="11"/>
                <w:szCs w:val="11"/>
                <w:color w:val="auto"/>
              </w:rPr>
            </w:pPr>
          </w:p>
        </w:tc>
        <w:tc>
          <w:tcPr>
            <w:tcW w:w="5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4680" w:type="dxa"/>
            <w:vAlign w:val="bottom"/>
          </w:tcPr>
          <w:p>
            <w:pPr>
              <w:spacing w:after="0"/>
              <w:rPr>
                <w:sz w:val="11"/>
                <w:szCs w:val="11"/>
                <w:color w:val="auto"/>
              </w:rPr>
            </w:pPr>
          </w:p>
        </w:tc>
      </w:tr>
      <w:tr>
        <w:trPr>
          <w:trHeight w:val="216"/>
        </w:trPr>
        <w:tc>
          <w:tcPr>
            <w:tcW w:w="1540" w:type="dxa"/>
            <w:vAlign w:val="bottom"/>
            <w:shd w:val="clear" w:color="auto" w:fill="000000"/>
          </w:tcPr>
          <w:p>
            <w:pPr>
              <w:spacing w:after="0"/>
              <w:rPr>
                <w:sz w:val="18"/>
                <w:szCs w:val="18"/>
                <w:color w:val="auto"/>
              </w:rPr>
            </w:pPr>
          </w:p>
        </w:tc>
        <w:tc>
          <w:tcPr>
            <w:tcW w:w="520" w:type="dxa"/>
            <w:vAlign w:val="bottom"/>
            <w:shd w:val="clear" w:color="auto" w:fill="000000"/>
          </w:tcPr>
          <w:p>
            <w:pPr>
              <w:spacing w:after="0"/>
              <w:rPr>
                <w:sz w:val="18"/>
                <w:szCs w:val="18"/>
                <w:color w:val="auto"/>
              </w:rPr>
            </w:pPr>
          </w:p>
        </w:tc>
        <w:tc>
          <w:tcPr>
            <w:tcW w:w="2440" w:type="dxa"/>
            <w:vAlign w:val="bottom"/>
            <w:shd w:val="clear" w:color="auto" w:fill="000000"/>
          </w:tcPr>
          <w:p>
            <w:pPr>
              <w:spacing w:after="0"/>
              <w:rPr>
                <w:sz w:val="18"/>
                <w:szCs w:val="18"/>
                <w:color w:val="auto"/>
              </w:rPr>
            </w:pPr>
          </w:p>
        </w:tc>
        <w:tc>
          <w:tcPr>
            <w:tcW w:w="4680" w:type="dxa"/>
            <w:vAlign w:val="bottom"/>
            <w:shd w:val="clear" w:color="auto" w:fill="000000"/>
          </w:tcPr>
          <w:p>
            <w:pPr>
              <w:spacing w:after="0"/>
              <w:rPr>
                <w:sz w:val="18"/>
                <w:szCs w:val="18"/>
                <w:color w:val="auto"/>
              </w:rPr>
            </w:pPr>
          </w:p>
        </w:tc>
      </w:tr>
      <w:tr>
        <w:trPr>
          <w:trHeight w:val="234"/>
        </w:trPr>
        <w:tc>
          <w:tcPr>
            <w:tcW w:w="2060" w:type="dxa"/>
            <w:vAlign w:val="bottom"/>
            <w:gridSpan w:val="2"/>
          </w:tcPr>
          <w:p>
            <w:pPr>
              <w:ind w:left="120"/>
              <w:spacing w:after="0"/>
              <w:rPr>
                <w:sz w:val="20"/>
                <w:szCs w:val="20"/>
                <w:color w:val="auto"/>
              </w:rPr>
            </w:pPr>
            <w:r>
              <w:rPr>
                <w:rFonts w:ascii="Arial" w:cs="Arial" w:eastAsia="Arial" w:hAnsi="Arial"/>
                <w:sz w:val="18"/>
                <w:szCs w:val="18"/>
                <w:b w:val="1"/>
                <w:bCs w:val="1"/>
                <w:color w:val="auto"/>
              </w:rPr>
              <w:t>Frank M. Jaehnert</w:t>
            </w:r>
          </w:p>
        </w:tc>
        <w:tc>
          <w:tcPr>
            <w:tcW w:w="2440" w:type="dxa"/>
            <w:vAlign w:val="bottom"/>
          </w:tcPr>
          <w:p>
            <w:pPr>
              <w:ind w:left="40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2015</w:t>
            </w:r>
          </w:p>
        </w:tc>
        <w:tc>
          <w:tcPr>
            <w:tcW w:w="4680" w:type="dxa"/>
            <w:vAlign w:val="bottom"/>
          </w:tcPr>
          <w:p>
            <w:pPr>
              <w:ind w:left="320"/>
              <w:spacing w:after="0"/>
              <w:rPr>
                <w:sz w:val="20"/>
                <w:szCs w:val="20"/>
                <w:color w:val="auto"/>
              </w:rPr>
            </w:pPr>
            <w:r>
              <w:rPr>
                <w:rFonts w:ascii="Arial" w:cs="Arial" w:eastAsia="Arial" w:hAnsi="Arial"/>
                <w:sz w:val="18"/>
                <w:szCs w:val="18"/>
                <w:b w:val="1"/>
                <w:bCs w:val="1"/>
                <w:color w:val="auto"/>
              </w:rPr>
              <w:t xml:space="preserve">Other Current Public Directorships: </w:t>
            </w:r>
            <w:r>
              <w:rPr>
                <w:rFonts w:ascii="Arial" w:cs="Arial" w:eastAsia="Arial" w:hAnsi="Arial"/>
                <w:sz w:val="18"/>
                <w:szCs w:val="18"/>
                <w:color w:val="auto"/>
              </w:rPr>
              <w:t>Nordson</w:t>
            </w:r>
          </w:p>
        </w:tc>
      </w:tr>
      <w:tr>
        <w:trPr>
          <w:trHeight w:val="305"/>
        </w:trPr>
        <w:tc>
          <w:tcPr>
            <w:tcW w:w="2060" w:type="dxa"/>
            <w:vAlign w:val="bottom"/>
            <w:gridSpan w:val="2"/>
          </w:tcPr>
          <w:p>
            <w:pPr>
              <w:ind w:left="12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63</w:t>
            </w:r>
          </w:p>
        </w:tc>
        <w:tc>
          <w:tcPr>
            <w:tcW w:w="2440" w:type="dxa"/>
            <w:vAlign w:val="bottom"/>
          </w:tcPr>
          <w:p>
            <w:pPr>
              <w:ind w:left="400"/>
              <w:spacing w:after="0"/>
              <w:rPr>
                <w:sz w:val="20"/>
                <w:szCs w:val="20"/>
                <w:color w:val="auto"/>
              </w:rPr>
            </w:pPr>
            <w:r>
              <w:rPr>
                <w:rFonts w:ascii="Arial" w:cs="Arial" w:eastAsia="Arial" w:hAnsi="Arial"/>
                <w:sz w:val="18"/>
                <w:szCs w:val="18"/>
                <w:b w:val="1"/>
                <w:bCs w:val="1"/>
                <w:color w:val="auto"/>
              </w:rPr>
              <w:t>Independent</w:t>
            </w:r>
          </w:p>
        </w:tc>
        <w:tc>
          <w:tcPr>
            <w:tcW w:w="4680" w:type="dxa"/>
            <w:vAlign w:val="bottom"/>
          </w:tcPr>
          <w:p>
            <w:pPr>
              <w:ind w:left="320"/>
              <w:spacing w:after="0"/>
              <w:rPr>
                <w:sz w:val="20"/>
                <w:szCs w:val="20"/>
                <w:color w:val="auto"/>
              </w:rPr>
            </w:pPr>
            <w:r>
              <w:rPr>
                <w:rFonts w:ascii="Arial" w:cs="Arial" w:eastAsia="Arial" w:hAnsi="Arial"/>
                <w:sz w:val="18"/>
                <w:szCs w:val="18"/>
                <w:color w:val="auto"/>
              </w:rPr>
              <w:t>Corporation</w:t>
            </w:r>
          </w:p>
        </w:tc>
      </w:tr>
    </w:tbl>
    <w:p>
      <w:pPr>
        <w:spacing w:after="0" w:line="100" w:lineRule="exact"/>
        <w:rPr>
          <w:sz w:val="20"/>
          <w:szCs w:val="20"/>
          <w:color w:val="auto"/>
        </w:rPr>
      </w:pPr>
    </w:p>
    <w:p>
      <w:pPr>
        <w:ind w:left="120" w:right="80"/>
        <w:spacing w:after="0"/>
        <w:rPr>
          <w:sz w:val="20"/>
          <w:szCs w:val="20"/>
          <w:color w:val="auto"/>
        </w:rPr>
      </w:pPr>
      <w:r>
        <w:rPr>
          <w:rFonts w:ascii="Arial" w:cs="Arial" w:eastAsia="Arial" w:hAnsi="Arial"/>
          <w:sz w:val="18"/>
          <w:szCs w:val="18"/>
          <w:color w:val="auto"/>
        </w:rPr>
        <w:t>From 1995 until his retirement in 2013, Frank Jaehnert held several roles with Brady Corporation (NYSE: “BRC”), a publicly traded manufacturer and marketer of complete solutions that identify and protect premises, products and people. These roles included President and Chief Executive Officer from 2003 to 2013, Senior Vice President and President of a business line from 2002 to 2003, and Vice President and Chief Financial Officer from 1996 to 2001. Prior to joining Brady Corporation, Mr. Jaehnert held various financial and management positions for Robert Bosch GmbH, a German multinational engineering and electronics company. Mr. Jaehnert serves on the board of directors of Nordson Corporation (NASDAQ: “NDSN”), which he joined in 2012. NDSN is a publicly traded large manufacturing company. Mr. Jaehnert is the chair of the NDSN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wp:posOffset>
            </wp:positionV>
            <wp:extent cx="5829300" cy="6254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829300" cy="625475"/>
                    </a:xfrm>
                    <a:prstGeom prst="rect">
                      <a:avLst/>
                    </a:prstGeom>
                    <a:noFill/>
                  </pic:spPr>
                </pic:pic>
              </a:graphicData>
            </a:graphic>
          </wp:anchor>
        </w:drawing>
      </w:r>
    </w:p>
    <w:p>
      <w:pPr>
        <w:spacing w:after="0" w:line="91" w:lineRule="exact"/>
        <w:rPr>
          <w:sz w:val="20"/>
          <w:szCs w:val="20"/>
          <w:color w:val="auto"/>
        </w:rPr>
      </w:pPr>
    </w:p>
    <w:p>
      <w:pPr>
        <w:ind w:left="120" w:right="100"/>
        <w:spacing w:after="0" w:line="249" w:lineRule="auto"/>
        <w:rPr>
          <w:sz w:val="20"/>
          <w:szCs w:val="20"/>
          <w:color w:val="auto"/>
        </w:rPr>
      </w:pPr>
      <w:r>
        <w:rPr>
          <w:rFonts w:ascii="Arial" w:cs="Arial" w:eastAsia="Arial" w:hAnsi="Arial"/>
          <w:sz w:val="18"/>
          <w:szCs w:val="18"/>
          <w:b w:val="1"/>
          <w:bCs w:val="1"/>
          <w:color w:val="auto"/>
        </w:rPr>
        <w:t xml:space="preserve">Qualifications: </w:t>
      </w:r>
      <w:r>
        <w:rPr>
          <w:rFonts w:ascii="Arial" w:cs="Arial" w:eastAsia="Arial" w:hAnsi="Arial"/>
          <w:sz w:val="18"/>
          <w:szCs w:val="18"/>
          <w:color w:val="auto"/>
        </w:rPr>
        <w:t>Mr. Jaehnert has extensive, broad-based international business and executive management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leadership experience. Mr. Jaehnert’s diverse background, his experience with geographic expansion and acquisitions, as well as his experience serving on other public company boards bring valuable perspectives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582930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829300" cy="137160"/>
                    </a:xfrm>
                    <a:prstGeom prst="rect">
                      <a:avLst/>
                    </a:prstGeom>
                    <a:noFill/>
                  </pic:spPr>
                </pic:pic>
              </a:graphicData>
            </a:graphic>
          </wp:anchor>
        </w:drawing>
      </w:r>
    </w:p>
    <w:p>
      <w:pPr>
        <w:spacing w:after="0" w:line="334"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740" w:type="dxa"/>
            <w:vAlign w:val="bottom"/>
          </w:tcPr>
          <w:p>
            <w:pPr>
              <w:spacing w:after="0"/>
              <w:rPr>
                <w:sz w:val="20"/>
                <w:szCs w:val="20"/>
                <w:color w:val="auto"/>
              </w:rPr>
            </w:pPr>
            <w:r>
              <w:rPr>
                <w:rFonts w:ascii="Arial" w:cs="Arial" w:eastAsia="Arial" w:hAnsi="Arial"/>
                <w:sz w:val="18"/>
                <w:szCs w:val="18"/>
                <w:b w:val="1"/>
                <w:bCs w:val="1"/>
                <w:color w:val="auto"/>
              </w:rPr>
              <w:t>Gary E. Pruitt</w:t>
            </w:r>
          </w:p>
        </w:tc>
        <w:tc>
          <w:tcPr>
            <w:tcW w:w="2640" w:type="dxa"/>
            <w:vAlign w:val="bottom"/>
          </w:tcPr>
          <w:p>
            <w:pPr>
              <w:ind w:left="60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2006</w:t>
            </w:r>
          </w:p>
        </w:tc>
        <w:tc>
          <w:tcPr>
            <w:tcW w:w="4440" w:type="dxa"/>
            <w:vAlign w:val="bottom"/>
          </w:tcPr>
          <w:p>
            <w:pPr>
              <w:ind w:left="320"/>
              <w:spacing w:after="0"/>
              <w:rPr>
                <w:sz w:val="20"/>
                <w:szCs w:val="20"/>
                <w:color w:val="auto"/>
              </w:rPr>
            </w:pPr>
            <w:r>
              <w:rPr>
                <w:rFonts w:ascii="Arial" w:cs="Arial" w:eastAsia="Arial" w:hAnsi="Arial"/>
                <w:sz w:val="18"/>
                <w:szCs w:val="18"/>
                <w:b w:val="1"/>
                <w:bCs w:val="1"/>
                <w:color w:val="auto"/>
                <w:w w:val="99"/>
              </w:rPr>
              <w:t xml:space="preserve">Other Current Public Directorships: </w:t>
            </w:r>
            <w:r>
              <w:rPr>
                <w:rFonts w:ascii="Arial" w:cs="Arial" w:eastAsia="Arial" w:hAnsi="Arial"/>
                <w:sz w:val="18"/>
                <w:szCs w:val="18"/>
                <w:color w:val="auto"/>
                <w:w w:val="99"/>
              </w:rPr>
              <w:t>PS Business</w:t>
            </w:r>
          </w:p>
        </w:tc>
      </w:tr>
      <w:tr>
        <w:trPr>
          <w:trHeight w:val="305"/>
        </w:trPr>
        <w:tc>
          <w:tcPr>
            <w:tcW w:w="1740" w:type="dxa"/>
            <w:vAlign w:val="bottom"/>
          </w:tcPr>
          <w:p>
            <w:pPr>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71</w:t>
            </w:r>
          </w:p>
        </w:tc>
        <w:tc>
          <w:tcPr>
            <w:tcW w:w="2640" w:type="dxa"/>
            <w:vAlign w:val="bottom"/>
          </w:tcPr>
          <w:p>
            <w:pPr>
              <w:ind w:left="600"/>
              <w:spacing w:after="0"/>
              <w:rPr>
                <w:sz w:val="20"/>
                <w:szCs w:val="20"/>
                <w:color w:val="auto"/>
              </w:rPr>
            </w:pPr>
            <w:r>
              <w:rPr>
                <w:rFonts w:ascii="Arial" w:cs="Arial" w:eastAsia="Arial" w:hAnsi="Arial"/>
                <w:sz w:val="18"/>
                <w:szCs w:val="18"/>
                <w:b w:val="1"/>
                <w:bCs w:val="1"/>
                <w:color w:val="auto"/>
              </w:rPr>
              <w:t>Independent</w:t>
            </w:r>
          </w:p>
        </w:tc>
        <w:tc>
          <w:tcPr>
            <w:tcW w:w="4440" w:type="dxa"/>
            <w:vAlign w:val="bottom"/>
          </w:tcPr>
          <w:p>
            <w:pPr>
              <w:ind w:left="320"/>
              <w:spacing w:after="0"/>
              <w:rPr>
                <w:sz w:val="20"/>
                <w:szCs w:val="20"/>
                <w:color w:val="auto"/>
              </w:rPr>
            </w:pPr>
            <w:r>
              <w:rPr>
                <w:rFonts w:ascii="Arial" w:cs="Arial" w:eastAsia="Arial" w:hAnsi="Arial"/>
                <w:sz w:val="18"/>
                <w:szCs w:val="18"/>
                <w:color w:val="auto"/>
              </w:rPr>
              <w:t>Parks, Inc.</w:t>
            </w:r>
          </w:p>
        </w:tc>
      </w:tr>
    </w:tbl>
    <w:p>
      <w:pPr>
        <w:spacing w:after="0" w:line="100" w:lineRule="exact"/>
        <w:rPr>
          <w:sz w:val="20"/>
          <w:szCs w:val="20"/>
          <w:color w:val="auto"/>
        </w:rPr>
      </w:pPr>
    </w:p>
    <w:p>
      <w:pPr>
        <w:ind w:left="120" w:right="140"/>
        <w:spacing w:after="0" w:line="245" w:lineRule="auto"/>
        <w:rPr>
          <w:sz w:val="20"/>
          <w:szCs w:val="20"/>
          <w:color w:val="auto"/>
        </w:rPr>
      </w:pPr>
      <w:r>
        <w:rPr>
          <w:rFonts w:ascii="Arial" w:cs="Arial" w:eastAsia="Arial" w:hAnsi="Arial"/>
          <w:sz w:val="18"/>
          <w:szCs w:val="18"/>
          <w:color w:val="auto"/>
        </w:rPr>
        <w:t>In 2010, Gary Pruitt retired as Chairman of Univar N.V. (Univar), a multi-national chemical distribution company based in Bellevue, Washington, and retired as Chief Executive Officer in October 2009. Before joining Univar in 1978, Mr. Pruitt was a chartered accountant with Arthur Andersen from 1973 through 1977. Mr. Pruitt is a member of the board of directors of PS Business Parks, Inc. (a full-service real estate company) (NYSE: “PSB”), and is a member of its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5829300" cy="7543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829300" cy="754380"/>
                    </a:xfrm>
                    <a:prstGeom prst="rect">
                      <a:avLst/>
                    </a:prstGeom>
                    <a:noFill/>
                  </pic:spPr>
                </pic:pic>
              </a:graphicData>
            </a:graphic>
          </wp:anchor>
        </w:drawing>
      </w:r>
    </w:p>
    <w:p>
      <w:pPr>
        <w:spacing w:after="0" w:line="83" w:lineRule="exact"/>
        <w:rPr>
          <w:sz w:val="20"/>
          <w:szCs w:val="20"/>
          <w:color w:val="auto"/>
        </w:rPr>
      </w:pPr>
    </w:p>
    <w:p>
      <w:pPr>
        <w:ind w:left="120" w:right="400"/>
        <w:spacing w:after="0" w:line="245" w:lineRule="auto"/>
        <w:rPr>
          <w:sz w:val="20"/>
          <w:szCs w:val="20"/>
          <w:color w:val="auto"/>
        </w:rPr>
      </w:pPr>
      <w:r>
        <w:rPr>
          <w:rFonts w:ascii="Arial" w:cs="Arial" w:eastAsia="Arial" w:hAnsi="Arial"/>
          <w:sz w:val="18"/>
          <w:szCs w:val="18"/>
          <w:b w:val="1"/>
          <w:bCs w:val="1"/>
          <w:color w:val="auto"/>
        </w:rPr>
        <w:t xml:space="preserve">Qualifications: </w:t>
      </w:r>
      <w:r>
        <w:rPr>
          <w:rFonts w:ascii="Arial" w:cs="Arial" w:eastAsia="Arial" w:hAnsi="Arial"/>
          <w:sz w:val="18"/>
          <w:szCs w:val="18"/>
          <w:color w:val="auto"/>
        </w:rPr>
        <w:t>Mr. Pruitt brings to the Board his experience as a chief executive officer of a multi-national</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and all the business attributes required of that position, along with operational and manufacturing expertise through his various other management positions held with Univar. His public accounting financial background and other public board experiences provide strategic and global perspectives on our business as well.</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157480</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262" w:right="1359" w:bottom="1440" w:gutter="0" w:footer="0" w:header="0"/>
        </w:sectPr>
      </w:pPr>
    </w:p>
    <w:bookmarkStart w:id="13" w:name="page14"/>
    <w:bookmarkEnd w:id="13"/>
    <w:p>
      <w:pPr>
        <w:ind w:left="6"/>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122"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Snapshot of Directors and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218440</wp:posOffset>
            </wp:positionV>
            <wp:extent cx="5520690" cy="17316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520690" cy="1731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Director and Director Nominee Qualifications</w:t>
      </w:r>
    </w:p>
    <w:p>
      <w:pPr>
        <w:spacing w:after="0" w:line="173" w:lineRule="exact"/>
        <w:rPr>
          <w:sz w:val="20"/>
          <w:szCs w:val="20"/>
          <w:color w:val="auto"/>
        </w:rPr>
      </w:pPr>
    </w:p>
    <w:p>
      <w:pPr>
        <w:ind w:left="6"/>
        <w:spacing w:after="0"/>
        <w:rPr>
          <w:sz w:val="20"/>
          <w:szCs w:val="20"/>
          <w:color w:val="auto"/>
        </w:rPr>
      </w:pPr>
      <w:r>
        <w:rPr>
          <w:rFonts w:ascii="Arial" w:cs="Arial" w:eastAsia="Arial" w:hAnsi="Arial"/>
          <w:sz w:val="18"/>
          <w:szCs w:val="18"/>
          <w:color w:val="auto"/>
        </w:rPr>
        <w:t>Our Nominating and Corporate Governance Committee assists the Board in reviewing the business and personal background of each of our directors with respect to our business and business goals. Our skill criteria for our Board members includes a person with the following personal criteria: adheres to and demonstrates the highest ethical standards and personal and professional integrity; an effective negotiator, listener, and team player; a visionary with a strategic and global perspective; a successful leader with a proven record of accomplishments; a problem-solver; an effective decision-maker; and a person who will take a strong interest in the Company. In addition, we believe that certain skills and experience should be represented on the Board, as represented below, although not every Board member must possess all such skills and experience to be considered capable of making valuable contributions to the Board.</w:t>
      </w:r>
    </w:p>
    <w:p>
      <w:pPr>
        <w:spacing w:after="0" w:line="92" w:lineRule="exact"/>
        <w:rPr>
          <w:sz w:val="20"/>
          <w:szCs w:val="20"/>
          <w:color w:val="auto"/>
        </w:rPr>
      </w:pPr>
    </w:p>
    <w:tbl>
      <w:tblPr>
        <w:tblLayout w:type="fixed"/>
        <w:tblInd w:w="6" w:type="dxa"/>
        <w:tblCellMar>
          <w:top w:w="0" w:type="dxa"/>
          <w:left w:w="0" w:type="dxa"/>
          <w:bottom w:w="0" w:type="dxa"/>
          <w:right w:w="0" w:type="dxa"/>
        </w:tblCellMar>
      </w:tblPr>
      <w:tr>
        <w:trPr>
          <w:trHeight w:val="161"/>
        </w:trPr>
        <w:tc>
          <w:tcPr>
            <w:tcW w:w="12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9"/>
              </w:rPr>
              <w:t>Frank</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4"/>
              </w:rPr>
              <w:t>Tom</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rPr>
              <w:t>Jerome</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rPr>
              <w:t>Tim</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4"/>
              </w:rPr>
              <w:t>Tom</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rPr>
              <w:t>Dan</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rPr>
              <w:t>Gary</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9"/>
              </w:rPr>
              <w:t>Diana</w:t>
            </w: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rPr>
              <w:t>Lynda</w:t>
            </w: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rPr>
              <w:t>Total</w:t>
            </w:r>
          </w:p>
        </w:tc>
      </w:tr>
      <w:tr>
        <w:trPr>
          <w:trHeight w:val="270"/>
        </w:trPr>
        <w:tc>
          <w:tcPr>
            <w:tcW w:w="128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Jaehnert</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rPr>
              <w:t>Glanville</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rPr>
              <w:t>Lande</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rPr>
              <w:t>Leyden</w:t>
            </w:r>
          </w:p>
        </w:tc>
        <w:tc>
          <w:tcPr>
            <w:tcW w:w="2440" w:type="dxa"/>
            <w:vAlign w:val="bottom"/>
            <w:gridSpan w:val="4"/>
          </w:tcPr>
          <w:p>
            <w:pPr>
              <w:ind w:left="40"/>
              <w:spacing w:after="0"/>
              <w:rPr>
                <w:sz w:val="20"/>
                <w:szCs w:val="20"/>
                <w:color w:val="auto"/>
              </w:rPr>
            </w:pPr>
            <w:r>
              <w:rPr>
                <w:rFonts w:ascii="Arial" w:cs="Arial" w:eastAsia="Arial" w:hAnsi="Arial"/>
                <w:sz w:val="14"/>
                <w:szCs w:val="14"/>
                <w:b w:val="1"/>
                <w:bCs w:val="1"/>
                <w:color w:val="auto"/>
              </w:rPr>
              <w:t>Deitrich Pelino</w:t>
            </w:r>
            <w:r>
              <w:rPr>
                <w:rFonts w:ascii="Arial" w:cs="Arial" w:eastAsia="Arial" w:hAnsi="Arial"/>
                <w:sz w:val="23"/>
                <w:szCs w:val="23"/>
                <w:b w:val="1"/>
                <w:bCs w:val="1"/>
                <w:color w:val="auto"/>
                <w:vertAlign w:val="superscript"/>
              </w:rPr>
              <w:t>(1)</w:t>
            </w:r>
            <w:r>
              <w:rPr>
                <w:rFonts w:ascii="Arial" w:cs="Arial" w:eastAsia="Arial" w:hAnsi="Arial"/>
                <w:sz w:val="14"/>
                <w:szCs w:val="14"/>
                <w:b w:val="1"/>
                <w:bCs w:val="1"/>
                <w:color w:val="auto"/>
              </w:rPr>
              <w:t xml:space="preserve"> Pruitt Tremblay</w:t>
            </w: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rPr>
              <w:t>Ziegler</w:t>
            </w:r>
          </w:p>
        </w:tc>
        <w:tc>
          <w:tcPr>
            <w:tcW w:w="440" w:type="dxa"/>
            <w:vAlign w:val="bottom"/>
          </w:tcPr>
          <w:p>
            <w:pPr>
              <w:spacing w:after="0"/>
              <w:rPr>
                <w:sz w:val="23"/>
                <w:szCs w:val="23"/>
                <w:color w:val="auto"/>
              </w:rPr>
            </w:pPr>
          </w:p>
        </w:tc>
      </w:tr>
      <w:tr>
        <w:trPr>
          <w:trHeight w:val="301"/>
        </w:trPr>
        <w:tc>
          <w:tcPr>
            <w:tcW w:w="3140" w:type="dxa"/>
            <w:vAlign w:val="bottom"/>
            <w:gridSpan w:val="2"/>
            <w:shd w:val="clear" w:color="auto" w:fill="F2F2F2"/>
          </w:tcPr>
          <w:p>
            <w:pPr>
              <w:ind w:left="60"/>
              <w:spacing w:after="0"/>
              <w:rPr>
                <w:sz w:val="20"/>
                <w:szCs w:val="20"/>
                <w:color w:val="auto"/>
              </w:rPr>
            </w:pPr>
            <w:r>
              <w:rPr>
                <w:rFonts w:ascii="Arial" w:cs="Arial" w:eastAsia="Arial" w:hAnsi="Arial"/>
                <w:sz w:val="18"/>
                <w:szCs w:val="18"/>
                <w:color w:val="auto"/>
              </w:rPr>
              <w:t>Executive leadership experience</w:t>
            </w:r>
          </w:p>
        </w:tc>
        <w:tc>
          <w:tcPr>
            <w:tcW w:w="720" w:type="dxa"/>
            <w:vAlign w:val="bottom"/>
            <w:shd w:val="clear" w:color="auto" w:fill="F2F2F2"/>
          </w:tcPr>
          <w:p>
            <w:pPr>
              <w:jc w:val="center"/>
              <w:spacing w:after="0"/>
              <w:rPr>
                <w:sz w:val="20"/>
                <w:szCs w:val="20"/>
                <w:color w:val="auto"/>
              </w:rPr>
            </w:pPr>
            <w:r>
              <w:rPr>
                <w:rFonts w:ascii="Arial" w:cs="Arial" w:eastAsia="Arial" w:hAnsi="Arial"/>
                <w:sz w:val="18"/>
                <w:szCs w:val="18"/>
                <w:color w:val="auto"/>
              </w:rPr>
              <w:t>■</w:t>
            </w:r>
          </w:p>
        </w:tc>
        <w:tc>
          <w:tcPr>
            <w:tcW w:w="68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1"/>
              </w:rPr>
              <w:t>■</w:t>
            </w:r>
          </w:p>
        </w:tc>
        <w:tc>
          <w:tcPr>
            <w:tcW w:w="60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1"/>
              </w:rPr>
              <w:t>■</w:t>
            </w:r>
          </w:p>
        </w:tc>
        <w:tc>
          <w:tcPr>
            <w:tcW w:w="60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1"/>
              </w:rPr>
              <w:t>■</w:t>
            </w:r>
          </w:p>
        </w:tc>
        <w:tc>
          <w:tcPr>
            <w:tcW w:w="60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1"/>
              </w:rPr>
              <w:t>■</w:t>
            </w:r>
          </w:p>
        </w:tc>
        <w:tc>
          <w:tcPr>
            <w:tcW w:w="58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1"/>
              </w:rPr>
              <w:t>■</w:t>
            </w:r>
          </w:p>
        </w:tc>
        <w:tc>
          <w:tcPr>
            <w:tcW w:w="580" w:type="dxa"/>
            <w:vAlign w:val="bottom"/>
            <w:shd w:val="clear" w:color="auto" w:fill="F2F2F2"/>
          </w:tcPr>
          <w:p>
            <w:pPr>
              <w:jc w:val="center"/>
              <w:spacing w:after="0"/>
              <w:rPr>
                <w:sz w:val="20"/>
                <w:szCs w:val="20"/>
                <w:color w:val="auto"/>
              </w:rPr>
            </w:pPr>
            <w:r>
              <w:rPr>
                <w:rFonts w:ascii="Arial" w:cs="Arial" w:eastAsia="Arial" w:hAnsi="Arial"/>
                <w:sz w:val="18"/>
                <w:szCs w:val="18"/>
                <w:color w:val="auto"/>
              </w:rPr>
              <w:t>■</w:t>
            </w:r>
          </w:p>
        </w:tc>
        <w:tc>
          <w:tcPr>
            <w:tcW w:w="680" w:type="dxa"/>
            <w:vAlign w:val="bottom"/>
            <w:shd w:val="clear" w:color="auto" w:fill="F2F2F2"/>
          </w:tcPr>
          <w:p>
            <w:pPr>
              <w:jc w:val="center"/>
              <w:spacing w:after="0"/>
              <w:rPr>
                <w:sz w:val="20"/>
                <w:szCs w:val="20"/>
                <w:color w:val="auto"/>
              </w:rPr>
            </w:pPr>
            <w:r>
              <w:rPr>
                <w:rFonts w:ascii="Arial" w:cs="Arial" w:eastAsia="Arial" w:hAnsi="Arial"/>
                <w:sz w:val="18"/>
                <w:szCs w:val="18"/>
                <w:color w:val="auto"/>
              </w:rPr>
              <w:t>■</w:t>
            </w:r>
          </w:p>
        </w:tc>
        <w:tc>
          <w:tcPr>
            <w:tcW w:w="560" w:type="dxa"/>
            <w:vAlign w:val="bottom"/>
            <w:shd w:val="clear" w:color="auto" w:fill="F2F2F2"/>
          </w:tcPr>
          <w:p>
            <w:pPr>
              <w:jc w:val="center"/>
              <w:spacing w:after="0"/>
              <w:rPr>
                <w:sz w:val="20"/>
                <w:szCs w:val="20"/>
                <w:color w:val="auto"/>
              </w:rPr>
            </w:pPr>
            <w:r>
              <w:rPr>
                <w:rFonts w:ascii="Arial" w:cs="Arial" w:eastAsia="Arial" w:hAnsi="Arial"/>
                <w:sz w:val="18"/>
                <w:szCs w:val="18"/>
                <w:color w:val="auto"/>
              </w:rPr>
              <w:t>■</w:t>
            </w:r>
          </w:p>
        </w:tc>
        <w:tc>
          <w:tcPr>
            <w:tcW w:w="44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9"/>
              </w:rPr>
              <w:t>9</w:t>
            </w:r>
          </w:p>
        </w:tc>
      </w:tr>
      <w:tr>
        <w:trPr>
          <w:trHeight w:val="63"/>
        </w:trPr>
        <w:tc>
          <w:tcPr>
            <w:tcW w:w="1280" w:type="dxa"/>
            <w:vAlign w:val="bottom"/>
            <w:shd w:val="clear" w:color="auto" w:fill="F2F2F2"/>
          </w:tcPr>
          <w:p>
            <w:pPr>
              <w:spacing w:after="0"/>
              <w:rPr>
                <w:sz w:val="5"/>
                <w:szCs w:val="5"/>
                <w:color w:val="auto"/>
              </w:rPr>
            </w:pPr>
          </w:p>
        </w:tc>
        <w:tc>
          <w:tcPr>
            <w:tcW w:w="1860" w:type="dxa"/>
            <w:vAlign w:val="bottom"/>
            <w:shd w:val="clear" w:color="auto" w:fill="F2F2F2"/>
          </w:tcPr>
          <w:p>
            <w:pPr>
              <w:spacing w:after="0"/>
              <w:rPr>
                <w:sz w:val="5"/>
                <w:szCs w:val="5"/>
                <w:color w:val="auto"/>
              </w:rPr>
            </w:pPr>
          </w:p>
        </w:tc>
        <w:tc>
          <w:tcPr>
            <w:tcW w:w="720" w:type="dxa"/>
            <w:vAlign w:val="bottom"/>
            <w:shd w:val="clear" w:color="auto" w:fill="F2F2F2"/>
          </w:tcPr>
          <w:p>
            <w:pPr>
              <w:spacing w:after="0"/>
              <w:rPr>
                <w:sz w:val="5"/>
                <w:szCs w:val="5"/>
                <w:color w:val="auto"/>
              </w:rPr>
            </w:pPr>
          </w:p>
        </w:tc>
        <w:tc>
          <w:tcPr>
            <w:tcW w:w="680" w:type="dxa"/>
            <w:vAlign w:val="bottom"/>
            <w:shd w:val="clear" w:color="auto" w:fill="F2F2F2"/>
          </w:tcPr>
          <w:p>
            <w:pPr>
              <w:spacing w:after="0"/>
              <w:rPr>
                <w:sz w:val="5"/>
                <w:szCs w:val="5"/>
                <w:color w:val="auto"/>
              </w:rPr>
            </w:pPr>
          </w:p>
        </w:tc>
        <w:tc>
          <w:tcPr>
            <w:tcW w:w="600" w:type="dxa"/>
            <w:vAlign w:val="bottom"/>
            <w:shd w:val="clear" w:color="auto" w:fill="F2F2F2"/>
          </w:tcPr>
          <w:p>
            <w:pPr>
              <w:spacing w:after="0"/>
              <w:rPr>
                <w:sz w:val="5"/>
                <w:szCs w:val="5"/>
                <w:color w:val="auto"/>
              </w:rPr>
            </w:pPr>
          </w:p>
        </w:tc>
        <w:tc>
          <w:tcPr>
            <w:tcW w:w="600" w:type="dxa"/>
            <w:vAlign w:val="bottom"/>
            <w:shd w:val="clear" w:color="auto" w:fill="F2F2F2"/>
          </w:tcPr>
          <w:p>
            <w:pPr>
              <w:spacing w:after="0"/>
              <w:rPr>
                <w:sz w:val="5"/>
                <w:szCs w:val="5"/>
                <w:color w:val="auto"/>
              </w:rPr>
            </w:pPr>
          </w:p>
        </w:tc>
        <w:tc>
          <w:tcPr>
            <w:tcW w:w="600" w:type="dxa"/>
            <w:vAlign w:val="bottom"/>
            <w:shd w:val="clear" w:color="auto" w:fill="F2F2F2"/>
          </w:tcPr>
          <w:p>
            <w:pPr>
              <w:spacing w:after="0"/>
              <w:rPr>
                <w:sz w:val="5"/>
                <w:szCs w:val="5"/>
                <w:color w:val="auto"/>
              </w:rPr>
            </w:pPr>
          </w:p>
        </w:tc>
        <w:tc>
          <w:tcPr>
            <w:tcW w:w="580" w:type="dxa"/>
            <w:vAlign w:val="bottom"/>
            <w:shd w:val="clear" w:color="auto" w:fill="F2F2F2"/>
          </w:tcPr>
          <w:p>
            <w:pPr>
              <w:spacing w:after="0"/>
              <w:rPr>
                <w:sz w:val="5"/>
                <w:szCs w:val="5"/>
                <w:color w:val="auto"/>
              </w:rPr>
            </w:pPr>
          </w:p>
        </w:tc>
        <w:tc>
          <w:tcPr>
            <w:tcW w:w="580" w:type="dxa"/>
            <w:vAlign w:val="bottom"/>
            <w:shd w:val="clear" w:color="auto" w:fill="F2F2F2"/>
          </w:tcPr>
          <w:p>
            <w:pPr>
              <w:spacing w:after="0"/>
              <w:rPr>
                <w:sz w:val="5"/>
                <w:szCs w:val="5"/>
                <w:color w:val="auto"/>
              </w:rPr>
            </w:pPr>
          </w:p>
        </w:tc>
        <w:tc>
          <w:tcPr>
            <w:tcW w:w="680" w:type="dxa"/>
            <w:vAlign w:val="bottom"/>
            <w:shd w:val="clear" w:color="auto" w:fill="F2F2F2"/>
          </w:tcPr>
          <w:p>
            <w:pPr>
              <w:spacing w:after="0"/>
              <w:rPr>
                <w:sz w:val="5"/>
                <w:szCs w:val="5"/>
                <w:color w:val="auto"/>
              </w:rPr>
            </w:pPr>
          </w:p>
        </w:tc>
        <w:tc>
          <w:tcPr>
            <w:tcW w:w="560" w:type="dxa"/>
            <w:vAlign w:val="bottom"/>
            <w:shd w:val="clear" w:color="auto" w:fill="F2F2F2"/>
          </w:tcPr>
          <w:p>
            <w:pPr>
              <w:spacing w:after="0"/>
              <w:rPr>
                <w:sz w:val="5"/>
                <w:szCs w:val="5"/>
                <w:color w:val="auto"/>
              </w:rPr>
            </w:pPr>
          </w:p>
        </w:tc>
        <w:tc>
          <w:tcPr>
            <w:tcW w:w="440" w:type="dxa"/>
            <w:vAlign w:val="bottom"/>
            <w:shd w:val="clear" w:color="auto" w:fill="F2F2F2"/>
          </w:tcPr>
          <w:p>
            <w:pPr>
              <w:spacing w:after="0"/>
              <w:rPr>
                <w:sz w:val="5"/>
                <w:szCs w:val="5"/>
                <w:color w:val="auto"/>
              </w:rPr>
            </w:pPr>
          </w:p>
        </w:tc>
      </w:tr>
      <w:tr>
        <w:trPr>
          <w:trHeight w:val="301"/>
        </w:trPr>
        <w:tc>
          <w:tcPr>
            <w:tcW w:w="3140" w:type="dxa"/>
            <w:vAlign w:val="bottom"/>
            <w:gridSpan w:val="2"/>
          </w:tcPr>
          <w:p>
            <w:pPr>
              <w:ind w:left="60"/>
              <w:spacing w:after="0"/>
              <w:rPr>
                <w:sz w:val="20"/>
                <w:szCs w:val="20"/>
                <w:color w:val="auto"/>
              </w:rPr>
            </w:pPr>
            <w:r>
              <w:rPr>
                <w:rFonts w:ascii="Arial" w:cs="Arial" w:eastAsia="Arial" w:hAnsi="Arial"/>
                <w:sz w:val="18"/>
                <w:szCs w:val="18"/>
                <w:color w:val="auto"/>
              </w:rPr>
              <w:t>Business development experience</w:t>
            </w:r>
          </w:p>
        </w:tc>
        <w:tc>
          <w:tcPr>
            <w:tcW w:w="720" w:type="dxa"/>
            <w:vAlign w:val="bottom"/>
          </w:tcPr>
          <w:p>
            <w:pPr>
              <w:jc w:val="center"/>
              <w:spacing w:after="0"/>
              <w:rPr>
                <w:sz w:val="20"/>
                <w:szCs w:val="20"/>
                <w:color w:val="auto"/>
              </w:rPr>
            </w:pPr>
            <w:r>
              <w:rPr>
                <w:rFonts w:ascii="Arial" w:cs="Arial" w:eastAsia="Arial" w:hAnsi="Arial"/>
                <w:sz w:val="18"/>
                <w:szCs w:val="18"/>
                <w:color w:val="auto"/>
              </w:rPr>
              <w:t>■</w:t>
            </w:r>
          </w:p>
        </w:tc>
        <w:tc>
          <w:tcPr>
            <w:tcW w:w="680" w:type="dxa"/>
            <w:vAlign w:val="bottom"/>
          </w:tcPr>
          <w:p>
            <w:pPr>
              <w:jc w:val="center"/>
              <w:spacing w:after="0"/>
              <w:rPr>
                <w:sz w:val="20"/>
                <w:szCs w:val="20"/>
                <w:color w:val="auto"/>
              </w:rPr>
            </w:pPr>
            <w:r>
              <w:rPr>
                <w:rFonts w:ascii="Arial" w:cs="Arial" w:eastAsia="Arial" w:hAnsi="Arial"/>
                <w:sz w:val="18"/>
                <w:szCs w:val="18"/>
                <w:color w:val="auto"/>
                <w:w w:val="91"/>
              </w:rPr>
              <w:t>■</w:t>
            </w:r>
          </w:p>
        </w:tc>
        <w:tc>
          <w:tcPr>
            <w:tcW w:w="600" w:type="dxa"/>
            <w:vAlign w:val="bottom"/>
          </w:tcPr>
          <w:p>
            <w:pPr>
              <w:jc w:val="center"/>
              <w:spacing w:after="0"/>
              <w:rPr>
                <w:sz w:val="20"/>
                <w:szCs w:val="20"/>
                <w:color w:val="auto"/>
              </w:rPr>
            </w:pPr>
            <w:r>
              <w:rPr>
                <w:rFonts w:ascii="Arial" w:cs="Arial" w:eastAsia="Arial" w:hAnsi="Arial"/>
                <w:sz w:val="18"/>
                <w:szCs w:val="18"/>
                <w:color w:val="auto"/>
                <w:w w:val="91"/>
              </w:rPr>
              <w:t>■</w:t>
            </w:r>
          </w:p>
        </w:tc>
        <w:tc>
          <w:tcPr>
            <w:tcW w:w="600" w:type="dxa"/>
            <w:vAlign w:val="bottom"/>
          </w:tcPr>
          <w:p>
            <w:pPr>
              <w:jc w:val="center"/>
              <w:spacing w:after="0"/>
              <w:rPr>
                <w:sz w:val="20"/>
                <w:szCs w:val="20"/>
                <w:color w:val="auto"/>
              </w:rPr>
            </w:pPr>
            <w:r>
              <w:rPr>
                <w:rFonts w:ascii="Arial" w:cs="Arial" w:eastAsia="Arial" w:hAnsi="Arial"/>
                <w:sz w:val="18"/>
                <w:szCs w:val="18"/>
                <w:color w:val="auto"/>
                <w:w w:val="91"/>
              </w:rPr>
              <w:t>■</w:t>
            </w:r>
          </w:p>
        </w:tc>
        <w:tc>
          <w:tcPr>
            <w:tcW w:w="600" w:type="dxa"/>
            <w:vAlign w:val="bottom"/>
          </w:tcPr>
          <w:p>
            <w:pPr>
              <w:jc w:val="center"/>
              <w:spacing w:after="0"/>
              <w:rPr>
                <w:sz w:val="20"/>
                <w:szCs w:val="20"/>
                <w:color w:val="auto"/>
              </w:rPr>
            </w:pPr>
            <w:r>
              <w:rPr>
                <w:rFonts w:ascii="Arial" w:cs="Arial" w:eastAsia="Arial" w:hAnsi="Arial"/>
                <w:sz w:val="18"/>
                <w:szCs w:val="18"/>
                <w:color w:val="auto"/>
                <w:w w:val="91"/>
              </w:rPr>
              <w:t>■</w:t>
            </w:r>
          </w:p>
        </w:tc>
        <w:tc>
          <w:tcPr>
            <w:tcW w:w="580" w:type="dxa"/>
            <w:vAlign w:val="bottom"/>
          </w:tcPr>
          <w:p>
            <w:pPr>
              <w:jc w:val="center"/>
              <w:spacing w:after="0"/>
              <w:rPr>
                <w:sz w:val="20"/>
                <w:szCs w:val="20"/>
                <w:color w:val="auto"/>
              </w:rPr>
            </w:pPr>
            <w:r>
              <w:rPr>
                <w:rFonts w:ascii="Arial" w:cs="Arial" w:eastAsia="Arial" w:hAnsi="Arial"/>
                <w:sz w:val="18"/>
                <w:szCs w:val="18"/>
                <w:color w:val="auto"/>
                <w:w w:val="91"/>
              </w:rPr>
              <w:t>■</w:t>
            </w:r>
          </w:p>
        </w:tc>
        <w:tc>
          <w:tcPr>
            <w:tcW w:w="580" w:type="dxa"/>
            <w:vAlign w:val="bottom"/>
          </w:tcPr>
          <w:p>
            <w:pPr>
              <w:jc w:val="center"/>
              <w:spacing w:after="0"/>
              <w:rPr>
                <w:sz w:val="20"/>
                <w:szCs w:val="20"/>
                <w:color w:val="auto"/>
              </w:rPr>
            </w:pPr>
            <w:r>
              <w:rPr>
                <w:rFonts w:ascii="Arial" w:cs="Arial" w:eastAsia="Arial" w:hAnsi="Arial"/>
                <w:sz w:val="18"/>
                <w:szCs w:val="18"/>
                <w:color w:val="auto"/>
              </w:rPr>
              <w:t>■</w:t>
            </w:r>
          </w:p>
        </w:tc>
        <w:tc>
          <w:tcPr>
            <w:tcW w:w="680" w:type="dxa"/>
            <w:vAlign w:val="bottom"/>
          </w:tcPr>
          <w:p>
            <w:pPr>
              <w:jc w:val="center"/>
              <w:spacing w:after="0"/>
              <w:rPr>
                <w:sz w:val="20"/>
                <w:szCs w:val="20"/>
                <w:color w:val="auto"/>
              </w:rPr>
            </w:pPr>
            <w:r>
              <w:rPr>
                <w:rFonts w:ascii="Arial" w:cs="Arial" w:eastAsia="Arial" w:hAnsi="Arial"/>
                <w:sz w:val="18"/>
                <w:szCs w:val="18"/>
                <w:color w:val="auto"/>
              </w:rPr>
              <w:t>■</w:t>
            </w:r>
          </w:p>
        </w:tc>
        <w:tc>
          <w:tcPr>
            <w:tcW w:w="560" w:type="dxa"/>
            <w:vAlign w:val="bottom"/>
          </w:tcPr>
          <w:p>
            <w:pPr>
              <w:jc w:val="center"/>
              <w:spacing w:after="0"/>
              <w:rPr>
                <w:sz w:val="20"/>
                <w:szCs w:val="20"/>
                <w:color w:val="auto"/>
              </w:rPr>
            </w:pPr>
            <w:r>
              <w:rPr>
                <w:rFonts w:ascii="Arial" w:cs="Arial" w:eastAsia="Arial" w:hAnsi="Arial"/>
                <w:sz w:val="18"/>
                <w:szCs w:val="18"/>
                <w:color w:val="auto"/>
              </w:rPr>
              <w:t>■</w:t>
            </w:r>
          </w:p>
        </w:tc>
        <w:tc>
          <w:tcPr>
            <w:tcW w:w="440" w:type="dxa"/>
            <w:vAlign w:val="bottom"/>
          </w:tcPr>
          <w:p>
            <w:pPr>
              <w:jc w:val="center"/>
              <w:spacing w:after="0"/>
              <w:rPr>
                <w:sz w:val="20"/>
                <w:szCs w:val="20"/>
                <w:color w:val="auto"/>
              </w:rPr>
            </w:pPr>
            <w:r>
              <w:rPr>
                <w:rFonts w:ascii="Arial" w:cs="Arial" w:eastAsia="Arial" w:hAnsi="Arial"/>
                <w:sz w:val="18"/>
                <w:szCs w:val="18"/>
                <w:color w:val="auto"/>
                <w:w w:val="99"/>
              </w:rPr>
              <w:t>9</w:t>
            </w:r>
          </w:p>
        </w:tc>
      </w:tr>
      <w:tr>
        <w:trPr>
          <w:trHeight w:val="64"/>
        </w:trPr>
        <w:tc>
          <w:tcPr>
            <w:tcW w:w="1280" w:type="dxa"/>
            <w:vAlign w:val="bottom"/>
          </w:tcPr>
          <w:p>
            <w:pPr>
              <w:spacing w:after="0"/>
              <w:rPr>
                <w:sz w:val="5"/>
                <w:szCs w:val="5"/>
                <w:color w:val="auto"/>
              </w:rPr>
            </w:pPr>
          </w:p>
        </w:tc>
        <w:tc>
          <w:tcPr>
            <w:tcW w:w="18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40" w:type="dxa"/>
            <w:vAlign w:val="bottom"/>
          </w:tcPr>
          <w:p>
            <w:pPr>
              <w:spacing w:after="0"/>
              <w:rPr>
                <w:sz w:val="5"/>
                <w:szCs w:val="5"/>
                <w:color w:val="auto"/>
              </w:rPr>
            </w:pPr>
          </w:p>
        </w:tc>
      </w:tr>
      <w:tr>
        <w:trPr>
          <w:trHeight w:val="301"/>
        </w:trPr>
        <w:tc>
          <w:tcPr>
            <w:tcW w:w="3140" w:type="dxa"/>
            <w:vAlign w:val="bottom"/>
            <w:gridSpan w:val="2"/>
            <w:shd w:val="clear" w:color="auto" w:fill="F2F2F2"/>
          </w:tcPr>
          <w:p>
            <w:pPr>
              <w:ind w:left="60"/>
              <w:spacing w:after="0"/>
              <w:rPr>
                <w:sz w:val="20"/>
                <w:szCs w:val="20"/>
                <w:color w:val="auto"/>
              </w:rPr>
            </w:pPr>
            <w:r>
              <w:rPr>
                <w:rFonts w:ascii="Arial" w:cs="Arial" w:eastAsia="Arial" w:hAnsi="Arial"/>
                <w:sz w:val="18"/>
                <w:szCs w:val="18"/>
                <w:color w:val="auto"/>
              </w:rPr>
              <w:t>Financial literacy/CFO</w:t>
            </w:r>
          </w:p>
        </w:tc>
        <w:tc>
          <w:tcPr>
            <w:tcW w:w="720" w:type="dxa"/>
            <w:vAlign w:val="bottom"/>
            <w:shd w:val="clear" w:color="auto" w:fill="F2F2F2"/>
          </w:tcPr>
          <w:p>
            <w:pPr>
              <w:jc w:val="center"/>
              <w:spacing w:after="0"/>
              <w:rPr>
                <w:sz w:val="20"/>
                <w:szCs w:val="20"/>
                <w:color w:val="auto"/>
              </w:rPr>
            </w:pPr>
            <w:r>
              <w:rPr>
                <w:rFonts w:ascii="Arial" w:cs="Arial" w:eastAsia="Arial" w:hAnsi="Arial"/>
                <w:sz w:val="18"/>
                <w:szCs w:val="18"/>
                <w:color w:val="auto"/>
              </w:rPr>
              <w:t>■</w:t>
            </w:r>
          </w:p>
        </w:tc>
        <w:tc>
          <w:tcPr>
            <w:tcW w:w="68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1"/>
              </w:rPr>
              <w:t>■</w:t>
            </w:r>
          </w:p>
        </w:tc>
        <w:tc>
          <w:tcPr>
            <w:tcW w:w="60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1"/>
              </w:rPr>
              <w:t>■</w:t>
            </w:r>
          </w:p>
        </w:tc>
        <w:tc>
          <w:tcPr>
            <w:tcW w:w="60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1"/>
              </w:rPr>
              <w:t>■</w:t>
            </w:r>
          </w:p>
        </w:tc>
        <w:tc>
          <w:tcPr>
            <w:tcW w:w="60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1"/>
              </w:rPr>
              <w:t>■</w:t>
            </w:r>
          </w:p>
        </w:tc>
        <w:tc>
          <w:tcPr>
            <w:tcW w:w="58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1"/>
              </w:rPr>
              <w:t>■</w:t>
            </w:r>
          </w:p>
        </w:tc>
        <w:tc>
          <w:tcPr>
            <w:tcW w:w="580" w:type="dxa"/>
            <w:vAlign w:val="bottom"/>
            <w:shd w:val="clear" w:color="auto" w:fill="F2F2F2"/>
          </w:tcPr>
          <w:p>
            <w:pPr>
              <w:jc w:val="center"/>
              <w:spacing w:after="0"/>
              <w:rPr>
                <w:sz w:val="20"/>
                <w:szCs w:val="20"/>
                <w:color w:val="auto"/>
              </w:rPr>
            </w:pPr>
            <w:r>
              <w:rPr>
                <w:rFonts w:ascii="Arial" w:cs="Arial" w:eastAsia="Arial" w:hAnsi="Arial"/>
                <w:sz w:val="18"/>
                <w:szCs w:val="18"/>
                <w:color w:val="auto"/>
              </w:rPr>
              <w:t>■</w:t>
            </w:r>
          </w:p>
        </w:tc>
        <w:tc>
          <w:tcPr>
            <w:tcW w:w="680" w:type="dxa"/>
            <w:vAlign w:val="bottom"/>
            <w:shd w:val="clear" w:color="auto" w:fill="F2F2F2"/>
          </w:tcPr>
          <w:p>
            <w:pPr>
              <w:spacing w:after="0"/>
              <w:rPr>
                <w:sz w:val="24"/>
                <w:szCs w:val="24"/>
                <w:color w:val="auto"/>
              </w:rPr>
            </w:pPr>
          </w:p>
        </w:tc>
        <w:tc>
          <w:tcPr>
            <w:tcW w:w="560" w:type="dxa"/>
            <w:vAlign w:val="bottom"/>
            <w:shd w:val="clear" w:color="auto" w:fill="F2F2F2"/>
          </w:tcPr>
          <w:p>
            <w:pPr>
              <w:spacing w:after="0"/>
              <w:rPr>
                <w:sz w:val="24"/>
                <w:szCs w:val="24"/>
                <w:color w:val="auto"/>
              </w:rPr>
            </w:pPr>
          </w:p>
        </w:tc>
        <w:tc>
          <w:tcPr>
            <w:tcW w:w="44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9"/>
              </w:rPr>
              <w:t>7</w:t>
            </w:r>
          </w:p>
        </w:tc>
      </w:tr>
      <w:tr>
        <w:trPr>
          <w:trHeight w:val="64"/>
        </w:trPr>
        <w:tc>
          <w:tcPr>
            <w:tcW w:w="1280" w:type="dxa"/>
            <w:vAlign w:val="bottom"/>
            <w:shd w:val="clear" w:color="auto" w:fill="F2F2F2"/>
          </w:tcPr>
          <w:p>
            <w:pPr>
              <w:spacing w:after="0"/>
              <w:rPr>
                <w:sz w:val="5"/>
                <w:szCs w:val="5"/>
                <w:color w:val="auto"/>
              </w:rPr>
            </w:pPr>
          </w:p>
        </w:tc>
        <w:tc>
          <w:tcPr>
            <w:tcW w:w="1860" w:type="dxa"/>
            <w:vAlign w:val="bottom"/>
            <w:shd w:val="clear" w:color="auto" w:fill="F2F2F2"/>
          </w:tcPr>
          <w:p>
            <w:pPr>
              <w:spacing w:after="0"/>
              <w:rPr>
                <w:sz w:val="5"/>
                <w:szCs w:val="5"/>
                <w:color w:val="auto"/>
              </w:rPr>
            </w:pPr>
          </w:p>
        </w:tc>
        <w:tc>
          <w:tcPr>
            <w:tcW w:w="720" w:type="dxa"/>
            <w:vAlign w:val="bottom"/>
            <w:shd w:val="clear" w:color="auto" w:fill="F2F2F2"/>
          </w:tcPr>
          <w:p>
            <w:pPr>
              <w:spacing w:after="0"/>
              <w:rPr>
                <w:sz w:val="5"/>
                <w:szCs w:val="5"/>
                <w:color w:val="auto"/>
              </w:rPr>
            </w:pPr>
          </w:p>
        </w:tc>
        <w:tc>
          <w:tcPr>
            <w:tcW w:w="680" w:type="dxa"/>
            <w:vAlign w:val="bottom"/>
            <w:shd w:val="clear" w:color="auto" w:fill="F2F2F2"/>
          </w:tcPr>
          <w:p>
            <w:pPr>
              <w:spacing w:after="0"/>
              <w:rPr>
                <w:sz w:val="5"/>
                <w:szCs w:val="5"/>
                <w:color w:val="auto"/>
              </w:rPr>
            </w:pPr>
          </w:p>
        </w:tc>
        <w:tc>
          <w:tcPr>
            <w:tcW w:w="600" w:type="dxa"/>
            <w:vAlign w:val="bottom"/>
            <w:shd w:val="clear" w:color="auto" w:fill="F2F2F2"/>
          </w:tcPr>
          <w:p>
            <w:pPr>
              <w:spacing w:after="0"/>
              <w:rPr>
                <w:sz w:val="5"/>
                <w:szCs w:val="5"/>
                <w:color w:val="auto"/>
              </w:rPr>
            </w:pPr>
          </w:p>
        </w:tc>
        <w:tc>
          <w:tcPr>
            <w:tcW w:w="600" w:type="dxa"/>
            <w:vAlign w:val="bottom"/>
            <w:shd w:val="clear" w:color="auto" w:fill="F2F2F2"/>
          </w:tcPr>
          <w:p>
            <w:pPr>
              <w:spacing w:after="0"/>
              <w:rPr>
                <w:sz w:val="5"/>
                <w:szCs w:val="5"/>
                <w:color w:val="auto"/>
              </w:rPr>
            </w:pPr>
          </w:p>
        </w:tc>
        <w:tc>
          <w:tcPr>
            <w:tcW w:w="600" w:type="dxa"/>
            <w:vAlign w:val="bottom"/>
            <w:shd w:val="clear" w:color="auto" w:fill="F2F2F2"/>
          </w:tcPr>
          <w:p>
            <w:pPr>
              <w:spacing w:after="0"/>
              <w:rPr>
                <w:sz w:val="5"/>
                <w:szCs w:val="5"/>
                <w:color w:val="auto"/>
              </w:rPr>
            </w:pPr>
          </w:p>
        </w:tc>
        <w:tc>
          <w:tcPr>
            <w:tcW w:w="580" w:type="dxa"/>
            <w:vAlign w:val="bottom"/>
            <w:shd w:val="clear" w:color="auto" w:fill="F2F2F2"/>
          </w:tcPr>
          <w:p>
            <w:pPr>
              <w:spacing w:after="0"/>
              <w:rPr>
                <w:sz w:val="5"/>
                <w:szCs w:val="5"/>
                <w:color w:val="auto"/>
              </w:rPr>
            </w:pPr>
          </w:p>
        </w:tc>
        <w:tc>
          <w:tcPr>
            <w:tcW w:w="580" w:type="dxa"/>
            <w:vAlign w:val="bottom"/>
            <w:shd w:val="clear" w:color="auto" w:fill="F2F2F2"/>
          </w:tcPr>
          <w:p>
            <w:pPr>
              <w:spacing w:after="0"/>
              <w:rPr>
                <w:sz w:val="5"/>
                <w:szCs w:val="5"/>
                <w:color w:val="auto"/>
              </w:rPr>
            </w:pPr>
          </w:p>
        </w:tc>
        <w:tc>
          <w:tcPr>
            <w:tcW w:w="680" w:type="dxa"/>
            <w:vAlign w:val="bottom"/>
            <w:shd w:val="clear" w:color="auto" w:fill="F2F2F2"/>
          </w:tcPr>
          <w:p>
            <w:pPr>
              <w:spacing w:after="0"/>
              <w:rPr>
                <w:sz w:val="5"/>
                <w:szCs w:val="5"/>
                <w:color w:val="auto"/>
              </w:rPr>
            </w:pPr>
          </w:p>
        </w:tc>
        <w:tc>
          <w:tcPr>
            <w:tcW w:w="560" w:type="dxa"/>
            <w:vAlign w:val="bottom"/>
            <w:shd w:val="clear" w:color="auto" w:fill="F2F2F2"/>
          </w:tcPr>
          <w:p>
            <w:pPr>
              <w:spacing w:after="0"/>
              <w:rPr>
                <w:sz w:val="5"/>
                <w:szCs w:val="5"/>
                <w:color w:val="auto"/>
              </w:rPr>
            </w:pPr>
          </w:p>
        </w:tc>
        <w:tc>
          <w:tcPr>
            <w:tcW w:w="440" w:type="dxa"/>
            <w:vAlign w:val="bottom"/>
            <w:shd w:val="clear" w:color="auto" w:fill="F2F2F2"/>
          </w:tcPr>
          <w:p>
            <w:pPr>
              <w:spacing w:after="0"/>
              <w:rPr>
                <w:sz w:val="5"/>
                <w:szCs w:val="5"/>
                <w:color w:val="auto"/>
              </w:rPr>
            </w:pPr>
          </w:p>
        </w:tc>
      </w:tr>
      <w:tr>
        <w:trPr>
          <w:trHeight w:val="261"/>
        </w:trPr>
        <w:tc>
          <w:tcPr>
            <w:tcW w:w="3140" w:type="dxa"/>
            <w:vAlign w:val="bottom"/>
            <w:gridSpan w:val="2"/>
          </w:tcPr>
          <w:p>
            <w:pPr>
              <w:ind w:left="60"/>
              <w:spacing w:after="0"/>
              <w:rPr>
                <w:sz w:val="20"/>
                <w:szCs w:val="20"/>
                <w:color w:val="auto"/>
              </w:rPr>
            </w:pPr>
            <w:r>
              <w:rPr>
                <w:rFonts w:ascii="Arial" w:cs="Arial" w:eastAsia="Arial" w:hAnsi="Arial"/>
                <w:sz w:val="18"/>
                <w:szCs w:val="18"/>
                <w:color w:val="auto"/>
              </w:rPr>
              <w:t>Public board and governance</w:t>
            </w:r>
          </w:p>
        </w:tc>
        <w:tc>
          <w:tcPr>
            <w:tcW w:w="720" w:type="dxa"/>
            <w:vAlign w:val="bottom"/>
          </w:tcPr>
          <w:p>
            <w:pPr>
              <w:jc w:val="center"/>
              <w:spacing w:after="0"/>
              <w:rPr>
                <w:sz w:val="20"/>
                <w:szCs w:val="20"/>
                <w:color w:val="auto"/>
              </w:rPr>
            </w:pPr>
            <w:r>
              <w:rPr>
                <w:rFonts w:ascii="Arial" w:cs="Arial" w:eastAsia="Arial" w:hAnsi="Arial"/>
                <w:sz w:val="18"/>
                <w:szCs w:val="18"/>
                <w:color w:val="auto"/>
              </w:rPr>
              <w:t>■</w:t>
            </w:r>
          </w:p>
        </w:tc>
        <w:tc>
          <w:tcPr>
            <w:tcW w:w="680" w:type="dxa"/>
            <w:vAlign w:val="bottom"/>
          </w:tcPr>
          <w:p>
            <w:pPr>
              <w:jc w:val="center"/>
              <w:spacing w:after="0"/>
              <w:rPr>
                <w:sz w:val="20"/>
                <w:szCs w:val="20"/>
                <w:color w:val="auto"/>
              </w:rPr>
            </w:pPr>
            <w:r>
              <w:rPr>
                <w:rFonts w:ascii="Arial" w:cs="Arial" w:eastAsia="Arial" w:hAnsi="Arial"/>
                <w:sz w:val="18"/>
                <w:szCs w:val="18"/>
                <w:color w:val="auto"/>
                <w:w w:val="91"/>
              </w:rPr>
              <w:t>■</w:t>
            </w:r>
          </w:p>
        </w:tc>
        <w:tc>
          <w:tcPr>
            <w:tcW w:w="600" w:type="dxa"/>
            <w:vAlign w:val="bottom"/>
          </w:tcPr>
          <w:p>
            <w:pPr>
              <w:jc w:val="center"/>
              <w:spacing w:after="0"/>
              <w:rPr>
                <w:sz w:val="20"/>
                <w:szCs w:val="20"/>
                <w:color w:val="auto"/>
              </w:rPr>
            </w:pPr>
            <w:r>
              <w:rPr>
                <w:rFonts w:ascii="Arial" w:cs="Arial" w:eastAsia="Arial" w:hAnsi="Arial"/>
                <w:sz w:val="18"/>
                <w:szCs w:val="18"/>
                <w:color w:val="auto"/>
                <w:w w:val="91"/>
              </w:rPr>
              <w:t>■</w:t>
            </w:r>
          </w:p>
        </w:tc>
        <w:tc>
          <w:tcPr>
            <w:tcW w:w="600" w:type="dxa"/>
            <w:vAlign w:val="bottom"/>
          </w:tcPr>
          <w:p>
            <w:pPr>
              <w:jc w:val="center"/>
              <w:spacing w:after="0"/>
              <w:rPr>
                <w:sz w:val="20"/>
                <w:szCs w:val="20"/>
                <w:color w:val="auto"/>
              </w:rPr>
            </w:pPr>
            <w:r>
              <w:rPr>
                <w:rFonts w:ascii="Arial" w:cs="Arial" w:eastAsia="Arial" w:hAnsi="Arial"/>
                <w:sz w:val="18"/>
                <w:szCs w:val="18"/>
                <w:color w:val="auto"/>
                <w:w w:val="91"/>
              </w:rPr>
              <w:t>■</w:t>
            </w:r>
          </w:p>
        </w:tc>
        <w:tc>
          <w:tcPr>
            <w:tcW w:w="600" w:type="dxa"/>
            <w:vAlign w:val="bottom"/>
          </w:tcPr>
          <w:p>
            <w:pPr>
              <w:jc w:val="center"/>
              <w:spacing w:after="0"/>
              <w:rPr>
                <w:sz w:val="20"/>
                <w:szCs w:val="20"/>
                <w:color w:val="auto"/>
              </w:rPr>
            </w:pPr>
            <w:r>
              <w:rPr>
                <w:rFonts w:ascii="Arial" w:cs="Arial" w:eastAsia="Arial" w:hAnsi="Arial"/>
                <w:sz w:val="18"/>
                <w:szCs w:val="18"/>
                <w:color w:val="auto"/>
                <w:w w:val="91"/>
              </w:rPr>
              <w:t>■</w:t>
            </w:r>
          </w:p>
        </w:tc>
        <w:tc>
          <w:tcPr>
            <w:tcW w:w="580" w:type="dxa"/>
            <w:vAlign w:val="bottom"/>
          </w:tcPr>
          <w:p>
            <w:pPr>
              <w:jc w:val="center"/>
              <w:spacing w:after="0"/>
              <w:rPr>
                <w:sz w:val="20"/>
                <w:szCs w:val="20"/>
                <w:color w:val="auto"/>
              </w:rPr>
            </w:pPr>
            <w:r>
              <w:rPr>
                <w:rFonts w:ascii="Arial" w:cs="Arial" w:eastAsia="Arial" w:hAnsi="Arial"/>
                <w:sz w:val="18"/>
                <w:szCs w:val="18"/>
                <w:color w:val="auto"/>
                <w:w w:val="91"/>
              </w:rPr>
              <w:t>■</w:t>
            </w:r>
          </w:p>
        </w:tc>
        <w:tc>
          <w:tcPr>
            <w:tcW w:w="580" w:type="dxa"/>
            <w:vAlign w:val="bottom"/>
          </w:tcPr>
          <w:p>
            <w:pPr>
              <w:jc w:val="center"/>
              <w:spacing w:after="0"/>
              <w:rPr>
                <w:sz w:val="20"/>
                <w:szCs w:val="20"/>
                <w:color w:val="auto"/>
              </w:rPr>
            </w:pPr>
            <w:r>
              <w:rPr>
                <w:rFonts w:ascii="Arial" w:cs="Arial" w:eastAsia="Arial" w:hAnsi="Arial"/>
                <w:sz w:val="18"/>
                <w:szCs w:val="18"/>
                <w:color w:val="auto"/>
              </w:rPr>
              <w:t>■</w:t>
            </w:r>
          </w:p>
        </w:tc>
        <w:tc>
          <w:tcPr>
            <w:tcW w:w="680" w:type="dxa"/>
            <w:vAlign w:val="bottom"/>
          </w:tcPr>
          <w:p>
            <w:pPr>
              <w:jc w:val="center"/>
              <w:spacing w:after="0"/>
              <w:rPr>
                <w:sz w:val="20"/>
                <w:szCs w:val="20"/>
                <w:color w:val="auto"/>
              </w:rPr>
            </w:pPr>
            <w:r>
              <w:rPr>
                <w:rFonts w:ascii="Arial" w:cs="Arial" w:eastAsia="Arial" w:hAnsi="Arial"/>
                <w:sz w:val="18"/>
                <w:szCs w:val="18"/>
                <w:color w:val="auto"/>
              </w:rPr>
              <w:t>■</w:t>
            </w:r>
          </w:p>
        </w:tc>
        <w:tc>
          <w:tcPr>
            <w:tcW w:w="560" w:type="dxa"/>
            <w:vAlign w:val="bottom"/>
          </w:tcPr>
          <w:p>
            <w:pPr>
              <w:jc w:val="center"/>
              <w:spacing w:after="0"/>
              <w:rPr>
                <w:sz w:val="20"/>
                <w:szCs w:val="20"/>
                <w:color w:val="auto"/>
              </w:rPr>
            </w:pPr>
            <w:r>
              <w:rPr>
                <w:rFonts w:ascii="Arial" w:cs="Arial" w:eastAsia="Arial" w:hAnsi="Arial"/>
                <w:sz w:val="18"/>
                <w:szCs w:val="18"/>
                <w:color w:val="auto"/>
              </w:rPr>
              <w:t>■</w:t>
            </w:r>
          </w:p>
        </w:tc>
        <w:tc>
          <w:tcPr>
            <w:tcW w:w="440" w:type="dxa"/>
            <w:vAlign w:val="bottom"/>
          </w:tcPr>
          <w:p>
            <w:pPr>
              <w:jc w:val="center"/>
              <w:spacing w:after="0"/>
              <w:rPr>
                <w:sz w:val="20"/>
                <w:szCs w:val="20"/>
                <w:color w:val="auto"/>
              </w:rPr>
            </w:pPr>
            <w:r>
              <w:rPr>
                <w:rFonts w:ascii="Arial" w:cs="Arial" w:eastAsia="Arial" w:hAnsi="Arial"/>
                <w:sz w:val="18"/>
                <w:szCs w:val="18"/>
                <w:color w:val="auto"/>
                <w:w w:val="99"/>
              </w:rPr>
              <w:t>9</w:t>
            </w:r>
          </w:p>
        </w:tc>
      </w:tr>
      <w:tr>
        <w:trPr>
          <w:trHeight w:val="243"/>
        </w:trPr>
        <w:tc>
          <w:tcPr>
            <w:tcW w:w="3140" w:type="dxa"/>
            <w:vAlign w:val="bottom"/>
            <w:gridSpan w:val="2"/>
          </w:tcPr>
          <w:p>
            <w:pPr>
              <w:ind w:left="240"/>
              <w:spacing w:after="0"/>
              <w:rPr>
                <w:sz w:val="20"/>
                <w:szCs w:val="20"/>
                <w:color w:val="auto"/>
              </w:rPr>
            </w:pPr>
            <w:r>
              <w:rPr>
                <w:rFonts w:ascii="Arial" w:cs="Arial" w:eastAsia="Arial" w:hAnsi="Arial"/>
                <w:sz w:val="18"/>
                <w:szCs w:val="18"/>
                <w:color w:val="auto"/>
              </w:rPr>
              <w:t>experience</w:t>
            </w: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63"/>
        </w:trPr>
        <w:tc>
          <w:tcPr>
            <w:tcW w:w="1280" w:type="dxa"/>
            <w:vAlign w:val="bottom"/>
          </w:tcPr>
          <w:p>
            <w:pPr>
              <w:spacing w:after="0"/>
              <w:rPr>
                <w:sz w:val="5"/>
                <w:szCs w:val="5"/>
                <w:color w:val="auto"/>
              </w:rPr>
            </w:pPr>
          </w:p>
        </w:tc>
        <w:tc>
          <w:tcPr>
            <w:tcW w:w="18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40" w:type="dxa"/>
            <w:vAlign w:val="bottom"/>
          </w:tcPr>
          <w:p>
            <w:pPr>
              <w:spacing w:after="0"/>
              <w:rPr>
                <w:sz w:val="5"/>
                <w:szCs w:val="5"/>
                <w:color w:val="auto"/>
              </w:rPr>
            </w:pPr>
          </w:p>
        </w:tc>
      </w:tr>
      <w:tr>
        <w:trPr>
          <w:trHeight w:val="301"/>
        </w:trPr>
        <w:tc>
          <w:tcPr>
            <w:tcW w:w="3140" w:type="dxa"/>
            <w:vAlign w:val="bottom"/>
            <w:gridSpan w:val="2"/>
            <w:shd w:val="clear" w:color="auto" w:fill="F2F2F2"/>
          </w:tcPr>
          <w:p>
            <w:pPr>
              <w:ind w:left="60"/>
              <w:spacing w:after="0"/>
              <w:rPr>
                <w:sz w:val="20"/>
                <w:szCs w:val="20"/>
                <w:color w:val="auto"/>
              </w:rPr>
            </w:pPr>
            <w:r>
              <w:rPr>
                <w:rFonts w:ascii="Arial" w:cs="Arial" w:eastAsia="Arial" w:hAnsi="Arial"/>
                <w:sz w:val="18"/>
                <w:szCs w:val="18"/>
                <w:color w:val="auto"/>
              </w:rPr>
              <w:t>Industry expertise</w:t>
            </w:r>
          </w:p>
        </w:tc>
        <w:tc>
          <w:tcPr>
            <w:tcW w:w="720" w:type="dxa"/>
            <w:vAlign w:val="bottom"/>
            <w:shd w:val="clear" w:color="auto" w:fill="F2F2F2"/>
          </w:tcPr>
          <w:p>
            <w:pPr>
              <w:spacing w:after="0"/>
              <w:rPr>
                <w:sz w:val="24"/>
                <w:szCs w:val="24"/>
                <w:color w:val="auto"/>
              </w:rPr>
            </w:pPr>
          </w:p>
        </w:tc>
        <w:tc>
          <w:tcPr>
            <w:tcW w:w="68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1"/>
              </w:rPr>
              <w:t>■</w:t>
            </w:r>
          </w:p>
        </w:tc>
        <w:tc>
          <w:tcPr>
            <w:tcW w:w="600" w:type="dxa"/>
            <w:vAlign w:val="bottom"/>
            <w:shd w:val="clear" w:color="auto" w:fill="F2F2F2"/>
          </w:tcPr>
          <w:p>
            <w:pPr>
              <w:spacing w:after="0"/>
              <w:rPr>
                <w:sz w:val="24"/>
                <w:szCs w:val="24"/>
                <w:color w:val="auto"/>
              </w:rPr>
            </w:pPr>
          </w:p>
        </w:tc>
        <w:tc>
          <w:tcPr>
            <w:tcW w:w="600" w:type="dxa"/>
            <w:vAlign w:val="bottom"/>
            <w:shd w:val="clear" w:color="auto" w:fill="F2F2F2"/>
          </w:tcPr>
          <w:p>
            <w:pPr>
              <w:spacing w:after="0"/>
              <w:rPr>
                <w:sz w:val="24"/>
                <w:szCs w:val="24"/>
                <w:color w:val="auto"/>
              </w:rPr>
            </w:pPr>
          </w:p>
        </w:tc>
        <w:tc>
          <w:tcPr>
            <w:tcW w:w="60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1"/>
              </w:rPr>
              <w:t>■</w:t>
            </w:r>
          </w:p>
        </w:tc>
        <w:tc>
          <w:tcPr>
            <w:tcW w:w="580" w:type="dxa"/>
            <w:vAlign w:val="bottom"/>
            <w:shd w:val="clear" w:color="auto" w:fill="F2F2F2"/>
          </w:tcPr>
          <w:p>
            <w:pPr>
              <w:spacing w:after="0"/>
              <w:rPr>
                <w:sz w:val="24"/>
                <w:szCs w:val="24"/>
                <w:color w:val="auto"/>
              </w:rPr>
            </w:pPr>
          </w:p>
        </w:tc>
        <w:tc>
          <w:tcPr>
            <w:tcW w:w="580" w:type="dxa"/>
            <w:vAlign w:val="bottom"/>
            <w:shd w:val="clear" w:color="auto" w:fill="F2F2F2"/>
          </w:tcPr>
          <w:p>
            <w:pPr>
              <w:spacing w:after="0"/>
              <w:rPr>
                <w:sz w:val="24"/>
                <w:szCs w:val="24"/>
                <w:color w:val="auto"/>
              </w:rPr>
            </w:pPr>
          </w:p>
        </w:tc>
        <w:tc>
          <w:tcPr>
            <w:tcW w:w="680" w:type="dxa"/>
            <w:vAlign w:val="bottom"/>
            <w:shd w:val="clear" w:color="auto" w:fill="F2F2F2"/>
          </w:tcPr>
          <w:p>
            <w:pPr>
              <w:spacing w:after="0"/>
              <w:rPr>
                <w:sz w:val="24"/>
                <w:szCs w:val="24"/>
                <w:color w:val="auto"/>
              </w:rPr>
            </w:pPr>
          </w:p>
        </w:tc>
        <w:tc>
          <w:tcPr>
            <w:tcW w:w="560" w:type="dxa"/>
            <w:vAlign w:val="bottom"/>
            <w:shd w:val="clear" w:color="auto" w:fill="F2F2F2"/>
          </w:tcPr>
          <w:p>
            <w:pPr>
              <w:jc w:val="center"/>
              <w:spacing w:after="0"/>
              <w:rPr>
                <w:sz w:val="20"/>
                <w:szCs w:val="20"/>
                <w:color w:val="auto"/>
              </w:rPr>
            </w:pPr>
            <w:r>
              <w:rPr>
                <w:rFonts w:ascii="Arial" w:cs="Arial" w:eastAsia="Arial" w:hAnsi="Arial"/>
                <w:sz w:val="18"/>
                <w:szCs w:val="18"/>
                <w:color w:val="auto"/>
              </w:rPr>
              <w:t>■</w:t>
            </w:r>
          </w:p>
        </w:tc>
        <w:tc>
          <w:tcPr>
            <w:tcW w:w="44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9"/>
              </w:rPr>
              <w:t>3</w:t>
            </w:r>
          </w:p>
        </w:tc>
      </w:tr>
      <w:tr>
        <w:trPr>
          <w:trHeight w:val="63"/>
        </w:trPr>
        <w:tc>
          <w:tcPr>
            <w:tcW w:w="1280" w:type="dxa"/>
            <w:vAlign w:val="bottom"/>
            <w:shd w:val="clear" w:color="auto" w:fill="F2F2F2"/>
          </w:tcPr>
          <w:p>
            <w:pPr>
              <w:spacing w:after="0"/>
              <w:rPr>
                <w:sz w:val="5"/>
                <w:szCs w:val="5"/>
                <w:color w:val="auto"/>
              </w:rPr>
            </w:pPr>
          </w:p>
        </w:tc>
        <w:tc>
          <w:tcPr>
            <w:tcW w:w="1860" w:type="dxa"/>
            <w:vAlign w:val="bottom"/>
            <w:shd w:val="clear" w:color="auto" w:fill="F2F2F2"/>
          </w:tcPr>
          <w:p>
            <w:pPr>
              <w:spacing w:after="0"/>
              <w:rPr>
                <w:sz w:val="5"/>
                <w:szCs w:val="5"/>
                <w:color w:val="auto"/>
              </w:rPr>
            </w:pPr>
          </w:p>
        </w:tc>
        <w:tc>
          <w:tcPr>
            <w:tcW w:w="720" w:type="dxa"/>
            <w:vAlign w:val="bottom"/>
            <w:shd w:val="clear" w:color="auto" w:fill="F2F2F2"/>
          </w:tcPr>
          <w:p>
            <w:pPr>
              <w:spacing w:after="0"/>
              <w:rPr>
                <w:sz w:val="5"/>
                <w:szCs w:val="5"/>
                <w:color w:val="auto"/>
              </w:rPr>
            </w:pPr>
          </w:p>
        </w:tc>
        <w:tc>
          <w:tcPr>
            <w:tcW w:w="680" w:type="dxa"/>
            <w:vAlign w:val="bottom"/>
            <w:shd w:val="clear" w:color="auto" w:fill="F2F2F2"/>
          </w:tcPr>
          <w:p>
            <w:pPr>
              <w:spacing w:after="0"/>
              <w:rPr>
                <w:sz w:val="5"/>
                <w:szCs w:val="5"/>
                <w:color w:val="auto"/>
              </w:rPr>
            </w:pPr>
          </w:p>
        </w:tc>
        <w:tc>
          <w:tcPr>
            <w:tcW w:w="600" w:type="dxa"/>
            <w:vAlign w:val="bottom"/>
            <w:shd w:val="clear" w:color="auto" w:fill="F2F2F2"/>
          </w:tcPr>
          <w:p>
            <w:pPr>
              <w:spacing w:after="0"/>
              <w:rPr>
                <w:sz w:val="5"/>
                <w:szCs w:val="5"/>
                <w:color w:val="auto"/>
              </w:rPr>
            </w:pPr>
          </w:p>
        </w:tc>
        <w:tc>
          <w:tcPr>
            <w:tcW w:w="600" w:type="dxa"/>
            <w:vAlign w:val="bottom"/>
            <w:shd w:val="clear" w:color="auto" w:fill="F2F2F2"/>
          </w:tcPr>
          <w:p>
            <w:pPr>
              <w:spacing w:after="0"/>
              <w:rPr>
                <w:sz w:val="5"/>
                <w:szCs w:val="5"/>
                <w:color w:val="auto"/>
              </w:rPr>
            </w:pPr>
          </w:p>
        </w:tc>
        <w:tc>
          <w:tcPr>
            <w:tcW w:w="600" w:type="dxa"/>
            <w:vAlign w:val="bottom"/>
            <w:shd w:val="clear" w:color="auto" w:fill="F2F2F2"/>
          </w:tcPr>
          <w:p>
            <w:pPr>
              <w:spacing w:after="0"/>
              <w:rPr>
                <w:sz w:val="5"/>
                <w:szCs w:val="5"/>
                <w:color w:val="auto"/>
              </w:rPr>
            </w:pPr>
          </w:p>
        </w:tc>
        <w:tc>
          <w:tcPr>
            <w:tcW w:w="580" w:type="dxa"/>
            <w:vAlign w:val="bottom"/>
            <w:shd w:val="clear" w:color="auto" w:fill="F2F2F2"/>
          </w:tcPr>
          <w:p>
            <w:pPr>
              <w:spacing w:after="0"/>
              <w:rPr>
                <w:sz w:val="5"/>
                <w:szCs w:val="5"/>
                <w:color w:val="auto"/>
              </w:rPr>
            </w:pPr>
          </w:p>
        </w:tc>
        <w:tc>
          <w:tcPr>
            <w:tcW w:w="580" w:type="dxa"/>
            <w:vAlign w:val="bottom"/>
            <w:shd w:val="clear" w:color="auto" w:fill="F2F2F2"/>
          </w:tcPr>
          <w:p>
            <w:pPr>
              <w:spacing w:after="0"/>
              <w:rPr>
                <w:sz w:val="5"/>
                <w:szCs w:val="5"/>
                <w:color w:val="auto"/>
              </w:rPr>
            </w:pPr>
          </w:p>
        </w:tc>
        <w:tc>
          <w:tcPr>
            <w:tcW w:w="680" w:type="dxa"/>
            <w:vAlign w:val="bottom"/>
            <w:shd w:val="clear" w:color="auto" w:fill="F2F2F2"/>
          </w:tcPr>
          <w:p>
            <w:pPr>
              <w:spacing w:after="0"/>
              <w:rPr>
                <w:sz w:val="5"/>
                <w:szCs w:val="5"/>
                <w:color w:val="auto"/>
              </w:rPr>
            </w:pPr>
          </w:p>
        </w:tc>
        <w:tc>
          <w:tcPr>
            <w:tcW w:w="560" w:type="dxa"/>
            <w:vAlign w:val="bottom"/>
            <w:shd w:val="clear" w:color="auto" w:fill="F2F2F2"/>
          </w:tcPr>
          <w:p>
            <w:pPr>
              <w:spacing w:after="0"/>
              <w:rPr>
                <w:sz w:val="5"/>
                <w:szCs w:val="5"/>
                <w:color w:val="auto"/>
              </w:rPr>
            </w:pPr>
          </w:p>
        </w:tc>
        <w:tc>
          <w:tcPr>
            <w:tcW w:w="440" w:type="dxa"/>
            <w:vAlign w:val="bottom"/>
            <w:shd w:val="clear" w:color="auto" w:fill="F2F2F2"/>
          </w:tcPr>
          <w:p>
            <w:pPr>
              <w:spacing w:after="0"/>
              <w:rPr>
                <w:sz w:val="5"/>
                <w:szCs w:val="5"/>
                <w:color w:val="auto"/>
              </w:rPr>
            </w:pPr>
          </w:p>
        </w:tc>
      </w:tr>
      <w:tr>
        <w:trPr>
          <w:trHeight w:val="301"/>
        </w:trPr>
        <w:tc>
          <w:tcPr>
            <w:tcW w:w="3140" w:type="dxa"/>
            <w:vAlign w:val="bottom"/>
            <w:gridSpan w:val="2"/>
          </w:tcPr>
          <w:p>
            <w:pPr>
              <w:ind w:left="60"/>
              <w:spacing w:after="0"/>
              <w:rPr>
                <w:sz w:val="20"/>
                <w:szCs w:val="20"/>
                <w:color w:val="auto"/>
              </w:rPr>
            </w:pPr>
            <w:r>
              <w:rPr>
                <w:rFonts w:ascii="Arial" w:cs="Arial" w:eastAsia="Arial" w:hAnsi="Arial"/>
                <w:sz w:val="18"/>
                <w:szCs w:val="18"/>
                <w:color w:val="auto"/>
              </w:rPr>
              <w:t>Global experience</w:t>
            </w:r>
          </w:p>
        </w:tc>
        <w:tc>
          <w:tcPr>
            <w:tcW w:w="720" w:type="dxa"/>
            <w:vAlign w:val="bottom"/>
          </w:tcPr>
          <w:p>
            <w:pPr>
              <w:jc w:val="center"/>
              <w:spacing w:after="0"/>
              <w:rPr>
                <w:sz w:val="20"/>
                <w:szCs w:val="20"/>
                <w:color w:val="auto"/>
              </w:rPr>
            </w:pPr>
            <w:r>
              <w:rPr>
                <w:rFonts w:ascii="Arial" w:cs="Arial" w:eastAsia="Arial" w:hAnsi="Arial"/>
                <w:sz w:val="18"/>
                <w:szCs w:val="18"/>
                <w:color w:val="auto"/>
              </w:rPr>
              <w:t>■</w:t>
            </w:r>
          </w:p>
        </w:tc>
        <w:tc>
          <w:tcPr>
            <w:tcW w:w="680" w:type="dxa"/>
            <w:vAlign w:val="bottom"/>
          </w:tcPr>
          <w:p>
            <w:pPr>
              <w:jc w:val="center"/>
              <w:spacing w:after="0"/>
              <w:rPr>
                <w:sz w:val="20"/>
                <w:szCs w:val="20"/>
                <w:color w:val="auto"/>
              </w:rPr>
            </w:pPr>
            <w:r>
              <w:rPr>
                <w:rFonts w:ascii="Arial" w:cs="Arial" w:eastAsia="Arial" w:hAnsi="Arial"/>
                <w:sz w:val="18"/>
                <w:szCs w:val="18"/>
                <w:color w:val="auto"/>
                <w:w w:val="91"/>
              </w:rPr>
              <w:t>■</w:t>
            </w:r>
          </w:p>
        </w:tc>
        <w:tc>
          <w:tcPr>
            <w:tcW w:w="60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1"/>
              </w:rPr>
              <w:t>■</w:t>
            </w:r>
          </w:p>
        </w:tc>
        <w:tc>
          <w:tcPr>
            <w:tcW w:w="600" w:type="dxa"/>
            <w:vAlign w:val="bottom"/>
          </w:tcPr>
          <w:p>
            <w:pPr>
              <w:jc w:val="center"/>
              <w:spacing w:after="0"/>
              <w:rPr>
                <w:sz w:val="20"/>
                <w:szCs w:val="20"/>
                <w:color w:val="auto"/>
              </w:rPr>
            </w:pPr>
            <w:r>
              <w:rPr>
                <w:rFonts w:ascii="Arial" w:cs="Arial" w:eastAsia="Arial" w:hAnsi="Arial"/>
                <w:sz w:val="18"/>
                <w:szCs w:val="18"/>
                <w:color w:val="auto"/>
                <w:w w:val="91"/>
              </w:rPr>
              <w:t>■</w:t>
            </w:r>
          </w:p>
        </w:tc>
        <w:tc>
          <w:tcPr>
            <w:tcW w:w="580" w:type="dxa"/>
            <w:vAlign w:val="bottom"/>
          </w:tcPr>
          <w:p>
            <w:pPr>
              <w:jc w:val="center"/>
              <w:spacing w:after="0"/>
              <w:rPr>
                <w:sz w:val="20"/>
                <w:szCs w:val="20"/>
                <w:color w:val="auto"/>
              </w:rPr>
            </w:pPr>
            <w:r>
              <w:rPr>
                <w:rFonts w:ascii="Arial" w:cs="Arial" w:eastAsia="Arial" w:hAnsi="Arial"/>
                <w:sz w:val="18"/>
                <w:szCs w:val="18"/>
                <w:color w:val="auto"/>
                <w:w w:val="91"/>
              </w:rPr>
              <w:t>■</w:t>
            </w:r>
          </w:p>
        </w:tc>
        <w:tc>
          <w:tcPr>
            <w:tcW w:w="580" w:type="dxa"/>
            <w:vAlign w:val="bottom"/>
          </w:tcPr>
          <w:p>
            <w:pPr>
              <w:jc w:val="center"/>
              <w:spacing w:after="0"/>
              <w:rPr>
                <w:sz w:val="20"/>
                <w:szCs w:val="20"/>
                <w:color w:val="auto"/>
              </w:rPr>
            </w:pPr>
            <w:r>
              <w:rPr>
                <w:rFonts w:ascii="Arial" w:cs="Arial" w:eastAsia="Arial" w:hAnsi="Arial"/>
                <w:sz w:val="18"/>
                <w:szCs w:val="18"/>
                <w:color w:val="auto"/>
              </w:rPr>
              <w:t>■</w:t>
            </w:r>
          </w:p>
        </w:tc>
        <w:tc>
          <w:tcPr>
            <w:tcW w:w="680" w:type="dxa"/>
            <w:vAlign w:val="bottom"/>
          </w:tcPr>
          <w:p>
            <w:pPr>
              <w:jc w:val="center"/>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99"/>
              </w:rPr>
              <w:t>7</w:t>
            </w:r>
          </w:p>
        </w:tc>
      </w:tr>
      <w:tr>
        <w:trPr>
          <w:trHeight w:val="64"/>
        </w:trPr>
        <w:tc>
          <w:tcPr>
            <w:tcW w:w="1280" w:type="dxa"/>
            <w:vAlign w:val="bottom"/>
          </w:tcPr>
          <w:p>
            <w:pPr>
              <w:spacing w:after="0"/>
              <w:rPr>
                <w:sz w:val="5"/>
                <w:szCs w:val="5"/>
                <w:color w:val="auto"/>
              </w:rPr>
            </w:pPr>
          </w:p>
        </w:tc>
        <w:tc>
          <w:tcPr>
            <w:tcW w:w="18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40" w:type="dxa"/>
            <w:vAlign w:val="bottom"/>
          </w:tcPr>
          <w:p>
            <w:pPr>
              <w:spacing w:after="0"/>
              <w:rPr>
                <w:sz w:val="5"/>
                <w:szCs w:val="5"/>
                <w:color w:val="auto"/>
              </w:rPr>
            </w:pPr>
          </w:p>
        </w:tc>
      </w:tr>
      <w:tr>
        <w:trPr>
          <w:trHeight w:val="261"/>
        </w:trPr>
        <w:tc>
          <w:tcPr>
            <w:tcW w:w="3140" w:type="dxa"/>
            <w:vAlign w:val="bottom"/>
            <w:gridSpan w:val="2"/>
            <w:shd w:val="clear" w:color="auto" w:fill="F2F2F2"/>
          </w:tcPr>
          <w:p>
            <w:pPr>
              <w:ind w:left="60"/>
              <w:spacing w:after="0"/>
              <w:rPr>
                <w:sz w:val="20"/>
                <w:szCs w:val="20"/>
                <w:color w:val="auto"/>
              </w:rPr>
            </w:pPr>
            <w:r>
              <w:rPr>
                <w:rFonts w:ascii="Arial" w:cs="Arial" w:eastAsia="Arial" w:hAnsi="Arial"/>
                <w:sz w:val="18"/>
                <w:szCs w:val="18"/>
                <w:color w:val="auto"/>
              </w:rPr>
              <w:t>Manufacturing and/or Supply Chain</w:t>
            </w:r>
          </w:p>
        </w:tc>
        <w:tc>
          <w:tcPr>
            <w:tcW w:w="720" w:type="dxa"/>
            <w:vAlign w:val="bottom"/>
            <w:shd w:val="clear" w:color="auto" w:fill="F2F2F2"/>
          </w:tcPr>
          <w:p>
            <w:pPr>
              <w:jc w:val="center"/>
              <w:spacing w:after="0"/>
              <w:rPr>
                <w:sz w:val="20"/>
                <w:szCs w:val="20"/>
                <w:color w:val="auto"/>
              </w:rPr>
            </w:pPr>
            <w:r>
              <w:rPr>
                <w:rFonts w:ascii="Arial" w:cs="Arial" w:eastAsia="Arial" w:hAnsi="Arial"/>
                <w:sz w:val="18"/>
                <w:szCs w:val="18"/>
                <w:color w:val="auto"/>
              </w:rPr>
              <w:t>■</w:t>
            </w:r>
          </w:p>
        </w:tc>
        <w:tc>
          <w:tcPr>
            <w:tcW w:w="680" w:type="dxa"/>
            <w:vAlign w:val="bottom"/>
            <w:shd w:val="clear" w:color="auto" w:fill="F2F2F2"/>
          </w:tcPr>
          <w:p>
            <w:pPr>
              <w:spacing w:after="0"/>
              <w:rPr>
                <w:sz w:val="22"/>
                <w:szCs w:val="22"/>
                <w:color w:val="auto"/>
              </w:rPr>
            </w:pPr>
          </w:p>
        </w:tc>
        <w:tc>
          <w:tcPr>
            <w:tcW w:w="600" w:type="dxa"/>
            <w:vAlign w:val="bottom"/>
            <w:shd w:val="clear" w:color="auto" w:fill="F2F2F2"/>
          </w:tcPr>
          <w:p>
            <w:pPr>
              <w:spacing w:after="0"/>
              <w:rPr>
                <w:sz w:val="22"/>
                <w:szCs w:val="22"/>
                <w:color w:val="auto"/>
              </w:rPr>
            </w:pPr>
          </w:p>
        </w:tc>
        <w:tc>
          <w:tcPr>
            <w:tcW w:w="60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1"/>
              </w:rPr>
              <w:t>■</w:t>
            </w:r>
          </w:p>
        </w:tc>
        <w:tc>
          <w:tcPr>
            <w:tcW w:w="60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1"/>
              </w:rPr>
              <w:t>■</w:t>
            </w:r>
          </w:p>
        </w:tc>
        <w:tc>
          <w:tcPr>
            <w:tcW w:w="58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1"/>
              </w:rPr>
              <w:t>■</w:t>
            </w:r>
          </w:p>
        </w:tc>
        <w:tc>
          <w:tcPr>
            <w:tcW w:w="580" w:type="dxa"/>
            <w:vAlign w:val="bottom"/>
            <w:shd w:val="clear" w:color="auto" w:fill="F2F2F2"/>
          </w:tcPr>
          <w:p>
            <w:pPr>
              <w:jc w:val="center"/>
              <w:spacing w:after="0"/>
              <w:rPr>
                <w:sz w:val="20"/>
                <w:szCs w:val="20"/>
                <w:color w:val="auto"/>
              </w:rPr>
            </w:pPr>
            <w:r>
              <w:rPr>
                <w:rFonts w:ascii="Arial" w:cs="Arial" w:eastAsia="Arial" w:hAnsi="Arial"/>
                <w:sz w:val="18"/>
                <w:szCs w:val="18"/>
                <w:color w:val="auto"/>
              </w:rPr>
              <w:t>■</w:t>
            </w:r>
          </w:p>
        </w:tc>
        <w:tc>
          <w:tcPr>
            <w:tcW w:w="680" w:type="dxa"/>
            <w:vAlign w:val="bottom"/>
            <w:shd w:val="clear" w:color="auto" w:fill="F2F2F2"/>
          </w:tcPr>
          <w:p>
            <w:pPr>
              <w:jc w:val="center"/>
              <w:spacing w:after="0"/>
              <w:rPr>
                <w:sz w:val="20"/>
                <w:szCs w:val="20"/>
                <w:color w:val="auto"/>
              </w:rPr>
            </w:pPr>
            <w:r>
              <w:rPr>
                <w:rFonts w:ascii="Arial" w:cs="Arial" w:eastAsia="Arial" w:hAnsi="Arial"/>
                <w:sz w:val="18"/>
                <w:szCs w:val="18"/>
                <w:color w:val="auto"/>
              </w:rPr>
              <w:t>■</w:t>
            </w:r>
          </w:p>
        </w:tc>
        <w:tc>
          <w:tcPr>
            <w:tcW w:w="560" w:type="dxa"/>
            <w:vAlign w:val="bottom"/>
            <w:shd w:val="clear" w:color="auto" w:fill="F2F2F2"/>
          </w:tcPr>
          <w:p>
            <w:pPr>
              <w:spacing w:after="0"/>
              <w:rPr>
                <w:sz w:val="22"/>
                <w:szCs w:val="22"/>
                <w:color w:val="auto"/>
              </w:rPr>
            </w:pPr>
          </w:p>
        </w:tc>
        <w:tc>
          <w:tcPr>
            <w:tcW w:w="44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9"/>
              </w:rPr>
              <w:t>6</w:t>
            </w:r>
          </w:p>
        </w:tc>
      </w:tr>
      <w:tr>
        <w:trPr>
          <w:trHeight w:val="243"/>
        </w:trPr>
        <w:tc>
          <w:tcPr>
            <w:tcW w:w="3140" w:type="dxa"/>
            <w:vAlign w:val="bottom"/>
            <w:gridSpan w:val="2"/>
            <w:shd w:val="clear" w:color="auto" w:fill="F2F2F2"/>
          </w:tcPr>
          <w:p>
            <w:pPr>
              <w:ind w:left="240"/>
              <w:spacing w:after="0"/>
              <w:rPr>
                <w:sz w:val="20"/>
                <w:szCs w:val="20"/>
                <w:color w:val="auto"/>
              </w:rPr>
            </w:pPr>
            <w:r>
              <w:rPr>
                <w:rFonts w:ascii="Arial" w:cs="Arial" w:eastAsia="Arial" w:hAnsi="Arial"/>
                <w:sz w:val="18"/>
                <w:szCs w:val="18"/>
                <w:color w:val="auto"/>
              </w:rPr>
              <w:t>expertise*</w:t>
            </w:r>
          </w:p>
        </w:tc>
        <w:tc>
          <w:tcPr>
            <w:tcW w:w="720" w:type="dxa"/>
            <w:vAlign w:val="bottom"/>
            <w:shd w:val="clear" w:color="auto" w:fill="F2F2F2"/>
          </w:tcPr>
          <w:p>
            <w:pPr>
              <w:spacing w:after="0"/>
              <w:rPr>
                <w:sz w:val="21"/>
                <w:szCs w:val="21"/>
                <w:color w:val="auto"/>
              </w:rPr>
            </w:pPr>
          </w:p>
        </w:tc>
        <w:tc>
          <w:tcPr>
            <w:tcW w:w="680" w:type="dxa"/>
            <w:vAlign w:val="bottom"/>
            <w:shd w:val="clear" w:color="auto" w:fill="F2F2F2"/>
          </w:tcPr>
          <w:p>
            <w:pPr>
              <w:spacing w:after="0"/>
              <w:rPr>
                <w:sz w:val="21"/>
                <w:szCs w:val="21"/>
                <w:color w:val="auto"/>
              </w:rPr>
            </w:pPr>
          </w:p>
        </w:tc>
        <w:tc>
          <w:tcPr>
            <w:tcW w:w="600" w:type="dxa"/>
            <w:vAlign w:val="bottom"/>
            <w:shd w:val="clear" w:color="auto" w:fill="F2F2F2"/>
          </w:tcPr>
          <w:p>
            <w:pPr>
              <w:spacing w:after="0"/>
              <w:rPr>
                <w:sz w:val="21"/>
                <w:szCs w:val="21"/>
                <w:color w:val="auto"/>
              </w:rPr>
            </w:pPr>
          </w:p>
        </w:tc>
        <w:tc>
          <w:tcPr>
            <w:tcW w:w="600" w:type="dxa"/>
            <w:vAlign w:val="bottom"/>
            <w:shd w:val="clear" w:color="auto" w:fill="F2F2F2"/>
          </w:tcPr>
          <w:p>
            <w:pPr>
              <w:spacing w:after="0"/>
              <w:rPr>
                <w:sz w:val="21"/>
                <w:szCs w:val="21"/>
                <w:color w:val="auto"/>
              </w:rPr>
            </w:pPr>
          </w:p>
        </w:tc>
        <w:tc>
          <w:tcPr>
            <w:tcW w:w="600" w:type="dxa"/>
            <w:vAlign w:val="bottom"/>
            <w:shd w:val="clear" w:color="auto" w:fill="F2F2F2"/>
          </w:tcPr>
          <w:p>
            <w:pPr>
              <w:spacing w:after="0"/>
              <w:rPr>
                <w:sz w:val="21"/>
                <w:szCs w:val="21"/>
                <w:color w:val="auto"/>
              </w:rPr>
            </w:pPr>
          </w:p>
        </w:tc>
        <w:tc>
          <w:tcPr>
            <w:tcW w:w="580" w:type="dxa"/>
            <w:vAlign w:val="bottom"/>
            <w:shd w:val="clear" w:color="auto" w:fill="F2F2F2"/>
          </w:tcPr>
          <w:p>
            <w:pPr>
              <w:spacing w:after="0"/>
              <w:rPr>
                <w:sz w:val="21"/>
                <w:szCs w:val="21"/>
                <w:color w:val="auto"/>
              </w:rPr>
            </w:pPr>
          </w:p>
        </w:tc>
        <w:tc>
          <w:tcPr>
            <w:tcW w:w="580" w:type="dxa"/>
            <w:vAlign w:val="bottom"/>
            <w:shd w:val="clear" w:color="auto" w:fill="F2F2F2"/>
          </w:tcPr>
          <w:p>
            <w:pPr>
              <w:spacing w:after="0"/>
              <w:rPr>
                <w:sz w:val="21"/>
                <w:szCs w:val="21"/>
                <w:color w:val="auto"/>
              </w:rPr>
            </w:pPr>
          </w:p>
        </w:tc>
        <w:tc>
          <w:tcPr>
            <w:tcW w:w="680" w:type="dxa"/>
            <w:vAlign w:val="bottom"/>
            <w:shd w:val="clear" w:color="auto" w:fill="F2F2F2"/>
          </w:tcPr>
          <w:p>
            <w:pPr>
              <w:spacing w:after="0"/>
              <w:rPr>
                <w:sz w:val="21"/>
                <w:szCs w:val="21"/>
                <w:color w:val="auto"/>
              </w:rPr>
            </w:pPr>
          </w:p>
        </w:tc>
        <w:tc>
          <w:tcPr>
            <w:tcW w:w="560" w:type="dxa"/>
            <w:vAlign w:val="bottom"/>
            <w:shd w:val="clear" w:color="auto" w:fill="F2F2F2"/>
          </w:tcPr>
          <w:p>
            <w:pPr>
              <w:spacing w:after="0"/>
              <w:rPr>
                <w:sz w:val="21"/>
                <w:szCs w:val="21"/>
                <w:color w:val="auto"/>
              </w:rPr>
            </w:pPr>
          </w:p>
        </w:tc>
        <w:tc>
          <w:tcPr>
            <w:tcW w:w="440" w:type="dxa"/>
            <w:vAlign w:val="bottom"/>
            <w:shd w:val="clear" w:color="auto" w:fill="F2F2F2"/>
          </w:tcPr>
          <w:p>
            <w:pPr>
              <w:spacing w:after="0"/>
              <w:rPr>
                <w:sz w:val="21"/>
                <w:szCs w:val="21"/>
                <w:color w:val="auto"/>
              </w:rPr>
            </w:pPr>
          </w:p>
        </w:tc>
      </w:tr>
      <w:tr>
        <w:trPr>
          <w:trHeight w:val="64"/>
        </w:trPr>
        <w:tc>
          <w:tcPr>
            <w:tcW w:w="1280" w:type="dxa"/>
            <w:vAlign w:val="bottom"/>
            <w:shd w:val="clear" w:color="auto" w:fill="F2F2F2"/>
          </w:tcPr>
          <w:p>
            <w:pPr>
              <w:spacing w:after="0"/>
              <w:rPr>
                <w:sz w:val="5"/>
                <w:szCs w:val="5"/>
                <w:color w:val="auto"/>
              </w:rPr>
            </w:pPr>
          </w:p>
        </w:tc>
        <w:tc>
          <w:tcPr>
            <w:tcW w:w="1860" w:type="dxa"/>
            <w:vAlign w:val="bottom"/>
            <w:shd w:val="clear" w:color="auto" w:fill="F2F2F2"/>
          </w:tcPr>
          <w:p>
            <w:pPr>
              <w:spacing w:after="0"/>
              <w:rPr>
                <w:sz w:val="5"/>
                <w:szCs w:val="5"/>
                <w:color w:val="auto"/>
              </w:rPr>
            </w:pPr>
          </w:p>
        </w:tc>
        <w:tc>
          <w:tcPr>
            <w:tcW w:w="720" w:type="dxa"/>
            <w:vAlign w:val="bottom"/>
            <w:shd w:val="clear" w:color="auto" w:fill="F2F2F2"/>
          </w:tcPr>
          <w:p>
            <w:pPr>
              <w:spacing w:after="0"/>
              <w:rPr>
                <w:sz w:val="5"/>
                <w:szCs w:val="5"/>
                <w:color w:val="auto"/>
              </w:rPr>
            </w:pPr>
          </w:p>
        </w:tc>
        <w:tc>
          <w:tcPr>
            <w:tcW w:w="680" w:type="dxa"/>
            <w:vAlign w:val="bottom"/>
            <w:shd w:val="clear" w:color="auto" w:fill="F2F2F2"/>
          </w:tcPr>
          <w:p>
            <w:pPr>
              <w:spacing w:after="0"/>
              <w:rPr>
                <w:sz w:val="5"/>
                <w:szCs w:val="5"/>
                <w:color w:val="auto"/>
              </w:rPr>
            </w:pPr>
          </w:p>
        </w:tc>
        <w:tc>
          <w:tcPr>
            <w:tcW w:w="600" w:type="dxa"/>
            <w:vAlign w:val="bottom"/>
            <w:shd w:val="clear" w:color="auto" w:fill="F2F2F2"/>
          </w:tcPr>
          <w:p>
            <w:pPr>
              <w:spacing w:after="0"/>
              <w:rPr>
                <w:sz w:val="5"/>
                <w:szCs w:val="5"/>
                <w:color w:val="auto"/>
              </w:rPr>
            </w:pPr>
          </w:p>
        </w:tc>
        <w:tc>
          <w:tcPr>
            <w:tcW w:w="600" w:type="dxa"/>
            <w:vAlign w:val="bottom"/>
            <w:shd w:val="clear" w:color="auto" w:fill="F2F2F2"/>
          </w:tcPr>
          <w:p>
            <w:pPr>
              <w:spacing w:after="0"/>
              <w:rPr>
                <w:sz w:val="5"/>
                <w:szCs w:val="5"/>
                <w:color w:val="auto"/>
              </w:rPr>
            </w:pPr>
          </w:p>
        </w:tc>
        <w:tc>
          <w:tcPr>
            <w:tcW w:w="600" w:type="dxa"/>
            <w:vAlign w:val="bottom"/>
            <w:shd w:val="clear" w:color="auto" w:fill="F2F2F2"/>
          </w:tcPr>
          <w:p>
            <w:pPr>
              <w:spacing w:after="0"/>
              <w:rPr>
                <w:sz w:val="5"/>
                <w:szCs w:val="5"/>
                <w:color w:val="auto"/>
              </w:rPr>
            </w:pPr>
          </w:p>
        </w:tc>
        <w:tc>
          <w:tcPr>
            <w:tcW w:w="580" w:type="dxa"/>
            <w:vAlign w:val="bottom"/>
            <w:shd w:val="clear" w:color="auto" w:fill="F2F2F2"/>
          </w:tcPr>
          <w:p>
            <w:pPr>
              <w:spacing w:after="0"/>
              <w:rPr>
                <w:sz w:val="5"/>
                <w:szCs w:val="5"/>
                <w:color w:val="auto"/>
              </w:rPr>
            </w:pPr>
          </w:p>
        </w:tc>
        <w:tc>
          <w:tcPr>
            <w:tcW w:w="580" w:type="dxa"/>
            <w:vAlign w:val="bottom"/>
            <w:shd w:val="clear" w:color="auto" w:fill="F2F2F2"/>
          </w:tcPr>
          <w:p>
            <w:pPr>
              <w:spacing w:after="0"/>
              <w:rPr>
                <w:sz w:val="5"/>
                <w:szCs w:val="5"/>
                <w:color w:val="auto"/>
              </w:rPr>
            </w:pPr>
          </w:p>
        </w:tc>
        <w:tc>
          <w:tcPr>
            <w:tcW w:w="680" w:type="dxa"/>
            <w:vAlign w:val="bottom"/>
            <w:shd w:val="clear" w:color="auto" w:fill="F2F2F2"/>
          </w:tcPr>
          <w:p>
            <w:pPr>
              <w:spacing w:after="0"/>
              <w:rPr>
                <w:sz w:val="5"/>
                <w:szCs w:val="5"/>
                <w:color w:val="auto"/>
              </w:rPr>
            </w:pPr>
          </w:p>
        </w:tc>
        <w:tc>
          <w:tcPr>
            <w:tcW w:w="560" w:type="dxa"/>
            <w:vAlign w:val="bottom"/>
            <w:shd w:val="clear" w:color="auto" w:fill="F2F2F2"/>
          </w:tcPr>
          <w:p>
            <w:pPr>
              <w:spacing w:after="0"/>
              <w:rPr>
                <w:sz w:val="5"/>
                <w:szCs w:val="5"/>
                <w:color w:val="auto"/>
              </w:rPr>
            </w:pPr>
          </w:p>
        </w:tc>
        <w:tc>
          <w:tcPr>
            <w:tcW w:w="440" w:type="dxa"/>
            <w:vAlign w:val="bottom"/>
            <w:shd w:val="clear" w:color="auto" w:fill="F2F2F2"/>
          </w:tcPr>
          <w:p>
            <w:pPr>
              <w:spacing w:after="0"/>
              <w:rPr>
                <w:sz w:val="5"/>
                <w:szCs w:val="5"/>
                <w:color w:val="auto"/>
              </w:rPr>
            </w:pPr>
          </w:p>
        </w:tc>
      </w:tr>
      <w:tr>
        <w:trPr>
          <w:trHeight w:val="301"/>
        </w:trPr>
        <w:tc>
          <w:tcPr>
            <w:tcW w:w="3140" w:type="dxa"/>
            <w:vAlign w:val="bottom"/>
            <w:gridSpan w:val="2"/>
          </w:tcPr>
          <w:p>
            <w:pPr>
              <w:ind w:left="60"/>
              <w:spacing w:after="0"/>
              <w:rPr>
                <w:sz w:val="20"/>
                <w:szCs w:val="20"/>
                <w:color w:val="auto"/>
              </w:rPr>
            </w:pPr>
            <w:r>
              <w:rPr>
                <w:rFonts w:ascii="Arial" w:cs="Arial" w:eastAsia="Arial" w:hAnsi="Arial"/>
                <w:sz w:val="18"/>
                <w:szCs w:val="18"/>
                <w:color w:val="auto"/>
              </w:rPr>
              <w:t>Technology and Innovation expertise</w:t>
            </w:r>
          </w:p>
        </w:tc>
        <w:tc>
          <w:tcPr>
            <w:tcW w:w="72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1"/>
              </w:rPr>
              <w:t>■</w:t>
            </w:r>
          </w:p>
        </w:tc>
        <w:tc>
          <w:tcPr>
            <w:tcW w:w="60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1"/>
              </w:rPr>
              <w:t>■</w:t>
            </w:r>
          </w:p>
        </w:tc>
        <w:tc>
          <w:tcPr>
            <w:tcW w:w="600" w:type="dxa"/>
            <w:vAlign w:val="bottom"/>
          </w:tcPr>
          <w:p>
            <w:pPr>
              <w:jc w:val="center"/>
              <w:spacing w:after="0"/>
              <w:rPr>
                <w:sz w:val="20"/>
                <w:szCs w:val="20"/>
                <w:color w:val="auto"/>
              </w:rPr>
            </w:pPr>
            <w:r>
              <w:rPr>
                <w:rFonts w:ascii="Arial" w:cs="Arial" w:eastAsia="Arial" w:hAnsi="Arial"/>
                <w:sz w:val="18"/>
                <w:szCs w:val="18"/>
                <w:color w:val="auto"/>
                <w:w w:val="91"/>
              </w:rPr>
              <w:t>■</w:t>
            </w:r>
          </w:p>
        </w:tc>
        <w:tc>
          <w:tcPr>
            <w:tcW w:w="580" w:type="dxa"/>
            <w:vAlign w:val="bottom"/>
          </w:tcPr>
          <w:p>
            <w:pPr>
              <w:jc w:val="center"/>
              <w:spacing w:after="0"/>
              <w:rPr>
                <w:sz w:val="20"/>
                <w:szCs w:val="20"/>
                <w:color w:val="auto"/>
              </w:rPr>
            </w:pPr>
            <w:r>
              <w:rPr>
                <w:rFonts w:ascii="Arial" w:cs="Arial" w:eastAsia="Arial" w:hAnsi="Arial"/>
                <w:sz w:val="18"/>
                <w:szCs w:val="18"/>
                <w:color w:val="auto"/>
                <w:w w:val="91"/>
              </w:rPr>
              <w:t>■</w:t>
            </w:r>
          </w:p>
        </w:tc>
        <w:tc>
          <w:tcPr>
            <w:tcW w:w="580" w:type="dxa"/>
            <w:vAlign w:val="bottom"/>
          </w:tcPr>
          <w:p>
            <w:pPr>
              <w:jc w:val="center"/>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99"/>
              </w:rPr>
              <w:t>5</w:t>
            </w:r>
          </w:p>
        </w:tc>
      </w:tr>
      <w:tr>
        <w:trPr>
          <w:trHeight w:val="63"/>
        </w:trPr>
        <w:tc>
          <w:tcPr>
            <w:tcW w:w="1280" w:type="dxa"/>
            <w:vAlign w:val="bottom"/>
          </w:tcPr>
          <w:p>
            <w:pPr>
              <w:spacing w:after="0"/>
              <w:rPr>
                <w:sz w:val="5"/>
                <w:szCs w:val="5"/>
                <w:color w:val="auto"/>
              </w:rPr>
            </w:pPr>
          </w:p>
        </w:tc>
        <w:tc>
          <w:tcPr>
            <w:tcW w:w="18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40" w:type="dxa"/>
            <w:vAlign w:val="bottom"/>
          </w:tcPr>
          <w:p>
            <w:pPr>
              <w:spacing w:after="0"/>
              <w:rPr>
                <w:sz w:val="5"/>
                <w:szCs w:val="5"/>
                <w:color w:val="auto"/>
              </w:rPr>
            </w:pPr>
          </w:p>
        </w:tc>
      </w:tr>
      <w:tr>
        <w:trPr>
          <w:trHeight w:val="301"/>
        </w:trPr>
        <w:tc>
          <w:tcPr>
            <w:tcW w:w="3140" w:type="dxa"/>
            <w:vAlign w:val="bottom"/>
            <w:gridSpan w:val="2"/>
            <w:shd w:val="clear" w:color="auto" w:fill="F2F2F2"/>
          </w:tcPr>
          <w:p>
            <w:pPr>
              <w:ind w:left="60"/>
              <w:spacing w:after="0"/>
              <w:rPr>
                <w:sz w:val="20"/>
                <w:szCs w:val="20"/>
                <w:color w:val="auto"/>
              </w:rPr>
            </w:pPr>
            <w:r>
              <w:rPr>
                <w:rFonts w:ascii="Arial" w:cs="Arial" w:eastAsia="Arial" w:hAnsi="Arial"/>
                <w:sz w:val="18"/>
                <w:szCs w:val="18"/>
                <w:color w:val="auto"/>
              </w:rPr>
              <w:t>Marketing/sales expertise</w:t>
            </w:r>
          </w:p>
        </w:tc>
        <w:tc>
          <w:tcPr>
            <w:tcW w:w="720" w:type="dxa"/>
            <w:vAlign w:val="bottom"/>
            <w:shd w:val="clear" w:color="auto" w:fill="F2F2F2"/>
          </w:tcPr>
          <w:p>
            <w:pPr>
              <w:spacing w:after="0"/>
              <w:rPr>
                <w:sz w:val="24"/>
                <w:szCs w:val="24"/>
                <w:color w:val="auto"/>
              </w:rPr>
            </w:pPr>
          </w:p>
        </w:tc>
        <w:tc>
          <w:tcPr>
            <w:tcW w:w="68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1"/>
              </w:rPr>
              <w:t>■</w:t>
            </w:r>
          </w:p>
        </w:tc>
        <w:tc>
          <w:tcPr>
            <w:tcW w:w="60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1"/>
              </w:rPr>
              <w:t>■</w:t>
            </w:r>
          </w:p>
        </w:tc>
        <w:tc>
          <w:tcPr>
            <w:tcW w:w="600" w:type="dxa"/>
            <w:vAlign w:val="bottom"/>
            <w:shd w:val="clear" w:color="auto" w:fill="F2F2F2"/>
          </w:tcPr>
          <w:p>
            <w:pPr>
              <w:spacing w:after="0"/>
              <w:rPr>
                <w:sz w:val="24"/>
                <w:szCs w:val="24"/>
                <w:color w:val="auto"/>
              </w:rPr>
            </w:pPr>
          </w:p>
        </w:tc>
        <w:tc>
          <w:tcPr>
            <w:tcW w:w="60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1"/>
              </w:rPr>
              <w:t>■</w:t>
            </w:r>
          </w:p>
        </w:tc>
        <w:tc>
          <w:tcPr>
            <w:tcW w:w="58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1"/>
              </w:rPr>
              <w:t>■</w:t>
            </w:r>
          </w:p>
        </w:tc>
        <w:tc>
          <w:tcPr>
            <w:tcW w:w="580" w:type="dxa"/>
            <w:vAlign w:val="bottom"/>
            <w:shd w:val="clear" w:color="auto" w:fill="F2F2F2"/>
          </w:tcPr>
          <w:p>
            <w:pPr>
              <w:jc w:val="center"/>
              <w:spacing w:after="0"/>
              <w:rPr>
                <w:sz w:val="20"/>
                <w:szCs w:val="20"/>
                <w:color w:val="auto"/>
              </w:rPr>
            </w:pPr>
            <w:r>
              <w:rPr>
                <w:rFonts w:ascii="Arial" w:cs="Arial" w:eastAsia="Arial" w:hAnsi="Arial"/>
                <w:sz w:val="18"/>
                <w:szCs w:val="18"/>
                <w:color w:val="auto"/>
              </w:rPr>
              <w:t>■</w:t>
            </w:r>
          </w:p>
        </w:tc>
        <w:tc>
          <w:tcPr>
            <w:tcW w:w="680" w:type="dxa"/>
            <w:vAlign w:val="bottom"/>
            <w:shd w:val="clear" w:color="auto" w:fill="F2F2F2"/>
          </w:tcPr>
          <w:p>
            <w:pPr>
              <w:spacing w:after="0"/>
              <w:rPr>
                <w:sz w:val="24"/>
                <w:szCs w:val="24"/>
                <w:color w:val="auto"/>
              </w:rPr>
            </w:pPr>
          </w:p>
        </w:tc>
        <w:tc>
          <w:tcPr>
            <w:tcW w:w="560" w:type="dxa"/>
            <w:vAlign w:val="bottom"/>
            <w:shd w:val="clear" w:color="auto" w:fill="F2F2F2"/>
          </w:tcPr>
          <w:p>
            <w:pPr>
              <w:jc w:val="center"/>
              <w:spacing w:after="0"/>
              <w:rPr>
                <w:sz w:val="20"/>
                <w:szCs w:val="20"/>
                <w:color w:val="auto"/>
              </w:rPr>
            </w:pPr>
            <w:r>
              <w:rPr>
                <w:rFonts w:ascii="Arial" w:cs="Arial" w:eastAsia="Arial" w:hAnsi="Arial"/>
                <w:sz w:val="18"/>
                <w:szCs w:val="18"/>
                <w:color w:val="auto"/>
              </w:rPr>
              <w:t>■</w:t>
            </w:r>
          </w:p>
        </w:tc>
        <w:tc>
          <w:tcPr>
            <w:tcW w:w="44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9"/>
              </w:rPr>
              <w:t>6</w:t>
            </w:r>
          </w:p>
        </w:tc>
      </w:tr>
      <w:tr>
        <w:trPr>
          <w:trHeight w:val="64"/>
        </w:trPr>
        <w:tc>
          <w:tcPr>
            <w:tcW w:w="1280" w:type="dxa"/>
            <w:vAlign w:val="bottom"/>
            <w:shd w:val="clear" w:color="auto" w:fill="F2F2F2"/>
          </w:tcPr>
          <w:p>
            <w:pPr>
              <w:spacing w:after="0"/>
              <w:rPr>
                <w:sz w:val="5"/>
                <w:szCs w:val="5"/>
                <w:color w:val="auto"/>
              </w:rPr>
            </w:pPr>
          </w:p>
        </w:tc>
        <w:tc>
          <w:tcPr>
            <w:tcW w:w="1860" w:type="dxa"/>
            <w:vAlign w:val="bottom"/>
            <w:shd w:val="clear" w:color="auto" w:fill="F2F2F2"/>
          </w:tcPr>
          <w:p>
            <w:pPr>
              <w:spacing w:after="0"/>
              <w:rPr>
                <w:sz w:val="5"/>
                <w:szCs w:val="5"/>
                <w:color w:val="auto"/>
              </w:rPr>
            </w:pPr>
          </w:p>
        </w:tc>
        <w:tc>
          <w:tcPr>
            <w:tcW w:w="720" w:type="dxa"/>
            <w:vAlign w:val="bottom"/>
            <w:shd w:val="clear" w:color="auto" w:fill="F2F2F2"/>
          </w:tcPr>
          <w:p>
            <w:pPr>
              <w:spacing w:after="0"/>
              <w:rPr>
                <w:sz w:val="5"/>
                <w:szCs w:val="5"/>
                <w:color w:val="auto"/>
              </w:rPr>
            </w:pPr>
          </w:p>
        </w:tc>
        <w:tc>
          <w:tcPr>
            <w:tcW w:w="680" w:type="dxa"/>
            <w:vAlign w:val="bottom"/>
            <w:shd w:val="clear" w:color="auto" w:fill="F2F2F2"/>
          </w:tcPr>
          <w:p>
            <w:pPr>
              <w:spacing w:after="0"/>
              <w:rPr>
                <w:sz w:val="5"/>
                <w:szCs w:val="5"/>
                <w:color w:val="auto"/>
              </w:rPr>
            </w:pPr>
          </w:p>
        </w:tc>
        <w:tc>
          <w:tcPr>
            <w:tcW w:w="600" w:type="dxa"/>
            <w:vAlign w:val="bottom"/>
            <w:shd w:val="clear" w:color="auto" w:fill="F2F2F2"/>
          </w:tcPr>
          <w:p>
            <w:pPr>
              <w:spacing w:after="0"/>
              <w:rPr>
                <w:sz w:val="5"/>
                <w:szCs w:val="5"/>
                <w:color w:val="auto"/>
              </w:rPr>
            </w:pPr>
          </w:p>
        </w:tc>
        <w:tc>
          <w:tcPr>
            <w:tcW w:w="600" w:type="dxa"/>
            <w:vAlign w:val="bottom"/>
            <w:shd w:val="clear" w:color="auto" w:fill="F2F2F2"/>
          </w:tcPr>
          <w:p>
            <w:pPr>
              <w:spacing w:after="0"/>
              <w:rPr>
                <w:sz w:val="5"/>
                <w:szCs w:val="5"/>
                <w:color w:val="auto"/>
              </w:rPr>
            </w:pPr>
          </w:p>
        </w:tc>
        <w:tc>
          <w:tcPr>
            <w:tcW w:w="600" w:type="dxa"/>
            <w:vAlign w:val="bottom"/>
            <w:shd w:val="clear" w:color="auto" w:fill="F2F2F2"/>
          </w:tcPr>
          <w:p>
            <w:pPr>
              <w:spacing w:after="0"/>
              <w:rPr>
                <w:sz w:val="5"/>
                <w:szCs w:val="5"/>
                <w:color w:val="auto"/>
              </w:rPr>
            </w:pPr>
          </w:p>
        </w:tc>
        <w:tc>
          <w:tcPr>
            <w:tcW w:w="580" w:type="dxa"/>
            <w:vAlign w:val="bottom"/>
            <w:shd w:val="clear" w:color="auto" w:fill="F2F2F2"/>
          </w:tcPr>
          <w:p>
            <w:pPr>
              <w:spacing w:after="0"/>
              <w:rPr>
                <w:sz w:val="5"/>
                <w:szCs w:val="5"/>
                <w:color w:val="auto"/>
              </w:rPr>
            </w:pPr>
          </w:p>
        </w:tc>
        <w:tc>
          <w:tcPr>
            <w:tcW w:w="580" w:type="dxa"/>
            <w:vAlign w:val="bottom"/>
            <w:shd w:val="clear" w:color="auto" w:fill="F2F2F2"/>
          </w:tcPr>
          <w:p>
            <w:pPr>
              <w:spacing w:after="0"/>
              <w:rPr>
                <w:sz w:val="5"/>
                <w:szCs w:val="5"/>
                <w:color w:val="auto"/>
              </w:rPr>
            </w:pPr>
          </w:p>
        </w:tc>
        <w:tc>
          <w:tcPr>
            <w:tcW w:w="680" w:type="dxa"/>
            <w:vAlign w:val="bottom"/>
            <w:shd w:val="clear" w:color="auto" w:fill="F2F2F2"/>
          </w:tcPr>
          <w:p>
            <w:pPr>
              <w:spacing w:after="0"/>
              <w:rPr>
                <w:sz w:val="5"/>
                <w:szCs w:val="5"/>
                <w:color w:val="auto"/>
              </w:rPr>
            </w:pPr>
          </w:p>
        </w:tc>
        <w:tc>
          <w:tcPr>
            <w:tcW w:w="560" w:type="dxa"/>
            <w:vAlign w:val="bottom"/>
            <w:shd w:val="clear" w:color="auto" w:fill="F2F2F2"/>
          </w:tcPr>
          <w:p>
            <w:pPr>
              <w:spacing w:after="0"/>
              <w:rPr>
                <w:sz w:val="5"/>
                <w:szCs w:val="5"/>
                <w:color w:val="auto"/>
              </w:rPr>
            </w:pPr>
          </w:p>
        </w:tc>
        <w:tc>
          <w:tcPr>
            <w:tcW w:w="440" w:type="dxa"/>
            <w:vAlign w:val="bottom"/>
            <w:shd w:val="clear" w:color="auto" w:fill="F2F2F2"/>
          </w:tcPr>
          <w:p>
            <w:pPr>
              <w:spacing w:after="0"/>
              <w:rPr>
                <w:sz w:val="5"/>
                <w:szCs w:val="5"/>
                <w:color w:val="auto"/>
              </w:rPr>
            </w:pPr>
          </w:p>
        </w:tc>
      </w:tr>
      <w:tr>
        <w:trPr>
          <w:trHeight w:val="301"/>
        </w:trPr>
        <w:tc>
          <w:tcPr>
            <w:tcW w:w="3140" w:type="dxa"/>
            <w:vAlign w:val="bottom"/>
            <w:gridSpan w:val="2"/>
          </w:tcPr>
          <w:p>
            <w:pPr>
              <w:ind w:left="60"/>
              <w:spacing w:after="0"/>
              <w:rPr>
                <w:sz w:val="20"/>
                <w:szCs w:val="20"/>
                <w:color w:val="auto"/>
              </w:rPr>
            </w:pPr>
            <w:r>
              <w:rPr>
                <w:rFonts w:ascii="Arial" w:cs="Arial" w:eastAsia="Arial" w:hAnsi="Arial"/>
                <w:sz w:val="18"/>
                <w:szCs w:val="18"/>
                <w:color w:val="auto"/>
              </w:rPr>
              <w:t>Hardware/software services expertise</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1"/>
              </w:rPr>
              <w:t>■</w:t>
            </w:r>
          </w:p>
        </w:tc>
        <w:tc>
          <w:tcPr>
            <w:tcW w:w="600" w:type="dxa"/>
            <w:vAlign w:val="bottom"/>
          </w:tcPr>
          <w:p>
            <w:pPr>
              <w:jc w:val="center"/>
              <w:spacing w:after="0"/>
              <w:rPr>
                <w:sz w:val="20"/>
                <w:szCs w:val="20"/>
                <w:color w:val="auto"/>
              </w:rPr>
            </w:pPr>
            <w:r>
              <w:rPr>
                <w:rFonts w:ascii="Arial" w:cs="Arial" w:eastAsia="Arial" w:hAnsi="Arial"/>
                <w:sz w:val="18"/>
                <w:szCs w:val="18"/>
                <w:color w:val="auto"/>
                <w:w w:val="91"/>
              </w:rPr>
              <w:t>■</w:t>
            </w:r>
          </w:p>
        </w:tc>
        <w:tc>
          <w:tcPr>
            <w:tcW w:w="580" w:type="dxa"/>
            <w:vAlign w:val="bottom"/>
          </w:tcPr>
          <w:p>
            <w:pPr>
              <w:jc w:val="center"/>
              <w:spacing w:after="0"/>
              <w:rPr>
                <w:sz w:val="20"/>
                <w:szCs w:val="20"/>
                <w:color w:val="auto"/>
              </w:rPr>
            </w:pPr>
            <w:r>
              <w:rPr>
                <w:rFonts w:ascii="Arial" w:cs="Arial" w:eastAsia="Arial" w:hAnsi="Arial"/>
                <w:sz w:val="18"/>
                <w:szCs w:val="18"/>
                <w:color w:val="auto"/>
                <w:w w:val="91"/>
              </w:rPr>
              <w:t>■</w:t>
            </w: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rPr>
              <w:t>■</w:t>
            </w:r>
          </w:p>
        </w:tc>
        <w:tc>
          <w:tcPr>
            <w:tcW w:w="440" w:type="dxa"/>
            <w:vAlign w:val="bottom"/>
          </w:tcPr>
          <w:p>
            <w:pPr>
              <w:jc w:val="center"/>
              <w:spacing w:after="0"/>
              <w:rPr>
                <w:sz w:val="20"/>
                <w:szCs w:val="20"/>
                <w:color w:val="auto"/>
              </w:rPr>
            </w:pPr>
            <w:r>
              <w:rPr>
                <w:rFonts w:ascii="Arial" w:cs="Arial" w:eastAsia="Arial" w:hAnsi="Arial"/>
                <w:sz w:val="18"/>
                <w:szCs w:val="18"/>
                <w:color w:val="auto"/>
                <w:w w:val="99"/>
              </w:rPr>
              <w:t>4</w:t>
            </w:r>
          </w:p>
        </w:tc>
      </w:tr>
      <w:tr>
        <w:trPr>
          <w:trHeight w:val="64"/>
        </w:trPr>
        <w:tc>
          <w:tcPr>
            <w:tcW w:w="1280" w:type="dxa"/>
            <w:vAlign w:val="bottom"/>
          </w:tcPr>
          <w:p>
            <w:pPr>
              <w:spacing w:after="0"/>
              <w:rPr>
                <w:sz w:val="5"/>
                <w:szCs w:val="5"/>
                <w:color w:val="auto"/>
              </w:rPr>
            </w:pPr>
          </w:p>
        </w:tc>
        <w:tc>
          <w:tcPr>
            <w:tcW w:w="18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40" w:type="dxa"/>
            <w:vAlign w:val="bottom"/>
          </w:tcPr>
          <w:p>
            <w:pPr>
              <w:spacing w:after="0"/>
              <w:rPr>
                <w:sz w:val="5"/>
                <w:szCs w:val="5"/>
                <w:color w:val="auto"/>
              </w:rPr>
            </w:pPr>
          </w:p>
        </w:tc>
      </w:tr>
      <w:tr>
        <w:trPr>
          <w:trHeight w:val="301"/>
        </w:trPr>
        <w:tc>
          <w:tcPr>
            <w:tcW w:w="3140" w:type="dxa"/>
            <w:vAlign w:val="bottom"/>
            <w:gridSpan w:val="2"/>
            <w:shd w:val="clear" w:color="auto" w:fill="F2F2F2"/>
          </w:tcPr>
          <w:p>
            <w:pPr>
              <w:ind w:left="60"/>
              <w:spacing w:after="0"/>
              <w:rPr>
                <w:sz w:val="20"/>
                <w:szCs w:val="20"/>
                <w:color w:val="auto"/>
              </w:rPr>
            </w:pPr>
            <w:r>
              <w:rPr>
                <w:rFonts w:ascii="Arial" w:cs="Arial" w:eastAsia="Arial" w:hAnsi="Arial"/>
                <w:sz w:val="18"/>
                <w:szCs w:val="18"/>
                <w:color w:val="auto"/>
              </w:rPr>
              <w:t>Government expertise</w:t>
            </w:r>
          </w:p>
        </w:tc>
        <w:tc>
          <w:tcPr>
            <w:tcW w:w="720" w:type="dxa"/>
            <w:vAlign w:val="bottom"/>
            <w:shd w:val="clear" w:color="auto" w:fill="F2F2F2"/>
          </w:tcPr>
          <w:p>
            <w:pPr>
              <w:spacing w:after="0"/>
              <w:rPr>
                <w:sz w:val="24"/>
                <w:szCs w:val="24"/>
                <w:color w:val="auto"/>
              </w:rPr>
            </w:pPr>
          </w:p>
        </w:tc>
        <w:tc>
          <w:tcPr>
            <w:tcW w:w="680" w:type="dxa"/>
            <w:vAlign w:val="bottom"/>
            <w:shd w:val="clear" w:color="auto" w:fill="F2F2F2"/>
          </w:tcPr>
          <w:p>
            <w:pPr>
              <w:spacing w:after="0"/>
              <w:rPr>
                <w:sz w:val="24"/>
                <w:szCs w:val="24"/>
                <w:color w:val="auto"/>
              </w:rPr>
            </w:pPr>
          </w:p>
        </w:tc>
        <w:tc>
          <w:tcPr>
            <w:tcW w:w="600" w:type="dxa"/>
            <w:vAlign w:val="bottom"/>
            <w:shd w:val="clear" w:color="auto" w:fill="F2F2F2"/>
          </w:tcPr>
          <w:p>
            <w:pPr>
              <w:spacing w:after="0"/>
              <w:rPr>
                <w:sz w:val="24"/>
                <w:szCs w:val="24"/>
                <w:color w:val="auto"/>
              </w:rPr>
            </w:pPr>
          </w:p>
        </w:tc>
        <w:tc>
          <w:tcPr>
            <w:tcW w:w="600" w:type="dxa"/>
            <w:vAlign w:val="bottom"/>
            <w:shd w:val="clear" w:color="auto" w:fill="F2F2F2"/>
          </w:tcPr>
          <w:p>
            <w:pPr>
              <w:spacing w:after="0"/>
              <w:rPr>
                <w:sz w:val="24"/>
                <w:szCs w:val="24"/>
                <w:color w:val="auto"/>
              </w:rPr>
            </w:pPr>
          </w:p>
        </w:tc>
        <w:tc>
          <w:tcPr>
            <w:tcW w:w="600" w:type="dxa"/>
            <w:vAlign w:val="bottom"/>
            <w:shd w:val="clear" w:color="auto" w:fill="F2F2F2"/>
          </w:tcPr>
          <w:p>
            <w:pPr>
              <w:spacing w:after="0"/>
              <w:rPr>
                <w:sz w:val="24"/>
                <w:szCs w:val="24"/>
                <w:color w:val="auto"/>
              </w:rPr>
            </w:pPr>
          </w:p>
        </w:tc>
        <w:tc>
          <w:tcPr>
            <w:tcW w:w="58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1"/>
              </w:rPr>
              <w:t>■</w:t>
            </w:r>
          </w:p>
        </w:tc>
        <w:tc>
          <w:tcPr>
            <w:tcW w:w="580" w:type="dxa"/>
            <w:vAlign w:val="bottom"/>
            <w:shd w:val="clear" w:color="auto" w:fill="F2F2F2"/>
          </w:tcPr>
          <w:p>
            <w:pPr>
              <w:spacing w:after="0"/>
              <w:rPr>
                <w:sz w:val="24"/>
                <w:szCs w:val="24"/>
                <w:color w:val="auto"/>
              </w:rPr>
            </w:pPr>
          </w:p>
        </w:tc>
        <w:tc>
          <w:tcPr>
            <w:tcW w:w="680" w:type="dxa"/>
            <w:vAlign w:val="bottom"/>
            <w:shd w:val="clear" w:color="auto" w:fill="F2F2F2"/>
          </w:tcPr>
          <w:p>
            <w:pPr>
              <w:spacing w:after="0"/>
              <w:rPr>
                <w:sz w:val="24"/>
                <w:szCs w:val="24"/>
                <w:color w:val="auto"/>
              </w:rPr>
            </w:pPr>
          </w:p>
        </w:tc>
        <w:tc>
          <w:tcPr>
            <w:tcW w:w="560" w:type="dxa"/>
            <w:vAlign w:val="bottom"/>
            <w:shd w:val="clear" w:color="auto" w:fill="F2F2F2"/>
          </w:tcPr>
          <w:p>
            <w:pPr>
              <w:jc w:val="center"/>
              <w:spacing w:after="0"/>
              <w:rPr>
                <w:sz w:val="20"/>
                <w:szCs w:val="20"/>
                <w:color w:val="auto"/>
              </w:rPr>
            </w:pPr>
            <w:r>
              <w:rPr>
                <w:rFonts w:ascii="Arial" w:cs="Arial" w:eastAsia="Arial" w:hAnsi="Arial"/>
                <w:sz w:val="18"/>
                <w:szCs w:val="18"/>
                <w:color w:val="auto"/>
              </w:rPr>
              <w:t>■</w:t>
            </w:r>
          </w:p>
        </w:tc>
        <w:tc>
          <w:tcPr>
            <w:tcW w:w="44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9"/>
              </w:rPr>
              <w:t>2</w:t>
            </w:r>
          </w:p>
        </w:tc>
      </w:tr>
      <w:tr>
        <w:trPr>
          <w:trHeight w:val="63"/>
        </w:trPr>
        <w:tc>
          <w:tcPr>
            <w:tcW w:w="1280" w:type="dxa"/>
            <w:vAlign w:val="bottom"/>
            <w:shd w:val="clear" w:color="auto" w:fill="F2F2F2"/>
          </w:tcPr>
          <w:p>
            <w:pPr>
              <w:spacing w:after="0"/>
              <w:rPr>
                <w:sz w:val="5"/>
                <w:szCs w:val="5"/>
                <w:color w:val="auto"/>
              </w:rPr>
            </w:pPr>
          </w:p>
        </w:tc>
        <w:tc>
          <w:tcPr>
            <w:tcW w:w="1860" w:type="dxa"/>
            <w:vAlign w:val="bottom"/>
            <w:shd w:val="clear" w:color="auto" w:fill="F2F2F2"/>
          </w:tcPr>
          <w:p>
            <w:pPr>
              <w:spacing w:after="0"/>
              <w:rPr>
                <w:sz w:val="5"/>
                <w:szCs w:val="5"/>
                <w:color w:val="auto"/>
              </w:rPr>
            </w:pPr>
          </w:p>
        </w:tc>
        <w:tc>
          <w:tcPr>
            <w:tcW w:w="720" w:type="dxa"/>
            <w:vAlign w:val="bottom"/>
            <w:shd w:val="clear" w:color="auto" w:fill="F2F2F2"/>
          </w:tcPr>
          <w:p>
            <w:pPr>
              <w:spacing w:after="0"/>
              <w:rPr>
                <w:sz w:val="5"/>
                <w:szCs w:val="5"/>
                <w:color w:val="auto"/>
              </w:rPr>
            </w:pPr>
          </w:p>
        </w:tc>
        <w:tc>
          <w:tcPr>
            <w:tcW w:w="680" w:type="dxa"/>
            <w:vAlign w:val="bottom"/>
            <w:shd w:val="clear" w:color="auto" w:fill="F2F2F2"/>
          </w:tcPr>
          <w:p>
            <w:pPr>
              <w:spacing w:after="0"/>
              <w:rPr>
                <w:sz w:val="5"/>
                <w:szCs w:val="5"/>
                <w:color w:val="auto"/>
              </w:rPr>
            </w:pPr>
          </w:p>
        </w:tc>
        <w:tc>
          <w:tcPr>
            <w:tcW w:w="600" w:type="dxa"/>
            <w:vAlign w:val="bottom"/>
            <w:shd w:val="clear" w:color="auto" w:fill="F2F2F2"/>
          </w:tcPr>
          <w:p>
            <w:pPr>
              <w:spacing w:after="0"/>
              <w:rPr>
                <w:sz w:val="5"/>
                <w:szCs w:val="5"/>
                <w:color w:val="auto"/>
              </w:rPr>
            </w:pPr>
          </w:p>
        </w:tc>
        <w:tc>
          <w:tcPr>
            <w:tcW w:w="600" w:type="dxa"/>
            <w:vAlign w:val="bottom"/>
            <w:shd w:val="clear" w:color="auto" w:fill="F2F2F2"/>
          </w:tcPr>
          <w:p>
            <w:pPr>
              <w:spacing w:after="0"/>
              <w:rPr>
                <w:sz w:val="5"/>
                <w:szCs w:val="5"/>
                <w:color w:val="auto"/>
              </w:rPr>
            </w:pPr>
          </w:p>
        </w:tc>
        <w:tc>
          <w:tcPr>
            <w:tcW w:w="600" w:type="dxa"/>
            <w:vAlign w:val="bottom"/>
            <w:shd w:val="clear" w:color="auto" w:fill="F2F2F2"/>
          </w:tcPr>
          <w:p>
            <w:pPr>
              <w:spacing w:after="0"/>
              <w:rPr>
                <w:sz w:val="5"/>
                <w:szCs w:val="5"/>
                <w:color w:val="auto"/>
              </w:rPr>
            </w:pPr>
          </w:p>
        </w:tc>
        <w:tc>
          <w:tcPr>
            <w:tcW w:w="580" w:type="dxa"/>
            <w:vAlign w:val="bottom"/>
            <w:shd w:val="clear" w:color="auto" w:fill="F2F2F2"/>
          </w:tcPr>
          <w:p>
            <w:pPr>
              <w:spacing w:after="0"/>
              <w:rPr>
                <w:sz w:val="5"/>
                <w:szCs w:val="5"/>
                <w:color w:val="auto"/>
              </w:rPr>
            </w:pPr>
          </w:p>
        </w:tc>
        <w:tc>
          <w:tcPr>
            <w:tcW w:w="580" w:type="dxa"/>
            <w:vAlign w:val="bottom"/>
            <w:shd w:val="clear" w:color="auto" w:fill="F2F2F2"/>
          </w:tcPr>
          <w:p>
            <w:pPr>
              <w:spacing w:after="0"/>
              <w:rPr>
                <w:sz w:val="5"/>
                <w:szCs w:val="5"/>
                <w:color w:val="auto"/>
              </w:rPr>
            </w:pPr>
          </w:p>
        </w:tc>
        <w:tc>
          <w:tcPr>
            <w:tcW w:w="680" w:type="dxa"/>
            <w:vAlign w:val="bottom"/>
            <w:shd w:val="clear" w:color="auto" w:fill="F2F2F2"/>
          </w:tcPr>
          <w:p>
            <w:pPr>
              <w:spacing w:after="0"/>
              <w:rPr>
                <w:sz w:val="5"/>
                <w:szCs w:val="5"/>
                <w:color w:val="auto"/>
              </w:rPr>
            </w:pPr>
          </w:p>
        </w:tc>
        <w:tc>
          <w:tcPr>
            <w:tcW w:w="560" w:type="dxa"/>
            <w:vAlign w:val="bottom"/>
            <w:shd w:val="clear" w:color="auto" w:fill="F2F2F2"/>
          </w:tcPr>
          <w:p>
            <w:pPr>
              <w:spacing w:after="0"/>
              <w:rPr>
                <w:sz w:val="5"/>
                <w:szCs w:val="5"/>
                <w:color w:val="auto"/>
              </w:rPr>
            </w:pPr>
          </w:p>
        </w:tc>
        <w:tc>
          <w:tcPr>
            <w:tcW w:w="440" w:type="dxa"/>
            <w:vAlign w:val="bottom"/>
            <w:shd w:val="clear" w:color="auto" w:fill="F2F2F2"/>
          </w:tcPr>
          <w:p>
            <w:pPr>
              <w:spacing w:after="0"/>
              <w:rPr>
                <w:sz w:val="5"/>
                <w:szCs w:val="5"/>
                <w:color w:val="auto"/>
              </w:rPr>
            </w:pPr>
          </w:p>
        </w:tc>
      </w:tr>
      <w:tr>
        <w:trPr>
          <w:trHeight w:val="261"/>
        </w:trPr>
        <w:tc>
          <w:tcPr>
            <w:tcW w:w="3140" w:type="dxa"/>
            <w:vAlign w:val="bottom"/>
            <w:gridSpan w:val="2"/>
          </w:tcPr>
          <w:p>
            <w:pPr>
              <w:ind w:left="60"/>
              <w:spacing w:after="0"/>
              <w:rPr>
                <w:sz w:val="20"/>
                <w:szCs w:val="20"/>
                <w:color w:val="auto"/>
              </w:rPr>
            </w:pPr>
            <w:r>
              <w:rPr>
                <w:rFonts w:ascii="Arial" w:cs="Arial" w:eastAsia="Arial" w:hAnsi="Arial"/>
                <w:sz w:val="18"/>
                <w:szCs w:val="18"/>
                <w:color w:val="auto"/>
              </w:rPr>
              <w:t>Compensation, Benefits and Talent</w:t>
            </w:r>
          </w:p>
        </w:tc>
        <w:tc>
          <w:tcPr>
            <w:tcW w:w="720" w:type="dxa"/>
            <w:vAlign w:val="bottom"/>
          </w:tcPr>
          <w:p>
            <w:pPr>
              <w:jc w:val="center"/>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2"/>
                <w:szCs w:val="22"/>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1"/>
              </w:rPr>
              <w:t>■</w:t>
            </w:r>
          </w:p>
        </w:tc>
        <w:tc>
          <w:tcPr>
            <w:tcW w:w="600" w:type="dxa"/>
            <w:vAlign w:val="bottom"/>
          </w:tcPr>
          <w:p>
            <w:pPr>
              <w:jc w:val="center"/>
              <w:spacing w:after="0"/>
              <w:rPr>
                <w:sz w:val="20"/>
                <w:szCs w:val="20"/>
                <w:color w:val="auto"/>
              </w:rPr>
            </w:pPr>
            <w:r>
              <w:rPr>
                <w:rFonts w:ascii="Arial" w:cs="Arial" w:eastAsia="Arial" w:hAnsi="Arial"/>
                <w:sz w:val="18"/>
                <w:szCs w:val="18"/>
                <w:color w:val="auto"/>
                <w:w w:val="91"/>
              </w:rPr>
              <w:t>■</w:t>
            </w:r>
          </w:p>
        </w:tc>
        <w:tc>
          <w:tcPr>
            <w:tcW w:w="600" w:type="dxa"/>
            <w:vAlign w:val="bottom"/>
          </w:tcPr>
          <w:p>
            <w:pPr>
              <w:jc w:val="center"/>
              <w:spacing w:after="0"/>
              <w:rPr>
                <w:sz w:val="20"/>
                <w:szCs w:val="20"/>
                <w:color w:val="auto"/>
              </w:rPr>
            </w:pPr>
            <w:r>
              <w:rPr>
                <w:rFonts w:ascii="Arial" w:cs="Arial" w:eastAsia="Arial" w:hAnsi="Arial"/>
                <w:sz w:val="18"/>
                <w:szCs w:val="18"/>
                <w:color w:val="auto"/>
                <w:w w:val="91"/>
              </w:rPr>
              <w:t>■</w:t>
            </w:r>
          </w:p>
        </w:tc>
        <w:tc>
          <w:tcPr>
            <w:tcW w:w="580" w:type="dxa"/>
            <w:vAlign w:val="bottom"/>
          </w:tcPr>
          <w:p>
            <w:pPr>
              <w:jc w:val="center"/>
              <w:spacing w:after="0"/>
              <w:rPr>
                <w:sz w:val="20"/>
                <w:szCs w:val="20"/>
                <w:color w:val="auto"/>
              </w:rPr>
            </w:pPr>
            <w:r>
              <w:rPr>
                <w:rFonts w:ascii="Arial" w:cs="Arial" w:eastAsia="Arial" w:hAnsi="Arial"/>
                <w:sz w:val="18"/>
                <w:szCs w:val="18"/>
                <w:color w:val="auto"/>
                <w:w w:val="91"/>
              </w:rPr>
              <w:t>■</w:t>
            </w:r>
          </w:p>
        </w:tc>
        <w:tc>
          <w:tcPr>
            <w:tcW w:w="58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rPr>
              <w:t>■</w:t>
            </w:r>
          </w:p>
        </w:tc>
        <w:tc>
          <w:tcPr>
            <w:tcW w:w="560" w:type="dxa"/>
            <w:vAlign w:val="bottom"/>
          </w:tcPr>
          <w:p>
            <w:pPr>
              <w:jc w:val="center"/>
              <w:spacing w:after="0"/>
              <w:rPr>
                <w:sz w:val="20"/>
                <w:szCs w:val="20"/>
                <w:color w:val="auto"/>
              </w:rPr>
            </w:pPr>
            <w:r>
              <w:rPr>
                <w:rFonts w:ascii="Arial" w:cs="Arial" w:eastAsia="Arial" w:hAnsi="Arial"/>
                <w:sz w:val="18"/>
                <w:szCs w:val="18"/>
                <w:color w:val="auto"/>
              </w:rPr>
              <w:t>■</w:t>
            </w:r>
          </w:p>
        </w:tc>
        <w:tc>
          <w:tcPr>
            <w:tcW w:w="440" w:type="dxa"/>
            <w:vAlign w:val="bottom"/>
          </w:tcPr>
          <w:p>
            <w:pPr>
              <w:jc w:val="center"/>
              <w:spacing w:after="0"/>
              <w:rPr>
                <w:sz w:val="20"/>
                <w:szCs w:val="20"/>
                <w:color w:val="auto"/>
              </w:rPr>
            </w:pPr>
            <w:r>
              <w:rPr>
                <w:rFonts w:ascii="Arial" w:cs="Arial" w:eastAsia="Arial" w:hAnsi="Arial"/>
                <w:sz w:val="18"/>
                <w:szCs w:val="18"/>
                <w:color w:val="auto"/>
                <w:w w:val="99"/>
              </w:rPr>
              <w:t>7</w:t>
            </w:r>
          </w:p>
        </w:tc>
      </w:tr>
      <w:tr>
        <w:trPr>
          <w:trHeight w:val="243"/>
        </w:trPr>
        <w:tc>
          <w:tcPr>
            <w:tcW w:w="3140" w:type="dxa"/>
            <w:vAlign w:val="bottom"/>
            <w:gridSpan w:val="2"/>
          </w:tcPr>
          <w:p>
            <w:pPr>
              <w:ind w:left="240"/>
              <w:spacing w:after="0"/>
              <w:rPr>
                <w:sz w:val="20"/>
                <w:szCs w:val="20"/>
                <w:color w:val="auto"/>
              </w:rPr>
            </w:pPr>
            <w:r>
              <w:rPr>
                <w:rFonts w:ascii="Arial" w:cs="Arial" w:eastAsia="Arial" w:hAnsi="Arial"/>
                <w:sz w:val="18"/>
                <w:szCs w:val="18"/>
                <w:color w:val="auto"/>
              </w:rPr>
              <w:t>Management**</w:t>
            </w: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64"/>
        </w:trPr>
        <w:tc>
          <w:tcPr>
            <w:tcW w:w="1280" w:type="dxa"/>
            <w:vAlign w:val="bottom"/>
          </w:tcPr>
          <w:p>
            <w:pPr>
              <w:spacing w:after="0"/>
              <w:rPr>
                <w:sz w:val="5"/>
                <w:szCs w:val="5"/>
                <w:color w:val="auto"/>
              </w:rPr>
            </w:pPr>
          </w:p>
        </w:tc>
        <w:tc>
          <w:tcPr>
            <w:tcW w:w="18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40" w:type="dxa"/>
            <w:vAlign w:val="bottom"/>
          </w:tcPr>
          <w:p>
            <w:pPr>
              <w:spacing w:after="0"/>
              <w:rPr>
                <w:sz w:val="5"/>
                <w:szCs w:val="5"/>
                <w:color w:val="auto"/>
              </w:rPr>
            </w:pPr>
          </w:p>
        </w:tc>
      </w:tr>
      <w:tr>
        <w:trPr>
          <w:trHeight w:val="311"/>
        </w:trPr>
        <w:tc>
          <w:tcPr>
            <w:tcW w:w="3140" w:type="dxa"/>
            <w:vAlign w:val="bottom"/>
            <w:gridSpan w:val="2"/>
            <w:shd w:val="clear" w:color="auto" w:fill="F2F2F2"/>
          </w:tcPr>
          <w:p>
            <w:pPr>
              <w:ind w:left="60"/>
              <w:spacing w:after="0"/>
              <w:rPr>
                <w:sz w:val="20"/>
                <w:szCs w:val="20"/>
                <w:color w:val="auto"/>
              </w:rPr>
            </w:pPr>
            <w:r>
              <w:rPr>
                <w:rFonts w:ascii="Arial" w:cs="Arial" w:eastAsia="Arial" w:hAnsi="Arial"/>
                <w:sz w:val="18"/>
                <w:szCs w:val="18"/>
                <w:color w:val="auto"/>
              </w:rPr>
              <w:t>Mergers and Acquisitions</w:t>
            </w:r>
          </w:p>
        </w:tc>
        <w:tc>
          <w:tcPr>
            <w:tcW w:w="720" w:type="dxa"/>
            <w:vAlign w:val="bottom"/>
            <w:shd w:val="clear" w:color="auto" w:fill="F2F2F2"/>
          </w:tcPr>
          <w:p>
            <w:pPr>
              <w:jc w:val="center"/>
              <w:spacing w:after="0"/>
              <w:rPr>
                <w:sz w:val="20"/>
                <w:szCs w:val="20"/>
                <w:color w:val="auto"/>
              </w:rPr>
            </w:pPr>
            <w:r>
              <w:rPr>
                <w:rFonts w:ascii="Arial" w:cs="Arial" w:eastAsia="Arial" w:hAnsi="Arial"/>
                <w:sz w:val="18"/>
                <w:szCs w:val="18"/>
                <w:color w:val="auto"/>
              </w:rPr>
              <w:t>■</w:t>
            </w:r>
          </w:p>
        </w:tc>
        <w:tc>
          <w:tcPr>
            <w:tcW w:w="68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1"/>
              </w:rPr>
              <w:t>■</w:t>
            </w:r>
          </w:p>
        </w:tc>
        <w:tc>
          <w:tcPr>
            <w:tcW w:w="60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1"/>
              </w:rPr>
              <w:t>■</w:t>
            </w:r>
          </w:p>
        </w:tc>
        <w:tc>
          <w:tcPr>
            <w:tcW w:w="60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1"/>
              </w:rPr>
              <w:t>■</w:t>
            </w:r>
          </w:p>
        </w:tc>
        <w:tc>
          <w:tcPr>
            <w:tcW w:w="60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1"/>
              </w:rPr>
              <w:t>■</w:t>
            </w:r>
          </w:p>
        </w:tc>
        <w:tc>
          <w:tcPr>
            <w:tcW w:w="58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1"/>
              </w:rPr>
              <w:t>■</w:t>
            </w:r>
          </w:p>
        </w:tc>
        <w:tc>
          <w:tcPr>
            <w:tcW w:w="580" w:type="dxa"/>
            <w:vAlign w:val="bottom"/>
            <w:shd w:val="clear" w:color="auto" w:fill="F2F2F2"/>
          </w:tcPr>
          <w:p>
            <w:pPr>
              <w:jc w:val="center"/>
              <w:spacing w:after="0"/>
              <w:rPr>
                <w:sz w:val="20"/>
                <w:szCs w:val="20"/>
                <w:color w:val="auto"/>
              </w:rPr>
            </w:pPr>
            <w:r>
              <w:rPr>
                <w:rFonts w:ascii="Arial" w:cs="Arial" w:eastAsia="Arial" w:hAnsi="Arial"/>
                <w:sz w:val="18"/>
                <w:szCs w:val="18"/>
                <w:color w:val="auto"/>
              </w:rPr>
              <w:t>■</w:t>
            </w:r>
          </w:p>
        </w:tc>
        <w:tc>
          <w:tcPr>
            <w:tcW w:w="680" w:type="dxa"/>
            <w:vAlign w:val="bottom"/>
            <w:shd w:val="clear" w:color="auto" w:fill="F2F2F2"/>
          </w:tcPr>
          <w:p>
            <w:pPr>
              <w:spacing w:after="0"/>
              <w:rPr>
                <w:sz w:val="24"/>
                <w:szCs w:val="24"/>
                <w:color w:val="auto"/>
              </w:rPr>
            </w:pPr>
          </w:p>
        </w:tc>
        <w:tc>
          <w:tcPr>
            <w:tcW w:w="560" w:type="dxa"/>
            <w:vAlign w:val="bottom"/>
            <w:shd w:val="clear" w:color="auto" w:fill="F2F2F2"/>
          </w:tcPr>
          <w:p>
            <w:pPr>
              <w:spacing w:after="0"/>
              <w:rPr>
                <w:sz w:val="24"/>
                <w:szCs w:val="24"/>
                <w:color w:val="auto"/>
              </w:rPr>
            </w:pPr>
          </w:p>
        </w:tc>
        <w:tc>
          <w:tcPr>
            <w:tcW w:w="44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9"/>
              </w:rPr>
              <w:t>7</w:t>
            </w:r>
          </w:p>
        </w:tc>
      </w:tr>
      <w:tr>
        <w:trPr>
          <w:trHeight w:val="175"/>
        </w:trPr>
        <w:tc>
          <w:tcPr>
            <w:tcW w:w="1280" w:type="dxa"/>
            <w:vAlign w:val="bottom"/>
            <w:tcBorders>
              <w:bottom w:val="single" w:sz="8" w:color="auto"/>
            </w:tcBorders>
          </w:tcPr>
          <w:p>
            <w:pPr>
              <w:spacing w:after="0"/>
              <w:rPr>
                <w:sz w:val="15"/>
                <w:szCs w:val="15"/>
                <w:color w:val="auto"/>
              </w:rPr>
            </w:pPr>
          </w:p>
        </w:tc>
        <w:tc>
          <w:tcPr>
            <w:tcW w:w="18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r>
    </w:tbl>
    <w:p>
      <w:pPr>
        <w:spacing w:after="0" w:line="95" w:lineRule="exact"/>
        <w:rPr>
          <w:sz w:val="20"/>
          <w:szCs w:val="20"/>
          <w:color w:val="auto"/>
        </w:rPr>
      </w:pPr>
    </w:p>
    <w:p>
      <w:pPr>
        <w:ind w:left="346" w:hanging="346"/>
        <w:spacing w:after="0"/>
        <w:tabs>
          <w:tab w:leader="none" w:pos="346" w:val="left"/>
        </w:tabs>
        <w:numPr>
          <w:ilvl w:val="0"/>
          <w:numId w:val="8"/>
        </w:numPr>
        <w:rPr>
          <w:rFonts w:ascii="Arial" w:cs="Arial" w:eastAsia="Arial" w:hAnsi="Arial"/>
          <w:sz w:val="14"/>
          <w:szCs w:val="14"/>
          <w:color w:val="auto"/>
        </w:rPr>
      </w:pPr>
      <w:r>
        <w:rPr>
          <w:rFonts w:ascii="Arial" w:cs="Arial" w:eastAsia="Arial" w:hAnsi="Arial"/>
          <w:sz w:val="14"/>
          <w:szCs w:val="14"/>
          <w:color w:val="auto"/>
        </w:rPr>
        <w:t>Has run or overseen manufacturing or supply chain operations.</w:t>
      </w:r>
    </w:p>
    <w:p>
      <w:pPr>
        <w:spacing w:after="0" w:line="69" w:lineRule="exact"/>
        <w:rPr>
          <w:sz w:val="20"/>
          <w:szCs w:val="20"/>
          <w:color w:val="auto"/>
        </w:rPr>
      </w:pPr>
    </w:p>
    <w:p>
      <w:pPr>
        <w:ind w:left="346" w:hanging="346"/>
        <w:spacing w:after="0"/>
        <w:tabs>
          <w:tab w:leader="none" w:pos="346" w:val="left"/>
        </w:tabs>
        <w:numPr>
          <w:ilvl w:val="0"/>
          <w:numId w:val="9"/>
        </w:numPr>
        <w:rPr>
          <w:rFonts w:ascii="Arial" w:cs="Arial" w:eastAsia="Arial" w:hAnsi="Arial"/>
          <w:sz w:val="14"/>
          <w:szCs w:val="14"/>
          <w:color w:val="auto"/>
        </w:rPr>
      </w:pPr>
      <w:r>
        <w:rPr>
          <w:rFonts w:ascii="Arial" w:cs="Arial" w:eastAsia="Arial" w:hAnsi="Arial"/>
          <w:sz w:val="14"/>
          <w:szCs w:val="14"/>
          <w:color w:val="auto"/>
        </w:rPr>
        <w:t>Serves as member of the Compensation Committee of our Board or has overseen compensation and benefits in a management capacity.</w:t>
      </w:r>
    </w:p>
    <w:p>
      <w:pPr>
        <w:spacing w:after="0" w:line="82" w:lineRule="exact"/>
        <w:rPr>
          <w:sz w:val="20"/>
          <w:szCs w:val="20"/>
          <w:color w:val="auto"/>
        </w:rPr>
      </w:pPr>
    </w:p>
    <w:p>
      <w:pPr>
        <w:ind w:left="346" w:hanging="346"/>
        <w:spacing w:after="0"/>
        <w:tabs>
          <w:tab w:leader="none" w:pos="346" w:val="left"/>
        </w:tabs>
        <w:numPr>
          <w:ilvl w:val="0"/>
          <w:numId w:val="10"/>
        </w:numPr>
        <w:rPr>
          <w:rFonts w:ascii="Arial" w:cs="Arial" w:eastAsia="Arial" w:hAnsi="Arial"/>
          <w:sz w:val="14"/>
          <w:szCs w:val="14"/>
          <w:color w:val="auto"/>
        </w:rPr>
      </w:pPr>
      <w:r>
        <w:rPr>
          <w:rFonts w:ascii="Arial" w:cs="Arial" w:eastAsia="Arial" w:hAnsi="Arial"/>
          <w:sz w:val="14"/>
          <w:szCs w:val="14"/>
          <w:color w:val="auto"/>
        </w:rPr>
        <w:t>Mr. Pelino will be retiring from the Board effective May 13, 2021.</w:t>
      </w:r>
    </w:p>
    <w:p>
      <w:pPr>
        <w:sectPr>
          <w:pgSz w:w="11900" w:h="16838" w:orient="portrait"/>
          <w:cols w:equalWidth="0" w:num="1">
            <w:col w:w="9186"/>
          </w:cols>
          <w:pgMar w:left="1354" w:top="263" w:right="1359" w:bottom="1440" w:gutter="0" w:footer="0" w:header="0"/>
        </w:sectPr>
      </w:pPr>
    </w:p>
    <w:p>
      <w:pPr>
        <w:spacing w:after="0" w:line="315"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164465</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263" w:right="1359" w:bottom="1440" w:gutter="0" w:footer="0" w:header="0"/>
          <w:type w:val="continuous"/>
        </w:sectPr>
      </w:pPr>
    </w:p>
    <w:bookmarkStart w:id="14" w:name="page15"/>
    <w:bookmarkEnd w:id="14"/>
    <w:p>
      <w:pPr>
        <w:ind w:left="6"/>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124" w:lineRule="exact"/>
        <w:rPr>
          <w:sz w:val="20"/>
          <w:szCs w:val="20"/>
          <w:color w:val="auto"/>
        </w:rPr>
      </w:pPr>
    </w:p>
    <w:p>
      <w:pPr>
        <w:ind w:left="6" w:right="100"/>
        <w:spacing w:after="0" w:line="239" w:lineRule="auto"/>
        <w:rPr>
          <w:sz w:val="20"/>
          <w:szCs w:val="20"/>
          <w:color w:val="auto"/>
        </w:rPr>
      </w:pPr>
      <w:r>
        <w:rPr>
          <w:rFonts w:ascii="Arial" w:cs="Arial" w:eastAsia="Arial" w:hAnsi="Arial"/>
          <w:sz w:val="18"/>
          <w:szCs w:val="18"/>
          <w:color w:val="auto"/>
        </w:rPr>
        <w:t>Our Nominating and Corporate Governance Committee generally considers diversity as one of several factors relating to overall composition when recommending nominations to our Board. Although we do not have a formal policy governing how diversity is considered, the Nominating and Corporate Governance Committee generally considers diversity by examining the entire Board membership, including when recommending nominations to our Board. The Nominating and Corporate Governance Committee construes Board diversity broadly to include many factors, including, but not limited to, gender, age, race and ethnicity. As a result, the Nominating and Corporate Governance Committee strives to ensure that our Board is represented by individuals with a variety of different opinions, perspectives, personal, professional, and industry experience and backgrounds, skills, and expertise. Currently, of the seven independent directors on our Board who are nominees or continuing on the Board after the Annual Meeting, three are either former Chief Financial Officers or former Chief Executive Officers, six have global business experience, and two are women, including our Board Chair.</w:t>
      </w:r>
    </w:p>
    <w:p>
      <w:pPr>
        <w:spacing w:after="0" w:line="188"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Director Qualifications and Attributes</w:t>
      </w:r>
    </w:p>
    <w:p>
      <w:pPr>
        <w:spacing w:after="0" w:line="173" w:lineRule="exact"/>
        <w:rPr>
          <w:sz w:val="20"/>
          <w:szCs w:val="20"/>
          <w:color w:val="auto"/>
        </w:rPr>
      </w:pPr>
    </w:p>
    <w:p>
      <w:pPr>
        <w:ind w:left="6" w:right="220"/>
        <w:spacing w:after="0" w:line="263" w:lineRule="auto"/>
        <w:rPr>
          <w:sz w:val="20"/>
          <w:szCs w:val="20"/>
          <w:color w:val="auto"/>
        </w:rPr>
      </w:pPr>
      <w:r>
        <w:rPr>
          <w:rFonts w:ascii="Arial" w:cs="Arial" w:eastAsia="Arial" w:hAnsi="Arial"/>
          <w:sz w:val="17"/>
          <w:szCs w:val="17"/>
          <w:color w:val="auto"/>
        </w:rPr>
        <w:t xml:space="preserve">We have concluded that all of our directors, including the nominees for re-election, have the skills, experience, knowledge, and personal attributes that are necessary to effectively serve on our Board and to contribute to the overall success of our Company. We believe that the diverse background of each of our Board members ensures that we have a Board that has a broad range of industry-related knowledge, experience, and business acumen. </w:t>
      </w:r>
      <w:r>
        <w:rPr>
          <w:rFonts w:ascii="Arial" w:cs="Arial" w:eastAsia="Arial" w:hAnsi="Arial"/>
          <w:sz w:val="17"/>
          <w:szCs w:val="17"/>
          <w:i w:val="1"/>
          <w:iCs w:val="1"/>
          <w:color w:val="auto"/>
        </w:rPr>
        <w:t xml:space="preserve">See also </w:t>
      </w:r>
      <w:r>
        <w:rPr>
          <w:rFonts w:ascii="Arial" w:cs="Arial" w:eastAsia="Arial" w:hAnsi="Arial"/>
          <w:sz w:val="17"/>
          <w:szCs w:val="17"/>
          <w:color w:val="auto"/>
        </w:rPr>
        <w:t>“</w:t>
      </w:r>
      <w:r>
        <w:rPr>
          <w:rFonts w:ascii="Arial" w:cs="Arial" w:eastAsia="Arial" w:hAnsi="Arial"/>
          <w:sz w:val="17"/>
          <w:szCs w:val="17"/>
          <w:i w:val="1"/>
          <w:iCs w:val="1"/>
          <w:color w:val="auto"/>
        </w:rPr>
        <w:t>CORPORATE GOVERNANCE – Director Nominations by Shareholders</w:t>
      </w:r>
      <w:r>
        <w:rPr>
          <w:rFonts w:ascii="Arial" w:cs="Arial" w:eastAsia="Arial" w:hAnsi="Arial"/>
          <w:sz w:val="17"/>
          <w:szCs w:val="17"/>
          <w:color w:val="auto"/>
        </w:rPr>
        <w:t>” in this proxy statement.</w:t>
      </w:r>
    </w:p>
    <w:p>
      <w:pPr>
        <w:spacing w:after="0" w:line="169"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Compensation of Directors</w:t>
      </w:r>
    </w:p>
    <w:p>
      <w:pPr>
        <w:spacing w:after="0" w:line="173" w:lineRule="exact"/>
        <w:rPr>
          <w:sz w:val="20"/>
          <w:szCs w:val="20"/>
          <w:color w:val="auto"/>
        </w:rPr>
      </w:pPr>
    </w:p>
    <w:p>
      <w:pPr>
        <w:ind w:left="6" w:right="60"/>
        <w:spacing w:after="0" w:line="243" w:lineRule="auto"/>
        <w:rPr>
          <w:sz w:val="20"/>
          <w:szCs w:val="20"/>
          <w:color w:val="auto"/>
        </w:rPr>
      </w:pPr>
      <w:r>
        <w:rPr>
          <w:rFonts w:ascii="Arial" w:cs="Arial" w:eastAsia="Arial" w:hAnsi="Arial"/>
          <w:sz w:val="18"/>
          <w:szCs w:val="18"/>
          <w:color w:val="auto"/>
        </w:rPr>
        <w:t>The Nominating and Corporate Governance Committee annually reviews compensation paid to non-employee directors and makes recommendations for adjustment, as appropriate, to the Board. The Board last adjusted the compensation paid to non-employee directors effective January 1, 2020, and prior to that time, director compensation had remained the same since 2018. Both equity and cash compensation paid to our directors in 2020 was determined using benchmark data from our peer companies provided by the Compensation Committee’s independent compensation consultant, Frederic W. Cook &amp; Co. (F.W. Cook).</w:t>
      </w:r>
    </w:p>
    <w:p>
      <w:pPr>
        <w:spacing w:after="0" w:line="52" w:lineRule="exact"/>
        <w:rPr>
          <w:sz w:val="20"/>
          <w:szCs w:val="20"/>
          <w:color w:val="auto"/>
        </w:rPr>
      </w:pPr>
    </w:p>
    <w:tbl>
      <w:tblPr>
        <w:tblLayout w:type="fixed"/>
        <w:tblInd w:w="6" w:type="dxa"/>
        <w:tblCellMar>
          <w:top w:w="0" w:type="dxa"/>
          <w:left w:w="0" w:type="dxa"/>
          <w:bottom w:w="0" w:type="dxa"/>
          <w:right w:w="0" w:type="dxa"/>
        </w:tblCellMar>
      </w:tblPr>
      <w:tr>
        <w:trPr>
          <w:trHeight w:val="333"/>
        </w:trPr>
        <w:tc>
          <w:tcPr>
            <w:tcW w:w="7640" w:type="dxa"/>
            <w:vAlign w:val="bottom"/>
            <w:shd w:val="clear" w:color="auto" w:fill="D9D9D9"/>
          </w:tcPr>
          <w:p>
            <w:pPr>
              <w:ind w:left="80"/>
              <w:spacing w:after="0"/>
              <w:rPr>
                <w:sz w:val="20"/>
                <w:szCs w:val="20"/>
                <w:color w:val="auto"/>
              </w:rPr>
            </w:pPr>
            <w:r>
              <w:rPr>
                <w:rFonts w:ascii="Arial" w:cs="Arial" w:eastAsia="Arial" w:hAnsi="Arial"/>
                <w:sz w:val="18"/>
                <w:szCs w:val="18"/>
                <w:b w:val="1"/>
                <w:bCs w:val="1"/>
                <w:color w:val="auto"/>
              </w:rPr>
              <w:t>Compensation structure for directors</w:t>
            </w:r>
            <w:r>
              <w:rPr>
                <w:rFonts w:ascii="Arial" w:cs="Arial" w:eastAsia="Arial" w:hAnsi="Arial"/>
                <w:sz w:val="29"/>
                <w:szCs w:val="29"/>
                <w:b w:val="1"/>
                <w:bCs w:val="1"/>
                <w:color w:val="auto"/>
                <w:vertAlign w:val="superscript"/>
              </w:rPr>
              <w:t>(1)</w:t>
            </w:r>
          </w:p>
        </w:tc>
        <w:tc>
          <w:tcPr>
            <w:tcW w:w="820" w:type="dxa"/>
            <w:vAlign w:val="bottom"/>
            <w:shd w:val="clear" w:color="auto" w:fill="D9D9D9"/>
          </w:tcPr>
          <w:p>
            <w:pPr>
              <w:spacing w:after="0"/>
              <w:rPr>
                <w:sz w:val="24"/>
                <w:szCs w:val="24"/>
                <w:color w:val="auto"/>
              </w:rPr>
            </w:pPr>
          </w:p>
        </w:tc>
        <w:tc>
          <w:tcPr>
            <w:tcW w:w="720" w:type="dxa"/>
            <w:vAlign w:val="bottom"/>
            <w:shd w:val="clear" w:color="auto" w:fill="D9D9D9"/>
          </w:tcPr>
          <w:p>
            <w:pPr>
              <w:jc w:val="right"/>
              <w:ind w:right="150"/>
              <w:spacing w:after="0"/>
              <w:rPr>
                <w:sz w:val="20"/>
                <w:szCs w:val="20"/>
                <w:color w:val="auto"/>
              </w:rPr>
            </w:pPr>
            <w:r>
              <w:rPr>
                <w:rFonts w:ascii="Arial" w:cs="Arial" w:eastAsia="Arial" w:hAnsi="Arial"/>
                <w:sz w:val="18"/>
                <w:szCs w:val="18"/>
                <w:b w:val="1"/>
                <w:bCs w:val="1"/>
                <w:color w:val="auto"/>
              </w:rPr>
              <w:t>2020</w:t>
            </w:r>
          </w:p>
        </w:tc>
      </w:tr>
      <w:tr>
        <w:trPr>
          <w:trHeight w:val="346"/>
        </w:trPr>
        <w:tc>
          <w:tcPr>
            <w:tcW w:w="7640" w:type="dxa"/>
            <w:vAlign w:val="bottom"/>
          </w:tcPr>
          <w:p>
            <w:pPr>
              <w:ind w:left="80"/>
              <w:spacing w:after="0"/>
              <w:rPr>
                <w:sz w:val="20"/>
                <w:szCs w:val="20"/>
                <w:color w:val="auto"/>
              </w:rPr>
            </w:pPr>
            <w:r>
              <w:rPr>
                <w:rFonts w:ascii="Arial" w:cs="Arial" w:eastAsia="Arial" w:hAnsi="Arial"/>
                <w:sz w:val="18"/>
                <w:szCs w:val="18"/>
                <w:b w:val="1"/>
                <w:bCs w:val="1"/>
                <w:color w:val="auto"/>
              </w:rPr>
              <w:t>Regular retainer (all directors except Mr. Deitrich</w:t>
            </w:r>
            <w:r>
              <w:rPr>
                <w:rFonts w:ascii="Arial" w:cs="Arial" w:eastAsia="Arial" w:hAnsi="Arial"/>
                <w:sz w:val="29"/>
                <w:szCs w:val="29"/>
                <w:b w:val="1"/>
                <w:bCs w:val="1"/>
                <w:color w:val="auto"/>
                <w:vertAlign w:val="superscript"/>
              </w:rPr>
              <w:t>(2)</w:t>
            </w:r>
            <w:r>
              <w:rPr>
                <w:rFonts w:ascii="Arial" w:cs="Arial" w:eastAsia="Arial" w:hAnsi="Arial"/>
                <w:sz w:val="18"/>
                <w:szCs w:val="18"/>
                <w:b w:val="1"/>
                <w:bCs w:val="1"/>
                <w:color w:val="auto"/>
              </w:rPr>
              <w:t xml:space="preserve"> and Board Chair Ms. Ziegler)</w:t>
            </w: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20"/>
        </w:trPr>
        <w:tc>
          <w:tcPr>
            <w:tcW w:w="7640" w:type="dxa"/>
            <w:vAlign w:val="bottom"/>
          </w:tcPr>
          <w:p>
            <w:pPr>
              <w:ind w:left="80"/>
              <w:spacing w:after="0" w:line="320" w:lineRule="exact"/>
              <w:rPr>
                <w:sz w:val="20"/>
                <w:szCs w:val="20"/>
                <w:color w:val="auto"/>
              </w:rPr>
            </w:pPr>
            <w:r>
              <w:rPr>
                <w:rFonts w:ascii="Arial" w:cs="Arial" w:eastAsia="Arial" w:hAnsi="Arial"/>
                <w:sz w:val="18"/>
                <w:szCs w:val="18"/>
                <w:color w:val="auto"/>
              </w:rPr>
              <w:t>Total annual base retainer</w:t>
            </w:r>
            <w:r>
              <w:rPr>
                <w:rFonts w:ascii="Arial" w:cs="Arial" w:eastAsia="Arial" w:hAnsi="Arial"/>
                <w:sz w:val="29"/>
                <w:szCs w:val="29"/>
                <w:color w:val="auto"/>
                <w:vertAlign w:val="superscript"/>
              </w:rPr>
              <w:t>(3)</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195,000</w:t>
            </w:r>
          </w:p>
        </w:tc>
      </w:tr>
      <w:tr>
        <w:trPr>
          <w:trHeight w:val="243"/>
        </w:trPr>
        <w:tc>
          <w:tcPr>
            <w:tcW w:w="7640" w:type="dxa"/>
            <w:vAlign w:val="bottom"/>
          </w:tcPr>
          <w:p>
            <w:pPr>
              <w:ind w:left="260"/>
              <w:spacing w:after="0"/>
              <w:rPr>
                <w:sz w:val="20"/>
                <w:szCs w:val="20"/>
                <w:color w:val="auto"/>
              </w:rPr>
            </w:pPr>
            <w:r>
              <w:rPr>
                <w:rFonts w:ascii="Arial" w:cs="Arial" w:eastAsia="Arial" w:hAnsi="Arial"/>
                <w:sz w:val="18"/>
                <w:szCs w:val="18"/>
                <w:color w:val="auto"/>
              </w:rPr>
              <w:t>Cash</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65,000</w:t>
            </w:r>
          </w:p>
        </w:tc>
      </w:tr>
      <w:tr>
        <w:trPr>
          <w:trHeight w:val="310"/>
        </w:trPr>
        <w:tc>
          <w:tcPr>
            <w:tcW w:w="7640" w:type="dxa"/>
            <w:vAlign w:val="bottom"/>
          </w:tcPr>
          <w:p>
            <w:pPr>
              <w:ind w:left="440"/>
              <w:spacing w:after="0"/>
              <w:rPr>
                <w:sz w:val="20"/>
                <w:szCs w:val="20"/>
                <w:color w:val="auto"/>
              </w:rPr>
            </w:pPr>
            <w:r>
              <w:rPr>
                <w:rFonts w:ascii="Arial" w:cs="Arial" w:eastAsia="Arial" w:hAnsi="Arial"/>
                <w:sz w:val="18"/>
                <w:szCs w:val="18"/>
                <w:color w:val="auto"/>
              </w:rPr>
              <w:t>Stock</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130,000</w:t>
            </w:r>
          </w:p>
        </w:tc>
      </w:tr>
      <w:tr>
        <w:trPr>
          <w:trHeight w:val="310"/>
        </w:trPr>
        <w:tc>
          <w:tcPr>
            <w:tcW w:w="7640" w:type="dxa"/>
            <w:vAlign w:val="bottom"/>
          </w:tcPr>
          <w:p>
            <w:pPr>
              <w:ind w:left="80"/>
              <w:spacing w:after="0"/>
              <w:rPr>
                <w:sz w:val="20"/>
                <w:szCs w:val="20"/>
                <w:color w:val="auto"/>
              </w:rPr>
            </w:pPr>
            <w:r>
              <w:rPr>
                <w:rFonts w:ascii="Arial" w:cs="Arial" w:eastAsia="Arial" w:hAnsi="Arial"/>
                <w:sz w:val="18"/>
                <w:szCs w:val="18"/>
                <w:color w:val="auto"/>
              </w:rPr>
              <w:t>Annual committee chair retainer (cash)</w:t>
            </w: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10"/>
        </w:trPr>
        <w:tc>
          <w:tcPr>
            <w:tcW w:w="7640" w:type="dxa"/>
            <w:vAlign w:val="bottom"/>
          </w:tcPr>
          <w:p>
            <w:pPr>
              <w:ind w:left="440"/>
              <w:spacing w:after="0"/>
              <w:rPr>
                <w:sz w:val="20"/>
                <w:szCs w:val="20"/>
                <w:color w:val="auto"/>
              </w:rPr>
            </w:pPr>
            <w:r>
              <w:rPr>
                <w:rFonts w:ascii="Arial" w:cs="Arial" w:eastAsia="Arial" w:hAnsi="Arial"/>
                <w:sz w:val="18"/>
                <w:szCs w:val="18"/>
                <w:color w:val="auto"/>
              </w:rPr>
              <w:t>Compensation</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21,500</w:t>
            </w:r>
          </w:p>
        </w:tc>
      </w:tr>
      <w:tr>
        <w:trPr>
          <w:trHeight w:val="310"/>
        </w:trPr>
        <w:tc>
          <w:tcPr>
            <w:tcW w:w="7640" w:type="dxa"/>
            <w:vAlign w:val="bottom"/>
          </w:tcPr>
          <w:p>
            <w:pPr>
              <w:ind w:left="440"/>
              <w:spacing w:after="0"/>
              <w:rPr>
                <w:sz w:val="20"/>
                <w:szCs w:val="20"/>
                <w:color w:val="auto"/>
              </w:rPr>
            </w:pPr>
            <w:r>
              <w:rPr>
                <w:rFonts w:ascii="Arial" w:cs="Arial" w:eastAsia="Arial" w:hAnsi="Arial"/>
                <w:sz w:val="18"/>
                <w:szCs w:val="18"/>
                <w:color w:val="auto"/>
              </w:rPr>
              <w:t>Nominating &amp; Corporate Governance</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20,000</w:t>
            </w:r>
          </w:p>
        </w:tc>
      </w:tr>
      <w:tr>
        <w:trPr>
          <w:trHeight w:val="310"/>
        </w:trPr>
        <w:tc>
          <w:tcPr>
            <w:tcW w:w="7640" w:type="dxa"/>
            <w:vAlign w:val="bottom"/>
          </w:tcPr>
          <w:p>
            <w:pPr>
              <w:ind w:left="440"/>
              <w:spacing w:after="0"/>
              <w:rPr>
                <w:sz w:val="20"/>
                <w:szCs w:val="20"/>
                <w:color w:val="auto"/>
              </w:rPr>
            </w:pPr>
            <w:r>
              <w:rPr>
                <w:rFonts w:ascii="Arial" w:cs="Arial" w:eastAsia="Arial" w:hAnsi="Arial"/>
                <w:sz w:val="18"/>
                <w:szCs w:val="18"/>
                <w:color w:val="auto"/>
              </w:rPr>
              <w:t>Audit/Finance</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25,000</w:t>
            </w:r>
          </w:p>
        </w:tc>
      </w:tr>
      <w:tr>
        <w:trPr>
          <w:trHeight w:val="310"/>
        </w:trPr>
        <w:tc>
          <w:tcPr>
            <w:tcW w:w="7640" w:type="dxa"/>
            <w:vAlign w:val="bottom"/>
          </w:tcPr>
          <w:p>
            <w:pPr>
              <w:ind w:left="80"/>
              <w:spacing w:after="0"/>
              <w:rPr>
                <w:sz w:val="20"/>
                <w:szCs w:val="20"/>
                <w:color w:val="auto"/>
              </w:rPr>
            </w:pPr>
            <w:r>
              <w:rPr>
                <w:rFonts w:ascii="Arial" w:cs="Arial" w:eastAsia="Arial" w:hAnsi="Arial"/>
                <w:sz w:val="18"/>
                <w:szCs w:val="18"/>
                <w:color w:val="auto"/>
              </w:rPr>
              <w:t>Annual committee member retainer (cash)</w:t>
            </w: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11"/>
        </w:trPr>
        <w:tc>
          <w:tcPr>
            <w:tcW w:w="7640" w:type="dxa"/>
            <w:vAlign w:val="bottom"/>
          </w:tcPr>
          <w:p>
            <w:pPr>
              <w:ind w:left="440"/>
              <w:spacing w:after="0"/>
              <w:rPr>
                <w:sz w:val="20"/>
                <w:szCs w:val="20"/>
                <w:color w:val="auto"/>
              </w:rPr>
            </w:pPr>
            <w:r>
              <w:rPr>
                <w:rFonts w:ascii="Arial" w:cs="Arial" w:eastAsia="Arial" w:hAnsi="Arial"/>
                <w:sz w:val="18"/>
                <w:szCs w:val="18"/>
                <w:color w:val="auto"/>
              </w:rPr>
              <w:t>Compensation</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6,500</w:t>
            </w:r>
          </w:p>
        </w:tc>
      </w:tr>
      <w:tr>
        <w:trPr>
          <w:trHeight w:val="310"/>
        </w:trPr>
        <w:tc>
          <w:tcPr>
            <w:tcW w:w="7640" w:type="dxa"/>
            <w:vAlign w:val="bottom"/>
          </w:tcPr>
          <w:p>
            <w:pPr>
              <w:ind w:left="440"/>
              <w:spacing w:after="0"/>
              <w:rPr>
                <w:sz w:val="20"/>
                <w:szCs w:val="20"/>
                <w:color w:val="auto"/>
              </w:rPr>
            </w:pPr>
            <w:r>
              <w:rPr>
                <w:rFonts w:ascii="Arial" w:cs="Arial" w:eastAsia="Arial" w:hAnsi="Arial"/>
                <w:sz w:val="18"/>
                <w:szCs w:val="18"/>
                <w:color w:val="auto"/>
              </w:rPr>
              <w:t>Nominating &amp; Corporate Governance</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5,000</w:t>
            </w:r>
          </w:p>
        </w:tc>
      </w:tr>
      <w:tr>
        <w:trPr>
          <w:trHeight w:val="310"/>
        </w:trPr>
        <w:tc>
          <w:tcPr>
            <w:tcW w:w="7640" w:type="dxa"/>
            <w:vAlign w:val="bottom"/>
          </w:tcPr>
          <w:p>
            <w:pPr>
              <w:ind w:left="440"/>
              <w:spacing w:after="0"/>
              <w:rPr>
                <w:sz w:val="20"/>
                <w:szCs w:val="20"/>
                <w:color w:val="auto"/>
              </w:rPr>
            </w:pPr>
            <w:r>
              <w:rPr>
                <w:rFonts w:ascii="Arial" w:cs="Arial" w:eastAsia="Arial" w:hAnsi="Arial"/>
                <w:sz w:val="18"/>
                <w:szCs w:val="18"/>
                <w:color w:val="auto"/>
              </w:rPr>
              <w:t>Audit/Finance</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10,000</w:t>
            </w:r>
          </w:p>
        </w:tc>
      </w:tr>
      <w:tr>
        <w:trPr>
          <w:trHeight w:val="318"/>
        </w:trPr>
        <w:tc>
          <w:tcPr>
            <w:tcW w:w="7640" w:type="dxa"/>
            <w:vAlign w:val="bottom"/>
          </w:tcPr>
          <w:p>
            <w:pPr>
              <w:ind w:left="80"/>
              <w:spacing w:after="0"/>
              <w:rPr>
                <w:sz w:val="20"/>
                <w:szCs w:val="20"/>
                <w:color w:val="auto"/>
              </w:rPr>
            </w:pPr>
            <w:r>
              <w:rPr>
                <w:rFonts w:ascii="Arial" w:cs="Arial" w:eastAsia="Arial" w:hAnsi="Arial"/>
                <w:sz w:val="18"/>
                <w:szCs w:val="18"/>
                <w:b w:val="1"/>
                <w:bCs w:val="1"/>
                <w:color w:val="auto"/>
              </w:rPr>
              <w:t>Board Chair retainer</w:t>
            </w: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70"/>
        </w:trPr>
        <w:tc>
          <w:tcPr>
            <w:tcW w:w="7640" w:type="dxa"/>
            <w:vAlign w:val="bottom"/>
          </w:tcPr>
          <w:p>
            <w:pPr>
              <w:ind w:left="80"/>
              <w:spacing w:after="0"/>
              <w:rPr>
                <w:sz w:val="20"/>
                <w:szCs w:val="20"/>
                <w:color w:val="auto"/>
              </w:rPr>
            </w:pPr>
            <w:r>
              <w:rPr>
                <w:rFonts w:ascii="Arial" w:cs="Arial" w:eastAsia="Arial" w:hAnsi="Arial"/>
                <w:sz w:val="18"/>
                <w:szCs w:val="18"/>
                <w:color w:val="auto"/>
              </w:rPr>
              <w:t>Total annual Board Chair retainer</w:t>
            </w:r>
            <w:r>
              <w:rPr>
                <w:rFonts w:ascii="Arial" w:cs="Arial" w:eastAsia="Arial" w:hAnsi="Arial"/>
                <w:sz w:val="29"/>
                <w:szCs w:val="29"/>
                <w:color w:val="auto"/>
                <w:vertAlign w:val="superscript"/>
              </w:rPr>
              <w:t>(3)(4)</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295,000</w:t>
            </w:r>
          </w:p>
        </w:tc>
      </w:tr>
      <w:tr>
        <w:trPr>
          <w:trHeight w:val="243"/>
        </w:trPr>
        <w:tc>
          <w:tcPr>
            <w:tcW w:w="7640" w:type="dxa"/>
            <w:vAlign w:val="bottom"/>
          </w:tcPr>
          <w:p>
            <w:pPr>
              <w:ind w:left="440"/>
              <w:spacing w:after="0"/>
              <w:rPr>
                <w:sz w:val="20"/>
                <w:szCs w:val="20"/>
                <w:color w:val="auto"/>
              </w:rPr>
            </w:pPr>
            <w:r>
              <w:rPr>
                <w:rFonts w:ascii="Arial" w:cs="Arial" w:eastAsia="Arial" w:hAnsi="Arial"/>
                <w:sz w:val="18"/>
                <w:szCs w:val="18"/>
                <w:color w:val="auto"/>
              </w:rPr>
              <w:t>Cash</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120,000</w:t>
            </w:r>
          </w:p>
        </w:tc>
      </w:tr>
      <w:tr>
        <w:trPr>
          <w:trHeight w:val="327"/>
        </w:trPr>
        <w:tc>
          <w:tcPr>
            <w:tcW w:w="764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Stock</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175,000</w:t>
            </w:r>
          </w:p>
        </w:tc>
      </w:tr>
    </w:tbl>
    <w:p>
      <w:pPr>
        <w:spacing w:after="0" w:line="95" w:lineRule="exact"/>
        <w:rPr>
          <w:sz w:val="20"/>
          <w:szCs w:val="20"/>
          <w:color w:val="auto"/>
        </w:rPr>
      </w:pPr>
    </w:p>
    <w:p>
      <w:pPr>
        <w:ind w:left="346" w:hanging="346"/>
        <w:spacing w:after="0"/>
        <w:tabs>
          <w:tab w:leader="none" w:pos="346" w:val="left"/>
        </w:tabs>
        <w:numPr>
          <w:ilvl w:val="0"/>
          <w:numId w:val="11"/>
        </w:numPr>
        <w:rPr>
          <w:rFonts w:ascii="Arial" w:cs="Arial" w:eastAsia="Arial" w:hAnsi="Arial"/>
          <w:sz w:val="14"/>
          <w:szCs w:val="14"/>
          <w:color w:val="auto"/>
        </w:rPr>
      </w:pPr>
      <w:r>
        <w:rPr>
          <w:rFonts w:ascii="Arial" w:cs="Arial" w:eastAsia="Arial" w:hAnsi="Arial"/>
          <w:sz w:val="14"/>
          <w:szCs w:val="14"/>
          <w:color w:val="auto"/>
        </w:rPr>
        <w:t>Director compensation is payable quarterly at the beginning of each quarter.</w:t>
      </w:r>
    </w:p>
    <w:p>
      <w:pPr>
        <w:spacing w:after="0" w:line="68" w:lineRule="exact"/>
        <w:rPr>
          <w:rFonts w:ascii="Arial" w:cs="Arial" w:eastAsia="Arial" w:hAnsi="Arial"/>
          <w:sz w:val="14"/>
          <w:szCs w:val="14"/>
          <w:color w:val="auto"/>
        </w:rPr>
      </w:pPr>
    </w:p>
    <w:p>
      <w:pPr>
        <w:ind w:left="346" w:right="400" w:hanging="346"/>
        <w:spacing w:after="0" w:line="291" w:lineRule="auto"/>
        <w:tabs>
          <w:tab w:leader="none" w:pos="346" w:val="left"/>
        </w:tabs>
        <w:numPr>
          <w:ilvl w:val="0"/>
          <w:numId w:val="11"/>
        </w:numPr>
        <w:rPr>
          <w:rFonts w:ascii="Arial" w:cs="Arial" w:eastAsia="Arial" w:hAnsi="Arial"/>
          <w:sz w:val="14"/>
          <w:szCs w:val="14"/>
          <w:color w:val="auto"/>
        </w:rPr>
      </w:pPr>
      <w:r>
        <w:rPr>
          <w:rFonts w:ascii="Arial" w:cs="Arial" w:eastAsia="Arial" w:hAnsi="Arial"/>
          <w:sz w:val="14"/>
          <w:szCs w:val="14"/>
          <w:color w:val="auto"/>
        </w:rPr>
        <w:t>Mr. Deitrich is our CEO. In accordance with the Company’s Corporate Governance Guiding Principles, our employee directors do not receive any compensation for serving on the Board.</w:t>
      </w:r>
    </w:p>
    <w:p>
      <w:pPr>
        <w:spacing w:after="0" w:line="1" w:lineRule="exact"/>
        <w:rPr>
          <w:rFonts w:ascii="Arial" w:cs="Arial" w:eastAsia="Arial" w:hAnsi="Arial"/>
          <w:sz w:val="14"/>
          <w:szCs w:val="14"/>
          <w:color w:val="auto"/>
        </w:rPr>
      </w:pPr>
    </w:p>
    <w:p>
      <w:pPr>
        <w:ind w:left="346" w:hanging="346"/>
        <w:spacing w:after="0" w:line="291" w:lineRule="auto"/>
        <w:tabs>
          <w:tab w:leader="none" w:pos="346"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 2014, the Board adopted a policy that permits a director age 65 or older to elect to receive all of his or her retainer in cash, provided they continuously meet the stock ownership guidelines described in the following paragraph.</w:t>
      </w:r>
    </w:p>
    <w:p>
      <w:pPr>
        <w:spacing w:after="0" w:line="14" w:lineRule="exact"/>
        <w:rPr>
          <w:rFonts w:ascii="Arial" w:cs="Arial" w:eastAsia="Arial" w:hAnsi="Arial"/>
          <w:sz w:val="14"/>
          <w:szCs w:val="14"/>
          <w:color w:val="auto"/>
        </w:rPr>
      </w:pPr>
    </w:p>
    <w:p>
      <w:pPr>
        <w:ind w:left="346" w:hanging="346"/>
        <w:spacing w:after="0"/>
        <w:tabs>
          <w:tab w:leader="none" w:pos="346"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Board Chair receives no additional retainers for serving on any of our committees.</w:t>
      </w:r>
    </w:p>
    <w:p>
      <w:pPr>
        <w:spacing w:after="0" w:line="315" w:lineRule="exact"/>
        <w:rPr>
          <w:sz w:val="20"/>
          <w:szCs w:val="20"/>
          <w:color w:val="auto"/>
        </w:rPr>
      </w:pPr>
    </w:p>
    <w:p>
      <w:pPr>
        <w:jc w:val="center"/>
        <w:ind w:right="-25"/>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157480</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263" w:right="1359" w:bottom="1440" w:gutter="0" w:footer="0" w:header="0"/>
        </w:sectPr>
      </w:pPr>
    </w:p>
    <w:bookmarkStart w:id="15" w:name="page16"/>
    <w:bookmarkEnd w:id="15"/>
    <w:p>
      <w:pPr>
        <w:ind w:left="6"/>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122"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2020 Director Compensation Table (for all non-employee Directors)</w:t>
      </w:r>
    </w:p>
    <w:p>
      <w:pPr>
        <w:spacing w:after="0" w:line="140" w:lineRule="exact"/>
        <w:rPr>
          <w:sz w:val="20"/>
          <w:szCs w:val="20"/>
          <w:color w:val="auto"/>
        </w:rPr>
      </w:pPr>
    </w:p>
    <w:tbl>
      <w:tblPr>
        <w:tblLayout w:type="fixed"/>
        <w:tblInd w:w="6"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Change in</w:t>
            </w: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Pension Value</w:t>
            </w: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and</w:t>
            </w: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Nonqualified</w:t>
            </w: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Non-Equity</w:t>
            </w: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Deferred</w:t>
            </w: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Fees Earned or</w:t>
            </w:r>
          </w:p>
        </w:tc>
        <w:tc>
          <w:tcPr>
            <w:tcW w:w="14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9"/>
              </w:rPr>
              <w:t>Stock</w:t>
            </w:r>
          </w:p>
        </w:tc>
        <w:tc>
          <w:tcPr>
            <w:tcW w:w="6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Option</w:t>
            </w: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Incentive Plan</w:t>
            </w: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Compensation</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All Other</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50"/>
        </w:trPr>
        <w:tc>
          <w:tcPr>
            <w:tcW w:w="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rPr>
              <w:t>Paid in Cash</w:t>
            </w:r>
          </w:p>
        </w:tc>
        <w:tc>
          <w:tcPr>
            <w:tcW w:w="140" w:type="dxa"/>
            <w:vAlign w:val="bottom"/>
          </w:tcPr>
          <w:p>
            <w:pPr>
              <w:spacing w:after="0"/>
              <w:rPr>
                <w:sz w:val="13"/>
                <w:szCs w:val="13"/>
                <w:color w:val="auto"/>
              </w:rPr>
            </w:pPr>
          </w:p>
        </w:tc>
        <w:tc>
          <w:tcPr>
            <w:tcW w:w="800" w:type="dxa"/>
            <w:vAlign w:val="bottom"/>
            <w:gridSpan w:val="2"/>
          </w:tcPr>
          <w:p>
            <w:pPr>
              <w:jc w:val="center"/>
              <w:ind w:right="200"/>
              <w:spacing w:after="0" w:line="150" w:lineRule="exact"/>
              <w:rPr>
                <w:sz w:val="20"/>
                <w:szCs w:val="20"/>
                <w:color w:val="auto"/>
              </w:rPr>
            </w:pPr>
            <w:r>
              <w:rPr>
                <w:rFonts w:ascii="Arial" w:cs="Arial" w:eastAsia="Arial" w:hAnsi="Arial"/>
                <w:sz w:val="14"/>
                <w:szCs w:val="14"/>
                <w:b w:val="1"/>
                <w:bCs w:val="1"/>
                <w:color w:val="auto"/>
              </w:rPr>
              <w:t>Awards</w:t>
            </w:r>
          </w:p>
        </w:tc>
        <w:tc>
          <w:tcPr>
            <w:tcW w:w="660" w:type="dxa"/>
            <w:vAlign w:val="bottom"/>
            <w:gridSpan w:val="2"/>
          </w:tcPr>
          <w:p>
            <w:pPr>
              <w:jc w:val="center"/>
              <w:ind w:right="140"/>
              <w:spacing w:after="0" w:line="150" w:lineRule="exact"/>
              <w:rPr>
                <w:sz w:val="20"/>
                <w:szCs w:val="20"/>
                <w:color w:val="auto"/>
              </w:rPr>
            </w:pPr>
            <w:r>
              <w:rPr>
                <w:rFonts w:ascii="Arial" w:cs="Arial" w:eastAsia="Arial" w:hAnsi="Arial"/>
                <w:sz w:val="14"/>
                <w:szCs w:val="14"/>
                <w:b w:val="1"/>
                <w:bCs w:val="1"/>
                <w:color w:val="auto"/>
              </w:rPr>
              <w:t>Awards</w:t>
            </w:r>
          </w:p>
        </w:tc>
        <w:tc>
          <w:tcPr>
            <w:tcW w:w="1140" w:type="dxa"/>
            <w:vAlign w:val="bottom"/>
            <w:gridSpan w:val="2"/>
          </w:tcPr>
          <w:p>
            <w:pPr>
              <w:jc w:val="center"/>
              <w:ind w:right="140"/>
              <w:spacing w:after="0" w:line="150" w:lineRule="exact"/>
              <w:rPr>
                <w:sz w:val="20"/>
                <w:szCs w:val="20"/>
                <w:color w:val="auto"/>
              </w:rPr>
            </w:pPr>
            <w:r>
              <w:rPr>
                <w:rFonts w:ascii="Arial" w:cs="Arial" w:eastAsia="Arial" w:hAnsi="Arial"/>
                <w:sz w:val="14"/>
                <w:szCs w:val="14"/>
                <w:b w:val="1"/>
                <w:bCs w:val="1"/>
                <w:color w:val="auto"/>
              </w:rPr>
              <w:t>Compensation</w:t>
            </w:r>
          </w:p>
        </w:tc>
        <w:tc>
          <w:tcPr>
            <w:tcW w:w="1160" w:type="dxa"/>
            <w:vAlign w:val="bottom"/>
            <w:gridSpan w:val="2"/>
          </w:tcPr>
          <w:p>
            <w:pPr>
              <w:jc w:val="center"/>
              <w:ind w:right="180"/>
              <w:spacing w:after="0" w:line="150" w:lineRule="exact"/>
              <w:rPr>
                <w:sz w:val="20"/>
                <w:szCs w:val="20"/>
                <w:color w:val="auto"/>
              </w:rPr>
            </w:pPr>
            <w:r>
              <w:rPr>
                <w:rFonts w:ascii="Arial" w:cs="Arial" w:eastAsia="Arial" w:hAnsi="Arial"/>
                <w:sz w:val="14"/>
                <w:szCs w:val="14"/>
                <w:b w:val="1"/>
                <w:bCs w:val="1"/>
                <w:color w:val="auto"/>
              </w:rPr>
              <w:t>Earnings</w:t>
            </w:r>
          </w:p>
        </w:tc>
        <w:tc>
          <w:tcPr>
            <w:tcW w:w="102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rPr>
              <w:t>Compensation</w:t>
            </w:r>
          </w:p>
        </w:tc>
        <w:tc>
          <w:tcPr>
            <w:tcW w:w="140" w:type="dxa"/>
            <w:vAlign w:val="bottom"/>
          </w:tcPr>
          <w:p>
            <w:pPr>
              <w:spacing w:after="0"/>
              <w:rPr>
                <w:sz w:val="13"/>
                <w:szCs w:val="13"/>
                <w:color w:val="auto"/>
              </w:rPr>
            </w:pPr>
          </w:p>
        </w:tc>
        <w:tc>
          <w:tcPr>
            <w:tcW w:w="740" w:type="dxa"/>
            <w:vAlign w:val="bottom"/>
            <w:gridSpan w:val="2"/>
          </w:tcPr>
          <w:p>
            <w:pPr>
              <w:ind w:left="140"/>
              <w:spacing w:after="0" w:line="150" w:lineRule="exact"/>
              <w:rPr>
                <w:sz w:val="20"/>
                <w:szCs w:val="20"/>
                <w:color w:val="auto"/>
              </w:rPr>
            </w:pPr>
            <w:r>
              <w:rPr>
                <w:rFonts w:ascii="Arial" w:cs="Arial" w:eastAsia="Arial" w:hAnsi="Arial"/>
                <w:sz w:val="14"/>
                <w:szCs w:val="14"/>
                <w:b w:val="1"/>
                <w:bCs w:val="1"/>
                <w:color w:val="auto"/>
              </w:rPr>
              <w:t>Total</w:t>
            </w:r>
          </w:p>
        </w:tc>
      </w:tr>
      <w:tr>
        <w:trPr>
          <w:trHeight w:val="257"/>
        </w:trPr>
        <w:tc>
          <w:tcPr>
            <w:tcW w:w="40" w:type="dxa"/>
            <w:vAlign w:val="bottom"/>
          </w:tcPr>
          <w:p>
            <w:pPr>
              <w:spacing w:after="0"/>
              <w:rPr>
                <w:sz w:val="22"/>
                <w:szCs w:val="22"/>
                <w:color w:val="auto"/>
              </w:rPr>
            </w:pPr>
          </w:p>
        </w:tc>
        <w:tc>
          <w:tcPr>
            <w:tcW w:w="2160" w:type="dxa"/>
            <w:vAlign w:val="bottom"/>
            <w:tcBorders>
              <w:bottom w:val="single" w:sz="8" w:color="auto"/>
            </w:tcBorders>
            <w:gridSpan w:val="2"/>
          </w:tcPr>
          <w:p>
            <w:pPr>
              <w:ind w:left="900"/>
              <w:spacing w:after="0"/>
              <w:rPr>
                <w:sz w:val="20"/>
                <w:szCs w:val="20"/>
                <w:color w:val="auto"/>
              </w:rPr>
            </w:pPr>
            <w:r>
              <w:rPr>
                <w:rFonts w:ascii="Arial" w:cs="Arial" w:eastAsia="Arial" w:hAnsi="Arial"/>
                <w:sz w:val="14"/>
                <w:szCs w:val="14"/>
                <w:b w:val="1"/>
                <w:bCs w:val="1"/>
                <w:color w:val="auto"/>
              </w:rPr>
              <w:t>Name</w:t>
            </w:r>
          </w:p>
        </w:tc>
        <w:tc>
          <w:tcPr>
            <w:tcW w:w="140" w:type="dxa"/>
            <w:vAlign w:val="bottom"/>
          </w:tcPr>
          <w:p>
            <w:pPr>
              <w:spacing w:after="0"/>
              <w:rPr>
                <w:sz w:val="22"/>
                <w:szCs w:val="22"/>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2"/>
                <w:szCs w:val="22"/>
                <w:color w:val="auto"/>
              </w:rPr>
            </w:pPr>
          </w:p>
        </w:tc>
        <w:tc>
          <w:tcPr>
            <w:tcW w:w="660" w:type="dxa"/>
            <w:vAlign w:val="bottom"/>
            <w:tcBorders>
              <w:bottom w:val="single" w:sz="8" w:color="auto"/>
            </w:tcBorders>
          </w:tcPr>
          <w:p>
            <w:pPr>
              <w:jc w:val="center"/>
              <w:spacing w:after="0" w:line="257" w:lineRule="exact"/>
              <w:rPr>
                <w:sz w:val="20"/>
                <w:szCs w:val="20"/>
                <w:color w:val="auto"/>
              </w:rPr>
            </w:pPr>
            <w:r>
              <w:rPr>
                <w:rFonts w:ascii="Arial" w:cs="Arial" w:eastAsia="Arial" w:hAnsi="Arial"/>
                <w:sz w:val="28"/>
                <w:szCs w:val="28"/>
                <w:b w:val="1"/>
                <w:bCs w:val="1"/>
                <w:color w:val="auto"/>
                <w:w w:val="85"/>
                <w:vertAlign w:val="subscript"/>
              </w:rPr>
              <w:t>($)</w:t>
            </w:r>
            <w:r>
              <w:rPr>
                <w:rFonts w:ascii="Arial" w:cs="Arial" w:eastAsia="Arial" w:hAnsi="Arial"/>
                <w:sz w:val="12"/>
                <w:szCs w:val="12"/>
                <w:b w:val="1"/>
                <w:bCs w:val="1"/>
                <w:color w:val="auto"/>
                <w:w w:val="85"/>
              </w:rPr>
              <w:t>(14)</w:t>
            </w:r>
          </w:p>
        </w:tc>
        <w:tc>
          <w:tcPr>
            <w:tcW w:w="140" w:type="dxa"/>
            <w:vAlign w:val="bottom"/>
          </w:tcPr>
          <w:p>
            <w:pPr>
              <w:spacing w:after="0"/>
              <w:rPr>
                <w:sz w:val="22"/>
                <w:szCs w:val="22"/>
                <w:color w:val="auto"/>
              </w:rPr>
            </w:pPr>
          </w:p>
        </w:tc>
        <w:tc>
          <w:tcPr>
            <w:tcW w:w="520" w:type="dxa"/>
            <w:vAlign w:val="bottom"/>
            <w:tcBorders>
              <w:bottom w:val="single" w:sz="8" w:color="auto"/>
            </w:tcBorders>
          </w:tcPr>
          <w:p>
            <w:pPr>
              <w:jc w:val="center"/>
              <w:spacing w:after="0" w:line="257" w:lineRule="exact"/>
              <w:rPr>
                <w:sz w:val="20"/>
                <w:szCs w:val="20"/>
                <w:color w:val="auto"/>
              </w:rPr>
            </w:pPr>
            <w:r>
              <w:rPr>
                <w:rFonts w:ascii="Arial" w:cs="Arial" w:eastAsia="Arial" w:hAnsi="Arial"/>
                <w:sz w:val="28"/>
                <w:szCs w:val="28"/>
                <w:b w:val="1"/>
                <w:bCs w:val="1"/>
                <w:color w:val="auto"/>
                <w:w w:val="90"/>
                <w:vertAlign w:val="subscript"/>
              </w:rPr>
              <w:t>($)</w:t>
            </w:r>
            <w:r>
              <w:rPr>
                <w:rFonts w:ascii="Arial" w:cs="Arial" w:eastAsia="Arial" w:hAnsi="Arial"/>
                <w:sz w:val="12"/>
                <w:szCs w:val="12"/>
                <w:b w:val="1"/>
                <w:bCs w:val="1"/>
                <w:color w:val="auto"/>
                <w:w w:val="90"/>
              </w:rPr>
              <w:t>(15)</w:t>
            </w:r>
          </w:p>
        </w:tc>
        <w:tc>
          <w:tcPr>
            <w:tcW w:w="140" w:type="dxa"/>
            <w:vAlign w:val="bottom"/>
          </w:tcPr>
          <w:p>
            <w:pPr>
              <w:spacing w:after="0"/>
              <w:rPr>
                <w:sz w:val="22"/>
                <w:szCs w:val="22"/>
                <w:color w:val="auto"/>
              </w:rPr>
            </w:pPr>
          </w:p>
        </w:tc>
        <w:tc>
          <w:tcPr>
            <w:tcW w:w="10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2"/>
                <w:szCs w:val="22"/>
                <w:color w:val="auto"/>
              </w:rPr>
            </w:pPr>
          </w:p>
        </w:tc>
        <w:tc>
          <w:tcPr>
            <w:tcW w:w="102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2"/>
                <w:szCs w:val="22"/>
                <w:color w:val="auto"/>
              </w:rPr>
            </w:pPr>
          </w:p>
        </w:tc>
        <w:tc>
          <w:tcPr>
            <w:tcW w:w="6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22"/>
                <w:szCs w:val="22"/>
                <w:color w:val="auto"/>
              </w:rPr>
            </w:pPr>
          </w:p>
        </w:tc>
      </w:tr>
      <w:tr>
        <w:trPr>
          <w:trHeight w:val="339"/>
        </w:trPr>
        <w:tc>
          <w:tcPr>
            <w:tcW w:w="40" w:type="dxa"/>
            <w:vAlign w:val="bottom"/>
          </w:tcPr>
          <w:p>
            <w:pPr>
              <w:spacing w:after="0"/>
              <w:rPr>
                <w:sz w:val="24"/>
                <w:szCs w:val="24"/>
                <w:color w:val="auto"/>
              </w:rPr>
            </w:pPr>
          </w:p>
        </w:tc>
        <w:tc>
          <w:tcPr>
            <w:tcW w:w="2300" w:type="dxa"/>
            <w:vAlign w:val="bottom"/>
            <w:gridSpan w:val="3"/>
          </w:tcPr>
          <w:p>
            <w:pPr>
              <w:ind w:left="40"/>
              <w:spacing w:after="0"/>
              <w:rPr>
                <w:sz w:val="20"/>
                <w:szCs w:val="20"/>
                <w:color w:val="auto"/>
              </w:rPr>
            </w:pPr>
            <w:r>
              <w:rPr>
                <w:rFonts w:ascii="Arial" w:cs="Arial" w:eastAsia="Arial" w:hAnsi="Arial"/>
                <w:sz w:val="18"/>
                <w:szCs w:val="18"/>
                <w:color w:val="auto"/>
              </w:rPr>
              <w:t>Thomas Glanville</w:t>
            </w:r>
            <w:r>
              <w:rPr>
                <w:rFonts w:ascii="Arial" w:cs="Arial" w:eastAsia="Arial" w:hAnsi="Arial"/>
                <w:sz w:val="29"/>
                <w:szCs w:val="29"/>
                <w:color w:val="auto"/>
                <w:vertAlign w:val="superscript"/>
              </w:rPr>
              <w:t>(1)(2)</w:t>
            </w:r>
          </w:p>
        </w:tc>
        <w:tc>
          <w:tcPr>
            <w:tcW w:w="1040" w:type="dxa"/>
            <w:vAlign w:val="bottom"/>
          </w:tcPr>
          <w:p>
            <w:pPr>
              <w:jc w:val="right"/>
              <w:ind w:right="115"/>
              <w:spacing w:after="0"/>
              <w:rPr>
                <w:sz w:val="20"/>
                <w:szCs w:val="20"/>
                <w:color w:val="auto"/>
              </w:rPr>
            </w:pPr>
            <w:r>
              <w:rPr>
                <w:rFonts w:ascii="Arial" w:cs="Arial" w:eastAsia="Arial" w:hAnsi="Arial"/>
                <w:sz w:val="18"/>
                <w:szCs w:val="18"/>
                <w:color w:val="auto"/>
              </w:rPr>
              <w:t>83,517</w:t>
            </w:r>
          </w:p>
        </w:tc>
        <w:tc>
          <w:tcPr>
            <w:tcW w:w="800" w:type="dxa"/>
            <w:vAlign w:val="bottom"/>
            <w:gridSpan w:val="2"/>
          </w:tcPr>
          <w:p>
            <w:pPr>
              <w:jc w:val="center"/>
              <w:ind w:left="30"/>
              <w:spacing w:after="0"/>
              <w:rPr>
                <w:sz w:val="20"/>
                <w:szCs w:val="20"/>
                <w:color w:val="auto"/>
              </w:rPr>
            </w:pPr>
            <w:r>
              <w:rPr>
                <w:rFonts w:ascii="Arial" w:cs="Arial" w:eastAsia="Arial" w:hAnsi="Arial"/>
                <w:sz w:val="18"/>
                <w:szCs w:val="18"/>
                <w:color w:val="auto"/>
                <w:w w:val="98"/>
              </w:rPr>
              <w:t>129,866</w:t>
            </w:r>
          </w:p>
        </w:tc>
        <w:tc>
          <w:tcPr>
            <w:tcW w:w="140" w:type="dxa"/>
            <w:vAlign w:val="bottom"/>
          </w:tcPr>
          <w:p>
            <w:pPr>
              <w:spacing w:after="0"/>
              <w:rPr>
                <w:sz w:val="24"/>
                <w:szCs w:val="24"/>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213,382</w:t>
            </w:r>
          </w:p>
        </w:tc>
        <w:tc>
          <w:tcPr>
            <w:tcW w:w="80" w:type="dxa"/>
            <w:vAlign w:val="bottom"/>
          </w:tcPr>
          <w:p>
            <w:pPr>
              <w:spacing w:after="0"/>
              <w:rPr>
                <w:sz w:val="24"/>
                <w:szCs w:val="24"/>
                <w:color w:val="auto"/>
              </w:rPr>
            </w:pPr>
          </w:p>
        </w:tc>
      </w:tr>
      <w:tr>
        <w:trPr>
          <w:trHeight w:val="311"/>
        </w:trPr>
        <w:tc>
          <w:tcPr>
            <w:tcW w:w="40" w:type="dxa"/>
            <w:vAlign w:val="bottom"/>
          </w:tcPr>
          <w:p>
            <w:pPr>
              <w:spacing w:after="0"/>
              <w:rPr>
                <w:sz w:val="24"/>
                <w:szCs w:val="24"/>
                <w:color w:val="auto"/>
              </w:rPr>
            </w:pPr>
          </w:p>
        </w:tc>
        <w:tc>
          <w:tcPr>
            <w:tcW w:w="2300" w:type="dxa"/>
            <w:vAlign w:val="bottom"/>
            <w:gridSpan w:val="3"/>
          </w:tcPr>
          <w:p>
            <w:pPr>
              <w:ind w:left="40"/>
              <w:spacing w:after="0" w:line="310" w:lineRule="exact"/>
              <w:rPr>
                <w:sz w:val="20"/>
                <w:szCs w:val="20"/>
                <w:color w:val="auto"/>
              </w:rPr>
            </w:pPr>
            <w:r>
              <w:rPr>
                <w:rFonts w:ascii="Arial" w:cs="Arial" w:eastAsia="Arial" w:hAnsi="Arial"/>
                <w:sz w:val="18"/>
                <w:szCs w:val="18"/>
                <w:color w:val="auto"/>
              </w:rPr>
              <w:t>Frank Jaehnert</w:t>
            </w:r>
            <w:r>
              <w:rPr>
                <w:rFonts w:ascii="Arial" w:cs="Arial" w:eastAsia="Arial" w:hAnsi="Arial"/>
                <w:sz w:val="29"/>
                <w:szCs w:val="29"/>
                <w:color w:val="auto"/>
                <w:vertAlign w:val="superscript"/>
              </w:rPr>
              <w:t>(3)(4)</w:t>
            </w:r>
          </w:p>
        </w:tc>
        <w:tc>
          <w:tcPr>
            <w:tcW w:w="1040" w:type="dxa"/>
            <w:vAlign w:val="bottom"/>
          </w:tcPr>
          <w:p>
            <w:pPr>
              <w:jc w:val="right"/>
              <w:ind w:right="115"/>
              <w:spacing w:after="0"/>
              <w:rPr>
                <w:sz w:val="20"/>
                <w:szCs w:val="20"/>
                <w:color w:val="auto"/>
              </w:rPr>
            </w:pPr>
            <w:r>
              <w:rPr>
                <w:rFonts w:ascii="Arial" w:cs="Arial" w:eastAsia="Arial" w:hAnsi="Arial"/>
                <w:sz w:val="18"/>
                <w:szCs w:val="18"/>
                <w:color w:val="auto"/>
              </w:rPr>
              <w:t>91,500</w:t>
            </w:r>
          </w:p>
        </w:tc>
        <w:tc>
          <w:tcPr>
            <w:tcW w:w="800" w:type="dxa"/>
            <w:vAlign w:val="bottom"/>
            <w:gridSpan w:val="2"/>
          </w:tcPr>
          <w:p>
            <w:pPr>
              <w:jc w:val="center"/>
              <w:ind w:left="30"/>
              <w:spacing w:after="0"/>
              <w:rPr>
                <w:sz w:val="20"/>
                <w:szCs w:val="20"/>
                <w:color w:val="auto"/>
              </w:rPr>
            </w:pPr>
            <w:r>
              <w:rPr>
                <w:rFonts w:ascii="Arial" w:cs="Arial" w:eastAsia="Arial" w:hAnsi="Arial"/>
                <w:sz w:val="18"/>
                <w:szCs w:val="18"/>
                <w:color w:val="auto"/>
                <w:w w:val="98"/>
              </w:rPr>
              <w:t>129,866</w:t>
            </w:r>
          </w:p>
        </w:tc>
        <w:tc>
          <w:tcPr>
            <w:tcW w:w="140" w:type="dxa"/>
            <w:vAlign w:val="bottom"/>
          </w:tcPr>
          <w:p>
            <w:pPr>
              <w:spacing w:after="0"/>
              <w:rPr>
                <w:sz w:val="24"/>
                <w:szCs w:val="24"/>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221,366</w:t>
            </w:r>
          </w:p>
        </w:tc>
        <w:tc>
          <w:tcPr>
            <w:tcW w:w="80" w:type="dxa"/>
            <w:vAlign w:val="bottom"/>
          </w:tcPr>
          <w:p>
            <w:pPr>
              <w:spacing w:after="0"/>
              <w:rPr>
                <w:sz w:val="24"/>
                <w:szCs w:val="24"/>
                <w:color w:val="auto"/>
              </w:rPr>
            </w:pPr>
          </w:p>
        </w:tc>
      </w:tr>
      <w:tr>
        <w:trPr>
          <w:trHeight w:val="310"/>
        </w:trPr>
        <w:tc>
          <w:tcPr>
            <w:tcW w:w="40" w:type="dxa"/>
            <w:vAlign w:val="bottom"/>
          </w:tcPr>
          <w:p>
            <w:pPr>
              <w:spacing w:after="0"/>
              <w:rPr>
                <w:sz w:val="24"/>
                <w:szCs w:val="24"/>
                <w:color w:val="auto"/>
              </w:rPr>
            </w:pPr>
          </w:p>
        </w:tc>
        <w:tc>
          <w:tcPr>
            <w:tcW w:w="2300" w:type="dxa"/>
            <w:vAlign w:val="bottom"/>
            <w:gridSpan w:val="3"/>
          </w:tcPr>
          <w:p>
            <w:pPr>
              <w:ind w:left="40"/>
              <w:spacing w:after="0" w:line="310" w:lineRule="exact"/>
              <w:rPr>
                <w:sz w:val="20"/>
                <w:szCs w:val="20"/>
                <w:color w:val="auto"/>
              </w:rPr>
            </w:pPr>
            <w:r>
              <w:rPr>
                <w:rFonts w:ascii="Arial" w:cs="Arial" w:eastAsia="Arial" w:hAnsi="Arial"/>
                <w:sz w:val="18"/>
                <w:szCs w:val="18"/>
                <w:color w:val="auto"/>
              </w:rPr>
              <w:t>Jerome Lande</w:t>
            </w:r>
            <w:r>
              <w:rPr>
                <w:rFonts w:ascii="Arial" w:cs="Arial" w:eastAsia="Arial" w:hAnsi="Arial"/>
                <w:sz w:val="29"/>
                <w:szCs w:val="29"/>
                <w:color w:val="auto"/>
                <w:vertAlign w:val="superscript"/>
              </w:rPr>
              <w:t>(5)(6)(7)</w:t>
            </w:r>
          </w:p>
        </w:tc>
        <w:tc>
          <w:tcPr>
            <w:tcW w:w="1040" w:type="dxa"/>
            <w:vAlign w:val="bottom"/>
          </w:tcPr>
          <w:p>
            <w:pPr>
              <w:jc w:val="right"/>
              <w:ind w:right="115"/>
              <w:spacing w:after="0"/>
              <w:rPr>
                <w:sz w:val="20"/>
                <w:szCs w:val="20"/>
                <w:color w:val="auto"/>
              </w:rPr>
            </w:pPr>
            <w:r>
              <w:rPr>
                <w:rFonts w:ascii="Arial" w:cs="Arial" w:eastAsia="Arial" w:hAnsi="Arial"/>
                <w:sz w:val="18"/>
                <w:szCs w:val="18"/>
                <w:color w:val="auto"/>
              </w:rPr>
              <w:t>75,000</w:t>
            </w:r>
          </w:p>
        </w:tc>
        <w:tc>
          <w:tcPr>
            <w:tcW w:w="140" w:type="dxa"/>
            <w:vAlign w:val="bottom"/>
          </w:tcPr>
          <w:p>
            <w:pPr>
              <w:spacing w:after="0"/>
              <w:rPr>
                <w:sz w:val="24"/>
                <w:szCs w:val="24"/>
                <w:color w:val="auto"/>
              </w:rPr>
            </w:pPr>
          </w:p>
        </w:tc>
        <w:tc>
          <w:tcPr>
            <w:tcW w:w="8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75,000</w:t>
            </w:r>
          </w:p>
        </w:tc>
        <w:tc>
          <w:tcPr>
            <w:tcW w:w="80" w:type="dxa"/>
            <w:vAlign w:val="bottom"/>
          </w:tcPr>
          <w:p>
            <w:pPr>
              <w:spacing w:after="0"/>
              <w:rPr>
                <w:sz w:val="24"/>
                <w:szCs w:val="24"/>
                <w:color w:val="auto"/>
              </w:rPr>
            </w:pPr>
          </w:p>
        </w:tc>
      </w:tr>
      <w:tr>
        <w:trPr>
          <w:trHeight w:val="311"/>
        </w:trPr>
        <w:tc>
          <w:tcPr>
            <w:tcW w:w="40" w:type="dxa"/>
            <w:vAlign w:val="bottom"/>
          </w:tcPr>
          <w:p>
            <w:pPr>
              <w:spacing w:after="0"/>
              <w:rPr>
                <w:sz w:val="24"/>
                <w:szCs w:val="24"/>
                <w:color w:val="auto"/>
              </w:rPr>
            </w:pPr>
          </w:p>
        </w:tc>
        <w:tc>
          <w:tcPr>
            <w:tcW w:w="2300" w:type="dxa"/>
            <w:vAlign w:val="bottom"/>
            <w:gridSpan w:val="3"/>
          </w:tcPr>
          <w:p>
            <w:pPr>
              <w:ind w:left="40"/>
              <w:spacing w:after="0" w:line="310" w:lineRule="exact"/>
              <w:rPr>
                <w:sz w:val="20"/>
                <w:szCs w:val="20"/>
                <w:color w:val="auto"/>
              </w:rPr>
            </w:pPr>
            <w:r>
              <w:rPr>
                <w:rFonts w:ascii="Arial" w:cs="Arial" w:eastAsia="Arial" w:hAnsi="Arial"/>
                <w:sz w:val="18"/>
                <w:szCs w:val="18"/>
                <w:color w:val="auto"/>
              </w:rPr>
              <w:t>Timothy Leyden</w:t>
            </w:r>
            <w:r>
              <w:rPr>
                <w:rFonts w:ascii="Arial" w:cs="Arial" w:eastAsia="Arial" w:hAnsi="Arial"/>
                <w:sz w:val="29"/>
                <w:szCs w:val="29"/>
                <w:color w:val="auto"/>
                <w:vertAlign w:val="superscript"/>
              </w:rPr>
              <w:t>(8)</w:t>
            </w:r>
          </w:p>
        </w:tc>
        <w:tc>
          <w:tcPr>
            <w:tcW w:w="1040" w:type="dxa"/>
            <w:vAlign w:val="bottom"/>
          </w:tcPr>
          <w:p>
            <w:pPr>
              <w:jc w:val="right"/>
              <w:ind w:right="115"/>
              <w:spacing w:after="0"/>
              <w:rPr>
                <w:sz w:val="20"/>
                <w:szCs w:val="20"/>
                <w:color w:val="auto"/>
              </w:rPr>
            </w:pPr>
            <w:r>
              <w:rPr>
                <w:rFonts w:ascii="Arial" w:cs="Arial" w:eastAsia="Arial" w:hAnsi="Arial"/>
                <w:sz w:val="18"/>
                <w:szCs w:val="18"/>
                <w:color w:val="auto"/>
              </w:rPr>
              <w:t>84,725</w:t>
            </w:r>
          </w:p>
        </w:tc>
        <w:tc>
          <w:tcPr>
            <w:tcW w:w="800" w:type="dxa"/>
            <w:vAlign w:val="bottom"/>
            <w:gridSpan w:val="2"/>
          </w:tcPr>
          <w:p>
            <w:pPr>
              <w:jc w:val="center"/>
              <w:ind w:left="30"/>
              <w:spacing w:after="0"/>
              <w:rPr>
                <w:sz w:val="20"/>
                <w:szCs w:val="20"/>
                <w:color w:val="auto"/>
              </w:rPr>
            </w:pPr>
            <w:r>
              <w:rPr>
                <w:rFonts w:ascii="Arial" w:cs="Arial" w:eastAsia="Arial" w:hAnsi="Arial"/>
                <w:sz w:val="18"/>
                <w:szCs w:val="18"/>
                <w:color w:val="auto"/>
                <w:w w:val="98"/>
              </w:rPr>
              <w:t>129,866</w:t>
            </w:r>
          </w:p>
        </w:tc>
        <w:tc>
          <w:tcPr>
            <w:tcW w:w="140" w:type="dxa"/>
            <w:vAlign w:val="bottom"/>
          </w:tcPr>
          <w:p>
            <w:pPr>
              <w:spacing w:after="0"/>
              <w:rPr>
                <w:sz w:val="24"/>
                <w:szCs w:val="24"/>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214,591</w:t>
            </w:r>
          </w:p>
        </w:tc>
        <w:tc>
          <w:tcPr>
            <w:tcW w:w="80" w:type="dxa"/>
            <w:vAlign w:val="bottom"/>
          </w:tcPr>
          <w:p>
            <w:pPr>
              <w:spacing w:after="0"/>
              <w:rPr>
                <w:sz w:val="24"/>
                <w:szCs w:val="24"/>
                <w:color w:val="auto"/>
              </w:rPr>
            </w:pPr>
          </w:p>
        </w:tc>
      </w:tr>
      <w:tr>
        <w:trPr>
          <w:trHeight w:val="311"/>
        </w:trPr>
        <w:tc>
          <w:tcPr>
            <w:tcW w:w="40" w:type="dxa"/>
            <w:vAlign w:val="bottom"/>
          </w:tcPr>
          <w:p>
            <w:pPr>
              <w:spacing w:after="0"/>
              <w:rPr>
                <w:sz w:val="24"/>
                <w:szCs w:val="24"/>
                <w:color w:val="auto"/>
              </w:rPr>
            </w:pPr>
          </w:p>
        </w:tc>
        <w:tc>
          <w:tcPr>
            <w:tcW w:w="2300" w:type="dxa"/>
            <w:vAlign w:val="bottom"/>
            <w:gridSpan w:val="3"/>
          </w:tcPr>
          <w:p>
            <w:pPr>
              <w:ind w:left="40"/>
              <w:spacing w:after="0" w:line="310" w:lineRule="exact"/>
              <w:rPr>
                <w:sz w:val="20"/>
                <w:szCs w:val="20"/>
                <w:color w:val="auto"/>
              </w:rPr>
            </w:pPr>
            <w:r>
              <w:rPr>
                <w:rFonts w:ascii="Arial" w:cs="Arial" w:eastAsia="Arial" w:hAnsi="Arial"/>
                <w:sz w:val="18"/>
                <w:szCs w:val="18"/>
                <w:color w:val="auto"/>
              </w:rPr>
              <w:t>Daniel Pelino</w:t>
            </w:r>
            <w:r>
              <w:rPr>
                <w:rFonts w:ascii="Arial" w:cs="Arial" w:eastAsia="Arial" w:hAnsi="Arial"/>
                <w:sz w:val="29"/>
                <w:szCs w:val="29"/>
                <w:color w:val="auto"/>
                <w:vertAlign w:val="superscript"/>
              </w:rPr>
              <w:t>(3)(9)</w:t>
            </w:r>
          </w:p>
        </w:tc>
        <w:tc>
          <w:tcPr>
            <w:tcW w:w="1040" w:type="dxa"/>
            <w:vAlign w:val="bottom"/>
          </w:tcPr>
          <w:p>
            <w:pPr>
              <w:jc w:val="right"/>
              <w:ind w:right="115"/>
              <w:spacing w:after="0"/>
              <w:rPr>
                <w:sz w:val="20"/>
                <w:szCs w:val="20"/>
                <w:color w:val="auto"/>
              </w:rPr>
            </w:pPr>
            <w:r>
              <w:rPr>
                <w:rFonts w:ascii="Arial" w:cs="Arial" w:eastAsia="Arial" w:hAnsi="Arial"/>
                <w:sz w:val="18"/>
                <w:szCs w:val="18"/>
                <w:color w:val="auto"/>
              </w:rPr>
              <w:t>76,500</w:t>
            </w:r>
          </w:p>
        </w:tc>
        <w:tc>
          <w:tcPr>
            <w:tcW w:w="800" w:type="dxa"/>
            <w:vAlign w:val="bottom"/>
            <w:gridSpan w:val="2"/>
          </w:tcPr>
          <w:p>
            <w:pPr>
              <w:jc w:val="center"/>
              <w:ind w:left="30"/>
              <w:spacing w:after="0"/>
              <w:rPr>
                <w:sz w:val="20"/>
                <w:szCs w:val="20"/>
                <w:color w:val="auto"/>
              </w:rPr>
            </w:pPr>
            <w:r>
              <w:rPr>
                <w:rFonts w:ascii="Arial" w:cs="Arial" w:eastAsia="Arial" w:hAnsi="Arial"/>
                <w:sz w:val="18"/>
                <w:szCs w:val="18"/>
                <w:color w:val="auto"/>
                <w:w w:val="98"/>
              </w:rPr>
              <w:t>129,866</w:t>
            </w:r>
          </w:p>
        </w:tc>
        <w:tc>
          <w:tcPr>
            <w:tcW w:w="140" w:type="dxa"/>
            <w:vAlign w:val="bottom"/>
          </w:tcPr>
          <w:p>
            <w:pPr>
              <w:spacing w:after="0"/>
              <w:rPr>
                <w:sz w:val="24"/>
                <w:szCs w:val="24"/>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206,366</w:t>
            </w:r>
          </w:p>
        </w:tc>
        <w:tc>
          <w:tcPr>
            <w:tcW w:w="80" w:type="dxa"/>
            <w:vAlign w:val="bottom"/>
          </w:tcPr>
          <w:p>
            <w:pPr>
              <w:spacing w:after="0"/>
              <w:rPr>
                <w:sz w:val="24"/>
                <w:szCs w:val="24"/>
                <w:color w:val="auto"/>
              </w:rPr>
            </w:pPr>
          </w:p>
        </w:tc>
      </w:tr>
      <w:tr>
        <w:trPr>
          <w:trHeight w:val="310"/>
        </w:trPr>
        <w:tc>
          <w:tcPr>
            <w:tcW w:w="40" w:type="dxa"/>
            <w:vAlign w:val="bottom"/>
          </w:tcPr>
          <w:p>
            <w:pPr>
              <w:spacing w:after="0"/>
              <w:rPr>
                <w:sz w:val="24"/>
                <w:szCs w:val="24"/>
                <w:color w:val="auto"/>
              </w:rPr>
            </w:pPr>
          </w:p>
        </w:tc>
        <w:tc>
          <w:tcPr>
            <w:tcW w:w="2300" w:type="dxa"/>
            <w:vAlign w:val="bottom"/>
            <w:gridSpan w:val="3"/>
          </w:tcPr>
          <w:p>
            <w:pPr>
              <w:ind w:left="40"/>
              <w:spacing w:after="0" w:line="310" w:lineRule="exact"/>
              <w:rPr>
                <w:sz w:val="20"/>
                <w:szCs w:val="20"/>
                <w:color w:val="auto"/>
              </w:rPr>
            </w:pPr>
            <w:r>
              <w:rPr>
                <w:rFonts w:ascii="Arial" w:cs="Arial" w:eastAsia="Arial" w:hAnsi="Arial"/>
                <w:sz w:val="18"/>
                <w:szCs w:val="18"/>
                <w:color w:val="auto"/>
              </w:rPr>
              <w:t>Gary Pruitt</w:t>
            </w:r>
            <w:r>
              <w:rPr>
                <w:rFonts w:ascii="Arial" w:cs="Arial" w:eastAsia="Arial" w:hAnsi="Arial"/>
                <w:sz w:val="29"/>
                <w:szCs w:val="29"/>
                <w:color w:val="auto"/>
                <w:vertAlign w:val="superscript"/>
              </w:rPr>
              <w:t>(5)(10)</w:t>
            </w:r>
          </w:p>
        </w:tc>
        <w:tc>
          <w:tcPr>
            <w:tcW w:w="1040" w:type="dxa"/>
            <w:vAlign w:val="bottom"/>
          </w:tcPr>
          <w:p>
            <w:pPr>
              <w:jc w:val="right"/>
              <w:ind w:right="115"/>
              <w:spacing w:after="0"/>
              <w:rPr>
                <w:sz w:val="20"/>
                <w:szCs w:val="20"/>
                <w:color w:val="auto"/>
              </w:rPr>
            </w:pPr>
            <w:r>
              <w:rPr>
                <w:rFonts w:ascii="Arial" w:cs="Arial" w:eastAsia="Arial" w:hAnsi="Arial"/>
                <w:sz w:val="18"/>
                <w:szCs w:val="18"/>
                <w:color w:val="auto"/>
              </w:rPr>
              <w:t>205,000</w:t>
            </w:r>
          </w:p>
        </w:tc>
        <w:tc>
          <w:tcPr>
            <w:tcW w:w="140" w:type="dxa"/>
            <w:vAlign w:val="bottom"/>
          </w:tcPr>
          <w:p>
            <w:pPr>
              <w:spacing w:after="0"/>
              <w:rPr>
                <w:sz w:val="24"/>
                <w:szCs w:val="24"/>
                <w:color w:val="auto"/>
              </w:rPr>
            </w:pPr>
          </w:p>
        </w:tc>
        <w:tc>
          <w:tcPr>
            <w:tcW w:w="8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205,000</w:t>
            </w:r>
          </w:p>
        </w:tc>
        <w:tc>
          <w:tcPr>
            <w:tcW w:w="80" w:type="dxa"/>
            <w:vAlign w:val="bottom"/>
          </w:tcPr>
          <w:p>
            <w:pPr>
              <w:spacing w:after="0"/>
              <w:rPr>
                <w:sz w:val="24"/>
                <w:szCs w:val="24"/>
                <w:color w:val="auto"/>
              </w:rPr>
            </w:pPr>
          </w:p>
        </w:tc>
      </w:tr>
      <w:tr>
        <w:trPr>
          <w:trHeight w:val="311"/>
        </w:trPr>
        <w:tc>
          <w:tcPr>
            <w:tcW w:w="40" w:type="dxa"/>
            <w:vAlign w:val="bottom"/>
          </w:tcPr>
          <w:p>
            <w:pPr>
              <w:spacing w:after="0"/>
              <w:rPr>
                <w:sz w:val="24"/>
                <w:szCs w:val="24"/>
                <w:color w:val="auto"/>
              </w:rPr>
            </w:pPr>
          </w:p>
        </w:tc>
        <w:tc>
          <w:tcPr>
            <w:tcW w:w="2300" w:type="dxa"/>
            <w:vAlign w:val="bottom"/>
            <w:gridSpan w:val="3"/>
          </w:tcPr>
          <w:p>
            <w:pPr>
              <w:ind w:left="40"/>
              <w:spacing w:after="0" w:line="310" w:lineRule="exact"/>
              <w:rPr>
                <w:sz w:val="20"/>
                <w:szCs w:val="20"/>
                <w:color w:val="auto"/>
              </w:rPr>
            </w:pPr>
            <w:r>
              <w:rPr>
                <w:rFonts w:ascii="Arial" w:cs="Arial" w:eastAsia="Arial" w:hAnsi="Arial"/>
                <w:sz w:val="18"/>
                <w:szCs w:val="18"/>
                <w:color w:val="auto"/>
              </w:rPr>
              <w:t>Diana Tremblay</w:t>
            </w:r>
            <w:r>
              <w:rPr>
                <w:rFonts w:ascii="Arial" w:cs="Arial" w:eastAsia="Arial" w:hAnsi="Arial"/>
                <w:sz w:val="29"/>
                <w:szCs w:val="29"/>
                <w:color w:val="auto"/>
                <w:vertAlign w:val="superscript"/>
              </w:rPr>
              <w:t>(11)</w:t>
            </w:r>
          </w:p>
        </w:tc>
        <w:tc>
          <w:tcPr>
            <w:tcW w:w="1040" w:type="dxa"/>
            <w:vAlign w:val="bottom"/>
          </w:tcPr>
          <w:p>
            <w:pPr>
              <w:jc w:val="right"/>
              <w:ind w:right="115"/>
              <w:spacing w:after="0"/>
              <w:rPr>
                <w:sz w:val="20"/>
                <w:szCs w:val="20"/>
                <w:color w:val="auto"/>
              </w:rPr>
            </w:pPr>
            <w:r>
              <w:rPr>
                <w:rFonts w:ascii="Arial" w:cs="Arial" w:eastAsia="Arial" w:hAnsi="Arial"/>
                <w:sz w:val="18"/>
                <w:szCs w:val="18"/>
                <w:color w:val="auto"/>
              </w:rPr>
              <w:t>86,500</w:t>
            </w:r>
          </w:p>
        </w:tc>
        <w:tc>
          <w:tcPr>
            <w:tcW w:w="800" w:type="dxa"/>
            <w:vAlign w:val="bottom"/>
            <w:gridSpan w:val="2"/>
          </w:tcPr>
          <w:p>
            <w:pPr>
              <w:jc w:val="center"/>
              <w:ind w:left="30"/>
              <w:spacing w:after="0"/>
              <w:rPr>
                <w:sz w:val="20"/>
                <w:szCs w:val="20"/>
                <w:color w:val="auto"/>
              </w:rPr>
            </w:pPr>
            <w:r>
              <w:rPr>
                <w:rFonts w:ascii="Arial" w:cs="Arial" w:eastAsia="Arial" w:hAnsi="Arial"/>
                <w:sz w:val="18"/>
                <w:szCs w:val="18"/>
                <w:color w:val="auto"/>
                <w:w w:val="98"/>
              </w:rPr>
              <w:t>129,866</w:t>
            </w:r>
          </w:p>
        </w:tc>
        <w:tc>
          <w:tcPr>
            <w:tcW w:w="140" w:type="dxa"/>
            <w:vAlign w:val="bottom"/>
          </w:tcPr>
          <w:p>
            <w:pPr>
              <w:spacing w:after="0"/>
              <w:rPr>
                <w:sz w:val="24"/>
                <w:szCs w:val="24"/>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216,366</w:t>
            </w:r>
          </w:p>
        </w:tc>
        <w:tc>
          <w:tcPr>
            <w:tcW w:w="80" w:type="dxa"/>
            <w:vAlign w:val="bottom"/>
          </w:tcPr>
          <w:p>
            <w:pPr>
              <w:spacing w:after="0"/>
              <w:rPr>
                <w:sz w:val="24"/>
                <w:szCs w:val="24"/>
                <w:color w:val="auto"/>
              </w:rPr>
            </w:pPr>
          </w:p>
        </w:tc>
      </w:tr>
      <w:tr>
        <w:trPr>
          <w:trHeight w:val="262"/>
        </w:trPr>
        <w:tc>
          <w:tcPr>
            <w:tcW w:w="40" w:type="dxa"/>
            <w:vAlign w:val="bottom"/>
            <w:tcBorders>
              <w:bottom w:val="single" w:sz="8" w:color="auto"/>
            </w:tcBorders>
          </w:tcPr>
          <w:p>
            <w:pPr>
              <w:spacing w:after="0"/>
              <w:rPr>
                <w:sz w:val="22"/>
                <w:szCs w:val="22"/>
                <w:color w:val="auto"/>
              </w:rPr>
            </w:pPr>
          </w:p>
        </w:tc>
        <w:tc>
          <w:tcPr>
            <w:tcW w:w="2300" w:type="dxa"/>
            <w:vAlign w:val="bottom"/>
            <w:tcBorders>
              <w:bottom w:val="single" w:sz="8" w:color="auto"/>
            </w:tcBorders>
            <w:gridSpan w:val="3"/>
          </w:tcPr>
          <w:p>
            <w:pPr>
              <w:ind w:left="40"/>
              <w:spacing w:after="0" w:line="262" w:lineRule="exact"/>
              <w:rPr>
                <w:sz w:val="20"/>
                <w:szCs w:val="20"/>
                <w:color w:val="auto"/>
              </w:rPr>
            </w:pPr>
            <w:r>
              <w:rPr>
                <w:rFonts w:ascii="Arial" w:cs="Arial" w:eastAsia="Arial" w:hAnsi="Arial"/>
                <w:sz w:val="18"/>
                <w:szCs w:val="18"/>
                <w:color w:val="auto"/>
              </w:rPr>
              <w:t>Lynda Ziegler</w:t>
            </w:r>
            <w:r>
              <w:rPr>
                <w:rFonts w:ascii="Arial" w:cs="Arial" w:eastAsia="Arial" w:hAnsi="Arial"/>
                <w:sz w:val="29"/>
                <w:szCs w:val="29"/>
                <w:color w:val="auto"/>
                <w:vertAlign w:val="superscript"/>
              </w:rPr>
              <w:t>(12)(13)</w:t>
            </w:r>
          </w:p>
        </w:tc>
        <w:tc>
          <w:tcPr>
            <w:tcW w:w="104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rPr>
              <w:t>120,000</w:t>
            </w:r>
          </w:p>
        </w:tc>
        <w:tc>
          <w:tcPr>
            <w:tcW w:w="800" w:type="dxa"/>
            <w:vAlign w:val="bottom"/>
            <w:tcBorders>
              <w:bottom w:val="single" w:sz="8" w:color="auto"/>
            </w:tcBorders>
            <w:gridSpan w:val="2"/>
          </w:tcPr>
          <w:p>
            <w:pPr>
              <w:jc w:val="center"/>
              <w:ind w:left="30"/>
              <w:spacing w:after="0"/>
              <w:rPr>
                <w:sz w:val="20"/>
                <w:szCs w:val="20"/>
                <w:color w:val="auto"/>
              </w:rPr>
            </w:pPr>
            <w:r>
              <w:rPr>
                <w:rFonts w:ascii="Arial" w:cs="Arial" w:eastAsia="Arial" w:hAnsi="Arial"/>
                <w:sz w:val="18"/>
                <w:szCs w:val="18"/>
                <w:color w:val="auto"/>
                <w:w w:val="98"/>
              </w:rPr>
              <w:t>174,876</w:t>
            </w: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gridSpan w:val="2"/>
          </w:tcPr>
          <w:p>
            <w:pPr>
              <w:jc w:val="right"/>
              <w:ind w:right="56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gridSpan w:val="2"/>
          </w:tcPr>
          <w:p>
            <w:pPr>
              <w:jc w:val="right"/>
              <w:ind w:right="56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294,876</w:t>
            </w:r>
          </w:p>
        </w:tc>
        <w:tc>
          <w:tcPr>
            <w:tcW w:w="80" w:type="dxa"/>
            <w:vAlign w:val="bottom"/>
            <w:tcBorders>
              <w:bottom w:val="single" w:sz="8" w:color="auto"/>
            </w:tcBorders>
          </w:tcPr>
          <w:p>
            <w:pPr>
              <w:spacing w:after="0"/>
              <w:rPr>
                <w:sz w:val="22"/>
                <w:szCs w:val="22"/>
                <w:color w:val="auto"/>
              </w:rPr>
            </w:pPr>
          </w:p>
        </w:tc>
      </w:tr>
      <w:tr>
        <w:trPr>
          <w:trHeight w:val="169"/>
        </w:trPr>
        <w:tc>
          <w:tcPr>
            <w:tcW w:w="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r>
    </w:tbl>
    <w:p>
      <w:pPr>
        <w:spacing w:after="0" w:line="95" w:lineRule="exact"/>
        <w:rPr>
          <w:sz w:val="20"/>
          <w:szCs w:val="20"/>
          <w:color w:val="auto"/>
        </w:rPr>
      </w:pPr>
    </w:p>
    <w:p>
      <w:pPr>
        <w:ind w:left="346" w:right="240" w:hanging="346"/>
        <w:spacing w:after="0" w:line="291" w:lineRule="auto"/>
        <w:tabs>
          <w:tab w:leader="none" w:pos="346" w:val="left"/>
        </w:tabs>
        <w:numPr>
          <w:ilvl w:val="0"/>
          <w:numId w:val="12"/>
        </w:numPr>
        <w:rPr>
          <w:rFonts w:ascii="Arial" w:cs="Arial" w:eastAsia="Arial" w:hAnsi="Arial"/>
          <w:sz w:val="14"/>
          <w:szCs w:val="14"/>
          <w:color w:val="auto"/>
        </w:rPr>
      </w:pPr>
      <w:r>
        <w:rPr>
          <w:rFonts w:ascii="Arial" w:cs="Arial" w:eastAsia="Arial" w:hAnsi="Arial"/>
          <w:sz w:val="14"/>
          <w:szCs w:val="14"/>
          <w:color w:val="auto"/>
        </w:rPr>
        <w:t>Chair of the Audit/Finance Committee for first half of 2020 until May 24, 2020 and member of Audit/Finance Committee for remainder of year.</w:t>
      </w:r>
    </w:p>
    <w:p>
      <w:pPr>
        <w:spacing w:after="0" w:line="1" w:lineRule="exact"/>
        <w:rPr>
          <w:rFonts w:ascii="Arial" w:cs="Arial" w:eastAsia="Arial" w:hAnsi="Arial"/>
          <w:sz w:val="14"/>
          <w:szCs w:val="14"/>
          <w:color w:val="auto"/>
        </w:rPr>
      </w:pPr>
    </w:p>
    <w:p>
      <w:pPr>
        <w:ind w:left="346" w:hanging="346"/>
        <w:spacing w:after="0"/>
        <w:tabs>
          <w:tab w:leader="none" w:pos="346" w:val="left"/>
        </w:tabs>
        <w:numPr>
          <w:ilvl w:val="0"/>
          <w:numId w:val="12"/>
        </w:numPr>
        <w:rPr>
          <w:rFonts w:ascii="Arial" w:cs="Arial" w:eastAsia="Arial" w:hAnsi="Arial"/>
          <w:sz w:val="14"/>
          <w:szCs w:val="14"/>
          <w:color w:val="auto"/>
        </w:rPr>
      </w:pPr>
      <w:r>
        <w:rPr>
          <w:rFonts w:ascii="Arial" w:cs="Arial" w:eastAsia="Arial" w:hAnsi="Arial"/>
          <w:sz w:val="14"/>
          <w:szCs w:val="14"/>
          <w:color w:val="auto"/>
        </w:rPr>
        <w:t>Became member of the Nominating and Corporate Governance Committee for second half of 2020.</w:t>
      </w:r>
    </w:p>
    <w:p>
      <w:pPr>
        <w:spacing w:after="0" w:line="82" w:lineRule="exact"/>
        <w:rPr>
          <w:rFonts w:ascii="Arial" w:cs="Arial" w:eastAsia="Arial" w:hAnsi="Arial"/>
          <w:sz w:val="14"/>
          <w:szCs w:val="14"/>
          <w:color w:val="auto"/>
        </w:rPr>
      </w:pPr>
    </w:p>
    <w:p>
      <w:pPr>
        <w:ind w:left="346" w:hanging="346"/>
        <w:spacing w:after="0"/>
        <w:tabs>
          <w:tab w:leader="none" w:pos="346" w:val="left"/>
        </w:tabs>
        <w:numPr>
          <w:ilvl w:val="0"/>
          <w:numId w:val="12"/>
        </w:numPr>
        <w:rPr>
          <w:rFonts w:ascii="Arial" w:cs="Arial" w:eastAsia="Arial" w:hAnsi="Arial"/>
          <w:sz w:val="14"/>
          <w:szCs w:val="14"/>
          <w:color w:val="auto"/>
        </w:rPr>
      </w:pPr>
      <w:r>
        <w:rPr>
          <w:rFonts w:ascii="Arial" w:cs="Arial" w:eastAsia="Arial" w:hAnsi="Arial"/>
          <w:sz w:val="14"/>
          <w:szCs w:val="14"/>
          <w:color w:val="auto"/>
        </w:rPr>
        <w:t>Member of the Compensation Committee.</w:t>
      </w:r>
    </w:p>
    <w:p>
      <w:pPr>
        <w:spacing w:after="0" w:line="68" w:lineRule="exact"/>
        <w:rPr>
          <w:rFonts w:ascii="Arial" w:cs="Arial" w:eastAsia="Arial" w:hAnsi="Arial"/>
          <w:sz w:val="14"/>
          <w:szCs w:val="14"/>
          <w:color w:val="auto"/>
        </w:rPr>
      </w:pPr>
    </w:p>
    <w:p>
      <w:pPr>
        <w:ind w:left="346" w:hanging="346"/>
        <w:spacing w:after="0"/>
        <w:tabs>
          <w:tab w:leader="none" w:pos="346" w:val="left"/>
        </w:tabs>
        <w:numPr>
          <w:ilvl w:val="0"/>
          <w:numId w:val="12"/>
        </w:numPr>
        <w:rPr>
          <w:rFonts w:ascii="Arial" w:cs="Arial" w:eastAsia="Arial" w:hAnsi="Arial"/>
          <w:sz w:val="14"/>
          <w:szCs w:val="14"/>
          <w:color w:val="auto"/>
        </w:rPr>
      </w:pPr>
      <w:r>
        <w:rPr>
          <w:rFonts w:ascii="Arial" w:cs="Arial" w:eastAsia="Arial" w:hAnsi="Arial"/>
          <w:sz w:val="14"/>
          <w:szCs w:val="14"/>
          <w:color w:val="auto"/>
        </w:rPr>
        <w:t>Chair of the Nominating and Corporate Governance Committee.</w:t>
      </w:r>
    </w:p>
    <w:p>
      <w:pPr>
        <w:spacing w:after="0" w:line="68" w:lineRule="exact"/>
        <w:rPr>
          <w:rFonts w:ascii="Arial" w:cs="Arial" w:eastAsia="Arial" w:hAnsi="Arial"/>
          <w:sz w:val="14"/>
          <w:szCs w:val="14"/>
          <w:color w:val="auto"/>
        </w:rPr>
      </w:pPr>
    </w:p>
    <w:p>
      <w:pPr>
        <w:ind w:left="346" w:hanging="346"/>
        <w:spacing w:after="0"/>
        <w:tabs>
          <w:tab w:leader="none" w:pos="346" w:val="left"/>
        </w:tabs>
        <w:numPr>
          <w:ilvl w:val="0"/>
          <w:numId w:val="12"/>
        </w:numPr>
        <w:rPr>
          <w:rFonts w:ascii="Arial" w:cs="Arial" w:eastAsia="Arial" w:hAnsi="Arial"/>
          <w:sz w:val="14"/>
          <w:szCs w:val="14"/>
          <w:color w:val="auto"/>
        </w:rPr>
      </w:pPr>
      <w:r>
        <w:rPr>
          <w:rFonts w:ascii="Arial" w:cs="Arial" w:eastAsia="Arial" w:hAnsi="Arial"/>
          <w:sz w:val="14"/>
          <w:szCs w:val="14"/>
          <w:color w:val="auto"/>
        </w:rPr>
        <w:t>Member of the Audit/Finance Committee.</w:t>
      </w:r>
    </w:p>
    <w:p>
      <w:pPr>
        <w:spacing w:after="0" w:line="82" w:lineRule="exact"/>
        <w:rPr>
          <w:rFonts w:ascii="Arial" w:cs="Arial" w:eastAsia="Arial" w:hAnsi="Arial"/>
          <w:sz w:val="14"/>
          <w:szCs w:val="14"/>
          <w:color w:val="auto"/>
        </w:rPr>
      </w:pPr>
    </w:p>
    <w:p>
      <w:pPr>
        <w:ind w:left="346" w:right="160" w:hanging="346"/>
        <w:spacing w:after="0" w:line="291" w:lineRule="auto"/>
        <w:tabs>
          <w:tab w:leader="none" w:pos="346" w:val="left"/>
        </w:tabs>
        <w:numPr>
          <w:ilvl w:val="0"/>
          <w:numId w:val="12"/>
        </w:numPr>
        <w:rPr>
          <w:rFonts w:ascii="Arial" w:cs="Arial" w:eastAsia="Arial" w:hAnsi="Arial"/>
          <w:sz w:val="14"/>
          <w:szCs w:val="14"/>
          <w:color w:val="auto"/>
        </w:rPr>
      </w:pPr>
      <w:r>
        <w:rPr>
          <w:rFonts w:ascii="Arial" w:cs="Arial" w:eastAsia="Arial" w:hAnsi="Arial"/>
          <w:sz w:val="14"/>
          <w:szCs w:val="14"/>
          <w:color w:val="auto"/>
        </w:rPr>
        <w:t>Mr. Lande was initially appointed to the Board pursuant to a cooperation agreement with Coppersmith Capital Management, LLC, Scopia Management, Inc., and Jerome J. Lande.</w:t>
      </w:r>
    </w:p>
    <w:p>
      <w:pPr>
        <w:spacing w:after="0" w:line="1" w:lineRule="exact"/>
        <w:rPr>
          <w:rFonts w:ascii="Arial" w:cs="Arial" w:eastAsia="Arial" w:hAnsi="Arial"/>
          <w:sz w:val="14"/>
          <w:szCs w:val="14"/>
          <w:color w:val="auto"/>
        </w:rPr>
      </w:pPr>
    </w:p>
    <w:p>
      <w:pPr>
        <w:ind w:left="346" w:right="300" w:hanging="346"/>
        <w:spacing w:after="0" w:line="291" w:lineRule="auto"/>
        <w:tabs>
          <w:tab w:leader="none" w:pos="346" w:val="left"/>
        </w:tabs>
        <w:numPr>
          <w:ilvl w:val="0"/>
          <w:numId w:val="12"/>
        </w:numPr>
        <w:rPr>
          <w:rFonts w:ascii="Arial" w:cs="Arial" w:eastAsia="Arial" w:hAnsi="Arial"/>
          <w:sz w:val="14"/>
          <w:szCs w:val="14"/>
          <w:color w:val="auto"/>
        </w:rPr>
      </w:pPr>
      <w:r>
        <w:rPr>
          <w:rFonts w:ascii="Arial" w:cs="Arial" w:eastAsia="Arial" w:hAnsi="Arial"/>
          <w:sz w:val="14"/>
          <w:szCs w:val="14"/>
          <w:color w:val="auto"/>
        </w:rPr>
        <w:t>Mr. Lande waived equity grants through November 1, 2020, but received a pro-rated stock award with a value of $21,549 for the fourth quarter of 2020 that was granted in the first quarter of 2021. His cash retainers were paid directly to Scopia Capital Management LP.</w:t>
      </w:r>
    </w:p>
    <w:p>
      <w:pPr>
        <w:spacing w:after="0" w:line="1" w:lineRule="exact"/>
        <w:rPr>
          <w:rFonts w:ascii="Arial" w:cs="Arial" w:eastAsia="Arial" w:hAnsi="Arial"/>
          <w:sz w:val="14"/>
          <w:szCs w:val="14"/>
          <w:color w:val="auto"/>
        </w:rPr>
      </w:pPr>
    </w:p>
    <w:p>
      <w:pPr>
        <w:ind w:left="346" w:hanging="346"/>
        <w:spacing w:after="0"/>
        <w:tabs>
          <w:tab w:leader="none" w:pos="346" w:val="left"/>
        </w:tabs>
        <w:numPr>
          <w:ilvl w:val="0"/>
          <w:numId w:val="12"/>
        </w:numPr>
        <w:rPr>
          <w:rFonts w:ascii="Arial" w:cs="Arial" w:eastAsia="Arial" w:hAnsi="Arial"/>
          <w:sz w:val="14"/>
          <w:szCs w:val="14"/>
          <w:color w:val="auto"/>
        </w:rPr>
      </w:pPr>
      <w:r>
        <w:rPr>
          <w:rFonts w:ascii="Arial" w:cs="Arial" w:eastAsia="Arial" w:hAnsi="Arial"/>
          <w:sz w:val="14"/>
          <w:szCs w:val="14"/>
          <w:color w:val="auto"/>
        </w:rPr>
        <w:t>Member of the Audit/Finance Committee until elected chair of the Audit/Finance Committee on May 24, 2020</w:t>
      </w:r>
    </w:p>
    <w:p>
      <w:pPr>
        <w:spacing w:after="0" w:line="82" w:lineRule="exact"/>
        <w:rPr>
          <w:rFonts w:ascii="Arial" w:cs="Arial" w:eastAsia="Arial" w:hAnsi="Arial"/>
          <w:sz w:val="14"/>
          <w:szCs w:val="14"/>
          <w:color w:val="auto"/>
        </w:rPr>
      </w:pPr>
    </w:p>
    <w:p>
      <w:pPr>
        <w:ind w:left="346" w:hanging="346"/>
        <w:spacing w:after="0"/>
        <w:tabs>
          <w:tab w:leader="none" w:pos="346" w:val="left"/>
        </w:tabs>
        <w:numPr>
          <w:ilvl w:val="0"/>
          <w:numId w:val="12"/>
        </w:numPr>
        <w:rPr>
          <w:rFonts w:ascii="Arial" w:cs="Arial" w:eastAsia="Arial" w:hAnsi="Arial"/>
          <w:sz w:val="14"/>
          <w:szCs w:val="14"/>
          <w:color w:val="auto"/>
        </w:rPr>
      </w:pPr>
      <w:r>
        <w:rPr>
          <w:rFonts w:ascii="Arial" w:cs="Arial" w:eastAsia="Arial" w:hAnsi="Arial"/>
          <w:sz w:val="14"/>
          <w:szCs w:val="14"/>
          <w:color w:val="auto"/>
        </w:rPr>
        <w:t>Member of the Nominating and Corporate Governance Committee.</w:t>
      </w:r>
    </w:p>
    <w:p>
      <w:pPr>
        <w:spacing w:after="0" w:line="68" w:lineRule="exact"/>
        <w:rPr>
          <w:rFonts w:ascii="Arial" w:cs="Arial" w:eastAsia="Arial" w:hAnsi="Arial"/>
          <w:sz w:val="14"/>
          <w:szCs w:val="14"/>
          <w:color w:val="auto"/>
        </w:rPr>
      </w:pPr>
    </w:p>
    <w:p>
      <w:pPr>
        <w:ind w:left="346" w:hanging="346"/>
        <w:spacing w:after="0"/>
        <w:tabs>
          <w:tab w:leader="none" w:pos="346" w:val="left"/>
        </w:tabs>
        <w:numPr>
          <w:ilvl w:val="0"/>
          <w:numId w:val="12"/>
        </w:numPr>
        <w:rPr>
          <w:rFonts w:ascii="Arial" w:cs="Arial" w:eastAsia="Arial" w:hAnsi="Arial"/>
          <w:sz w:val="14"/>
          <w:szCs w:val="14"/>
          <w:color w:val="auto"/>
        </w:rPr>
      </w:pPr>
      <w:r>
        <w:rPr>
          <w:rFonts w:ascii="Arial" w:cs="Arial" w:eastAsia="Arial" w:hAnsi="Arial"/>
          <w:sz w:val="14"/>
          <w:szCs w:val="14"/>
          <w:color w:val="auto"/>
        </w:rPr>
        <w:t>Mr. Pruitt elected to receive his 2020 equity awards in cash.</w:t>
      </w:r>
    </w:p>
    <w:p>
      <w:pPr>
        <w:spacing w:after="0" w:line="68" w:lineRule="exact"/>
        <w:rPr>
          <w:rFonts w:ascii="Arial" w:cs="Arial" w:eastAsia="Arial" w:hAnsi="Arial"/>
          <w:sz w:val="14"/>
          <w:szCs w:val="14"/>
          <w:color w:val="auto"/>
        </w:rPr>
      </w:pPr>
    </w:p>
    <w:p>
      <w:pPr>
        <w:ind w:left="346" w:hanging="346"/>
        <w:spacing w:after="0"/>
        <w:tabs>
          <w:tab w:leader="none" w:pos="346" w:val="left"/>
        </w:tabs>
        <w:numPr>
          <w:ilvl w:val="0"/>
          <w:numId w:val="12"/>
        </w:numPr>
        <w:rPr>
          <w:rFonts w:ascii="Arial" w:cs="Arial" w:eastAsia="Arial" w:hAnsi="Arial"/>
          <w:sz w:val="14"/>
          <w:szCs w:val="14"/>
          <w:color w:val="auto"/>
        </w:rPr>
      </w:pPr>
      <w:r>
        <w:rPr>
          <w:rFonts w:ascii="Arial" w:cs="Arial" w:eastAsia="Arial" w:hAnsi="Arial"/>
          <w:sz w:val="14"/>
          <w:szCs w:val="14"/>
          <w:color w:val="auto"/>
        </w:rPr>
        <w:t>Chair of the Compensation Committee.</w:t>
      </w:r>
    </w:p>
    <w:p>
      <w:pPr>
        <w:spacing w:after="0" w:line="82" w:lineRule="exact"/>
        <w:rPr>
          <w:rFonts w:ascii="Arial" w:cs="Arial" w:eastAsia="Arial" w:hAnsi="Arial"/>
          <w:sz w:val="14"/>
          <w:szCs w:val="14"/>
          <w:color w:val="auto"/>
        </w:rPr>
      </w:pPr>
    </w:p>
    <w:p>
      <w:pPr>
        <w:ind w:left="346" w:right="260" w:hanging="346"/>
        <w:spacing w:after="0" w:line="291" w:lineRule="auto"/>
        <w:tabs>
          <w:tab w:leader="none" w:pos="346" w:val="left"/>
        </w:tabs>
        <w:numPr>
          <w:ilvl w:val="0"/>
          <w:numId w:val="12"/>
        </w:numPr>
        <w:rPr>
          <w:rFonts w:ascii="Arial" w:cs="Arial" w:eastAsia="Arial" w:hAnsi="Arial"/>
          <w:sz w:val="14"/>
          <w:szCs w:val="14"/>
          <w:color w:val="auto"/>
        </w:rPr>
      </w:pPr>
      <w:r>
        <w:rPr>
          <w:rFonts w:ascii="Arial" w:cs="Arial" w:eastAsia="Arial" w:hAnsi="Arial"/>
          <w:sz w:val="14"/>
          <w:szCs w:val="14"/>
          <w:color w:val="auto"/>
        </w:rPr>
        <w:t>Ms. Ziegler served as a member of the Nominating and Corporate Governance Committee but was not compensated for her service on that committee.</w:t>
      </w:r>
    </w:p>
    <w:p>
      <w:pPr>
        <w:spacing w:after="0" w:line="1" w:lineRule="exact"/>
        <w:rPr>
          <w:rFonts w:ascii="Arial" w:cs="Arial" w:eastAsia="Arial" w:hAnsi="Arial"/>
          <w:sz w:val="14"/>
          <w:szCs w:val="14"/>
          <w:color w:val="auto"/>
        </w:rPr>
      </w:pPr>
    </w:p>
    <w:p>
      <w:pPr>
        <w:ind w:left="346" w:hanging="346"/>
        <w:spacing w:after="0"/>
        <w:tabs>
          <w:tab w:leader="none" w:pos="346" w:val="left"/>
        </w:tabs>
        <w:numPr>
          <w:ilvl w:val="0"/>
          <w:numId w:val="12"/>
        </w:numPr>
        <w:rPr>
          <w:rFonts w:ascii="Arial" w:cs="Arial" w:eastAsia="Arial" w:hAnsi="Arial"/>
          <w:sz w:val="14"/>
          <w:szCs w:val="14"/>
          <w:color w:val="auto"/>
        </w:rPr>
      </w:pPr>
      <w:r>
        <w:rPr>
          <w:rFonts w:ascii="Arial" w:cs="Arial" w:eastAsia="Arial" w:hAnsi="Arial"/>
          <w:sz w:val="14"/>
          <w:szCs w:val="14"/>
          <w:color w:val="auto"/>
        </w:rPr>
        <w:t>Board Chair.</w:t>
      </w:r>
    </w:p>
    <w:p>
      <w:pPr>
        <w:spacing w:after="0" w:line="68" w:lineRule="exact"/>
        <w:rPr>
          <w:rFonts w:ascii="Arial" w:cs="Arial" w:eastAsia="Arial" w:hAnsi="Arial"/>
          <w:sz w:val="14"/>
          <w:szCs w:val="14"/>
          <w:color w:val="auto"/>
        </w:rPr>
      </w:pPr>
    </w:p>
    <w:p>
      <w:pPr>
        <w:ind w:left="346" w:right="140" w:hanging="346"/>
        <w:spacing w:after="0" w:line="266" w:lineRule="auto"/>
        <w:tabs>
          <w:tab w:leader="none" w:pos="346"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amounts in this column reflect the aggregate grant date fair value of the awards determined in accordance with Financial Accounting Standards Board Accounting Standards Codification Topic 718 (FASB ASC Topic 718). Quarterly retainer grants to directors vest immediately.</w:t>
      </w:r>
    </w:p>
    <w:p>
      <w:pPr>
        <w:spacing w:after="0" w:line="31" w:lineRule="exact"/>
        <w:rPr>
          <w:rFonts w:ascii="Arial" w:cs="Arial" w:eastAsia="Arial" w:hAnsi="Arial"/>
          <w:sz w:val="14"/>
          <w:szCs w:val="14"/>
          <w:color w:val="auto"/>
        </w:rPr>
      </w:pPr>
    </w:p>
    <w:p>
      <w:pPr>
        <w:ind w:left="346" w:hanging="346"/>
        <w:spacing w:after="0"/>
        <w:tabs>
          <w:tab w:leader="none" w:pos="346" w:val="left"/>
        </w:tabs>
        <w:numPr>
          <w:ilvl w:val="0"/>
          <w:numId w:val="12"/>
        </w:numPr>
        <w:rPr>
          <w:rFonts w:ascii="Arial" w:cs="Arial" w:eastAsia="Arial" w:hAnsi="Arial"/>
          <w:sz w:val="14"/>
          <w:szCs w:val="14"/>
          <w:color w:val="auto"/>
        </w:rPr>
      </w:pPr>
      <w:r>
        <w:rPr>
          <w:rFonts w:ascii="Arial" w:cs="Arial" w:eastAsia="Arial" w:hAnsi="Arial"/>
          <w:sz w:val="14"/>
          <w:szCs w:val="14"/>
          <w:color w:val="auto"/>
        </w:rPr>
        <w:t>No options were granted to non-employee directors in 2020.</w:t>
      </w:r>
    </w:p>
    <w:p>
      <w:pPr>
        <w:spacing w:after="0" w:line="178"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Stock Ownership Guidelines</w:t>
      </w:r>
    </w:p>
    <w:p>
      <w:pPr>
        <w:spacing w:after="0" w:line="187" w:lineRule="exact"/>
        <w:rPr>
          <w:sz w:val="20"/>
          <w:szCs w:val="20"/>
          <w:color w:val="auto"/>
        </w:rPr>
      </w:pPr>
    </w:p>
    <w:p>
      <w:pPr>
        <w:ind w:left="6" w:right="360"/>
        <w:spacing w:after="0" w:line="243" w:lineRule="auto"/>
        <w:rPr>
          <w:sz w:val="20"/>
          <w:szCs w:val="20"/>
          <w:color w:val="auto"/>
        </w:rPr>
      </w:pPr>
      <w:r>
        <w:rPr>
          <w:rFonts w:ascii="Arial" w:cs="Arial" w:eastAsia="Arial" w:hAnsi="Arial"/>
          <w:sz w:val="18"/>
          <w:szCs w:val="18"/>
          <w:color w:val="auto"/>
        </w:rPr>
        <w:t>Since 2006, we have maintained stock ownership guidelines for our non-employee directors. We expect our directors to accumulate shares equal to five times their annual cash retainer within five years from their initial appointment or election as a director, or to be making progress towards meeting the guidelines. Based on 2020 director compensation, for our Board Chair that equates to a value of $600,000, and for the other directors, it equates to a value of $325,000. All of our non-employee directors currently comply with these ownership guidelines.</w:t>
      </w:r>
    </w:p>
    <w:p>
      <w:pPr>
        <w:spacing w:after="0" w:line="172"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Deferred Compensation Plan</w:t>
      </w:r>
    </w:p>
    <w:p>
      <w:pPr>
        <w:spacing w:after="0" w:line="173" w:lineRule="exact"/>
        <w:rPr>
          <w:sz w:val="20"/>
          <w:szCs w:val="20"/>
          <w:color w:val="auto"/>
        </w:rPr>
      </w:pPr>
    </w:p>
    <w:p>
      <w:pPr>
        <w:ind w:left="6" w:right="180"/>
        <w:spacing w:after="0" w:line="277" w:lineRule="auto"/>
        <w:rPr>
          <w:sz w:val="20"/>
          <w:szCs w:val="20"/>
          <w:color w:val="auto"/>
        </w:rPr>
      </w:pPr>
      <w:r>
        <w:rPr>
          <w:rFonts w:ascii="Arial" w:cs="Arial" w:eastAsia="Arial" w:hAnsi="Arial"/>
          <w:sz w:val="17"/>
          <w:szCs w:val="17"/>
          <w:color w:val="auto"/>
        </w:rPr>
        <w:t>Pursuant to the Company’s Amended and Restated Executive Deferred Compensation Plan dated January 1, 2012, our non -employee directors are eligible to participate in that plan and may defer into a nonqualified account up to 100% of any director fees and 100% of any shares of common stock that he or she anticipates receiving.</w:t>
      </w:r>
    </w:p>
    <w:p>
      <w:pPr>
        <w:spacing w:after="0" w:line="255" w:lineRule="exact"/>
        <w:rPr>
          <w:sz w:val="20"/>
          <w:szCs w:val="20"/>
          <w:color w:val="auto"/>
        </w:rPr>
      </w:pPr>
    </w:p>
    <w:p>
      <w:pPr>
        <w:jc w:val="center"/>
        <w:ind w:right="-25"/>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157480</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263" w:right="1359" w:bottom="1440" w:gutter="0" w:footer="0" w:header="0"/>
        </w:sectPr>
      </w:pPr>
    </w:p>
    <w:bookmarkStart w:id="16" w:name="page17"/>
    <w:bookmarkEnd w:id="16"/>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Leadership Structure of the Board of Directors</w:t>
      </w:r>
    </w:p>
    <w:p>
      <w:pPr>
        <w:spacing w:after="0" w:line="187"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color w:val="auto"/>
        </w:rPr>
        <w:t>The leadership of our Board is managed by our Board Chair. Our Corporate Governance Guiding Principles (Governance Principles) generally require the role of Board Chair to be held by an independent director who meets the independence requirements of the Nasdaq Stock Market. The Board believes having separate roles of Board Chair and CEO allows for a more balanced workload between the Board Chair and the CEO, especially in light of the current duties and responsibilities of the Board Chair, which include the following:</w:t>
      </w:r>
    </w:p>
    <w:p>
      <w:pPr>
        <w:spacing w:after="0" w:line="132" w:lineRule="exact"/>
        <w:rPr>
          <w:sz w:val="20"/>
          <w:szCs w:val="20"/>
          <w:color w:val="auto"/>
        </w:rPr>
      </w:pPr>
    </w:p>
    <w:p>
      <w:pPr>
        <w:ind w:left="700" w:right="280" w:hanging="346"/>
        <w:spacing w:after="0" w:line="276" w:lineRule="auto"/>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Preside over all meetings of the Board (including executive sessions of the Board) and meetings of the shareholders;</w:t>
      </w:r>
    </w:p>
    <w:p>
      <w:pPr>
        <w:spacing w:after="0" w:line="104" w:lineRule="exact"/>
        <w:rPr>
          <w:rFonts w:ascii="Arial" w:cs="Arial" w:eastAsia="Arial" w:hAnsi="Arial"/>
          <w:sz w:val="18"/>
          <w:szCs w:val="18"/>
          <w:color w:val="auto"/>
        </w:rPr>
      </w:pPr>
    </w:p>
    <w:p>
      <w:pPr>
        <w:ind w:left="700" w:hanging="346"/>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 the agendas of each Board and committee meeting;</w:t>
      </w:r>
    </w:p>
    <w:p>
      <w:pPr>
        <w:spacing w:after="0" w:line="184" w:lineRule="exact"/>
        <w:rPr>
          <w:rFonts w:ascii="Arial" w:cs="Arial" w:eastAsia="Arial" w:hAnsi="Arial"/>
          <w:sz w:val="18"/>
          <w:szCs w:val="18"/>
          <w:color w:val="auto"/>
        </w:rPr>
      </w:pPr>
    </w:p>
    <w:p>
      <w:pPr>
        <w:ind w:left="700" w:hanging="346"/>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Prepare agendas as needed for executive sessions of the independent directors;</w:t>
      </w:r>
    </w:p>
    <w:p>
      <w:pPr>
        <w:spacing w:after="0" w:line="171" w:lineRule="exact"/>
        <w:rPr>
          <w:rFonts w:ascii="Arial" w:cs="Arial" w:eastAsia="Arial" w:hAnsi="Arial"/>
          <w:sz w:val="18"/>
          <w:szCs w:val="18"/>
          <w:color w:val="auto"/>
        </w:rPr>
      </w:pPr>
    </w:p>
    <w:p>
      <w:pPr>
        <w:ind w:left="700" w:hanging="346"/>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Serve as a liaison between the independent directors and the CEO;</w:t>
      </w:r>
    </w:p>
    <w:p>
      <w:pPr>
        <w:spacing w:after="0" w:line="171" w:lineRule="exact"/>
        <w:rPr>
          <w:rFonts w:ascii="Arial" w:cs="Arial" w:eastAsia="Arial" w:hAnsi="Arial"/>
          <w:sz w:val="18"/>
          <w:szCs w:val="18"/>
          <w:color w:val="auto"/>
        </w:rPr>
      </w:pPr>
    </w:p>
    <w:p>
      <w:pPr>
        <w:jc w:val="both"/>
        <w:ind w:left="700" w:right="420" w:hanging="346"/>
        <w:spacing w:after="0" w:line="306" w:lineRule="auto"/>
        <w:tabs>
          <w:tab w:leader="none" w:pos="7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 consultation with the CEO, make recommendations to the Nominating and Corporate Governance Committee as to membership of Board committees and appointment of Board committee Chairs; and</w:t>
      </w:r>
    </w:p>
    <w:p>
      <w:pPr>
        <w:spacing w:after="0" w:line="95" w:lineRule="exact"/>
        <w:rPr>
          <w:rFonts w:ascii="Arial" w:cs="Arial" w:eastAsia="Arial" w:hAnsi="Arial"/>
          <w:sz w:val="17"/>
          <w:szCs w:val="17"/>
          <w:color w:val="auto"/>
        </w:rPr>
      </w:pPr>
    </w:p>
    <w:p>
      <w:pPr>
        <w:ind w:left="700" w:hanging="346"/>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Perform such other duties as the Board may require.</w:t>
      </w:r>
    </w:p>
    <w:p>
      <w:pPr>
        <w:spacing w:after="0" w:line="171"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Pursuant to the Governance Principles, the Board Chair must be an independent director unless the Board determines that the best interests of shareholders would otherwise be better served. The Board Chair is elected by a majority of the members of the Board following the annual meeting of shareholders (or at such other time as a vacancy for the role of Board Chair may occur). The Board Chair serves for a term of three years (provided such director is re-elected by shareholders if his or her term as a director does not coincide with his or her term as Board Chair). The Board Chair may not serve more than two consecutive terms unless the Board approves an extended term. Our current Chair, Lynda L. Ziegler, is serving her second term that will expire at the 2022 annual meeting.</w:t>
      </w:r>
    </w:p>
    <w:p>
      <w:pPr>
        <w:spacing w:after="0" w:line="122" w:lineRule="exact"/>
        <w:rPr>
          <w:sz w:val="20"/>
          <w:szCs w:val="20"/>
          <w:color w:val="auto"/>
        </w:rPr>
      </w:pPr>
    </w:p>
    <w:p>
      <w:pPr>
        <w:jc w:val="both"/>
        <w:ind w:right="220"/>
        <w:spacing w:after="0" w:line="306" w:lineRule="auto"/>
        <w:rPr>
          <w:sz w:val="20"/>
          <w:szCs w:val="20"/>
          <w:color w:val="auto"/>
        </w:rPr>
      </w:pPr>
      <w:r>
        <w:rPr>
          <w:rFonts w:ascii="Arial" w:cs="Arial" w:eastAsia="Arial" w:hAnsi="Arial"/>
          <w:sz w:val="17"/>
          <w:szCs w:val="17"/>
          <w:color w:val="auto"/>
        </w:rPr>
        <w:t>If the Board determines that it is in the best interests of the shareholders to combine the roles of CEO and Board Chair, the Board will appoint a Lead Independent Director with the duties set forth in the Governance Principles.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Guiding Principles</w:t>
      </w:r>
    </w:p>
    <w:p>
      <w:pPr>
        <w:spacing w:after="0" w:line="173" w:lineRule="exact"/>
        <w:rPr>
          <w:sz w:val="20"/>
          <w:szCs w:val="20"/>
          <w:color w:val="auto"/>
        </w:rPr>
      </w:pPr>
    </w:p>
    <w:p>
      <w:pPr>
        <w:ind w:right="480"/>
        <w:spacing w:after="0" w:line="276" w:lineRule="auto"/>
        <w:rPr>
          <w:sz w:val="20"/>
          <w:szCs w:val="20"/>
          <w:color w:val="auto"/>
        </w:rPr>
      </w:pPr>
      <w:r>
        <w:rPr>
          <w:rFonts w:ascii="Arial" w:cs="Arial" w:eastAsia="Arial" w:hAnsi="Arial"/>
          <w:sz w:val="18"/>
          <w:szCs w:val="18"/>
          <w:color w:val="auto"/>
        </w:rPr>
        <w:t xml:space="preserve">The Company’s Governance Principles are available on the Company’s website, </w:t>
      </w:r>
      <w:r>
        <w:rPr>
          <w:rFonts w:ascii="Arial" w:cs="Arial" w:eastAsia="Arial" w:hAnsi="Arial"/>
          <w:sz w:val="18"/>
          <w:szCs w:val="18"/>
          <w:i w:val="1"/>
          <w:iCs w:val="1"/>
          <w:color w:val="auto"/>
        </w:rPr>
        <w:t>www.itron.com</w:t>
      </w:r>
      <w:r>
        <w:rPr>
          <w:rFonts w:ascii="Arial" w:cs="Arial" w:eastAsia="Arial" w:hAnsi="Arial"/>
          <w:sz w:val="18"/>
          <w:szCs w:val="18"/>
          <w:color w:val="auto"/>
        </w:rPr>
        <w:t>, by selecting “Investors” and then “Corporate Governance”.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Matters – Meeting Attendance</w:t>
      </w:r>
    </w:p>
    <w:p>
      <w:pPr>
        <w:spacing w:after="0" w:line="173"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Our business, property, and affairs are managed under the oversight of our Board. Members of our Board are kept informed of our business through discussions with our CEO and other officers, by reviewing materials provided to them, by visiting our offices, and by participating in meetings of the Board and its committees.</w:t>
      </w:r>
    </w:p>
    <w:p>
      <w:pPr>
        <w:spacing w:after="0" w:line="137"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color w:val="auto"/>
        </w:rPr>
        <w:t>In accordance with our Governance Principles, directors are expected to attend the Company’s annual meeting of shareholders. All our directors attended the 2020 annual meeting of shareholders in person. During 2020, the Board met six times. All the directors attended at least 75% of the meetings of the Board and committees on which he or she served. Also, in accordance with our Governance Principles, our independent directors meet in an executive session as often as necessary, but no less than two times annually.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87"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Our common stock is listed on the Nasdaq Stock Market stock exchange (Nasdaq). Under the rules of Nasdaq, independent directors must comprise a majority of a listed company’s board of directors. In addition, the rules of Nasdaq require that, subject to specified exceptions, each member of a listed company’s audit, compensation, and nominating and corporate governance committees be independent. Under the rules of Nasdaq, a director will only</w:t>
      </w:r>
    </w:p>
    <w:p>
      <w:pPr>
        <w:spacing w:after="0" w:line="2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157480</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40"/>
          </w:cols>
          <w:pgMar w:left="1360" w:top="263" w:right="1399" w:bottom="1440" w:gutter="0" w:footer="0" w:header="0"/>
        </w:sectPr>
      </w:pPr>
    </w:p>
    <w:bookmarkStart w:id="17" w:name="page18"/>
    <w:bookmarkEnd w:id="17"/>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1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qualify as an “independent director” if that company’s board of directors determines that the person does not have a relationship that would interfere with the exercise of independent judgment in carrying out the responsibilities of a director.</w:t>
      </w:r>
    </w:p>
    <w:p>
      <w:pPr>
        <w:spacing w:after="0" w:line="191" w:lineRule="exact"/>
        <w:rPr>
          <w:sz w:val="20"/>
          <w:szCs w:val="20"/>
          <w:color w:val="auto"/>
        </w:rPr>
      </w:pPr>
    </w:p>
    <w:p>
      <w:pPr>
        <w:ind w:right="400"/>
        <w:spacing w:after="0" w:line="247" w:lineRule="auto"/>
        <w:rPr>
          <w:sz w:val="20"/>
          <w:szCs w:val="20"/>
          <w:color w:val="auto"/>
        </w:rPr>
      </w:pPr>
      <w:r>
        <w:rPr>
          <w:rFonts w:ascii="Arial" w:cs="Arial" w:eastAsia="Arial" w:hAnsi="Arial"/>
          <w:sz w:val="18"/>
          <w:szCs w:val="18"/>
          <w:color w:val="auto"/>
        </w:rPr>
        <w:t>As recommended by the Nominating and Corporate Governance Committee, the Board has determined that a majority of our Board are independent directors as defined under the rules of Nasdaq and the SEC, with</w:t>
      </w:r>
    </w:p>
    <w:p>
      <w:pPr>
        <w:spacing w:after="0" w:line="1"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Mr. Deitrich serving as the sole non-independent director. As Mr. Deitrich does not sit on any committees, and as recommended by the Nominating and Corporate Governance Committee, the Board has determined that all members of Itron’s committees are independent under SEC rules and Nasdaq listing rules. In addition, as recommended by the Nominating and Corporate Governance Committee, the Board has determined that all members of our Audit/Finance Committee are independent under Rule 10A-3 of the Securities Exchange Act of 1934, as amended (Exchange Act).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w:t>
      </w:r>
    </w:p>
    <w:p>
      <w:pPr>
        <w:spacing w:after="0" w:line="187"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We have three committees to assist the Board in fulfilling its responsibilities: Nominating and Corporate Governance, Audit/Finance, and Compensation. Each of the three current committees operates under a written charter that has been approved by the Board. The committee charters are reviewed annually and are updated as necessary to reflect changes in regulatory requirements and evolving oversight practices. All of the current committee charters are available on our website at http://investors.itron.com/corporate-governance-0. The table below provides the membership of each committee at the end of fiscal year 2020, followed by a description of each committee’s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33655</wp:posOffset>
            </wp:positionV>
            <wp:extent cx="5829300" cy="4972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829300" cy="497205"/>
                    </a:xfrm>
                    <a:prstGeom prst="rect">
                      <a:avLst/>
                    </a:prstGeom>
                    <a:noFill/>
                  </pic:spPr>
                </pic:pic>
              </a:graphicData>
            </a:graphic>
          </wp:anchor>
        </w:drawing>
      </w:r>
    </w:p>
    <w:p>
      <w:pPr>
        <w:spacing w:after="0" w:line="76"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Nominating and</w:t>
      </w:r>
    </w:p>
    <w:p>
      <w:pPr>
        <w:spacing w:after="0" w:line="15" w:lineRule="exact"/>
        <w:rPr>
          <w:sz w:val="20"/>
          <w:szCs w:val="20"/>
          <w:color w:val="auto"/>
        </w:rPr>
      </w:pPr>
    </w:p>
    <w:p>
      <w:pPr>
        <w:ind w:left="80"/>
        <w:spacing w:after="0"/>
        <w:tabs>
          <w:tab w:leader="none" w:pos="3760" w:val="left"/>
          <w:tab w:leader="none" w:pos="5880" w:val="left"/>
          <w:tab w:leader="none" w:pos="7640" w:val="left"/>
        </w:tabs>
        <w:rPr>
          <w:sz w:val="20"/>
          <w:szCs w:val="20"/>
          <w:color w:val="auto"/>
        </w:rPr>
      </w:pPr>
      <w:r>
        <w:rPr>
          <w:rFonts w:ascii="Arial" w:cs="Arial" w:eastAsia="Arial" w:hAnsi="Arial"/>
          <w:sz w:val="18"/>
          <w:szCs w:val="18"/>
          <w:b w:val="1"/>
          <w:bCs w:val="1"/>
          <w:color w:val="auto"/>
        </w:rPr>
        <w:t>Director</w:t>
      </w:r>
      <w:r>
        <w:rPr>
          <w:sz w:val="20"/>
          <w:szCs w:val="20"/>
          <w:color w:val="auto"/>
        </w:rPr>
        <w:tab/>
      </w:r>
      <w:r>
        <w:rPr>
          <w:rFonts w:ascii="Arial" w:cs="Arial" w:eastAsia="Arial" w:hAnsi="Arial"/>
          <w:sz w:val="18"/>
          <w:szCs w:val="18"/>
          <w:b w:val="1"/>
          <w:bCs w:val="1"/>
          <w:color w:val="auto"/>
        </w:rPr>
        <w:t>Compensation</w:t>
      </w:r>
      <w:r>
        <w:rPr>
          <w:sz w:val="20"/>
          <w:szCs w:val="20"/>
          <w:color w:val="auto"/>
        </w:rPr>
        <w:tab/>
      </w:r>
      <w:r>
        <w:rPr>
          <w:rFonts w:ascii="Arial" w:cs="Arial" w:eastAsia="Arial" w:hAnsi="Arial"/>
          <w:sz w:val="18"/>
          <w:szCs w:val="18"/>
          <w:b w:val="1"/>
          <w:bCs w:val="1"/>
          <w:color w:val="auto"/>
        </w:rPr>
        <w:t>Corporate</w:t>
      </w:r>
      <w:r>
        <w:rPr>
          <w:sz w:val="20"/>
          <w:szCs w:val="20"/>
          <w:color w:val="auto"/>
        </w:rPr>
        <w:tab/>
      </w:r>
      <w:r>
        <w:rPr>
          <w:rFonts w:ascii="Arial" w:cs="Arial" w:eastAsia="Arial" w:hAnsi="Arial"/>
          <w:sz w:val="18"/>
          <w:szCs w:val="18"/>
          <w:b w:val="1"/>
          <w:bCs w:val="1"/>
          <w:color w:val="auto"/>
        </w:rPr>
        <w:t>Audit/Finance</w:t>
      </w:r>
    </w:p>
    <w:p>
      <w:pPr>
        <w:ind w:left="5820"/>
        <w:spacing w:after="0"/>
        <w:rPr>
          <w:sz w:val="20"/>
          <w:szCs w:val="20"/>
          <w:color w:val="auto"/>
        </w:rPr>
      </w:pPr>
      <w:r>
        <w:rPr>
          <w:rFonts w:ascii="Arial" w:cs="Arial" w:eastAsia="Arial" w:hAnsi="Arial"/>
          <w:sz w:val="18"/>
          <w:szCs w:val="18"/>
          <w:b w:val="1"/>
          <w:bCs w:val="1"/>
          <w:color w:val="auto"/>
        </w:rPr>
        <w:t>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58293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178" w:lineRule="exact"/>
        <w:rPr>
          <w:sz w:val="20"/>
          <w:szCs w:val="20"/>
          <w:color w:val="auto"/>
        </w:rPr>
      </w:pPr>
    </w:p>
    <w:p>
      <w:pPr>
        <w:ind w:left="80"/>
        <w:spacing w:after="0"/>
        <w:rPr>
          <w:sz w:val="20"/>
          <w:szCs w:val="20"/>
          <w:color w:val="auto"/>
        </w:rPr>
      </w:pPr>
      <w:r>
        <w:rPr>
          <w:rFonts w:ascii="Arial" w:cs="Arial" w:eastAsia="Arial" w:hAnsi="Arial"/>
          <w:sz w:val="17"/>
          <w:szCs w:val="17"/>
          <w:color w:val="auto"/>
        </w:rPr>
        <w:t>Thomas S. Glanville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-105410</wp:posOffset>
            </wp:positionV>
            <wp:extent cx="163195" cy="1117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63195" cy="111760"/>
                    </a:xfrm>
                    <a:prstGeom prst="rect">
                      <a:avLst/>
                    </a:prstGeom>
                    <a:noFill/>
                  </pic:spPr>
                </pic:pic>
              </a:graphicData>
            </a:graphic>
          </wp:anchor>
        </w:drawing>
        <w:drawing>
          <wp:anchor simplePos="0" relativeHeight="251657728" behindDoc="1" locked="0" layoutInCell="0" allowOverlap="1">
            <wp:simplePos x="0" y="0"/>
            <wp:positionH relativeFrom="column">
              <wp:posOffset>5165090</wp:posOffset>
            </wp:positionH>
            <wp:positionV relativeFrom="paragraph">
              <wp:posOffset>-105410</wp:posOffset>
            </wp:positionV>
            <wp:extent cx="162560" cy="1117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62560" cy="111760"/>
                    </a:xfrm>
                    <a:prstGeom prst="rect">
                      <a:avLst/>
                    </a:prstGeom>
                    <a:noFill/>
                  </pic:spPr>
                </pic:pic>
              </a:graphicData>
            </a:graphic>
          </wp:anchor>
        </w:drawing>
      </w:r>
    </w:p>
    <w:p>
      <w:pPr>
        <w:spacing w:after="0" w:line="136" w:lineRule="exact"/>
        <w:rPr>
          <w:sz w:val="20"/>
          <w:szCs w:val="20"/>
          <w:color w:val="auto"/>
        </w:rPr>
      </w:pPr>
    </w:p>
    <w:p>
      <w:pPr>
        <w:ind w:left="80"/>
        <w:spacing w:after="0"/>
        <w:rPr>
          <w:sz w:val="20"/>
          <w:szCs w:val="20"/>
          <w:color w:val="auto"/>
        </w:rPr>
      </w:pPr>
      <w:r>
        <w:rPr>
          <w:rFonts w:ascii="Arial" w:cs="Arial" w:eastAsia="Arial" w:hAnsi="Arial"/>
          <w:sz w:val="17"/>
          <w:szCs w:val="17"/>
          <w:color w:val="auto"/>
        </w:rPr>
        <w:t>Frank M. Jaehnert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2713355</wp:posOffset>
            </wp:positionH>
            <wp:positionV relativeFrom="paragraph">
              <wp:posOffset>-105410</wp:posOffset>
            </wp:positionV>
            <wp:extent cx="163195" cy="1111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63195" cy="11112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-105410</wp:posOffset>
            </wp:positionV>
            <wp:extent cx="128905"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8905" cy="137160"/>
                    </a:xfrm>
                    <a:prstGeom prst="rect">
                      <a:avLst/>
                    </a:prstGeom>
                    <a:noFill/>
                  </pic:spPr>
                </pic:pic>
              </a:graphicData>
            </a:graphic>
          </wp:anchor>
        </w:drawing>
      </w:r>
    </w:p>
    <w:p>
      <w:pPr>
        <w:spacing w:after="0" w:line="163" w:lineRule="exact"/>
        <w:rPr>
          <w:sz w:val="20"/>
          <w:szCs w:val="20"/>
          <w:color w:val="auto"/>
        </w:rPr>
      </w:pPr>
    </w:p>
    <w:p>
      <w:pPr>
        <w:ind w:left="80"/>
        <w:spacing w:after="0"/>
        <w:rPr>
          <w:sz w:val="20"/>
          <w:szCs w:val="20"/>
          <w:color w:val="auto"/>
        </w:rPr>
      </w:pPr>
      <w:r>
        <w:rPr>
          <w:rFonts w:ascii="Arial" w:cs="Arial" w:eastAsia="Arial" w:hAnsi="Arial"/>
          <w:sz w:val="17"/>
          <w:szCs w:val="17"/>
          <w:color w:val="auto"/>
        </w:rPr>
        <w:t>Jerome J. Lande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5165090</wp:posOffset>
            </wp:positionH>
            <wp:positionV relativeFrom="paragraph">
              <wp:posOffset>-105410</wp:posOffset>
            </wp:positionV>
            <wp:extent cx="162560" cy="1111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62560" cy="111125"/>
                    </a:xfrm>
                    <a:prstGeom prst="rect">
                      <a:avLst/>
                    </a:prstGeom>
                    <a:noFill/>
                  </pic:spPr>
                </pic:pic>
              </a:graphicData>
            </a:graphic>
          </wp:anchor>
        </w:drawing>
      </w:r>
    </w:p>
    <w:p>
      <w:pPr>
        <w:spacing w:after="0" w:line="136" w:lineRule="exact"/>
        <w:rPr>
          <w:sz w:val="20"/>
          <w:szCs w:val="20"/>
          <w:color w:val="auto"/>
        </w:rPr>
      </w:pPr>
    </w:p>
    <w:p>
      <w:pPr>
        <w:ind w:left="80"/>
        <w:spacing w:after="0"/>
        <w:rPr>
          <w:sz w:val="20"/>
          <w:szCs w:val="20"/>
          <w:color w:val="auto"/>
        </w:rPr>
      </w:pPr>
      <w:r>
        <w:rPr>
          <w:rFonts w:ascii="Arial" w:cs="Arial" w:eastAsia="Arial" w:hAnsi="Arial"/>
          <w:sz w:val="17"/>
          <w:szCs w:val="17"/>
          <w:color w:val="auto"/>
        </w:rPr>
        <w:t>Timothy M. Leyden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5182235</wp:posOffset>
            </wp:positionH>
            <wp:positionV relativeFrom="paragraph">
              <wp:posOffset>-105410</wp:posOffset>
            </wp:positionV>
            <wp:extent cx="128905"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8905" cy="137160"/>
                    </a:xfrm>
                    <a:prstGeom prst="rect">
                      <a:avLst/>
                    </a:prstGeom>
                    <a:noFill/>
                  </pic:spPr>
                </pic:pic>
              </a:graphicData>
            </a:graphic>
          </wp:anchor>
        </w:drawing>
      </w:r>
    </w:p>
    <w:p>
      <w:pPr>
        <w:spacing w:after="0" w:line="163" w:lineRule="exact"/>
        <w:rPr>
          <w:sz w:val="20"/>
          <w:szCs w:val="20"/>
          <w:color w:val="auto"/>
        </w:rPr>
      </w:pPr>
    </w:p>
    <w:p>
      <w:pPr>
        <w:ind w:left="80"/>
        <w:spacing w:after="0"/>
        <w:rPr>
          <w:sz w:val="20"/>
          <w:szCs w:val="20"/>
          <w:color w:val="auto"/>
        </w:rPr>
      </w:pPr>
      <w:r>
        <w:rPr>
          <w:rFonts w:ascii="Arial" w:cs="Arial" w:eastAsia="Arial" w:hAnsi="Arial"/>
          <w:sz w:val="17"/>
          <w:szCs w:val="17"/>
          <w:color w:val="auto"/>
        </w:rPr>
        <w:t>Thomas L. Deitrich</w:t>
      </w:r>
    </w:p>
    <w:p>
      <w:pPr>
        <w:spacing w:after="0" w:line="156" w:lineRule="exact"/>
        <w:rPr>
          <w:sz w:val="20"/>
          <w:szCs w:val="20"/>
          <w:color w:val="auto"/>
        </w:rPr>
      </w:pPr>
    </w:p>
    <w:p>
      <w:pPr>
        <w:ind w:left="80"/>
        <w:spacing w:after="0"/>
        <w:rPr>
          <w:sz w:val="20"/>
          <w:szCs w:val="20"/>
          <w:color w:val="auto"/>
        </w:rPr>
      </w:pPr>
      <w:r>
        <w:rPr>
          <w:rFonts w:ascii="Arial" w:cs="Arial" w:eastAsia="Arial" w:hAnsi="Arial"/>
          <w:sz w:val="17"/>
          <w:szCs w:val="17"/>
          <w:color w:val="auto"/>
        </w:rPr>
        <w:t>Daniel S. Pelino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2713355</wp:posOffset>
            </wp:positionH>
            <wp:positionV relativeFrom="paragraph">
              <wp:posOffset>-105410</wp:posOffset>
            </wp:positionV>
            <wp:extent cx="163195" cy="1111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63195" cy="11112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-105410</wp:posOffset>
            </wp:positionV>
            <wp:extent cx="163195" cy="1111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63195" cy="111125"/>
                    </a:xfrm>
                    <a:prstGeom prst="rect">
                      <a:avLst/>
                    </a:prstGeom>
                    <a:noFill/>
                  </pic:spPr>
                </pic:pic>
              </a:graphicData>
            </a:graphic>
          </wp:anchor>
        </w:drawing>
      </w:r>
    </w:p>
    <w:p>
      <w:pPr>
        <w:spacing w:after="0" w:line="136" w:lineRule="exact"/>
        <w:rPr>
          <w:sz w:val="20"/>
          <w:szCs w:val="20"/>
          <w:color w:val="auto"/>
        </w:rPr>
      </w:pPr>
    </w:p>
    <w:p>
      <w:pPr>
        <w:ind w:left="80"/>
        <w:spacing w:after="0"/>
        <w:rPr>
          <w:sz w:val="20"/>
          <w:szCs w:val="20"/>
          <w:color w:val="auto"/>
        </w:rPr>
      </w:pPr>
      <w:r>
        <w:rPr>
          <w:rFonts w:ascii="Arial" w:cs="Arial" w:eastAsia="Arial" w:hAnsi="Arial"/>
          <w:sz w:val="17"/>
          <w:szCs w:val="17"/>
          <w:color w:val="auto"/>
        </w:rPr>
        <w:t>Gary E. Pruitt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5165090</wp:posOffset>
            </wp:positionH>
            <wp:positionV relativeFrom="paragraph">
              <wp:posOffset>-105410</wp:posOffset>
            </wp:positionV>
            <wp:extent cx="162560" cy="1111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62560" cy="111125"/>
                    </a:xfrm>
                    <a:prstGeom prst="rect">
                      <a:avLst/>
                    </a:prstGeom>
                    <a:noFill/>
                  </pic:spPr>
                </pic:pic>
              </a:graphicData>
            </a:graphic>
          </wp:anchor>
        </w:drawing>
      </w:r>
    </w:p>
    <w:p>
      <w:pPr>
        <w:spacing w:after="0" w:line="136" w:lineRule="exact"/>
        <w:rPr>
          <w:sz w:val="20"/>
          <w:szCs w:val="20"/>
          <w:color w:val="auto"/>
        </w:rPr>
      </w:pPr>
    </w:p>
    <w:p>
      <w:pPr>
        <w:ind w:left="80"/>
        <w:spacing w:after="0"/>
        <w:rPr>
          <w:sz w:val="20"/>
          <w:szCs w:val="20"/>
          <w:color w:val="auto"/>
        </w:rPr>
      </w:pPr>
      <w:r>
        <w:rPr>
          <w:rFonts w:ascii="Arial" w:cs="Arial" w:eastAsia="Arial" w:hAnsi="Arial"/>
          <w:sz w:val="17"/>
          <w:szCs w:val="17"/>
          <w:color w:val="auto"/>
        </w:rPr>
        <w:t>Diana D. Tremblay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2730500</wp:posOffset>
            </wp:positionH>
            <wp:positionV relativeFrom="paragraph">
              <wp:posOffset>-105410</wp:posOffset>
            </wp:positionV>
            <wp:extent cx="128905"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8905" cy="137160"/>
                    </a:xfrm>
                    <a:prstGeom prst="rect">
                      <a:avLst/>
                    </a:prstGeom>
                    <a:noFill/>
                  </pic:spPr>
                </pic:pic>
              </a:graphicData>
            </a:graphic>
          </wp:anchor>
        </w:drawing>
      </w:r>
    </w:p>
    <w:p>
      <w:pPr>
        <w:spacing w:after="0" w:line="163" w:lineRule="exact"/>
        <w:rPr>
          <w:sz w:val="20"/>
          <w:szCs w:val="20"/>
          <w:color w:val="auto"/>
        </w:rPr>
      </w:pPr>
    </w:p>
    <w:p>
      <w:pPr>
        <w:ind w:left="80"/>
        <w:spacing w:after="0"/>
        <w:rPr>
          <w:sz w:val="20"/>
          <w:szCs w:val="20"/>
          <w:color w:val="auto"/>
        </w:rPr>
      </w:pPr>
      <w:r>
        <w:rPr>
          <w:rFonts w:ascii="Arial" w:cs="Arial" w:eastAsia="Arial" w:hAnsi="Arial"/>
          <w:sz w:val="17"/>
          <w:szCs w:val="17"/>
          <w:color w:val="auto"/>
        </w:rPr>
        <w:t>Lynda L. Ziegler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-105410</wp:posOffset>
            </wp:positionV>
            <wp:extent cx="163195" cy="1117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63195" cy="111760"/>
                    </a:xfrm>
                    <a:prstGeom prst="rect">
                      <a:avLst/>
                    </a:prstGeom>
                    <a:noFill/>
                  </pic:spPr>
                </pic:pic>
              </a:graphicData>
            </a:graphic>
          </wp:anchor>
        </w:drawing>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Committee Member        </w:t>
      </w:r>
      <w:r>
        <w:rPr>
          <w:sz w:val="1"/>
          <w:szCs w:val="1"/>
          <w:color w:val="auto"/>
        </w:rPr>
        <w:drawing>
          <wp:inline distT="0" distB="0" distL="0" distR="0">
            <wp:extent cx="128905" cy="13716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8905" cy="137160"/>
                    </a:xfrm>
                    <a:prstGeom prst="rect">
                      <a:avLst/>
                    </a:prstGeom>
                    <a:noFill/>
                    <a:ln>
                      <a:noFill/>
                    </a:ln>
                  </pic:spPr>
                </pic:pic>
              </a:graphicData>
            </a:graphic>
          </wp:inline>
        </w:drawing>
      </w:r>
      <w:r>
        <w:rPr>
          <w:rFonts w:ascii="Arial" w:cs="Arial" w:eastAsia="Arial" w:hAnsi="Arial"/>
          <w:sz w:val="18"/>
          <w:szCs w:val="18"/>
          <w:color w:val="auto"/>
        </w:rPr>
        <w:t xml:space="preserve">  Committee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-147320</wp:posOffset>
            </wp:positionV>
            <wp:extent cx="163195" cy="1111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63195" cy="111125"/>
                    </a:xfrm>
                    <a:prstGeom prst="rect">
                      <a:avLst/>
                    </a:prstGeom>
                    <a:noFill/>
                  </pic:spPr>
                </pic:pic>
              </a:graphicData>
            </a:graphic>
          </wp:anchor>
        </w:drawing>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Nominating and Corporate Governance Committee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Nominating and Corporate Governance Committee (NCGC) is primarily responsible for:</w:t>
      </w:r>
    </w:p>
    <w:p>
      <w:pPr>
        <w:spacing w:after="0" w:line="171" w:lineRule="exact"/>
        <w:rPr>
          <w:sz w:val="20"/>
          <w:szCs w:val="20"/>
          <w:color w:val="auto"/>
        </w:rPr>
      </w:pPr>
    </w:p>
    <w:p>
      <w:pPr>
        <w:ind w:left="700" w:hanging="346"/>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developing and implementing our Governance Principles</w:t>
      </w:r>
    </w:p>
    <w:p>
      <w:pPr>
        <w:spacing w:after="0" w:line="171" w:lineRule="exact"/>
        <w:rPr>
          <w:rFonts w:ascii="Arial" w:cs="Arial" w:eastAsia="Arial" w:hAnsi="Arial"/>
          <w:sz w:val="18"/>
          <w:szCs w:val="18"/>
          <w:color w:val="auto"/>
        </w:rPr>
      </w:pPr>
    </w:p>
    <w:p>
      <w:pPr>
        <w:ind w:left="700" w:right="260" w:hanging="346"/>
        <w:spacing w:after="0" w:line="276" w:lineRule="auto"/>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overseeing the process for evaluating the performance of our Board Chair and the CEO, as well as the other directors and the Board as a whole</w:t>
      </w:r>
    </w:p>
    <w:p>
      <w:pPr>
        <w:spacing w:after="0" w:line="117" w:lineRule="exact"/>
        <w:rPr>
          <w:rFonts w:ascii="Arial" w:cs="Arial" w:eastAsia="Arial" w:hAnsi="Arial"/>
          <w:sz w:val="18"/>
          <w:szCs w:val="18"/>
          <w:color w:val="auto"/>
        </w:rPr>
      </w:pPr>
    </w:p>
    <w:p>
      <w:pPr>
        <w:ind w:left="700" w:hanging="346"/>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determining the qualifications of the directors serving on the Board, including their independence</w:t>
      </w:r>
    </w:p>
    <w:p>
      <w:pPr>
        <w:spacing w:after="0" w:line="171" w:lineRule="exact"/>
        <w:rPr>
          <w:rFonts w:ascii="Arial" w:cs="Arial" w:eastAsia="Arial" w:hAnsi="Arial"/>
          <w:sz w:val="18"/>
          <w:szCs w:val="18"/>
          <w:color w:val="auto"/>
        </w:rPr>
      </w:pPr>
    </w:p>
    <w:p>
      <w:pPr>
        <w:ind w:left="700" w:hanging="346"/>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recommending candidates to serve on the Board</w:t>
      </w:r>
    </w:p>
    <w:p>
      <w:pPr>
        <w:spacing w:after="0" w:line="171" w:lineRule="exact"/>
        <w:rPr>
          <w:rFonts w:ascii="Arial" w:cs="Arial" w:eastAsia="Arial" w:hAnsi="Arial"/>
          <w:sz w:val="18"/>
          <w:szCs w:val="18"/>
          <w:color w:val="auto"/>
        </w:rPr>
      </w:pPr>
    </w:p>
    <w:p>
      <w:pPr>
        <w:ind w:left="700" w:hanging="346"/>
        <w:spacing w:after="0" w:line="276" w:lineRule="auto"/>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reviewing and making recommendations to the Board with respect to candidates for directors proposed by shareholders</w:t>
      </w:r>
    </w:p>
    <w:p>
      <w:pPr>
        <w:spacing w:after="0" w:line="25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165735</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20"/>
          </w:cols>
          <w:pgMar w:left="1360" w:top="263" w:right="1419" w:bottom="1440" w:gutter="0" w:footer="0" w:header="0"/>
        </w:sectPr>
      </w:pPr>
    </w:p>
    <w:bookmarkStart w:id="18" w:name="page19"/>
    <w:bookmarkEnd w:id="18"/>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124" w:lineRule="exact"/>
        <w:rPr>
          <w:sz w:val="20"/>
          <w:szCs w:val="20"/>
          <w:color w:val="auto"/>
        </w:rPr>
      </w:pPr>
    </w:p>
    <w:p>
      <w:pPr>
        <w:ind w:right="280"/>
        <w:spacing w:after="0" w:line="277" w:lineRule="auto"/>
        <w:rPr>
          <w:sz w:val="20"/>
          <w:szCs w:val="20"/>
          <w:color w:val="auto"/>
        </w:rPr>
      </w:pPr>
      <w:r>
        <w:rPr>
          <w:rFonts w:ascii="Arial" w:cs="Arial" w:eastAsia="Arial" w:hAnsi="Arial"/>
          <w:sz w:val="17"/>
          <w:szCs w:val="17"/>
          <w:color w:val="auto"/>
        </w:rPr>
        <w:t>To assist the committee in its identification of qualified director candidates, it has historically engaged an outside search firm and may do so in the future. The NCGC also reviews the compensation paid to our directors and makes recommendations to the Board on director fees and other compensation payable to the Board members.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All of the members of the NCGC are independent under SEC rules and Nasdaq listing rules.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Audit/Finance Committee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Audit/Finance Committee (AFC) is primarily responsible for:</w:t>
      </w:r>
    </w:p>
    <w:p>
      <w:pPr>
        <w:spacing w:after="0" w:line="185" w:lineRule="exact"/>
        <w:rPr>
          <w:sz w:val="20"/>
          <w:szCs w:val="20"/>
          <w:color w:val="auto"/>
        </w:rPr>
      </w:pPr>
    </w:p>
    <w:p>
      <w:pPr>
        <w:ind w:left="700" w:hanging="346"/>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overseeing our accounting and financial reporting processes and the audit of our financial statements</w:t>
      </w:r>
    </w:p>
    <w:p>
      <w:pPr>
        <w:spacing w:after="0" w:line="171" w:lineRule="exact"/>
        <w:rPr>
          <w:rFonts w:ascii="Arial" w:cs="Arial" w:eastAsia="Arial" w:hAnsi="Arial"/>
          <w:sz w:val="18"/>
          <w:szCs w:val="18"/>
          <w:color w:val="auto"/>
        </w:rPr>
      </w:pPr>
    </w:p>
    <w:p>
      <w:pPr>
        <w:ind w:left="700" w:hanging="346"/>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determining the compensation of our independent auditors</w:t>
      </w:r>
    </w:p>
    <w:p>
      <w:pPr>
        <w:spacing w:after="0" w:line="171" w:lineRule="exact"/>
        <w:rPr>
          <w:rFonts w:ascii="Arial" w:cs="Arial" w:eastAsia="Arial" w:hAnsi="Arial"/>
          <w:sz w:val="18"/>
          <w:szCs w:val="18"/>
          <w:color w:val="auto"/>
        </w:rPr>
      </w:pPr>
    </w:p>
    <w:p>
      <w:pPr>
        <w:ind w:left="700" w:right="40" w:hanging="346"/>
        <w:spacing w:after="0" w:line="276" w:lineRule="auto"/>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reviewing with management our business financial risks and the process by which management assesses and manages such financial risks</w:t>
      </w:r>
    </w:p>
    <w:p>
      <w:pPr>
        <w:spacing w:after="0" w:line="117" w:lineRule="exact"/>
        <w:rPr>
          <w:rFonts w:ascii="Arial" w:cs="Arial" w:eastAsia="Arial" w:hAnsi="Arial"/>
          <w:sz w:val="18"/>
          <w:szCs w:val="18"/>
          <w:color w:val="auto"/>
        </w:rPr>
      </w:pPr>
    </w:p>
    <w:p>
      <w:pPr>
        <w:ind w:left="700" w:hanging="346"/>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selecting, retaining, or terminating our independent auditors</w:t>
      </w:r>
    </w:p>
    <w:p>
      <w:pPr>
        <w:spacing w:after="0" w:line="171" w:lineRule="exact"/>
        <w:rPr>
          <w:rFonts w:ascii="Arial" w:cs="Arial" w:eastAsia="Arial" w:hAnsi="Arial"/>
          <w:sz w:val="18"/>
          <w:szCs w:val="18"/>
          <w:color w:val="auto"/>
        </w:rPr>
      </w:pPr>
    </w:p>
    <w:p>
      <w:pPr>
        <w:ind w:left="700" w:hanging="346"/>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monitoring compliance with our code of conduct</w:t>
      </w:r>
    </w:p>
    <w:p>
      <w:pPr>
        <w:spacing w:after="0" w:line="171"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The Board has determined that all members of the AFC are independent under SEC rules and Nasdaq listing rules, including Rule 10A-3 of the Exchange Act. The NCGC has determined that all of the current members of the AFC are financially literate in accordance with the Standards of Nasdaq Rule 5605(c)(2)(A)(iv), and “audit committee financial experts” as defined in Item 407(d)(5) of Regulation S-K.</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Compensation Committee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 (CC) is primarily responsible for:</w:t>
      </w:r>
    </w:p>
    <w:p>
      <w:pPr>
        <w:spacing w:after="0" w:line="171" w:lineRule="exact"/>
        <w:rPr>
          <w:sz w:val="20"/>
          <w:szCs w:val="20"/>
          <w:color w:val="auto"/>
        </w:rPr>
      </w:pPr>
    </w:p>
    <w:p>
      <w:pPr>
        <w:ind w:left="700" w:hanging="346"/>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recommending to the Board our CEO’s total annual and long-term incentive compensation</w:t>
      </w:r>
    </w:p>
    <w:p>
      <w:pPr>
        <w:spacing w:after="0" w:line="184" w:lineRule="exact"/>
        <w:rPr>
          <w:rFonts w:ascii="Arial" w:cs="Arial" w:eastAsia="Arial" w:hAnsi="Arial"/>
          <w:sz w:val="18"/>
          <w:szCs w:val="18"/>
          <w:color w:val="auto"/>
        </w:rPr>
      </w:pPr>
    </w:p>
    <w:p>
      <w:pPr>
        <w:ind w:left="700" w:hanging="346"/>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setting compensation levels for our other executive officers</w:t>
      </w:r>
    </w:p>
    <w:p>
      <w:pPr>
        <w:spacing w:after="0" w:line="171" w:lineRule="exact"/>
        <w:rPr>
          <w:rFonts w:ascii="Arial" w:cs="Arial" w:eastAsia="Arial" w:hAnsi="Arial"/>
          <w:sz w:val="18"/>
          <w:szCs w:val="18"/>
          <w:color w:val="auto"/>
        </w:rPr>
      </w:pPr>
    </w:p>
    <w:p>
      <w:pPr>
        <w:ind w:left="700" w:right="400" w:hanging="346"/>
        <w:spacing w:after="0" w:line="276" w:lineRule="auto"/>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overseeing the administration of various incentive compensation and benefit plans, which includes an annual evaluation of our compensation plans and policies</w:t>
      </w:r>
    </w:p>
    <w:p>
      <w:pPr>
        <w:spacing w:after="0" w:line="104"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 xml:space="preserve">The CC, when appropriate, may form and delegate authority to subcommittees and may delegate authority to one or more designated members of the Board or to Company officers. The Board has determined that all members of the CC are independent under SEC rules and Nasdaq listing rules. In addition, all CC members are “non-employee directors” under Section 16b-3 of the Exchange Act and “outside directors” for the purposes of Section 162(m) of the U.S. Internal Revenue Code. </w:t>
      </w:r>
      <w:r>
        <w:rPr>
          <w:rFonts w:ascii="Arial" w:cs="Arial" w:eastAsia="Arial" w:hAnsi="Arial"/>
          <w:sz w:val="18"/>
          <w:szCs w:val="18"/>
          <w:i w:val="1"/>
          <w:iCs w:val="1"/>
          <w:color w:val="auto"/>
        </w:rPr>
        <w:t>See</w:t>
      </w:r>
      <w:r>
        <w:rPr>
          <w:rFonts w:ascii="Arial" w:cs="Arial" w:eastAsia="Arial" w:hAnsi="Arial"/>
          <w:sz w:val="18"/>
          <w:szCs w:val="18"/>
          <w:color w:val="auto"/>
        </w:rPr>
        <w:t xml:space="preserve"> “</w:t>
      </w:r>
      <w:r>
        <w:rPr>
          <w:rFonts w:ascii="Arial" w:cs="Arial" w:eastAsia="Arial" w:hAnsi="Arial"/>
          <w:sz w:val="18"/>
          <w:szCs w:val="18"/>
          <w:i w:val="1"/>
          <w:iCs w:val="1"/>
          <w:color w:val="auto"/>
        </w:rPr>
        <w:t>EXECUTIVE COMPENSATION – CD&amp;A</w:t>
      </w:r>
      <w:r>
        <w:rPr>
          <w:rFonts w:ascii="Arial" w:cs="Arial" w:eastAsia="Arial" w:hAnsi="Arial"/>
          <w:sz w:val="18"/>
          <w:szCs w:val="18"/>
          <w:color w:val="auto"/>
        </w:rPr>
        <w:t>” in this proxy statement for more information on the CC’s responsibilities regarding the compensation of our executive officers.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87"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color w:val="auto"/>
        </w:rPr>
        <w:t>No member of our Board’s Compensation Committee has served as an officer or employee of the Company. None of our executive officers serve as a member of the compensation committee of any other company that has an executive officer serving as a member of our Board. None of our executive officers serve as a member of the board of directors of any other company that has an executive officer serving as a member of our Board’s Compensation Committee.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Related Persons</w:t>
      </w:r>
    </w:p>
    <w:p>
      <w:pPr>
        <w:spacing w:after="0" w:line="173"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There were no related person transactions required to be disclosed pursuant to Item 404(a) of Regulation S-K in fiscal year 2020. In order to determine this, the Board requires our executive officers, directors and director nominees to disclose certain information regarding related person transactions. A “related person transaction” generally is a transaction (including any indebtedness or a guarantee of indebtedness) that involves the Company’s directors, executive officers, director nominees, 5% or more beneficial owners of the Company’s common stock, immediate family members of these persons, or entities in which one of these persons has a direct or indirect</w:t>
      </w: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157480</wp:posOffset>
            </wp:positionV>
            <wp:extent cx="6995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60"/>
          </w:cols>
          <w:pgMar w:left="1360" w:top="263" w:right="1379" w:bottom="1440" w:gutter="0" w:footer="0" w:header="0"/>
        </w:sectPr>
      </w:pPr>
    </w:p>
    <w:bookmarkStart w:id="19" w:name="page20"/>
    <w:bookmarkEnd w:id="19"/>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124" w:lineRule="exact"/>
        <w:rPr>
          <w:sz w:val="20"/>
          <w:szCs w:val="20"/>
          <w:color w:val="auto"/>
        </w:rPr>
      </w:pPr>
    </w:p>
    <w:p>
      <w:pPr>
        <w:jc w:val="both"/>
        <w:ind w:right="440"/>
        <w:spacing w:after="0" w:line="255" w:lineRule="auto"/>
        <w:rPr>
          <w:sz w:val="20"/>
          <w:szCs w:val="20"/>
          <w:color w:val="auto"/>
        </w:rPr>
      </w:pPr>
      <w:r>
        <w:rPr>
          <w:rFonts w:ascii="Arial" w:cs="Arial" w:eastAsia="Arial" w:hAnsi="Arial"/>
          <w:sz w:val="18"/>
          <w:szCs w:val="18"/>
          <w:color w:val="auto"/>
        </w:rPr>
        <w:t>material interest. The current threshold required to be disclosed under SEC regulations is $120,000. Under its charter, the Audit/Finance Committee of the Board has been delegated with the responsibility of reviewing and approving any related person transactions.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Board’s Role in Risk Oversight</w:t>
      </w:r>
    </w:p>
    <w:p>
      <w:pPr>
        <w:spacing w:after="0" w:line="173"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The Board has overall responsibility for risk oversight, including, as part of regular Board and committee meetings, general oversight of our executives’ management of risks relevant to the Company. The Board determines, directly or through Board committees, whether: (i) there are adequate processes designed and implemented by Company management such that risks have been identified and are being managed; (ii) the risk management processes are intended to ensure that Company risks are taken into account in corporate decision-making; and (iii) the risk management processes and procedures ensure that material risks to the Company are brought to the attention of the Board or an appropriate committee of the Board. Each of the Company’s risk management processes are reviewed periodically (but at least once a year) by either the Board or an appropriate committee to which the Board has delegated specific oversight responsibility, as described below. Throughout the year, the Board and each committee spend a portion of their time reviewing and discussing specific risk topics. Committee Chairs regularly report to the full Board on actions taken at committee meetings. At least annually, the Board conducts a review of our long-term strategic plans, and at each of our quarterly meetings, our General Counsel updates the Board on material legal and regulatory matters.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480" w:type="dxa"/>
            <w:vAlign w:val="bottom"/>
            <w:shd w:val="clear" w:color="auto" w:fill="D9D9D9"/>
          </w:tcPr>
          <w:p>
            <w:pPr>
              <w:spacing w:after="0"/>
              <w:rPr>
                <w:sz w:val="21"/>
                <w:szCs w:val="21"/>
                <w:color w:val="auto"/>
              </w:rPr>
            </w:pPr>
          </w:p>
        </w:tc>
        <w:tc>
          <w:tcPr>
            <w:tcW w:w="2620" w:type="dxa"/>
            <w:vAlign w:val="bottom"/>
            <w:shd w:val="clear" w:color="auto" w:fill="D9D9D9"/>
          </w:tcPr>
          <w:p>
            <w:pPr>
              <w:spacing w:after="0"/>
              <w:rPr>
                <w:sz w:val="21"/>
                <w:szCs w:val="21"/>
                <w:color w:val="auto"/>
              </w:rPr>
            </w:pPr>
          </w:p>
        </w:tc>
        <w:tc>
          <w:tcPr>
            <w:tcW w:w="2620" w:type="dxa"/>
            <w:vAlign w:val="bottom"/>
            <w:shd w:val="clear" w:color="auto" w:fill="D9D9D9"/>
          </w:tcPr>
          <w:p>
            <w:pPr>
              <w:ind w:left="520"/>
              <w:spacing w:after="0"/>
              <w:rPr>
                <w:sz w:val="20"/>
                <w:szCs w:val="20"/>
                <w:color w:val="auto"/>
              </w:rPr>
            </w:pPr>
            <w:r>
              <w:rPr>
                <w:rFonts w:ascii="Arial" w:cs="Arial" w:eastAsia="Arial" w:hAnsi="Arial"/>
                <w:sz w:val="18"/>
                <w:szCs w:val="18"/>
                <w:b w:val="1"/>
                <w:bCs w:val="1"/>
                <w:color w:val="auto"/>
              </w:rPr>
              <w:t>Nominating and</w:t>
            </w:r>
          </w:p>
        </w:tc>
        <w:tc>
          <w:tcPr>
            <w:tcW w:w="2460" w:type="dxa"/>
            <w:vAlign w:val="bottom"/>
            <w:shd w:val="clear" w:color="auto" w:fill="D9D9D9"/>
          </w:tcPr>
          <w:p>
            <w:pPr>
              <w:spacing w:after="0"/>
              <w:rPr>
                <w:sz w:val="21"/>
                <w:szCs w:val="21"/>
                <w:color w:val="auto"/>
              </w:rPr>
            </w:pPr>
          </w:p>
        </w:tc>
      </w:tr>
      <w:tr>
        <w:trPr>
          <w:trHeight w:val="253"/>
        </w:trPr>
        <w:tc>
          <w:tcPr>
            <w:tcW w:w="1480" w:type="dxa"/>
            <w:vAlign w:val="bottom"/>
            <w:shd w:val="clear" w:color="auto" w:fill="D9D9D9"/>
          </w:tcPr>
          <w:p>
            <w:pPr>
              <w:ind w:left="120"/>
              <w:spacing w:after="0"/>
              <w:rPr>
                <w:sz w:val="20"/>
                <w:szCs w:val="20"/>
                <w:color w:val="auto"/>
              </w:rPr>
            </w:pPr>
            <w:r>
              <w:rPr>
                <w:rFonts w:ascii="Arial" w:cs="Arial" w:eastAsia="Arial" w:hAnsi="Arial"/>
                <w:sz w:val="18"/>
                <w:szCs w:val="18"/>
                <w:b w:val="1"/>
                <w:bCs w:val="1"/>
                <w:color w:val="auto"/>
              </w:rPr>
              <w:t>Board</w:t>
            </w:r>
          </w:p>
        </w:tc>
        <w:tc>
          <w:tcPr>
            <w:tcW w:w="2620" w:type="dxa"/>
            <w:vAlign w:val="bottom"/>
            <w:shd w:val="clear" w:color="auto" w:fill="D9D9D9"/>
          </w:tcPr>
          <w:p>
            <w:pPr>
              <w:ind w:left="860"/>
              <w:spacing w:after="0"/>
              <w:rPr>
                <w:sz w:val="20"/>
                <w:szCs w:val="20"/>
                <w:color w:val="auto"/>
              </w:rPr>
            </w:pPr>
            <w:r>
              <w:rPr>
                <w:rFonts w:ascii="Arial" w:cs="Arial" w:eastAsia="Arial" w:hAnsi="Arial"/>
                <w:sz w:val="18"/>
                <w:szCs w:val="18"/>
                <w:b w:val="1"/>
                <w:bCs w:val="1"/>
                <w:color w:val="auto"/>
              </w:rPr>
              <w:t>Compensation</w:t>
            </w:r>
          </w:p>
        </w:tc>
        <w:tc>
          <w:tcPr>
            <w:tcW w:w="2620" w:type="dxa"/>
            <w:vAlign w:val="bottom"/>
            <w:shd w:val="clear" w:color="auto" w:fill="D9D9D9"/>
          </w:tcPr>
          <w:p>
            <w:pPr>
              <w:ind w:left="520"/>
              <w:spacing w:after="0"/>
              <w:rPr>
                <w:sz w:val="20"/>
                <w:szCs w:val="20"/>
                <w:color w:val="auto"/>
              </w:rPr>
            </w:pPr>
            <w:r>
              <w:rPr>
                <w:rFonts w:ascii="Arial" w:cs="Arial" w:eastAsia="Arial" w:hAnsi="Arial"/>
                <w:sz w:val="18"/>
                <w:szCs w:val="18"/>
                <w:b w:val="1"/>
                <w:bCs w:val="1"/>
                <w:color w:val="auto"/>
              </w:rPr>
              <w:t>Corporate Governance</w:t>
            </w:r>
          </w:p>
        </w:tc>
        <w:tc>
          <w:tcPr>
            <w:tcW w:w="2460" w:type="dxa"/>
            <w:vAlign w:val="bottom"/>
            <w:shd w:val="clear" w:color="auto" w:fill="D9D9D9"/>
          </w:tcPr>
          <w:p>
            <w:pPr>
              <w:ind w:left="160"/>
              <w:spacing w:after="0"/>
              <w:rPr>
                <w:sz w:val="20"/>
                <w:szCs w:val="20"/>
                <w:color w:val="auto"/>
              </w:rPr>
            </w:pPr>
            <w:r>
              <w:rPr>
                <w:rFonts w:ascii="Arial" w:cs="Arial" w:eastAsia="Arial" w:hAnsi="Arial"/>
                <w:sz w:val="18"/>
                <w:szCs w:val="18"/>
                <w:b w:val="1"/>
                <w:bCs w:val="1"/>
                <w:color w:val="auto"/>
              </w:rPr>
              <w:t>Audit/Finance</w:t>
            </w:r>
          </w:p>
        </w:tc>
      </w:tr>
      <w:tr>
        <w:trPr>
          <w:trHeight w:val="42"/>
        </w:trPr>
        <w:tc>
          <w:tcPr>
            <w:tcW w:w="1480" w:type="dxa"/>
            <w:vAlign w:val="bottom"/>
            <w:shd w:val="clear" w:color="auto" w:fill="D9D9D9"/>
          </w:tcPr>
          <w:p>
            <w:pPr>
              <w:spacing w:after="0"/>
              <w:rPr>
                <w:sz w:val="3"/>
                <w:szCs w:val="3"/>
                <w:color w:val="auto"/>
              </w:rPr>
            </w:pPr>
          </w:p>
        </w:tc>
        <w:tc>
          <w:tcPr>
            <w:tcW w:w="2620" w:type="dxa"/>
            <w:vAlign w:val="bottom"/>
            <w:shd w:val="clear" w:color="auto" w:fill="D9D9D9"/>
          </w:tcPr>
          <w:p>
            <w:pPr>
              <w:spacing w:after="0"/>
              <w:rPr>
                <w:sz w:val="3"/>
                <w:szCs w:val="3"/>
                <w:color w:val="auto"/>
              </w:rPr>
            </w:pPr>
          </w:p>
        </w:tc>
        <w:tc>
          <w:tcPr>
            <w:tcW w:w="2620" w:type="dxa"/>
            <w:vAlign w:val="bottom"/>
            <w:shd w:val="clear" w:color="auto" w:fill="D9D9D9"/>
          </w:tcPr>
          <w:p>
            <w:pPr>
              <w:spacing w:after="0"/>
              <w:rPr>
                <w:sz w:val="3"/>
                <w:szCs w:val="3"/>
                <w:color w:val="auto"/>
              </w:rPr>
            </w:pPr>
          </w:p>
        </w:tc>
        <w:tc>
          <w:tcPr>
            <w:tcW w:w="2460" w:type="dxa"/>
            <w:vAlign w:val="bottom"/>
            <w:shd w:val="clear" w:color="auto" w:fill="D9D9D9"/>
          </w:tcPr>
          <w:p>
            <w:pPr>
              <w:spacing w:after="0"/>
              <w:rPr>
                <w:sz w:val="3"/>
                <w:szCs w:val="3"/>
                <w:color w:val="auto"/>
              </w:rPr>
            </w:pPr>
          </w:p>
        </w:tc>
      </w:tr>
    </w:tbl>
    <w:p>
      <w:pPr>
        <w:spacing w:after="0" w:line="45" w:lineRule="exact"/>
        <w:rPr>
          <w:sz w:val="20"/>
          <w:szCs w:val="20"/>
          <w:color w:val="auto"/>
        </w:rPr>
      </w:pPr>
    </w:p>
    <w:p>
      <w:pPr>
        <w:sectPr>
          <w:pgSz w:w="11900" w:h="16838" w:orient="portrait"/>
          <w:cols w:equalWidth="0" w:num="1">
            <w:col w:w="9180"/>
          </w:cols>
          <w:pgMar w:left="1360" w:top="263" w:right="1359" w:bottom="1440" w:gutter="0" w:footer="0" w:header="0"/>
        </w:sectPr>
      </w:pPr>
    </w:p>
    <w:p>
      <w:pPr>
        <w:ind w:left="240" w:right="40" w:hanging="129"/>
        <w:spacing w:after="0" w:line="276" w:lineRule="auto"/>
        <w:tabs>
          <w:tab w:leader="none" w:pos="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Overall responsibility for risk oversight</w:t>
      </w:r>
    </w:p>
    <w:p>
      <w:pPr>
        <w:spacing w:after="0" w:line="63" w:lineRule="exact"/>
        <w:rPr>
          <w:rFonts w:ascii="Arial" w:cs="Arial" w:eastAsia="Arial" w:hAnsi="Arial"/>
          <w:sz w:val="18"/>
          <w:szCs w:val="18"/>
          <w:color w:val="auto"/>
        </w:rPr>
      </w:pPr>
    </w:p>
    <w:p>
      <w:pPr>
        <w:ind w:left="240" w:hanging="129"/>
        <w:spacing w:after="0" w:line="260" w:lineRule="auto"/>
        <w:tabs>
          <w:tab w:leader="none" w:pos="2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Assesses directly, through Board committees or through established processes and procedures, risks relevant to the Company</w:t>
      </w:r>
    </w:p>
    <w:p>
      <w:pPr>
        <w:spacing w:after="0" w:line="20" w:lineRule="exact"/>
        <w:rPr>
          <w:sz w:val="20"/>
          <w:szCs w:val="20"/>
          <w:color w:val="auto"/>
        </w:rPr>
      </w:pPr>
      <w:r>
        <w:rPr>
          <w:sz w:val="20"/>
          <w:szCs w:val="20"/>
          <w:color w:val="auto"/>
        </w:rPr>
        <w:br w:type="column"/>
      </w:r>
    </w:p>
    <w:p>
      <w:pPr>
        <w:ind w:left="157" w:hanging="157"/>
        <w:spacing w:after="0" w:line="239" w:lineRule="auto"/>
        <w:tabs>
          <w:tab w:leader="none" w:pos="157"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Responsible for overseeing compensation risks, including assessing possible risks from our compensation plans and policies for our executives and ensuring that our executive compensation is aligned with Company performance</w:t>
      </w:r>
    </w:p>
    <w:p>
      <w:pPr>
        <w:spacing w:after="0" w:line="95" w:lineRule="exact"/>
        <w:rPr>
          <w:rFonts w:ascii="Arial" w:cs="Arial" w:eastAsia="Arial" w:hAnsi="Arial"/>
          <w:sz w:val="18"/>
          <w:szCs w:val="18"/>
          <w:color w:val="auto"/>
        </w:rPr>
      </w:pPr>
    </w:p>
    <w:p>
      <w:pPr>
        <w:ind w:left="157" w:right="40" w:hanging="157"/>
        <w:spacing w:after="0"/>
        <w:tabs>
          <w:tab w:leader="none" w:pos="157"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Reviews a summary and assessment of such risks annually and in connection with discussions of various compensation elements and benefits throughout the year</w:t>
      </w:r>
    </w:p>
    <w:p>
      <w:pPr>
        <w:spacing w:after="0" w:line="20" w:lineRule="exact"/>
        <w:rPr>
          <w:sz w:val="20"/>
          <w:szCs w:val="20"/>
          <w:color w:val="auto"/>
        </w:rPr>
      </w:pPr>
      <w:r>
        <w:rPr>
          <w:sz w:val="20"/>
          <w:szCs w:val="20"/>
          <w:color w:val="auto"/>
        </w:rPr>
        <w:br w:type="column"/>
      </w:r>
    </w:p>
    <w:p>
      <w:pPr>
        <w:ind w:left="169" w:right="20" w:hanging="169"/>
        <w:spacing w:after="0" w:line="241" w:lineRule="auto"/>
        <w:tabs>
          <w:tab w:leader="none" w:pos="169" w:val="left"/>
        </w:tabs>
        <w:numPr>
          <w:ilvl w:val="0"/>
          <w:numId w:val="19"/>
        </w:numPr>
        <w:rPr>
          <w:rFonts w:ascii="Arial" w:cs="Arial" w:eastAsia="Arial" w:hAnsi="Arial"/>
          <w:sz w:val="18"/>
          <w:szCs w:val="18"/>
          <w:color w:val="auto"/>
        </w:rPr>
      </w:pPr>
      <w:r>
        <w:rPr>
          <w:rFonts w:ascii="Arial" w:cs="Arial" w:eastAsia="Arial" w:hAnsi="Arial"/>
          <w:sz w:val="18"/>
          <w:szCs w:val="18"/>
          <w:color w:val="auto"/>
        </w:rPr>
        <w:t>Oversees our overall corporate governance, including Board and committee composition, Board size and structure, and our director independence</w:t>
      </w:r>
    </w:p>
    <w:p>
      <w:pPr>
        <w:spacing w:after="0" w:line="97" w:lineRule="exact"/>
        <w:rPr>
          <w:rFonts w:ascii="Arial" w:cs="Arial" w:eastAsia="Arial" w:hAnsi="Arial"/>
          <w:sz w:val="18"/>
          <w:szCs w:val="18"/>
          <w:color w:val="auto"/>
        </w:rPr>
      </w:pPr>
    </w:p>
    <w:p>
      <w:pPr>
        <w:ind w:left="169" w:hanging="169"/>
        <w:spacing w:after="0" w:line="277" w:lineRule="auto"/>
        <w:tabs>
          <w:tab w:leader="none" w:pos="169"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Reviews our Governance Principles annually pursuant to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-2931160</wp:posOffset>
            </wp:positionH>
            <wp:positionV relativeFrom="paragraph">
              <wp:posOffset>1256665</wp:posOffset>
            </wp:positionV>
            <wp:extent cx="582930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82930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61" w:right="80" w:hanging="161"/>
        <w:spacing w:after="0" w:line="260" w:lineRule="auto"/>
        <w:tabs>
          <w:tab w:leader="none" w:pos="161"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Responsible for reviewing our major financial risk exposures, financial reporting, and monitors our credit and liquidity risk, and compliance risk</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86" w:lineRule="exact"/>
        <w:rPr>
          <w:rFonts w:ascii="Arial" w:cs="Arial" w:eastAsia="Arial" w:hAnsi="Arial"/>
          <w:sz w:val="17"/>
          <w:szCs w:val="17"/>
          <w:color w:val="auto"/>
        </w:rPr>
      </w:pPr>
    </w:p>
    <w:p>
      <w:pPr>
        <w:ind w:left="161" w:right="100" w:hanging="161"/>
        <w:spacing w:after="0" w:line="243" w:lineRule="auto"/>
        <w:tabs>
          <w:tab w:leader="none" w:pos="161" w:val="left"/>
        </w:tabs>
        <w:numPr>
          <w:ilvl w:val="0"/>
          <w:numId w:val="20"/>
        </w:numPr>
        <w:rPr>
          <w:rFonts w:ascii="Arial" w:cs="Arial" w:eastAsia="Arial" w:hAnsi="Arial"/>
          <w:sz w:val="18"/>
          <w:szCs w:val="18"/>
          <w:color w:val="auto"/>
        </w:rPr>
      </w:pPr>
      <w:r>
        <w:rPr>
          <w:rFonts w:ascii="Arial" w:cs="Arial" w:eastAsia="Arial" w:hAnsi="Arial"/>
          <w:sz w:val="18"/>
          <w:szCs w:val="18"/>
          <w:color w:val="auto"/>
        </w:rPr>
        <w:t>Meets regularly with our independent auditors and in executive session to facilitate a full and candid discussion of risk and other issues</w:t>
      </w:r>
    </w:p>
    <w:p>
      <w:pPr>
        <w:spacing w:after="0" w:line="1003" w:lineRule="exact"/>
        <w:rPr>
          <w:sz w:val="20"/>
          <w:szCs w:val="20"/>
          <w:color w:val="auto"/>
        </w:rPr>
      </w:pPr>
    </w:p>
    <w:p>
      <w:pPr>
        <w:sectPr>
          <w:pgSz w:w="11900" w:h="16838" w:orient="portrait"/>
          <w:cols w:equalWidth="0" w:num="4">
            <w:col w:w="2200" w:space="143"/>
            <w:col w:w="2217" w:space="51"/>
            <w:col w:w="2189" w:space="79"/>
            <w:col w:w="2301"/>
          </w:cols>
          <w:pgMar w:left="1360" w:top="263" w:right="1359" w:bottom="1440" w:gutter="0" w:footer="0" w:header="0"/>
          <w:type w:val="continuous"/>
        </w:sectPr>
      </w:pPr>
    </w:p>
    <w:p>
      <w:pPr>
        <w:spacing w:after="0" w:line="223" w:lineRule="exact"/>
        <w:rPr>
          <w:sz w:val="20"/>
          <w:szCs w:val="20"/>
          <w:color w:val="auto"/>
        </w:rPr>
      </w:pPr>
    </w:p>
    <w:p>
      <w:pPr>
        <w:ind w:right="80"/>
        <w:spacing w:after="0" w:line="245" w:lineRule="auto"/>
        <w:rPr>
          <w:sz w:val="20"/>
          <w:szCs w:val="20"/>
          <w:color w:val="auto"/>
        </w:rPr>
      </w:pPr>
      <w:r>
        <w:rPr>
          <w:rFonts w:ascii="Arial" w:cs="Arial" w:eastAsia="Arial" w:hAnsi="Arial"/>
          <w:sz w:val="18"/>
          <w:szCs w:val="18"/>
          <w:color w:val="auto"/>
        </w:rPr>
        <w:t>Following a review of the Company’s current risk management systems and processes, the Board has concluded that the current allocation of oversight responsibilities between the Board and its committees is adequate, provided that the committees continue to coordinate their risk oversight responsibilities, share information appropriately with the other Board members, and provide timely and adequate reports to the full Board. The Board continually evaluates its risk oversight role.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w:t>
      </w:r>
    </w:p>
    <w:p>
      <w:pPr>
        <w:spacing w:after="0" w:line="173"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 xml:space="preserve">The Company has adopted a Code of Conduct that applies to all directors, officers, and employees of the Company and any subsidiary of the Company and is available on the Company’s website, </w:t>
      </w:r>
      <w:r>
        <w:rPr>
          <w:rFonts w:ascii="Arial" w:cs="Arial" w:eastAsia="Arial" w:hAnsi="Arial"/>
          <w:sz w:val="18"/>
          <w:szCs w:val="18"/>
          <w:i w:val="1"/>
          <w:iCs w:val="1"/>
          <w:color w:val="auto"/>
        </w:rPr>
        <w:t>www.itron.com</w:t>
      </w:r>
      <w:r>
        <w:rPr>
          <w:rFonts w:ascii="Arial" w:cs="Arial" w:eastAsia="Arial" w:hAnsi="Arial"/>
          <w:sz w:val="18"/>
          <w:szCs w:val="18"/>
          <w:color w:val="auto"/>
        </w:rPr>
        <w:t>, by selecting “Investors” and then “Corporate Governance.” In addition, we have adopted policies and procedures for reporting and investigating suspected violations of the Code of Conduct. The Company intends to satisfy any future</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157480</wp:posOffset>
            </wp:positionV>
            <wp:extent cx="69951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263" w:right="1359" w:bottom="1440" w:gutter="0" w:footer="0" w:header="0"/>
          <w:type w:val="continuous"/>
        </w:sectPr>
      </w:pPr>
    </w:p>
    <w:bookmarkStart w:id="20" w:name="page21"/>
    <w:bookmarkEnd w:id="20"/>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12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disclosure requirement under Item 5.05 of Form 8-K regarding an amendment to or waiver from application of or provisions of the Code of Conduct, that applies to the CEO or the CFO, by posting such information on our website, </w:t>
      </w:r>
      <w:r>
        <w:rPr>
          <w:rFonts w:ascii="Arial" w:cs="Arial" w:eastAsia="Arial" w:hAnsi="Arial"/>
          <w:sz w:val="18"/>
          <w:szCs w:val="18"/>
          <w:i w:val="1"/>
          <w:iCs w:val="1"/>
          <w:color w:val="auto"/>
        </w:rPr>
        <w:t>www.itron.com</w:t>
      </w:r>
      <w:r>
        <w:rPr>
          <w:rFonts w:ascii="Arial" w:cs="Arial" w:eastAsia="Arial" w:hAnsi="Arial"/>
          <w:sz w:val="18"/>
          <w:szCs w:val="18"/>
          <w:color w:val="auto"/>
        </w:rPr>
        <w: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Anti-Hedging and Pledging Policy</w:t>
      </w:r>
    </w:p>
    <w:p>
      <w:pPr>
        <w:spacing w:after="0" w:line="187" w:lineRule="exact"/>
        <w:rPr>
          <w:sz w:val="20"/>
          <w:szCs w:val="20"/>
          <w:color w:val="auto"/>
        </w:rPr>
      </w:pPr>
    </w:p>
    <w:p>
      <w:pPr>
        <w:ind w:right="180"/>
        <w:spacing w:after="0" w:line="248" w:lineRule="auto"/>
        <w:rPr>
          <w:sz w:val="20"/>
          <w:szCs w:val="20"/>
          <w:color w:val="auto"/>
        </w:rPr>
      </w:pPr>
      <w:r>
        <w:rPr>
          <w:rFonts w:ascii="Arial" w:cs="Arial" w:eastAsia="Arial" w:hAnsi="Arial"/>
          <w:sz w:val="18"/>
          <w:szCs w:val="18"/>
          <w:color w:val="auto"/>
        </w:rPr>
        <w:t xml:space="preserve">The Company has adopted an Anti-Hedging Policy that prohibits our directors, officers, and employees from entering into transactions involving our securities that are designed to hedge or offset any decrease in the market value of Itron securities. </w:t>
      </w:r>
      <w:r>
        <w:rPr>
          <w:rFonts w:ascii="Arial" w:cs="Arial" w:eastAsia="Arial" w:hAnsi="Arial"/>
          <w:sz w:val="18"/>
          <w:szCs w:val="18"/>
          <w:i w:val="1"/>
          <w:iCs w:val="1"/>
          <w:color w:val="auto"/>
        </w:rPr>
        <w:t>See</w:t>
      </w:r>
      <w:r>
        <w:rPr>
          <w:rFonts w:ascii="Arial" w:cs="Arial" w:eastAsia="Arial" w:hAnsi="Arial"/>
          <w:sz w:val="18"/>
          <w:szCs w:val="18"/>
          <w:color w:val="auto"/>
        </w:rPr>
        <w:t xml:space="preserve"> “</w:t>
      </w:r>
      <w:r>
        <w:rPr>
          <w:rFonts w:ascii="Arial" w:cs="Arial" w:eastAsia="Arial" w:hAnsi="Arial"/>
          <w:sz w:val="18"/>
          <w:szCs w:val="18"/>
          <w:i w:val="1"/>
          <w:iCs w:val="1"/>
          <w:color w:val="auto"/>
        </w:rPr>
        <w:t>EXECUTIVE COMPENSATION – CD&amp;A – Anti-Hedging Policy</w:t>
      </w:r>
      <w:r>
        <w:rPr>
          <w:rFonts w:ascii="Arial" w:cs="Arial" w:eastAsia="Arial" w:hAnsi="Arial"/>
          <w:sz w:val="18"/>
          <w:szCs w:val="18"/>
          <w:color w:val="auto"/>
        </w:rPr>
        <w:t>” in this proxy statement for more information on this policy.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Incentive Repayment (Clawback) Policy</w:t>
      </w:r>
    </w:p>
    <w:p>
      <w:pPr>
        <w:spacing w:after="0" w:line="173"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The Company has adopted a repayment or “clawback” policy, which provides that if a bonus or equity award (Award) is paid that is conditioned on meeting certain financial metrics, and, subsequently, there is a required financial restatement, which, had the correct information been known at the time, would have resulted in a lower Award, then the Board has the right to demand repayment of the excess amount of the Award, net of taxes, from an executive officer who has received an Award. If the Board (or its delegated committee) determines that fraud has resulted in a material financial restatement, it is required that the Board demand repayment from the executive officer engaged in the fraud of the full Award, net of taxes.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Nominations by Shareholders</w:t>
      </w:r>
    </w:p>
    <w:p>
      <w:pPr>
        <w:spacing w:after="0" w:line="173" w:lineRule="exact"/>
        <w:rPr>
          <w:sz w:val="20"/>
          <w:szCs w:val="20"/>
          <w:color w:val="auto"/>
        </w:rPr>
      </w:pPr>
    </w:p>
    <w:p>
      <w:pPr>
        <w:ind w:right="120"/>
        <w:spacing w:after="0" w:line="241" w:lineRule="auto"/>
        <w:rPr>
          <w:sz w:val="20"/>
          <w:szCs w:val="20"/>
          <w:color w:val="auto"/>
        </w:rPr>
      </w:pPr>
      <w:r>
        <w:rPr>
          <w:rFonts w:ascii="Arial" w:cs="Arial" w:eastAsia="Arial" w:hAnsi="Arial"/>
          <w:sz w:val="18"/>
          <w:szCs w:val="18"/>
          <w:color w:val="auto"/>
        </w:rPr>
        <w:t>In accordance with the Company’s Amended and Restated Bylaws, in order to nominate a director for election to the Board at an annual meeting of shareholders, a shareholder must deliver written notice of such nomination to the Corporate Secretary of the Company at the Company’s executive offices no fewer than 60 days nor more than 90 days prior to the date of the annual meeting (or if less than 60 days’ notice or prior public disclosure of the date of such annual meeting is given or made to the shareholders, not later than the tenth day following the day on which notice of the date of the annual meeting was mailed or public disclosure was made). The notice of a shareholder’s intention to nominate a director must include:</w:t>
      </w:r>
    </w:p>
    <w:p>
      <w:pPr>
        <w:spacing w:after="0" w:line="152" w:lineRule="exact"/>
        <w:rPr>
          <w:sz w:val="20"/>
          <w:szCs w:val="20"/>
          <w:color w:val="auto"/>
        </w:rPr>
      </w:pPr>
    </w:p>
    <w:p>
      <w:pPr>
        <w:ind w:left="700" w:hanging="346"/>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name and address of the shareholder;</w:t>
      </w:r>
    </w:p>
    <w:p>
      <w:pPr>
        <w:spacing w:after="0" w:line="171" w:lineRule="exact"/>
        <w:rPr>
          <w:rFonts w:ascii="Arial" w:cs="Arial" w:eastAsia="Arial" w:hAnsi="Arial"/>
          <w:sz w:val="18"/>
          <w:szCs w:val="18"/>
          <w:color w:val="auto"/>
        </w:rPr>
      </w:pPr>
    </w:p>
    <w:p>
      <w:pPr>
        <w:ind w:left="700" w:hanging="346"/>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representation that the shareholder is entitled to vote at the meeting at which directors will be elected;</w:t>
      </w:r>
    </w:p>
    <w:p>
      <w:pPr>
        <w:spacing w:after="0" w:line="171" w:lineRule="exact"/>
        <w:rPr>
          <w:rFonts w:ascii="Arial" w:cs="Arial" w:eastAsia="Arial" w:hAnsi="Arial"/>
          <w:sz w:val="18"/>
          <w:szCs w:val="18"/>
          <w:color w:val="auto"/>
        </w:rPr>
      </w:pPr>
    </w:p>
    <w:p>
      <w:pPr>
        <w:ind w:left="700" w:hanging="346"/>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statement of the number of shares of the Company that are beneficially owned by the shareholder;</w:t>
      </w:r>
    </w:p>
    <w:p>
      <w:pPr>
        <w:spacing w:after="0" w:line="184" w:lineRule="exact"/>
        <w:rPr>
          <w:rFonts w:ascii="Arial" w:cs="Arial" w:eastAsia="Arial" w:hAnsi="Arial"/>
          <w:sz w:val="18"/>
          <w:szCs w:val="18"/>
          <w:color w:val="auto"/>
        </w:rPr>
      </w:pPr>
    </w:p>
    <w:p>
      <w:pPr>
        <w:ind w:left="700" w:right="160" w:hanging="346"/>
        <w:spacing w:after="0" w:line="276" w:lineRule="auto"/>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representation that the shareholder intends to appear in person or by proxy at the meeting to nominate the person or persons specified in the notice;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and the following information with respect to the person nominated by the shareholder:</w:t>
      </w:r>
    </w:p>
    <w:p>
      <w:pPr>
        <w:spacing w:after="0" w:line="171" w:lineRule="exact"/>
        <w:rPr>
          <w:sz w:val="20"/>
          <w:szCs w:val="20"/>
          <w:color w:val="auto"/>
        </w:rPr>
      </w:pPr>
    </w:p>
    <w:p>
      <w:pPr>
        <w:ind w:left="700" w:hanging="346"/>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name and address;</w:t>
      </w:r>
    </w:p>
    <w:p>
      <w:pPr>
        <w:spacing w:after="0" w:line="171" w:lineRule="exact"/>
        <w:rPr>
          <w:rFonts w:ascii="Arial" w:cs="Arial" w:eastAsia="Arial" w:hAnsi="Arial"/>
          <w:sz w:val="18"/>
          <w:szCs w:val="18"/>
          <w:color w:val="auto"/>
        </w:rPr>
      </w:pPr>
    </w:p>
    <w:p>
      <w:pPr>
        <w:ind w:left="700" w:right="400" w:hanging="346"/>
        <w:spacing w:after="0" w:line="276" w:lineRule="auto"/>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 information regarding such nominee as would be required in a proxy statement filed pursuant to applicable SEC rules;</w:t>
      </w:r>
    </w:p>
    <w:p>
      <w:pPr>
        <w:spacing w:after="0" w:line="117" w:lineRule="exact"/>
        <w:rPr>
          <w:rFonts w:ascii="Arial" w:cs="Arial" w:eastAsia="Arial" w:hAnsi="Arial"/>
          <w:sz w:val="18"/>
          <w:szCs w:val="18"/>
          <w:color w:val="auto"/>
        </w:rPr>
      </w:pPr>
    </w:p>
    <w:p>
      <w:pPr>
        <w:ind w:left="700" w:right="140" w:hanging="346"/>
        <w:spacing w:after="0" w:line="276" w:lineRule="auto"/>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description of any arrangements or understandings between the shareholder and the nominee and any other persons (including their names), pursuant to which the nomination is made; and</w:t>
      </w:r>
    </w:p>
    <w:p>
      <w:pPr>
        <w:spacing w:after="0" w:line="104" w:lineRule="exact"/>
        <w:rPr>
          <w:rFonts w:ascii="Arial" w:cs="Arial" w:eastAsia="Arial" w:hAnsi="Arial"/>
          <w:sz w:val="18"/>
          <w:szCs w:val="18"/>
          <w:color w:val="auto"/>
        </w:rPr>
      </w:pPr>
    </w:p>
    <w:p>
      <w:pPr>
        <w:ind w:left="700" w:hanging="346"/>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consent of such nominee to serve as a director, if elected.</w:t>
      </w:r>
    </w:p>
    <w:p>
      <w:pPr>
        <w:spacing w:after="0" w:line="171" w:lineRule="exact"/>
        <w:rPr>
          <w:sz w:val="20"/>
          <w:szCs w:val="20"/>
          <w:color w:val="auto"/>
        </w:rPr>
      </w:pPr>
    </w:p>
    <w:p>
      <w:pPr>
        <w:ind w:right="40"/>
        <w:spacing w:after="0" w:line="258" w:lineRule="auto"/>
        <w:rPr>
          <w:sz w:val="20"/>
          <w:szCs w:val="20"/>
          <w:color w:val="auto"/>
        </w:rPr>
      </w:pPr>
      <w:r>
        <w:rPr>
          <w:rFonts w:ascii="Arial" w:cs="Arial" w:eastAsia="Arial" w:hAnsi="Arial"/>
          <w:sz w:val="17"/>
          <w:szCs w:val="17"/>
          <w:color w:val="auto"/>
        </w:rPr>
        <w:t>Other directors and senior management of the Company may also recommend director nominees for consideration by the Nominating and Corporate Governance Committee. The Nominating and Corporate Governance Committee evaluates director nominees, including nominees that are submitted to the Company by a shareholder, taking into consideration the qualification criteria set forth under “</w:t>
      </w:r>
      <w:r>
        <w:rPr>
          <w:rFonts w:ascii="Arial" w:cs="Arial" w:eastAsia="Arial" w:hAnsi="Arial"/>
          <w:sz w:val="17"/>
          <w:szCs w:val="17"/>
          <w:i w:val="1"/>
          <w:iCs w:val="1"/>
          <w:color w:val="auto"/>
        </w:rPr>
        <w:t>ELECTION OF DIRECTORS – Director and Director</w:t>
      </w:r>
      <w:r>
        <w:rPr>
          <w:rFonts w:ascii="Arial" w:cs="Arial" w:eastAsia="Arial" w:hAnsi="Arial"/>
          <w:sz w:val="17"/>
          <w:szCs w:val="17"/>
          <w:color w:val="auto"/>
        </w:rPr>
        <w:t xml:space="preserve"> </w:t>
      </w:r>
      <w:r>
        <w:rPr>
          <w:rFonts w:ascii="Arial" w:cs="Arial" w:eastAsia="Arial" w:hAnsi="Arial"/>
          <w:sz w:val="17"/>
          <w:szCs w:val="17"/>
          <w:i w:val="1"/>
          <w:iCs w:val="1"/>
          <w:color w:val="auto"/>
        </w:rPr>
        <w:t>Nominee Qualifications</w:t>
      </w:r>
      <w:r>
        <w:rPr>
          <w:rFonts w:ascii="Arial" w:cs="Arial" w:eastAsia="Arial" w:hAnsi="Arial"/>
          <w:sz w:val="17"/>
          <w:szCs w:val="17"/>
          <w:color w:val="auto"/>
        </w:rPr>
        <w:t>” in this proxy statement. In the event of a shareholder recommendation, the Nominating</w:t>
      </w:r>
      <w:r>
        <w:rPr>
          <w:rFonts w:ascii="Arial" w:cs="Arial" w:eastAsia="Arial" w:hAnsi="Arial"/>
          <w:sz w:val="17"/>
          <w:szCs w:val="17"/>
          <w:i w:val="1"/>
          <w:iCs w:val="1"/>
          <w:color w:val="auto"/>
        </w:rPr>
        <w:t xml:space="preserve"> </w:t>
      </w:r>
      <w:r>
        <w:rPr>
          <w:rFonts w:ascii="Arial" w:cs="Arial" w:eastAsia="Arial" w:hAnsi="Arial"/>
          <w:sz w:val="17"/>
          <w:szCs w:val="17"/>
          <w:color w:val="auto"/>
        </w:rPr>
        <w:t>and Corporate Governance Committee screens and evaluates the person recommended in the same manner as other candidates. In addition, the Nominating and Corporate Governance Committee determines if the proposed</w:t>
      </w: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165735</wp:posOffset>
            </wp:positionV>
            <wp:extent cx="69951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60"/>
          </w:cols>
          <w:pgMar w:left="1360" w:top="263" w:right="1379" w:bottom="1440" w:gutter="0" w:footer="0" w:header="0"/>
        </w:sectPr>
      </w:pPr>
    </w:p>
    <w:bookmarkStart w:id="21" w:name="page22"/>
    <w:bookmarkEnd w:id="21"/>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124" w:lineRule="exact"/>
        <w:rPr>
          <w:sz w:val="20"/>
          <w:szCs w:val="20"/>
          <w:color w:val="auto"/>
        </w:rPr>
      </w:pPr>
    </w:p>
    <w:p>
      <w:pPr>
        <w:ind w:right="700"/>
        <w:spacing w:after="0" w:line="255" w:lineRule="auto"/>
        <w:rPr>
          <w:sz w:val="20"/>
          <w:szCs w:val="20"/>
          <w:color w:val="auto"/>
        </w:rPr>
      </w:pPr>
      <w:r>
        <w:rPr>
          <w:rFonts w:ascii="Arial" w:cs="Arial" w:eastAsia="Arial" w:hAnsi="Arial"/>
          <w:sz w:val="18"/>
          <w:szCs w:val="18"/>
          <w:color w:val="auto"/>
        </w:rPr>
        <w:t>director nominee will have sufficient time available to effectively carry out his or her Board duties and responsibilities. The Nominating and Corporate Governance Committee may then recommend the director candidate to the Board for its consideration, if deemed appropriate.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Communications with the Board</w:t>
      </w:r>
    </w:p>
    <w:p>
      <w:pPr>
        <w:spacing w:after="0" w:line="187"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 xml:space="preserve">The Company’s Board provides a process whereby shareholders may contact the Board or any committee as a group or any committee Chair or individual director, by email addressed to </w:t>
      </w:r>
      <w:r>
        <w:rPr>
          <w:rFonts w:ascii="Arial" w:cs="Arial" w:eastAsia="Arial" w:hAnsi="Arial"/>
          <w:sz w:val="18"/>
          <w:szCs w:val="18"/>
          <w:i w:val="1"/>
          <w:iCs w:val="1"/>
          <w:color w:val="auto"/>
        </w:rPr>
        <w:t>boardofdirectors@itron.com</w:t>
      </w:r>
      <w:r>
        <w:rPr>
          <w:rFonts w:ascii="Arial" w:cs="Arial" w:eastAsia="Arial" w:hAnsi="Arial"/>
          <w:sz w:val="18"/>
          <w:szCs w:val="18"/>
          <w:color w:val="auto"/>
        </w:rPr>
        <w:t xml:space="preserve">. Shareholders should clearly specify in each communication the name of the director to whom the communication is addressed. Shareholders may also write to the Board or any committee as a group or any committee Chair or individual director by sending the communication to: Itron, Inc., Attn: Corporate Secretary, 2111 N. Molter Road, Liberty Lake, WA 99019. Communications may also be submitted through our website at </w:t>
      </w:r>
      <w:r>
        <w:rPr>
          <w:rFonts w:ascii="Arial" w:cs="Arial" w:eastAsia="Arial" w:hAnsi="Arial"/>
          <w:sz w:val="18"/>
          <w:szCs w:val="18"/>
          <w:i w:val="1"/>
          <w:iCs w:val="1"/>
          <w:color w:val="auto"/>
        </w:rPr>
        <w:t>www.itron.com</w:t>
      </w:r>
      <w:r>
        <w:rPr>
          <w:rFonts w:ascii="Arial" w:cs="Arial" w:eastAsia="Arial" w:hAnsi="Arial"/>
          <w:sz w:val="18"/>
          <w:szCs w:val="18"/>
          <w:color w:val="auto"/>
        </w:rPr>
        <w:t xml:space="preserve"> by selecting “Investors,” “Corporate Governance,” and then “Contact the Board.”</w:t>
      </w:r>
    </w:p>
    <w:p>
      <w:pPr>
        <w:spacing w:after="0" w:line="138" w:lineRule="exact"/>
        <w:rPr>
          <w:sz w:val="20"/>
          <w:szCs w:val="20"/>
          <w:color w:val="auto"/>
        </w:rPr>
      </w:pPr>
    </w:p>
    <w:p>
      <w:pPr>
        <w:ind w:right="60"/>
        <w:spacing w:after="0" w:line="245" w:lineRule="auto"/>
        <w:rPr>
          <w:sz w:val="20"/>
          <w:szCs w:val="20"/>
          <w:color w:val="auto"/>
        </w:rPr>
      </w:pPr>
      <w:r>
        <w:rPr>
          <w:rFonts w:ascii="Arial" w:cs="Arial" w:eastAsia="Arial" w:hAnsi="Arial"/>
          <w:sz w:val="18"/>
          <w:szCs w:val="18"/>
          <w:color w:val="auto"/>
        </w:rPr>
        <w:t xml:space="preserve">Shareholder communications are delivered directly to the Corporate Secretary of the Company, who then determines whether to forward such communications to the specified director addressees. You can access a description of the process that the Corporate Secretary uses for determining whether to forward shareholders’ communications to directors at our website, </w:t>
      </w:r>
      <w:r>
        <w:rPr>
          <w:rFonts w:ascii="Arial" w:cs="Arial" w:eastAsia="Arial" w:hAnsi="Arial"/>
          <w:sz w:val="18"/>
          <w:szCs w:val="18"/>
          <w:i w:val="1"/>
          <w:iCs w:val="1"/>
          <w:color w:val="auto"/>
        </w:rPr>
        <w:t>www.itron.com</w:t>
      </w:r>
      <w:r>
        <w:rPr>
          <w:rFonts w:ascii="Arial" w:cs="Arial" w:eastAsia="Arial" w:hAnsi="Arial"/>
          <w:sz w:val="18"/>
          <w:szCs w:val="18"/>
          <w:color w:val="auto"/>
        </w:rPr>
        <w:t>, by selecting “Investors,” “Corporate Governance,” and then “Contact the Board.”</w:t>
      </w:r>
    </w:p>
    <w:p>
      <w:pPr>
        <w:spacing w:after="0" w:line="132" w:lineRule="exact"/>
        <w:rPr>
          <w:sz w:val="20"/>
          <w:szCs w:val="20"/>
          <w:color w:val="auto"/>
        </w:rPr>
      </w:pPr>
    </w:p>
    <w:p>
      <w:pPr>
        <w:ind w:right="100"/>
        <w:spacing w:after="0" w:line="245" w:lineRule="auto"/>
        <w:rPr>
          <w:sz w:val="20"/>
          <w:szCs w:val="20"/>
          <w:color w:val="auto"/>
        </w:rPr>
      </w:pPr>
      <w:r>
        <w:rPr>
          <w:rFonts w:ascii="Arial" w:cs="Arial" w:eastAsia="Arial" w:hAnsi="Arial"/>
          <w:sz w:val="18"/>
          <w:szCs w:val="18"/>
          <w:color w:val="auto"/>
        </w:rPr>
        <w:t>Shareholders wishing to submit proposals for inclusion in the proxy statement relating to the 2022 annual shareholders meeting should follow the procedures specified under “</w:t>
      </w:r>
      <w:r>
        <w:rPr>
          <w:rFonts w:ascii="Arial" w:cs="Arial" w:eastAsia="Arial" w:hAnsi="Arial"/>
          <w:sz w:val="18"/>
          <w:szCs w:val="18"/>
          <w:i w:val="1"/>
          <w:iCs w:val="1"/>
          <w:color w:val="auto"/>
        </w:rPr>
        <w:t>SHAREHOLDER PROPOSALS FOR THE</w:t>
      </w:r>
      <w:r>
        <w:rPr>
          <w:rFonts w:ascii="Arial" w:cs="Arial" w:eastAsia="Arial" w:hAnsi="Arial"/>
          <w:sz w:val="18"/>
          <w:szCs w:val="18"/>
          <w:color w:val="auto"/>
        </w:rPr>
        <w:t xml:space="preserve"> </w:t>
      </w:r>
      <w:r>
        <w:rPr>
          <w:rFonts w:ascii="Arial" w:cs="Arial" w:eastAsia="Arial" w:hAnsi="Arial"/>
          <w:sz w:val="18"/>
          <w:szCs w:val="18"/>
          <w:i w:val="1"/>
          <w:iCs w:val="1"/>
          <w:color w:val="auto"/>
        </w:rPr>
        <w:t>2022 ANNUAL MEETING</w:t>
      </w:r>
      <w:r>
        <w:rPr>
          <w:rFonts w:ascii="Arial" w:cs="Arial" w:eastAsia="Arial" w:hAnsi="Arial"/>
          <w:sz w:val="18"/>
          <w:szCs w:val="18"/>
          <w:color w:val="auto"/>
        </w:rPr>
        <w:t>” in this proxy statement. Shareholders wishing to nominate directors should follow the</w:t>
      </w:r>
      <w:r>
        <w:rPr>
          <w:rFonts w:ascii="Arial" w:cs="Arial" w:eastAsia="Arial" w:hAnsi="Arial"/>
          <w:sz w:val="18"/>
          <w:szCs w:val="18"/>
          <w:i w:val="1"/>
          <w:iCs w:val="1"/>
          <w:color w:val="auto"/>
        </w:rPr>
        <w:t xml:space="preserve"> </w:t>
      </w:r>
      <w:r>
        <w:rPr>
          <w:rFonts w:ascii="Arial" w:cs="Arial" w:eastAsia="Arial" w:hAnsi="Arial"/>
          <w:sz w:val="18"/>
          <w:szCs w:val="18"/>
          <w:color w:val="auto"/>
        </w:rPr>
        <w:t>procedures specified under “</w:t>
      </w:r>
      <w:r>
        <w:rPr>
          <w:rFonts w:ascii="Arial" w:cs="Arial" w:eastAsia="Arial" w:hAnsi="Arial"/>
          <w:sz w:val="18"/>
          <w:szCs w:val="18"/>
          <w:i w:val="1"/>
          <w:iCs w:val="1"/>
          <w:color w:val="auto"/>
        </w:rPr>
        <w:t>CORPORATE GOVERNANCE</w:t>
      </w:r>
      <w:r>
        <w:rPr>
          <w:rFonts w:ascii="Arial" w:cs="Arial" w:eastAsia="Arial" w:hAnsi="Arial"/>
          <w:sz w:val="18"/>
          <w:szCs w:val="18"/>
          <w:color w:val="auto"/>
        </w:rPr>
        <w:t xml:space="preserve"> – </w:t>
      </w:r>
      <w:r>
        <w:rPr>
          <w:rFonts w:ascii="Arial" w:cs="Arial" w:eastAsia="Arial" w:hAnsi="Arial"/>
          <w:sz w:val="18"/>
          <w:szCs w:val="18"/>
          <w:i w:val="1"/>
          <w:iCs w:val="1"/>
          <w:color w:val="auto"/>
        </w:rPr>
        <w:t>Director Nominations by Shareholders</w:t>
      </w:r>
      <w:r>
        <w:rPr>
          <w:rFonts w:ascii="Arial" w:cs="Arial" w:eastAsia="Arial" w:hAnsi="Arial"/>
          <w:sz w:val="18"/>
          <w:szCs w:val="18"/>
          <w:color w:val="auto"/>
        </w:rPr>
        <w:t>” in this proxy statement.</w:t>
      </w:r>
    </w:p>
    <w:p>
      <w:pPr>
        <w:spacing w:after="0" w:line="2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165735</wp:posOffset>
            </wp:positionV>
            <wp:extent cx="69951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40"/>
          </w:cols>
          <w:pgMar w:left="1360" w:top="263" w:right="1399" w:bottom="1440" w:gutter="0" w:footer="0" w:header="0"/>
        </w:sectPr>
      </w:pPr>
    </w:p>
    <w:bookmarkStart w:id="22" w:name="page23"/>
    <w:bookmarkEnd w:id="22"/>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2 – ADVISORY APPROVAL OF EXECUTIVE COMPENSATION (Say-on-Pay)</w:t>
      </w:r>
    </w:p>
    <w:p>
      <w:pPr>
        <w:spacing w:after="0" w:line="187" w:lineRule="exact"/>
        <w:rPr>
          <w:sz w:val="20"/>
          <w:szCs w:val="20"/>
          <w:color w:val="auto"/>
        </w:rPr>
      </w:pPr>
    </w:p>
    <w:p>
      <w:pPr>
        <w:ind w:right="20"/>
        <w:spacing w:after="0"/>
        <w:rPr>
          <w:sz w:val="20"/>
          <w:szCs w:val="20"/>
          <w:color w:val="auto"/>
        </w:rPr>
      </w:pPr>
      <w:r>
        <w:rPr>
          <w:rFonts w:ascii="Arial" w:cs="Arial" w:eastAsia="Arial" w:hAnsi="Arial"/>
          <w:sz w:val="18"/>
          <w:szCs w:val="18"/>
          <w:color w:val="auto"/>
        </w:rPr>
        <w:t>We are asking our shareholders to approve a non-binding advisory resolution on the Company’s executive compensation programs for our named executive officers (NEOs) (commonly known as “say-on-pay”) as we have described them in this proxy statement. Although this advisory vote is non-binding, the Board and the Compensation Committee will take into account the outcome of the vote when considering future compensation decisions for our executives. As discussed in the Compensation Discussion and Analysis (CD&amp;A) section of this proxy statement, we believe our compensation programs are reasonable, competitive and strongly focused on pay-for-performance principles that will result in the creation of long-term shareholder value. Some of the features of our compensation programs that illustrate our philosophy are:</w:t>
      </w:r>
    </w:p>
    <w:p>
      <w:pPr>
        <w:spacing w:after="0" w:line="140" w:lineRule="exact"/>
        <w:rPr>
          <w:sz w:val="20"/>
          <w:szCs w:val="20"/>
          <w:color w:val="auto"/>
        </w:rPr>
      </w:pPr>
    </w:p>
    <w:p>
      <w:pPr>
        <w:ind w:left="700" w:right="40" w:hanging="346"/>
        <w:spacing w:after="0" w:line="254" w:lineRule="auto"/>
        <w:tabs>
          <w:tab w:leader="none" w:pos="7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 significant portion of an NEO’s compensation is at-risk or performance-based and subject to the Company’s operating and financial performance. We consider annual cash-based incentives, equity long-term incentives, and stock options to be performance-based, because each of these three elements is valuable to the executive only if performance goals are achieved and/or our share price improves. In fiscal year 2020, the executive compensation package (base salary and short- and long-term incentives at target) included 83% of at-risk compensation for the CEO and an average of 70% of at-risk compensation for the other NEOs. Our long-term incentive plan (LTIP) for equity awards granted under our Amended and Restated 2010 Stock Incentive Plan (A&amp;R 2010 Plan) or Second Amended and Restated 2010 Stock Incentive Plan (Second A&amp;R 2010 Plan), as applicable, has three-year performance periods, with one-year averages determined each year for measurement purposes, to encourage NEOs to make decisions that align our long-term goals with shareholder interests and to discourage excessive risk taking.</w:t>
      </w:r>
    </w:p>
    <w:p>
      <w:pPr>
        <w:spacing w:after="0" w:line="127" w:lineRule="exact"/>
        <w:rPr>
          <w:rFonts w:ascii="Arial" w:cs="Arial" w:eastAsia="Arial" w:hAnsi="Arial"/>
          <w:sz w:val="17"/>
          <w:szCs w:val="17"/>
          <w:color w:val="auto"/>
        </w:rPr>
      </w:pPr>
    </w:p>
    <w:p>
      <w:pPr>
        <w:ind w:left="700" w:right="100" w:hanging="346"/>
        <w:spacing w:after="0" w:line="306" w:lineRule="auto"/>
        <w:tabs>
          <w:tab w:leader="none" w:pos="7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Stock ownership guidelines require executive officers who are NEOs to acquire and hold certain amounts of Itron stock to further strengthen alignment of management’s interest with those of our shareholders.</w:t>
      </w:r>
    </w:p>
    <w:p>
      <w:pPr>
        <w:spacing w:after="0" w:line="95" w:lineRule="exact"/>
        <w:rPr>
          <w:rFonts w:ascii="Arial" w:cs="Arial" w:eastAsia="Arial" w:hAnsi="Arial"/>
          <w:sz w:val="17"/>
          <w:szCs w:val="17"/>
          <w:color w:val="auto"/>
        </w:rPr>
      </w:pPr>
    </w:p>
    <w:p>
      <w:pPr>
        <w:ind w:left="700" w:right="140" w:hanging="346"/>
        <w:spacing w:after="0" w:line="241" w:lineRule="auto"/>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have established an Incentive Repayment (Clawback) Policy that covers awards under all of our incentive programs, and provides that if a bonus or equity award is paid that is conditional on meeting certain financial metrics, and subsequently, there is a required material financial restatement, which, had the correct information been known at the time, would have resulted in a lower award, then the Board (or its delegated committee) has the right to demand repayment of the excess amount of the award, net of taxes. If the Board (or its delegated committee) determines that fraud has resulted in a material financial restatement, the Board is required to demand repayment of the full award, net of taxes.</w:t>
      </w:r>
    </w:p>
    <w:p>
      <w:pPr>
        <w:spacing w:after="0" w:line="138" w:lineRule="exact"/>
        <w:rPr>
          <w:rFonts w:ascii="Arial" w:cs="Arial" w:eastAsia="Arial" w:hAnsi="Arial"/>
          <w:sz w:val="18"/>
          <w:szCs w:val="18"/>
          <w:color w:val="auto"/>
        </w:rPr>
      </w:pPr>
    </w:p>
    <w:p>
      <w:pPr>
        <w:ind w:left="700" w:hanging="346"/>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maintain our long-standing commitment to strong corporate governance by continuing our policies of</w:t>
      </w:r>
    </w:p>
    <w:p>
      <w:pPr>
        <w:spacing w:after="0" w:line="17" w:lineRule="exact"/>
        <w:rPr>
          <w:rFonts w:ascii="Arial" w:cs="Arial" w:eastAsia="Arial" w:hAnsi="Arial"/>
          <w:sz w:val="18"/>
          <w:szCs w:val="18"/>
          <w:color w:val="auto"/>
        </w:rPr>
      </w:pPr>
    </w:p>
    <w:p>
      <w:pPr>
        <w:ind w:left="700" w:right="180"/>
        <w:spacing w:after="0" w:line="242" w:lineRule="auto"/>
        <w:rPr>
          <w:rFonts w:ascii="Arial" w:cs="Arial" w:eastAsia="Arial" w:hAnsi="Arial"/>
          <w:sz w:val="18"/>
          <w:szCs w:val="18"/>
          <w:color w:val="auto"/>
        </w:rPr>
      </w:pPr>
      <w:r>
        <w:rPr>
          <w:rFonts w:ascii="Arial" w:cs="Arial" w:eastAsia="Arial" w:hAnsi="Arial"/>
          <w:sz w:val="18"/>
          <w:szCs w:val="18"/>
          <w:color w:val="auto"/>
        </w:rPr>
        <w:t>(i) separate Board Chair and CEO roles, (ii) majority voting for directors, (iii) all independent Board members (except our CEO) and all independent committee members, (iv) executive sessions of independent directors, and (v) prohibition on hedging or pledging of Itron stock by our executive officers.</w:t>
      </w:r>
    </w:p>
    <w:p>
      <w:pPr>
        <w:spacing w:after="0" w:line="134" w:lineRule="exact"/>
        <w:rPr>
          <w:rFonts w:ascii="Arial" w:cs="Arial" w:eastAsia="Arial" w:hAnsi="Arial"/>
          <w:sz w:val="18"/>
          <w:szCs w:val="18"/>
          <w:color w:val="auto"/>
        </w:rPr>
      </w:pPr>
    </w:p>
    <w:p>
      <w:pPr>
        <w:ind w:left="700" w:right="20" w:hanging="346"/>
        <w:spacing w:after="0" w:line="241" w:lineRule="auto"/>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The compensation of our NEOs varies depending upon the achievement of pre-established performance goals determined by the Compensation Committee (or the independent members of the Board, for the CEO), which are intended to serve as incentives for our NEOs. When performance does not meet the pre-established target goals then the amount of compensation paid to our executives is correspondingly reduced or eliminated. Conversely, when the Company’s operating and financial performance meets or exceeds the pre-established performance metrics, then the amount of compensation paid to our executives increases. </w:t>
      </w:r>
      <w:r>
        <w:rPr>
          <w:rFonts w:ascii="Arial" w:cs="Arial" w:eastAsia="Arial" w:hAnsi="Arial"/>
          <w:sz w:val="18"/>
          <w:szCs w:val="18"/>
          <w:i w:val="1"/>
          <w:iCs w:val="1"/>
          <w:color w:val="auto"/>
        </w:rPr>
        <w:t>See</w:t>
      </w:r>
      <w:r>
        <w:rPr>
          <w:rFonts w:ascii="Arial" w:cs="Arial" w:eastAsia="Arial" w:hAnsi="Arial"/>
          <w:sz w:val="18"/>
          <w:szCs w:val="18"/>
          <w:color w:val="auto"/>
        </w:rPr>
        <w:t xml:space="preserve"> “</w:t>
      </w:r>
      <w:r>
        <w:rPr>
          <w:rFonts w:ascii="Arial" w:cs="Arial" w:eastAsia="Arial" w:hAnsi="Arial"/>
          <w:sz w:val="18"/>
          <w:szCs w:val="18"/>
          <w:i w:val="1"/>
          <w:iCs w:val="1"/>
          <w:color w:val="auto"/>
        </w:rPr>
        <w:t>The 2020 Executive Compensation Program in Detail</w:t>
      </w:r>
      <w:r>
        <w:rPr>
          <w:rFonts w:ascii="Arial" w:cs="Arial" w:eastAsia="Arial" w:hAnsi="Arial"/>
          <w:sz w:val="18"/>
          <w:szCs w:val="18"/>
          <w:color w:val="auto"/>
        </w:rPr>
        <w:t>” in the CD&amp;A.</w:t>
      </w:r>
    </w:p>
    <w:p>
      <w:pPr>
        <w:spacing w:after="0" w:line="152" w:lineRule="exact"/>
        <w:rPr>
          <w:sz w:val="20"/>
          <w:szCs w:val="20"/>
          <w:color w:val="auto"/>
        </w:rPr>
      </w:pPr>
    </w:p>
    <w:p>
      <w:pPr>
        <w:ind w:right="180"/>
        <w:spacing w:after="0" w:line="245" w:lineRule="auto"/>
        <w:rPr>
          <w:sz w:val="20"/>
          <w:szCs w:val="20"/>
          <w:color w:val="auto"/>
        </w:rPr>
      </w:pPr>
      <w:r>
        <w:rPr>
          <w:rFonts w:ascii="Arial" w:cs="Arial" w:eastAsia="Arial" w:hAnsi="Arial"/>
          <w:sz w:val="18"/>
          <w:szCs w:val="18"/>
          <w:color w:val="auto"/>
        </w:rPr>
        <w:t>We believe our executive compensation policies have enabled us to retain and attract exceptional senior executives whose talent and experience have helped Itron become a leader in our industry. Our Compensation Committee (and for the CEO compensation, also the independent members of the Board), which provides overall direction for our compensation programs, believes the fiscal year 2020 compensation paid to our NEOs is reasonable and appropriate and adequately reflects the Company’s overall performance in 2020.</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Shareholders are encouraged to read the full details of our executive compensation programs as described in the</w:t>
      </w:r>
    </w:p>
    <w:p>
      <w:pPr>
        <w:spacing w:after="0" w:line="18"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COMPENSATION DISCUSSION &amp; ANALYSIS (CD&amp;A)</w:t>
      </w:r>
      <w:r>
        <w:rPr>
          <w:rFonts w:ascii="Arial" w:cs="Arial" w:eastAsia="Arial" w:hAnsi="Arial"/>
          <w:sz w:val="18"/>
          <w:szCs w:val="18"/>
          <w:color w:val="auto"/>
        </w:rPr>
        <w:t>” and “</w:t>
      </w:r>
      <w:r>
        <w:rPr>
          <w:rFonts w:ascii="Arial" w:cs="Arial" w:eastAsia="Arial" w:hAnsi="Arial"/>
          <w:sz w:val="18"/>
          <w:szCs w:val="18"/>
          <w:i w:val="1"/>
          <w:iCs w:val="1"/>
          <w:color w:val="auto"/>
        </w:rPr>
        <w:t>EXECUTIVE COMPENSATION TABLES</w:t>
      </w:r>
      <w:r>
        <w:rPr>
          <w:rFonts w:ascii="Arial" w:cs="Arial" w:eastAsia="Arial" w:hAnsi="Arial"/>
          <w:sz w:val="18"/>
          <w:szCs w:val="18"/>
          <w:color w:val="auto"/>
        </w:rPr>
        <w:t>” sections of this proxy statement.</w:t>
      </w: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157480</wp:posOffset>
            </wp:positionV>
            <wp:extent cx="69951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60"/>
          </w:cols>
          <w:pgMar w:left="1360" w:top="263" w:right="1379" w:bottom="1440" w:gutter="0" w:footer="0" w:header="0"/>
        </w:sectPr>
      </w:pPr>
    </w:p>
    <w:bookmarkStart w:id="23" w:name="page24"/>
    <w:bookmarkEnd w:id="23"/>
    <w:p>
      <w:pPr>
        <w:ind w:left="6"/>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124" w:lineRule="exact"/>
        <w:rPr>
          <w:sz w:val="20"/>
          <w:szCs w:val="20"/>
          <w:color w:val="auto"/>
        </w:rPr>
      </w:pPr>
    </w:p>
    <w:p>
      <w:pPr>
        <w:ind w:left="6"/>
        <w:spacing w:after="0"/>
        <w:rPr>
          <w:sz w:val="20"/>
          <w:szCs w:val="20"/>
          <w:color w:val="auto"/>
        </w:rPr>
      </w:pPr>
      <w:r>
        <w:rPr>
          <w:rFonts w:ascii="Arial" w:cs="Arial" w:eastAsia="Arial" w:hAnsi="Arial"/>
          <w:sz w:val="18"/>
          <w:szCs w:val="18"/>
          <w:color w:val="auto"/>
        </w:rPr>
        <w:t>For the reasons provided above, we recommend that the shareholders vote in favor of the following resolution:</w:t>
      </w:r>
    </w:p>
    <w:p>
      <w:pPr>
        <w:spacing w:after="0" w:line="183" w:lineRule="exact"/>
        <w:rPr>
          <w:sz w:val="20"/>
          <w:szCs w:val="20"/>
          <w:color w:val="auto"/>
        </w:rPr>
      </w:pPr>
    </w:p>
    <w:p>
      <w:pPr>
        <w:ind w:left="6" w:right="60"/>
        <w:spacing w:after="0" w:line="268" w:lineRule="auto"/>
        <w:rPr>
          <w:sz w:val="20"/>
          <w:szCs w:val="20"/>
          <w:color w:val="auto"/>
        </w:rPr>
      </w:pPr>
      <w:r>
        <w:rPr>
          <w:rFonts w:ascii="Arial" w:cs="Arial" w:eastAsia="Arial" w:hAnsi="Arial"/>
          <w:sz w:val="17"/>
          <w:szCs w:val="17"/>
          <w:b w:val="1"/>
          <w:bCs w:val="1"/>
          <w:color w:val="auto"/>
        </w:rPr>
        <w:t>RESOLVED</w:t>
      </w:r>
      <w:r>
        <w:rPr>
          <w:rFonts w:ascii="Arial" w:cs="Arial" w:eastAsia="Arial" w:hAnsi="Arial"/>
          <w:sz w:val="17"/>
          <w:szCs w:val="17"/>
          <w:color w:val="auto"/>
        </w:rPr>
        <w:t>, that the shareholders approve, on a non-binding advisory basis, the compensation of the Company’s</w:t>
      </w:r>
      <w:r>
        <w:rPr>
          <w:rFonts w:ascii="Arial" w:cs="Arial" w:eastAsia="Arial" w:hAnsi="Arial"/>
          <w:sz w:val="17"/>
          <w:szCs w:val="17"/>
          <w:b w:val="1"/>
          <w:bCs w:val="1"/>
          <w:color w:val="auto"/>
        </w:rPr>
        <w:t xml:space="preserve"> </w:t>
      </w:r>
      <w:r>
        <w:rPr>
          <w:rFonts w:ascii="Arial" w:cs="Arial" w:eastAsia="Arial" w:hAnsi="Arial"/>
          <w:sz w:val="17"/>
          <w:szCs w:val="17"/>
          <w:color w:val="auto"/>
        </w:rPr>
        <w:t>named executive officers, as disclosed in the Compensation Discussion and Analysis section of the Company’s proxy statement for the 2021 annual meeting of shareholders, which disclosure includes the Executive Compensation Tables, and the accompanying footnotes and narrative disclosures within the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1543050</wp:posOffset>
            </wp:positionH>
            <wp:positionV relativeFrom="paragraph">
              <wp:posOffset>18415</wp:posOffset>
            </wp:positionV>
            <wp:extent cx="248285" cy="5918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48285" cy="591820"/>
                    </a:xfrm>
                    <a:prstGeom prst="rect">
                      <a:avLst/>
                    </a:prstGeom>
                    <a:noFill/>
                  </pic:spPr>
                </pic:pic>
              </a:graphicData>
            </a:graphic>
          </wp:anchor>
        </w:drawing>
      </w:r>
    </w:p>
    <w:p>
      <w:pPr>
        <w:spacing w:after="0" w:line="200" w:lineRule="exact"/>
        <w:rPr>
          <w:sz w:val="20"/>
          <w:szCs w:val="20"/>
          <w:color w:val="auto"/>
        </w:rPr>
      </w:pPr>
    </w:p>
    <w:p>
      <w:pPr>
        <w:ind w:left="2926"/>
        <w:spacing w:after="0"/>
        <w:rPr>
          <w:sz w:val="20"/>
          <w:szCs w:val="20"/>
          <w:color w:val="auto"/>
        </w:rPr>
      </w:pPr>
      <w:r>
        <w:rPr>
          <w:rFonts w:ascii="Arial" w:cs="Arial" w:eastAsia="Arial" w:hAnsi="Arial"/>
          <w:sz w:val="18"/>
          <w:szCs w:val="18"/>
          <w:b w:val="1"/>
          <w:bCs w:val="1"/>
          <w:color w:val="auto"/>
        </w:rPr>
        <w:t>The Board recommends that shareholders vote</w:t>
      </w:r>
    </w:p>
    <w:p>
      <w:pPr>
        <w:spacing w:after="0" w:line="15" w:lineRule="exact"/>
        <w:rPr>
          <w:sz w:val="20"/>
          <w:szCs w:val="20"/>
          <w:color w:val="auto"/>
        </w:rPr>
      </w:pPr>
    </w:p>
    <w:p>
      <w:pPr>
        <w:ind w:left="2926"/>
        <w:spacing w:after="0"/>
        <w:rPr>
          <w:sz w:val="20"/>
          <w:szCs w:val="20"/>
          <w:color w:val="auto"/>
        </w:rPr>
      </w:pPr>
      <w:r>
        <w:rPr>
          <w:rFonts w:ascii="Arial" w:cs="Arial" w:eastAsia="Arial" w:hAnsi="Arial"/>
          <w:sz w:val="18"/>
          <w:szCs w:val="18"/>
          <w:b w:val="1"/>
          <w:bCs w:val="1"/>
          <w:color w:val="auto"/>
        </w:rPr>
        <w:t>“FOR” the approval of the compensation paid to</w:t>
      </w:r>
    </w:p>
    <w:p>
      <w:pPr>
        <w:ind w:left="2926"/>
        <w:spacing w:after="0"/>
        <w:rPr>
          <w:sz w:val="20"/>
          <w:szCs w:val="20"/>
          <w:color w:val="auto"/>
        </w:rPr>
      </w:pPr>
      <w:r>
        <w:rPr>
          <w:rFonts w:ascii="Arial" w:cs="Arial" w:eastAsia="Arial" w:hAnsi="Arial"/>
          <w:sz w:val="18"/>
          <w:szCs w:val="18"/>
          <w:b w:val="1"/>
          <w:bCs w:val="1"/>
          <w:color w:val="auto"/>
        </w:rPr>
        <w:t>our named executive officers in fiscal year 2020</w:t>
      </w:r>
    </w:p>
    <w:p>
      <w:pPr>
        <w:spacing w:after="0" w:line="363"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COMPENSATION DISCUSSION &amp; ANALYSIS (CD&amp;A)</w:t>
      </w:r>
    </w:p>
    <w:p>
      <w:pPr>
        <w:spacing w:after="0" w:line="131" w:lineRule="exact"/>
        <w:rPr>
          <w:sz w:val="20"/>
          <w:szCs w:val="20"/>
          <w:color w:val="auto"/>
        </w:rPr>
      </w:pPr>
    </w:p>
    <w:p>
      <w:pPr>
        <w:ind w:left="6"/>
        <w:spacing w:after="0"/>
        <w:rPr>
          <w:sz w:val="20"/>
          <w:szCs w:val="20"/>
          <w:color w:val="auto"/>
        </w:rPr>
      </w:pPr>
      <w:r>
        <w:rPr>
          <w:rFonts w:ascii="Arial" w:cs="Arial" w:eastAsia="Arial" w:hAnsi="Arial"/>
          <w:sz w:val="18"/>
          <w:szCs w:val="18"/>
          <w:b w:val="1"/>
          <w:bCs w:val="1"/>
          <w:u w:val="single" w:color="auto"/>
          <w:color w:val="auto"/>
        </w:rPr>
        <w:t>Executive Compensation</w:t>
      </w:r>
    </w:p>
    <w:p>
      <w:pPr>
        <w:spacing w:after="0" w:line="173" w:lineRule="exact"/>
        <w:rPr>
          <w:sz w:val="20"/>
          <w:szCs w:val="20"/>
          <w:color w:val="auto"/>
        </w:rPr>
      </w:pPr>
    </w:p>
    <w:p>
      <w:pPr>
        <w:ind w:left="6" w:right="200"/>
        <w:spacing w:after="0" w:line="248" w:lineRule="auto"/>
        <w:rPr>
          <w:sz w:val="20"/>
          <w:szCs w:val="20"/>
          <w:color w:val="auto"/>
        </w:rPr>
      </w:pPr>
      <w:r>
        <w:rPr>
          <w:rFonts w:ascii="Arial" w:cs="Arial" w:eastAsia="Arial" w:hAnsi="Arial"/>
          <w:sz w:val="18"/>
          <w:szCs w:val="18"/>
          <w:color w:val="auto"/>
        </w:rPr>
        <w:t>This CD&amp;A explains our executive compensation program for our named executive officers (NEOs) listed below. The CD&amp;A also describes the process followed by the Compensation Committee of the Board (referred to as the Compensation Committee or the Committee in this CD&amp;A) for making pay decisions, as well as its rationale for specific decisions related to 2020.</w:t>
      </w:r>
    </w:p>
    <w:p>
      <w:pPr>
        <w:spacing w:after="0" w:line="87" w:lineRule="exact"/>
        <w:rPr>
          <w:sz w:val="20"/>
          <w:szCs w:val="20"/>
          <w:color w:val="auto"/>
        </w:rPr>
      </w:pPr>
    </w:p>
    <w:tbl>
      <w:tblPr>
        <w:tblLayout w:type="fixed"/>
        <w:tblInd w:w="86" w:type="dxa"/>
        <w:tblCellMar>
          <w:top w:w="0" w:type="dxa"/>
          <w:left w:w="0" w:type="dxa"/>
          <w:bottom w:w="0" w:type="dxa"/>
          <w:right w:w="0" w:type="dxa"/>
        </w:tblCellMar>
      </w:tblPr>
      <w:tr>
        <w:trPr>
          <w:trHeight w:val="253"/>
        </w:trPr>
        <w:tc>
          <w:tcPr>
            <w:tcW w:w="238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w:t>
            </w:r>
          </w:p>
        </w:tc>
        <w:tc>
          <w:tcPr>
            <w:tcW w:w="6640" w:type="dxa"/>
            <w:vAlign w:val="bottom"/>
          </w:tcPr>
          <w:p>
            <w:pPr>
              <w:spacing w:after="0"/>
              <w:rPr>
                <w:sz w:val="20"/>
                <w:szCs w:val="20"/>
                <w:color w:val="auto"/>
              </w:rPr>
            </w:pPr>
            <w:r>
              <w:rPr>
                <w:rFonts w:ascii="Arial" w:cs="Arial" w:eastAsia="Arial" w:hAnsi="Arial"/>
                <w:sz w:val="18"/>
                <w:szCs w:val="18"/>
                <w:b w:val="1"/>
                <w:bCs w:val="1"/>
                <w:color w:val="auto"/>
              </w:rPr>
              <w:t>Title</w:t>
            </w:r>
          </w:p>
        </w:tc>
      </w:tr>
      <w:tr>
        <w:trPr>
          <w:trHeight w:val="42"/>
        </w:trPr>
        <w:tc>
          <w:tcPr>
            <w:tcW w:w="216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6640" w:type="dxa"/>
            <w:vAlign w:val="bottom"/>
            <w:tcBorders>
              <w:bottom w:val="single" w:sz="8" w:color="auto"/>
            </w:tcBorders>
          </w:tcPr>
          <w:p>
            <w:pPr>
              <w:spacing w:after="0"/>
              <w:rPr>
                <w:sz w:val="3"/>
                <w:szCs w:val="3"/>
                <w:color w:val="auto"/>
              </w:rPr>
            </w:pPr>
          </w:p>
        </w:tc>
      </w:tr>
      <w:tr>
        <w:trPr>
          <w:trHeight w:val="281"/>
        </w:trPr>
        <w:tc>
          <w:tcPr>
            <w:tcW w:w="2380" w:type="dxa"/>
            <w:vAlign w:val="bottom"/>
            <w:gridSpan w:val="2"/>
          </w:tcPr>
          <w:p>
            <w:pPr>
              <w:ind w:left="40"/>
              <w:spacing w:after="0"/>
              <w:rPr>
                <w:sz w:val="20"/>
                <w:szCs w:val="20"/>
                <w:color w:val="auto"/>
              </w:rPr>
            </w:pPr>
            <w:r>
              <w:rPr>
                <w:rFonts w:ascii="Arial" w:cs="Arial" w:eastAsia="Arial" w:hAnsi="Arial"/>
                <w:sz w:val="18"/>
                <w:szCs w:val="18"/>
                <w:color w:val="auto"/>
              </w:rPr>
              <w:t>Thomas L. Deitrich</w:t>
            </w:r>
          </w:p>
        </w:tc>
        <w:tc>
          <w:tcPr>
            <w:tcW w:w="6640" w:type="dxa"/>
            <w:vAlign w:val="bottom"/>
          </w:tcPr>
          <w:p>
            <w:pPr>
              <w:spacing w:after="0"/>
              <w:rPr>
                <w:sz w:val="20"/>
                <w:szCs w:val="20"/>
                <w:color w:val="auto"/>
              </w:rPr>
            </w:pPr>
            <w:r>
              <w:rPr>
                <w:rFonts w:ascii="Arial" w:cs="Arial" w:eastAsia="Arial" w:hAnsi="Arial"/>
                <w:sz w:val="18"/>
                <w:szCs w:val="18"/>
                <w:color w:val="auto"/>
              </w:rPr>
              <w:t>President and CEO</w:t>
            </w:r>
          </w:p>
        </w:tc>
      </w:tr>
      <w:tr>
        <w:trPr>
          <w:trHeight w:val="338"/>
        </w:trPr>
        <w:tc>
          <w:tcPr>
            <w:tcW w:w="2380" w:type="dxa"/>
            <w:vAlign w:val="bottom"/>
            <w:gridSpan w:val="2"/>
          </w:tcPr>
          <w:p>
            <w:pPr>
              <w:ind w:left="40"/>
              <w:spacing w:after="0"/>
              <w:rPr>
                <w:sz w:val="20"/>
                <w:szCs w:val="20"/>
                <w:color w:val="auto"/>
              </w:rPr>
            </w:pPr>
            <w:r>
              <w:rPr>
                <w:rFonts w:ascii="Arial" w:cs="Arial" w:eastAsia="Arial" w:hAnsi="Arial"/>
                <w:sz w:val="18"/>
                <w:szCs w:val="18"/>
                <w:color w:val="auto"/>
              </w:rPr>
              <w:t>Joan S. Hooper</w:t>
            </w:r>
          </w:p>
        </w:tc>
        <w:tc>
          <w:tcPr>
            <w:tcW w:w="6640" w:type="dxa"/>
            <w:vAlign w:val="bottom"/>
          </w:tcPr>
          <w:p>
            <w:pPr>
              <w:spacing w:after="0"/>
              <w:rPr>
                <w:sz w:val="20"/>
                <w:szCs w:val="20"/>
                <w:color w:val="auto"/>
              </w:rPr>
            </w:pPr>
            <w:r>
              <w:rPr>
                <w:rFonts w:ascii="Arial" w:cs="Arial" w:eastAsia="Arial" w:hAnsi="Arial"/>
                <w:sz w:val="18"/>
                <w:szCs w:val="18"/>
                <w:color w:val="auto"/>
              </w:rPr>
              <w:t>Senior Vice President and CFO</w:t>
            </w:r>
          </w:p>
        </w:tc>
      </w:tr>
      <w:tr>
        <w:trPr>
          <w:trHeight w:val="338"/>
        </w:trPr>
        <w:tc>
          <w:tcPr>
            <w:tcW w:w="2380" w:type="dxa"/>
            <w:vAlign w:val="bottom"/>
            <w:gridSpan w:val="2"/>
          </w:tcPr>
          <w:p>
            <w:pPr>
              <w:ind w:left="40"/>
              <w:spacing w:after="0"/>
              <w:rPr>
                <w:sz w:val="20"/>
                <w:szCs w:val="20"/>
                <w:color w:val="auto"/>
              </w:rPr>
            </w:pPr>
            <w:r>
              <w:rPr>
                <w:rFonts w:ascii="Arial" w:cs="Arial" w:eastAsia="Arial" w:hAnsi="Arial"/>
                <w:sz w:val="18"/>
                <w:szCs w:val="18"/>
                <w:color w:val="auto"/>
              </w:rPr>
              <w:t>Sarah E. Hlavinka</w:t>
            </w:r>
          </w:p>
        </w:tc>
        <w:tc>
          <w:tcPr>
            <w:tcW w:w="6640" w:type="dxa"/>
            <w:vAlign w:val="bottom"/>
          </w:tcPr>
          <w:p>
            <w:pPr>
              <w:spacing w:after="0"/>
              <w:rPr>
                <w:sz w:val="20"/>
                <w:szCs w:val="20"/>
                <w:color w:val="auto"/>
              </w:rPr>
            </w:pPr>
            <w:r>
              <w:rPr>
                <w:rFonts w:ascii="Arial" w:cs="Arial" w:eastAsia="Arial" w:hAnsi="Arial"/>
                <w:sz w:val="18"/>
                <w:szCs w:val="18"/>
                <w:color w:val="auto"/>
              </w:rPr>
              <w:t>Senior Vice President, General Counsel and Corporate Secretary</w:t>
            </w:r>
          </w:p>
        </w:tc>
      </w:tr>
      <w:tr>
        <w:trPr>
          <w:trHeight w:val="338"/>
        </w:trPr>
        <w:tc>
          <w:tcPr>
            <w:tcW w:w="2380" w:type="dxa"/>
            <w:vAlign w:val="bottom"/>
            <w:gridSpan w:val="2"/>
          </w:tcPr>
          <w:p>
            <w:pPr>
              <w:ind w:left="40"/>
              <w:spacing w:after="0"/>
              <w:rPr>
                <w:sz w:val="20"/>
                <w:szCs w:val="20"/>
                <w:color w:val="auto"/>
              </w:rPr>
            </w:pPr>
            <w:r>
              <w:rPr>
                <w:rFonts w:ascii="Arial" w:cs="Arial" w:eastAsia="Arial" w:hAnsi="Arial"/>
                <w:sz w:val="18"/>
                <w:szCs w:val="18"/>
                <w:color w:val="auto"/>
              </w:rPr>
              <w:t>Michel C. Cadieux</w:t>
            </w:r>
          </w:p>
        </w:tc>
        <w:tc>
          <w:tcPr>
            <w:tcW w:w="6640" w:type="dxa"/>
            <w:vAlign w:val="bottom"/>
          </w:tcPr>
          <w:p>
            <w:pPr>
              <w:spacing w:after="0"/>
              <w:rPr>
                <w:sz w:val="20"/>
                <w:szCs w:val="20"/>
                <w:color w:val="auto"/>
              </w:rPr>
            </w:pPr>
            <w:r>
              <w:rPr>
                <w:rFonts w:ascii="Arial" w:cs="Arial" w:eastAsia="Arial" w:hAnsi="Arial"/>
                <w:sz w:val="18"/>
                <w:szCs w:val="18"/>
                <w:color w:val="auto"/>
              </w:rPr>
              <w:t>Senior Vice President, Human Resources</w:t>
            </w:r>
          </w:p>
        </w:tc>
      </w:tr>
      <w:tr>
        <w:trPr>
          <w:trHeight w:val="337"/>
        </w:trPr>
        <w:tc>
          <w:tcPr>
            <w:tcW w:w="2380" w:type="dxa"/>
            <w:vAlign w:val="bottom"/>
            <w:gridSpan w:val="2"/>
          </w:tcPr>
          <w:p>
            <w:pPr>
              <w:ind w:left="40"/>
              <w:spacing w:after="0"/>
              <w:rPr>
                <w:sz w:val="20"/>
                <w:szCs w:val="20"/>
                <w:color w:val="auto"/>
              </w:rPr>
            </w:pPr>
            <w:r>
              <w:rPr>
                <w:rFonts w:ascii="Arial" w:cs="Arial" w:eastAsia="Arial" w:hAnsi="Arial"/>
                <w:sz w:val="18"/>
                <w:szCs w:val="18"/>
                <w:color w:val="auto"/>
              </w:rPr>
              <w:t>Donald L. Reeves III</w:t>
            </w:r>
          </w:p>
        </w:tc>
        <w:tc>
          <w:tcPr>
            <w:tcW w:w="6640" w:type="dxa"/>
            <w:vAlign w:val="bottom"/>
          </w:tcPr>
          <w:p>
            <w:pPr>
              <w:spacing w:after="0"/>
              <w:rPr>
                <w:sz w:val="20"/>
                <w:szCs w:val="20"/>
                <w:color w:val="auto"/>
              </w:rPr>
            </w:pPr>
            <w:r>
              <w:rPr>
                <w:rFonts w:ascii="Arial" w:cs="Arial" w:eastAsia="Arial" w:hAnsi="Arial"/>
                <w:sz w:val="18"/>
                <w:szCs w:val="18"/>
                <w:color w:val="auto"/>
              </w:rPr>
              <w:t>Senior Vice President, Outcomes</w:t>
            </w:r>
          </w:p>
        </w:tc>
      </w:tr>
    </w:tbl>
    <w:p>
      <w:pPr>
        <w:spacing w:after="0" w:line="228" w:lineRule="exact"/>
        <w:rPr>
          <w:sz w:val="20"/>
          <w:szCs w:val="20"/>
          <w:color w:val="auto"/>
        </w:rPr>
      </w:pPr>
    </w:p>
    <w:p>
      <w:pPr>
        <w:ind w:left="6"/>
        <w:spacing w:after="0"/>
        <w:rPr>
          <w:sz w:val="20"/>
          <w:szCs w:val="20"/>
          <w:color w:val="auto"/>
        </w:rPr>
      </w:pPr>
      <w:r>
        <w:rPr>
          <w:rFonts w:ascii="Arial" w:cs="Arial" w:eastAsia="Arial" w:hAnsi="Arial"/>
          <w:sz w:val="18"/>
          <w:szCs w:val="18"/>
          <w:b w:val="1"/>
          <w:bCs w:val="1"/>
          <w:u w:val="single" w:color="auto"/>
          <w:color w:val="auto"/>
        </w:rPr>
        <w:t>Executive Summary</w:t>
      </w:r>
    </w:p>
    <w:p>
      <w:pPr>
        <w:spacing w:after="0" w:line="212"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Business Performance</w:t>
      </w:r>
    </w:p>
    <w:p>
      <w:pPr>
        <w:spacing w:after="0" w:line="173" w:lineRule="exact"/>
        <w:rPr>
          <w:sz w:val="20"/>
          <w:szCs w:val="20"/>
          <w:color w:val="auto"/>
        </w:rPr>
      </w:pPr>
    </w:p>
    <w:p>
      <w:pPr>
        <w:ind w:left="6" w:right="160"/>
        <w:spacing w:after="0" w:line="243" w:lineRule="auto"/>
        <w:rPr>
          <w:sz w:val="20"/>
          <w:szCs w:val="20"/>
          <w:color w:val="auto"/>
        </w:rPr>
      </w:pPr>
      <w:r>
        <w:rPr>
          <w:rFonts w:ascii="Arial" w:cs="Arial" w:eastAsia="Arial" w:hAnsi="Arial"/>
          <w:sz w:val="18"/>
          <w:szCs w:val="18"/>
          <w:color w:val="auto"/>
        </w:rPr>
        <w:t>With the COVID-19 pandemic (COVID-19) impacting our global customers and operations, Itron’s top priorities in 2020 were ensuring the health and safety of our employees, customers and the communities we serve, while continuing to execute on our strategy. We expanded our footprint of endpoints under management by 15% since 2019; reached 2.7 million distributed intelligence -enabled endpoints deployed; launched the 2020 restructuring program to improve our operational efficiencies; improved visibility to our Environmental, Social &amp; Governance (ESG) efforts; and exited 2020 with a record high backlog of $3.3 billion.</w:t>
      </w:r>
    </w:p>
    <w:p>
      <w:pPr>
        <w:spacing w:after="0" w:line="133" w:lineRule="exact"/>
        <w:rPr>
          <w:sz w:val="20"/>
          <w:szCs w:val="20"/>
          <w:color w:val="auto"/>
        </w:rPr>
      </w:pPr>
    </w:p>
    <w:p>
      <w:pPr>
        <w:ind w:left="6"/>
        <w:spacing w:after="0" w:line="255" w:lineRule="auto"/>
        <w:rPr>
          <w:sz w:val="20"/>
          <w:szCs w:val="20"/>
          <w:color w:val="auto"/>
        </w:rPr>
      </w:pPr>
      <w:r>
        <w:rPr>
          <w:rFonts w:ascii="Arial" w:cs="Arial" w:eastAsia="Arial" w:hAnsi="Arial"/>
          <w:sz w:val="17"/>
          <w:szCs w:val="17"/>
          <w:color w:val="auto"/>
        </w:rPr>
        <w:t>The COVID-19 pandemic impacted our customers, our operations, and our financial results in 2020. We reduced discretionary spending, eliminated annual variable cash compensation, and focused our efforts on working capital to manage through the near-term impact. From the height of the disruption in the second quarter of 2020, we have seen gradual improvement and positive indicators as we exited 2020. Much of the operational and financial actions</w:t>
      </w:r>
    </w:p>
    <w:p>
      <w:pPr>
        <w:spacing w:after="0" w:line="1" w:lineRule="exact"/>
        <w:rPr>
          <w:sz w:val="20"/>
          <w:szCs w:val="20"/>
          <w:color w:val="auto"/>
        </w:rPr>
      </w:pPr>
    </w:p>
    <w:p>
      <w:pPr>
        <w:ind w:left="6" w:right="160"/>
        <w:spacing w:after="0" w:line="213" w:lineRule="auto"/>
        <w:rPr>
          <w:sz w:val="20"/>
          <w:szCs w:val="20"/>
          <w:color w:val="auto"/>
        </w:rPr>
      </w:pPr>
      <w:r>
        <w:rPr>
          <w:rFonts w:ascii="Arial" w:cs="Arial" w:eastAsia="Arial" w:hAnsi="Arial"/>
          <w:sz w:val="18"/>
          <w:szCs w:val="18"/>
          <w:color w:val="auto"/>
        </w:rPr>
        <w:t>Itron took in 2020 helped reduce the impact that the COVID-19 pandemic had on our performance. Itron’s 2020 revenue, non-GAAP earnings per diluted share (non-GAAP EPS)</w:t>
      </w:r>
      <w:r>
        <w:rPr>
          <w:rFonts w:ascii="Arial" w:cs="Arial" w:eastAsia="Arial" w:hAnsi="Arial"/>
          <w:sz w:val="29"/>
          <w:szCs w:val="29"/>
          <w:color w:val="auto"/>
          <w:vertAlign w:val="superscript"/>
        </w:rPr>
        <w:t>(1)(2)</w:t>
      </w:r>
      <w:r>
        <w:rPr>
          <w:rFonts w:ascii="Arial" w:cs="Arial" w:eastAsia="Arial" w:hAnsi="Arial"/>
          <w:sz w:val="18"/>
          <w:szCs w:val="18"/>
          <w:color w:val="auto"/>
        </w:rPr>
        <w:t>, earnings before interest, tax, depreciation and amortization (Adjusted EBITDA)</w:t>
      </w:r>
      <w:r>
        <w:rPr>
          <w:rFonts w:ascii="Arial" w:cs="Arial" w:eastAsia="Arial" w:hAnsi="Arial"/>
          <w:sz w:val="29"/>
          <w:szCs w:val="29"/>
          <w:color w:val="auto"/>
          <w:vertAlign w:val="superscript"/>
        </w:rPr>
        <w:t>(1)(3)</w:t>
      </w:r>
      <w:r>
        <w:rPr>
          <w:rFonts w:ascii="Arial" w:cs="Arial" w:eastAsia="Arial" w:hAnsi="Arial"/>
          <w:sz w:val="18"/>
          <w:szCs w:val="18"/>
          <w:color w:val="auto"/>
        </w:rPr>
        <w:t>, and Free Cash Flow</w:t>
      </w:r>
      <w:r>
        <w:rPr>
          <w:rFonts w:ascii="Arial" w:cs="Arial" w:eastAsia="Arial" w:hAnsi="Arial"/>
          <w:sz w:val="29"/>
          <w:szCs w:val="29"/>
          <w:color w:val="auto"/>
          <w:vertAlign w:val="superscript"/>
        </w:rPr>
        <w:t>(1)(4)</w:t>
      </w:r>
      <w:r>
        <w:rPr>
          <w:rFonts w:ascii="Arial" w:cs="Arial" w:eastAsia="Arial" w:hAnsi="Arial"/>
          <w:sz w:val="18"/>
          <w:szCs w:val="18"/>
          <w:color w:val="auto"/>
        </w:rPr>
        <w:t>, as compared to 2019, were:</w:t>
      </w:r>
    </w:p>
    <w:p>
      <w:pPr>
        <w:spacing w:after="0" w:line="3" w:lineRule="exact"/>
        <w:rPr>
          <w:sz w:val="20"/>
          <w:szCs w:val="20"/>
          <w:color w:val="auto"/>
        </w:rPr>
      </w:pPr>
    </w:p>
    <w:p>
      <w:pPr>
        <w:ind w:left="706" w:hanging="346"/>
        <w:spacing w:after="0"/>
        <w:tabs>
          <w:tab w:leader="none" w:pos="706"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Revenue of approximately $2.2 billion, a decrease of 13%;</w:t>
      </w:r>
    </w:p>
    <w:p>
      <w:pPr>
        <w:spacing w:after="0" w:line="166" w:lineRule="exact"/>
        <w:rPr>
          <w:rFonts w:ascii="Arial" w:cs="Arial" w:eastAsia="Arial" w:hAnsi="Arial"/>
          <w:sz w:val="18"/>
          <w:szCs w:val="18"/>
          <w:color w:val="auto"/>
        </w:rPr>
      </w:pPr>
    </w:p>
    <w:p>
      <w:pPr>
        <w:ind w:left="706" w:hanging="346"/>
        <w:spacing w:after="0"/>
        <w:tabs>
          <w:tab w:leader="none" w:pos="706"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Adjusted EBITDA of approximately $178 million, a decrease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45720</wp:posOffset>
            </wp:positionV>
            <wp:extent cx="82296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5" w:lineRule="exact"/>
        <w:rPr>
          <w:sz w:val="20"/>
          <w:szCs w:val="20"/>
          <w:color w:val="auto"/>
        </w:rPr>
      </w:pPr>
    </w:p>
    <w:p>
      <w:pPr>
        <w:ind w:left="6"/>
        <w:spacing w:after="0"/>
        <w:rPr>
          <w:sz w:val="20"/>
          <w:szCs w:val="20"/>
          <w:color w:val="auto"/>
        </w:rPr>
      </w:pPr>
      <w:r>
        <w:rPr>
          <w:rFonts w:ascii="Arial" w:cs="Arial" w:eastAsia="Arial" w:hAnsi="Arial"/>
          <w:sz w:val="11"/>
          <w:szCs w:val="11"/>
          <w:color w:val="auto"/>
        </w:rPr>
        <w:t>(1)</w:t>
      </w:r>
    </w:p>
    <w:p>
      <w:pPr>
        <w:ind w:left="346" w:right="540"/>
        <w:spacing w:after="0" w:line="245" w:lineRule="auto"/>
        <w:rPr>
          <w:sz w:val="20"/>
          <w:szCs w:val="20"/>
          <w:color w:val="auto"/>
        </w:rPr>
      </w:pPr>
      <w:r>
        <w:rPr>
          <w:rFonts w:ascii="Arial" w:cs="Arial" w:eastAsia="Arial" w:hAnsi="Arial"/>
          <w:sz w:val="14"/>
          <w:szCs w:val="14"/>
          <w:color w:val="auto"/>
        </w:rPr>
        <w:t>A schedule reconciling Adjusted EBITDA to net income, non-GAAP EPS to net income and free cash flow to net cash provided by operating activities is available on page 44 of our 2020 Annual Report on Form 10-K.</w:t>
      </w:r>
    </w:p>
    <w:p>
      <w:pPr>
        <w:spacing w:after="0" w:line="45" w:lineRule="exact"/>
        <w:rPr>
          <w:sz w:val="20"/>
          <w:szCs w:val="20"/>
          <w:color w:val="auto"/>
        </w:rPr>
      </w:pPr>
    </w:p>
    <w:p>
      <w:pPr>
        <w:ind w:left="346" w:right="340" w:hanging="346"/>
        <w:spacing w:after="0" w:line="206" w:lineRule="auto"/>
        <w:tabs>
          <w:tab w:leader="none" w:pos="346" w:val="left"/>
        </w:tabs>
        <w:numPr>
          <w:ilvl w:val="0"/>
          <w:numId w:val="25"/>
        </w:numPr>
        <w:rPr>
          <w:rFonts w:ascii="Arial" w:cs="Arial" w:eastAsia="Arial" w:hAnsi="Arial"/>
          <w:sz w:val="22"/>
          <w:szCs w:val="22"/>
          <w:color w:val="auto"/>
          <w:vertAlign w:val="superscript"/>
        </w:rPr>
      </w:pPr>
      <w:r>
        <w:rPr>
          <w:rFonts w:ascii="Arial" w:cs="Arial" w:eastAsia="Arial" w:hAnsi="Arial"/>
          <w:sz w:val="14"/>
          <w:szCs w:val="14"/>
          <w:color w:val="auto"/>
        </w:rPr>
        <w:t>We define non-GAAP diluted EPS as non-GAAP net income divided by the weighted average shares, on a diluted basis, outstanding during each period.</w:t>
      </w:r>
    </w:p>
    <w:p>
      <w:pPr>
        <w:ind w:left="346" w:hanging="346"/>
        <w:spacing w:after="0" w:line="204" w:lineRule="auto"/>
        <w:tabs>
          <w:tab w:leader="none" w:pos="346" w:val="left"/>
        </w:tabs>
        <w:numPr>
          <w:ilvl w:val="0"/>
          <w:numId w:val="25"/>
        </w:numPr>
        <w:rPr>
          <w:rFonts w:ascii="Arial" w:cs="Arial" w:eastAsia="Arial" w:hAnsi="Arial"/>
          <w:sz w:val="22"/>
          <w:szCs w:val="22"/>
          <w:color w:val="auto"/>
          <w:vertAlign w:val="superscript"/>
        </w:rPr>
      </w:pPr>
      <w:r>
        <w:rPr>
          <w:rFonts w:ascii="Arial" w:cs="Arial" w:eastAsia="Arial" w:hAnsi="Arial"/>
          <w:sz w:val="14"/>
          <w:szCs w:val="14"/>
          <w:color w:val="auto"/>
        </w:rPr>
        <w:t>We define Adjusted EBITDA as net income (a) minus interest income, (b) plus interest expense, depreciation and amortization of</w:t>
      </w:r>
    </w:p>
    <w:p>
      <w:pPr>
        <w:ind w:left="346"/>
        <w:spacing w:after="0"/>
        <w:rPr>
          <w:sz w:val="20"/>
          <w:szCs w:val="20"/>
          <w:color w:val="auto"/>
        </w:rPr>
      </w:pPr>
      <w:r>
        <w:rPr>
          <w:rFonts w:ascii="Arial" w:cs="Arial" w:eastAsia="Arial" w:hAnsi="Arial"/>
          <w:sz w:val="14"/>
          <w:szCs w:val="14"/>
          <w:color w:val="auto"/>
        </w:rPr>
        <w:t>intangible assets, restructuring, acquisition related expense, goodwill impairment and (c) excluding the tax expense or benefit.</w:t>
      </w:r>
    </w:p>
    <w:p>
      <w:pPr>
        <w:ind w:left="6"/>
        <w:spacing w:after="0" w:line="190" w:lineRule="auto"/>
        <w:rPr>
          <w:sz w:val="20"/>
          <w:szCs w:val="20"/>
          <w:color w:val="auto"/>
        </w:rPr>
      </w:pPr>
      <w:r>
        <w:rPr>
          <w:rFonts w:ascii="Arial" w:cs="Arial" w:eastAsia="Arial" w:hAnsi="Arial"/>
          <w:sz w:val="9"/>
          <w:szCs w:val="9"/>
          <w:color w:val="auto"/>
        </w:rPr>
        <w:t>(4)</w:t>
      </w:r>
    </w:p>
    <w:p>
      <w:pPr>
        <w:ind w:left="346"/>
        <w:spacing w:after="0"/>
        <w:rPr>
          <w:sz w:val="20"/>
          <w:szCs w:val="20"/>
          <w:color w:val="auto"/>
        </w:rPr>
      </w:pPr>
      <w:r>
        <w:rPr>
          <w:rFonts w:ascii="Arial" w:cs="Arial" w:eastAsia="Arial" w:hAnsi="Arial"/>
          <w:sz w:val="14"/>
          <w:szCs w:val="14"/>
          <w:color w:val="auto"/>
        </w:rPr>
        <w:t>We define free cash flow as net cash provided by operating activities less cash used for acquisitions of property, plant and equipment.</w:t>
      </w:r>
    </w:p>
    <w:p>
      <w:pPr>
        <w:spacing w:after="0" w:line="297" w:lineRule="exact"/>
        <w:rPr>
          <w:sz w:val="20"/>
          <w:szCs w:val="20"/>
          <w:color w:val="auto"/>
        </w:rPr>
      </w:pPr>
    </w:p>
    <w:p>
      <w:pPr>
        <w:jc w:val="center"/>
        <w:ind w:right="-85"/>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157480</wp:posOffset>
            </wp:positionV>
            <wp:extent cx="699516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26"/>
          </w:cols>
          <w:pgMar w:left="1354" w:top="263" w:right="1419" w:bottom="1440" w:gutter="0" w:footer="0" w:header="0"/>
        </w:sectPr>
      </w:pPr>
    </w:p>
    <w:bookmarkStart w:id="24" w:name="page25"/>
    <w:bookmarkEnd w:id="24"/>
    <w:p>
      <w:pPr>
        <w:ind w:left="6"/>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124" w:lineRule="exact"/>
        <w:rPr>
          <w:sz w:val="20"/>
          <w:szCs w:val="20"/>
          <w:color w:val="auto"/>
        </w:rPr>
      </w:pPr>
    </w:p>
    <w:p>
      <w:pPr>
        <w:ind w:left="706" w:hanging="346"/>
        <w:spacing w:after="0"/>
        <w:tabs>
          <w:tab w:leader="none" w:pos="706"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Non-GAAP EPS of $1.85, a decrease of 44%; and</w:t>
      </w:r>
    </w:p>
    <w:p>
      <w:pPr>
        <w:spacing w:after="0" w:line="184" w:lineRule="exact"/>
        <w:rPr>
          <w:rFonts w:ascii="Arial" w:cs="Arial" w:eastAsia="Arial" w:hAnsi="Arial"/>
          <w:sz w:val="18"/>
          <w:szCs w:val="18"/>
          <w:color w:val="auto"/>
        </w:rPr>
      </w:pPr>
    </w:p>
    <w:p>
      <w:pPr>
        <w:ind w:left="706" w:hanging="346"/>
        <w:spacing w:after="0"/>
        <w:tabs>
          <w:tab w:leader="none" w:pos="706" w:val="left"/>
        </w:tabs>
        <w:numPr>
          <w:ilvl w:val="0"/>
          <w:numId w:val="26"/>
        </w:numPr>
        <w:rPr>
          <w:rFonts w:ascii="Arial" w:cs="Arial" w:eastAsia="Arial" w:hAnsi="Arial"/>
          <w:sz w:val="18"/>
          <w:szCs w:val="18"/>
          <w:color w:val="auto"/>
        </w:rPr>
      </w:pPr>
      <w:r>
        <w:rPr>
          <w:rFonts w:ascii="Arial" w:cs="Arial" w:eastAsia="Arial" w:hAnsi="Arial"/>
          <w:sz w:val="18"/>
          <w:szCs w:val="18"/>
          <w:color w:val="auto"/>
        </w:rPr>
        <w:t>Free Cash Flow of $63 million, a decrease of 44%.</w:t>
      </w:r>
    </w:p>
    <w:p>
      <w:pPr>
        <w:spacing w:after="0" w:line="171" w:lineRule="exact"/>
        <w:rPr>
          <w:sz w:val="20"/>
          <w:szCs w:val="20"/>
          <w:color w:val="auto"/>
        </w:rPr>
      </w:pPr>
    </w:p>
    <w:p>
      <w:pPr>
        <w:ind w:left="6" w:right="20"/>
        <w:spacing w:after="0" w:line="276" w:lineRule="auto"/>
        <w:rPr>
          <w:sz w:val="20"/>
          <w:szCs w:val="20"/>
          <w:color w:val="auto"/>
        </w:rPr>
      </w:pPr>
      <w:r>
        <w:rPr>
          <w:rFonts w:ascii="Arial" w:cs="Arial" w:eastAsia="Arial" w:hAnsi="Arial"/>
          <w:sz w:val="18"/>
          <w:szCs w:val="18"/>
          <w:color w:val="auto"/>
        </w:rPr>
        <w:t>The efforts we made in 2020 have made Itron more agile and capable for the future. We are emerging stronger with a renewed focus for innovation, resiliency and sustainability to better serve all of our stakeholders.</w:t>
      </w:r>
    </w:p>
    <w:p>
      <w:pPr>
        <w:spacing w:after="0" w:line="156"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Compensation Highlights</w:t>
      </w:r>
    </w:p>
    <w:p>
      <w:pPr>
        <w:spacing w:after="0" w:line="173" w:lineRule="exact"/>
        <w:rPr>
          <w:sz w:val="20"/>
          <w:szCs w:val="20"/>
          <w:color w:val="auto"/>
        </w:rPr>
      </w:pPr>
    </w:p>
    <w:p>
      <w:pPr>
        <w:ind w:left="6" w:right="40"/>
        <w:spacing w:after="0" w:line="243" w:lineRule="auto"/>
        <w:rPr>
          <w:sz w:val="20"/>
          <w:szCs w:val="20"/>
          <w:color w:val="auto"/>
        </w:rPr>
      </w:pPr>
      <w:r>
        <w:rPr>
          <w:rFonts w:ascii="Arial" w:cs="Arial" w:eastAsia="Arial" w:hAnsi="Arial"/>
          <w:sz w:val="18"/>
          <w:szCs w:val="18"/>
          <w:color w:val="auto"/>
        </w:rPr>
        <w:t>Our executive compensation program has three primary elements: base salary, annual cash incentives (as part of our Executive Management Incentive Plan (EMIP)), and long-term equity incentives (as part of our Long-Term Incentive Plan (LTIP)). Each of these compensation elements serves a specific purpose in our compensation strategy. Base salary is an essential component to any market-competitive compensation program. Annual incentives reward the achievement of short-term goals, while long-term incentives drive our NEOs to focus on long-term sustainable shareholder value creation.</w:t>
      </w:r>
    </w:p>
    <w:p>
      <w:pPr>
        <w:spacing w:after="0" w:line="133" w:lineRule="exact"/>
        <w:rPr>
          <w:sz w:val="20"/>
          <w:szCs w:val="20"/>
          <w:color w:val="auto"/>
        </w:rPr>
      </w:pPr>
    </w:p>
    <w:p>
      <w:pPr>
        <w:ind w:left="6" w:right="80"/>
        <w:spacing w:after="0" w:line="276" w:lineRule="auto"/>
        <w:rPr>
          <w:sz w:val="20"/>
          <w:szCs w:val="20"/>
          <w:color w:val="auto"/>
        </w:rPr>
      </w:pPr>
      <w:r>
        <w:rPr>
          <w:rFonts w:ascii="Arial" w:cs="Arial" w:eastAsia="Arial" w:hAnsi="Arial"/>
          <w:sz w:val="18"/>
          <w:szCs w:val="18"/>
          <w:i w:val="1"/>
          <w:iCs w:val="1"/>
          <w:color w:val="auto"/>
        </w:rPr>
        <w:t xml:space="preserve">Compensation Decisions Prior to COVID-19. </w:t>
      </w:r>
      <w:r>
        <w:rPr>
          <w:rFonts w:ascii="Arial" w:cs="Arial" w:eastAsia="Arial" w:hAnsi="Arial"/>
          <w:sz w:val="18"/>
          <w:szCs w:val="18"/>
          <w:color w:val="auto"/>
        </w:rPr>
        <w:t>In December 2019, prior to COVID-19, the Compensation 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took several important actions when setting 2020 compensation:</w:t>
      </w:r>
    </w:p>
    <w:p>
      <w:pPr>
        <w:spacing w:after="0" w:line="118" w:lineRule="exact"/>
        <w:rPr>
          <w:sz w:val="20"/>
          <w:szCs w:val="20"/>
          <w:color w:val="auto"/>
        </w:rPr>
      </w:pPr>
    </w:p>
    <w:p>
      <w:pPr>
        <w:ind w:left="706" w:right="40" w:hanging="346"/>
        <w:spacing w:after="0" w:line="306" w:lineRule="auto"/>
        <w:tabs>
          <w:tab w:leader="none" w:pos="706" w:val="left"/>
        </w:tabs>
        <w:numPr>
          <w:ilvl w:val="0"/>
          <w:numId w:val="27"/>
        </w:numPr>
        <w:rPr>
          <w:rFonts w:ascii="Arial" w:cs="Arial" w:eastAsia="Arial" w:hAnsi="Arial"/>
          <w:sz w:val="17"/>
          <w:szCs w:val="17"/>
          <w:color w:val="auto"/>
        </w:rPr>
      </w:pPr>
      <w:r>
        <w:rPr>
          <w:rFonts w:ascii="Arial" w:cs="Arial" w:eastAsia="Arial" w:hAnsi="Arial"/>
          <w:sz w:val="17"/>
          <w:szCs w:val="17"/>
          <w:color w:val="auto"/>
        </w:rPr>
        <w:t>Salary: Ms. Hooper and Mr. Cadieux were the only NEOs who received base salary adjustments in 2020, in each case to better align their base salaries with the market. See “</w:t>
      </w:r>
      <w:r>
        <w:rPr>
          <w:rFonts w:ascii="Arial" w:cs="Arial" w:eastAsia="Arial" w:hAnsi="Arial"/>
          <w:sz w:val="17"/>
          <w:szCs w:val="17"/>
          <w:i w:val="1"/>
          <w:iCs w:val="1"/>
          <w:color w:val="auto"/>
        </w:rPr>
        <w:t>Base Salary</w:t>
      </w:r>
      <w:r>
        <w:rPr>
          <w:rFonts w:ascii="Arial" w:cs="Arial" w:eastAsia="Arial" w:hAnsi="Arial"/>
          <w:sz w:val="17"/>
          <w:szCs w:val="17"/>
          <w:color w:val="auto"/>
        </w:rPr>
        <w:t>” in this CD&amp;A for details.</w:t>
      </w:r>
    </w:p>
    <w:p>
      <w:pPr>
        <w:spacing w:after="0" w:line="82" w:lineRule="exact"/>
        <w:rPr>
          <w:rFonts w:ascii="Arial" w:cs="Arial" w:eastAsia="Arial" w:hAnsi="Arial"/>
          <w:sz w:val="17"/>
          <w:szCs w:val="17"/>
          <w:color w:val="auto"/>
        </w:rPr>
      </w:pPr>
    </w:p>
    <w:p>
      <w:pPr>
        <w:ind w:left="706" w:hanging="346"/>
        <w:spacing w:after="0"/>
        <w:tabs>
          <w:tab w:leader="none" w:pos="706" w:val="left"/>
        </w:tabs>
        <w:numPr>
          <w:ilvl w:val="0"/>
          <w:numId w:val="27"/>
        </w:numPr>
        <w:rPr>
          <w:rFonts w:ascii="Arial" w:cs="Arial" w:eastAsia="Arial" w:hAnsi="Arial"/>
          <w:sz w:val="18"/>
          <w:szCs w:val="18"/>
          <w:color w:val="auto"/>
        </w:rPr>
      </w:pPr>
      <w:r>
        <w:rPr>
          <w:rFonts w:ascii="Arial" w:cs="Arial" w:eastAsia="Arial" w:hAnsi="Arial"/>
          <w:sz w:val="18"/>
          <w:szCs w:val="18"/>
          <w:color w:val="auto"/>
        </w:rPr>
        <w:t>EMIP:</w:t>
      </w:r>
    </w:p>
    <w:p>
      <w:pPr>
        <w:sectPr>
          <w:pgSz w:w="11900" w:h="16838" w:orient="portrait"/>
          <w:cols w:equalWidth="0" w:num="1">
            <w:col w:w="9186"/>
          </w:cols>
          <w:pgMar w:left="1354" w:top="263" w:right="1359" w:bottom="1440" w:gutter="0" w:footer="0" w:header="0"/>
        </w:sectPr>
      </w:pPr>
    </w:p>
    <w:p>
      <w:pPr>
        <w:spacing w:after="0" w:line="177" w:lineRule="exact"/>
        <w:rPr>
          <w:sz w:val="20"/>
          <w:szCs w:val="20"/>
          <w:color w:val="auto"/>
        </w:rPr>
      </w:pPr>
    </w:p>
    <w:p>
      <w:pPr>
        <w:ind w:left="726"/>
        <w:spacing w:after="0"/>
        <w:rPr>
          <w:sz w:val="20"/>
          <w:szCs w:val="20"/>
          <w:color w:val="auto"/>
        </w:rPr>
      </w:pPr>
      <w:r>
        <w:rPr>
          <w:rFonts w:ascii="Arial" w:cs="Arial" w:eastAsia="Arial" w:hAnsi="Arial"/>
          <w:sz w:val="9"/>
          <w:szCs w:val="9"/>
          <w:color w:val="auto"/>
        </w:rPr>
        <w:t>○</w:t>
      </w:r>
    </w:p>
    <w:p>
      <w:pPr>
        <w:spacing w:after="0" w:line="200" w:lineRule="exact"/>
        <w:rPr>
          <w:sz w:val="20"/>
          <w:szCs w:val="20"/>
          <w:color w:val="auto"/>
        </w:rPr>
      </w:pPr>
    </w:p>
    <w:p>
      <w:pPr>
        <w:spacing w:after="0" w:line="291" w:lineRule="exact"/>
        <w:rPr>
          <w:sz w:val="20"/>
          <w:szCs w:val="20"/>
          <w:color w:val="auto"/>
        </w:rPr>
      </w:pPr>
    </w:p>
    <w:p>
      <w:pPr>
        <w:ind w:left="726"/>
        <w:spacing w:after="0"/>
        <w:rPr>
          <w:sz w:val="20"/>
          <w:szCs w:val="20"/>
          <w:color w:val="auto"/>
        </w:rPr>
      </w:pPr>
      <w:r>
        <w:rPr>
          <w:rFonts w:ascii="Arial" w:cs="Arial" w:eastAsia="Arial" w:hAnsi="Arial"/>
          <w:sz w:val="9"/>
          <w:szCs w:val="9"/>
          <w:color w:val="auto"/>
        </w:rPr>
        <w:t>○</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right="520"/>
        <w:spacing w:after="0" w:line="276" w:lineRule="auto"/>
        <w:rPr>
          <w:sz w:val="20"/>
          <w:szCs w:val="20"/>
          <w:color w:val="auto"/>
        </w:rPr>
      </w:pPr>
      <w:r>
        <w:rPr>
          <w:rFonts w:ascii="Arial" w:cs="Arial" w:eastAsia="Arial" w:hAnsi="Arial"/>
          <w:sz w:val="18"/>
          <w:szCs w:val="18"/>
          <w:color w:val="auto"/>
        </w:rPr>
        <w:t>Approved EMIP financial targets at higher levels than 2019 performance to drive year-over-year results, requiring improved performance in 2020 to earn threshold and target payouts;</w:t>
      </w:r>
    </w:p>
    <w:p>
      <w:pPr>
        <w:spacing w:after="0" w:line="118" w:lineRule="exact"/>
        <w:rPr>
          <w:sz w:val="20"/>
          <w:szCs w:val="20"/>
          <w:color w:val="auto"/>
        </w:rPr>
      </w:pPr>
    </w:p>
    <w:p>
      <w:pPr>
        <w:ind w:right="340"/>
        <w:spacing w:after="0" w:line="276" w:lineRule="auto"/>
        <w:rPr>
          <w:sz w:val="20"/>
          <w:szCs w:val="20"/>
          <w:color w:val="auto"/>
        </w:rPr>
      </w:pPr>
      <w:r>
        <w:rPr>
          <w:rFonts w:ascii="Arial" w:cs="Arial" w:eastAsia="Arial" w:hAnsi="Arial"/>
          <w:sz w:val="18"/>
          <w:szCs w:val="18"/>
          <w:color w:val="auto"/>
        </w:rPr>
        <w:t>Set the maximum EMIP payout at 150% of target instead of the maximum of 200% allowed by the EMIP; and</w:t>
      </w:r>
    </w:p>
    <w:p>
      <w:pPr>
        <w:spacing w:after="0" w:line="104" w:lineRule="exact"/>
        <w:rPr>
          <w:sz w:val="20"/>
          <w:szCs w:val="20"/>
          <w:color w:val="auto"/>
        </w:rPr>
      </w:pPr>
    </w:p>
    <w:p>
      <w:pPr>
        <w:sectPr>
          <w:pgSz w:w="11900" w:h="16838" w:orient="portrait"/>
          <w:cols w:equalWidth="0" w:num="2">
            <w:col w:w="786" w:space="280"/>
            <w:col w:w="8120"/>
          </w:cols>
          <w:pgMar w:left="1354" w:top="263" w:right="1359" w:bottom="1440" w:gutter="0" w:footer="0" w:header="0"/>
          <w:type w:val="continuous"/>
        </w:sectPr>
      </w:pPr>
    </w:p>
    <w:p>
      <w:pPr>
        <w:ind w:left="1066" w:right="560" w:hanging="346"/>
        <w:spacing w:after="0" w:line="232" w:lineRule="auto"/>
        <w:tabs>
          <w:tab w:leader="none" w:pos="1066" w:val="left"/>
        </w:tabs>
        <w:numPr>
          <w:ilvl w:val="0"/>
          <w:numId w:val="28"/>
        </w:numPr>
        <w:rPr>
          <w:rFonts w:ascii="Arial" w:cs="Arial" w:eastAsia="Arial" w:hAnsi="Arial"/>
          <w:sz w:val="22"/>
          <w:szCs w:val="22"/>
          <w:color w:val="auto"/>
          <w:vertAlign w:val="superscript"/>
        </w:rPr>
      </w:pPr>
      <w:r>
        <w:rPr>
          <w:rFonts w:ascii="Arial" w:cs="Arial" w:eastAsia="Arial" w:hAnsi="Arial"/>
          <w:sz w:val="18"/>
          <w:szCs w:val="18"/>
          <w:color w:val="auto"/>
        </w:rPr>
        <w:t>Changed the mix of metrics to provide a balance between Adjusted EBITDA and Revenue, and promote profitable growth, as follows:</w:t>
      </w:r>
    </w:p>
    <w:p>
      <w:pPr>
        <w:spacing w:after="0" w:line="31" w:lineRule="exact"/>
        <w:rPr>
          <w:sz w:val="20"/>
          <w:szCs w:val="20"/>
          <w:color w:val="auto"/>
        </w:rPr>
      </w:pPr>
    </w:p>
    <w:tbl>
      <w:tblPr>
        <w:tblLayout w:type="fixed"/>
        <w:tblInd w:w="16" w:type="dxa"/>
        <w:tblCellMar>
          <w:top w:w="0" w:type="dxa"/>
          <w:left w:w="0" w:type="dxa"/>
          <w:bottom w:w="0" w:type="dxa"/>
          <w:right w:w="0" w:type="dxa"/>
        </w:tblCellMar>
      </w:tblPr>
      <w:tr>
        <w:trPr>
          <w:trHeight w:val="323"/>
        </w:trPr>
        <w:tc>
          <w:tcPr>
            <w:tcW w:w="2360" w:type="dxa"/>
            <w:vAlign w:val="bottom"/>
            <w:tcBorders>
              <w:top w:val="single" w:sz="8" w:color="auto"/>
              <w:left w:val="single" w:sz="8" w:color="auto"/>
              <w:right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Performance Objectives</w:t>
            </w:r>
          </w:p>
        </w:tc>
        <w:tc>
          <w:tcPr>
            <w:tcW w:w="3660" w:type="dxa"/>
            <w:vAlign w:val="bottom"/>
            <w:tcBorders>
              <w:top w:val="single" w:sz="8" w:color="auto"/>
              <w:right w:val="single" w:sz="8" w:color="auto"/>
            </w:tcBorders>
          </w:tcPr>
          <w:p>
            <w:pPr>
              <w:ind w:left="320"/>
              <w:spacing w:after="0"/>
              <w:rPr>
                <w:sz w:val="20"/>
                <w:szCs w:val="20"/>
                <w:color w:val="auto"/>
              </w:rPr>
            </w:pPr>
            <w:r>
              <w:rPr>
                <w:rFonts w:ascii="Arial" w:cs="Arial" w:eastAsia="Arial" w:hAnsi="Arial"/>
                <w:sz w:val="18"/>
                <w:szCs w:val="18"/>
                <w:b w:val="1"/>
                <w:bCs w:val="1"/>
                <w:color w:val="auto"/>
              </w:rPr>
              <w:t>Performance Metrics &amp; Weightings</w:t>
            </w:r>
          </w:p>
        </w:tc>
        <w:tc>
          <w:tcPr>
            <w:tcW w:w="3160" w:type="dxa"/>
            <w:vAlign w:val="bottom"/>
            <w:tcBorders>
              <w:top w:val="single" w:sz="8" w:color="auto"/>
              <w:right w:val="single" w:sz="8" w:color="auto"/>
            </w:tcBorders>
          </w:tcPr>
          <w:p>
            <w:pPr>
              <w:ind w:left="920"/>
              <w:spacing w:after="0"/>
              <w:rPr>
                <w:sz w:val="20"/>
                <w:szCs w:val="20"/>
                <w:color w:val="auto"/>
              </w:rPr>
            </w:pPr>
            <w:r>
              <w:rPr>
                <w:rFonts w:ascii="Arial" w:cs="Arial" w:eastAsia="Arial" w:hAnsi="Arial"/>
                <w:sz w:val="18"/>
                <w:szCs w:val="18"/>
                <w:b w:val="1"/>
                <w:bCs w:val="1"/>
                <w:color w:val="auto"/>
              </w:rPr>
              <w:t>EMIP Weighting</w:t>
            </w:r>
          </w:p>
        </w:tc>
      </w:tr>
      <w:tr>
        <w:trPr>
          <w:trHeight w:val="42"/>
        </w:trPr>
        <w:tc>
          <w:tcPr>
            <w:tcW w:w="1280" w:type="dxa"/>
            <w:vAlign w:val="bottom"/>
            <w:tcBorders>
              <w:left w:val="single" w:sz="8" w:color="auto"/>
              <w:bottom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3660" w:type="dxa"/>
            <w:vAlign w:val="bottom"/>
            <w:tcBorders>
              <w:bottom w:val="single" w:sz="8" w:color="auto"/>
              <w:right w:val="single" w:sz="8" w:color="auto"/>
            </w:tcBorders>
          </w:tcPr>
          <w:p>
            <w:pPr>
              <w:spacing w:after="0"/>
              <w:rPr>
                <w:sz w:val="3"/>
                <w:szCs w:val="3"/>
                <w:color w:val="auto"/>
              </w:rPr>
            </w:pPr>
          </w:p>
        </w:tc>
        <w:tc>
          <w:tcPr>
            <w:tcW w:w="3160" w:type="dxa"/>
            <w:vAlign w:val="bottom"/>
            <w:tcBorders>
              <w:bottom w:val="single" w:sz="8" w:color="auto"/>
              <w:right w:val="single" w:sz="8" w:color="auto"/>
            </w:tcBorders>
          </w:tcPr>
          <w:p>
            <w:pPr>
              <w:spacing w:after="0"/>
              <w:rPr>
                <w:sz w:val="3"/>
                <w:szCs w:val="3"/>
                <w:color w:val="auto"/>
              </w:rPr>
            </w:pPr>
          </w:p>
        </w:tc>
      </w:tr>
      <w:tr>
        <w:trPr>
          <w:trHeight w:val="281"/>
        </w:trPr>
        <w:tc>
          <w:tcPr>
            <w:tcW w:w="236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Financial (100%)</w:t>
            </w:r>
          </w:p>
        </w:tc>
        <w:tc>
          <w:tcPr>
            <w:tcW w:w="36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Adjusted EBITDA*</w:t>
            </w:r>
          </w:p>
        </w:tc>
        <w:tc>
          <w:tcPr>
            <w:tcW w:w="3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45%</w:t>
            </w:r>
          </w:p>
        </w:tc>
      </w:tr>
      <w:tr>
        <w:trPr>
          <w:trHeight w:val="50"/>
        </w:trPr>
        <w:tc>
          <w:tcPr>
            <w:tcW w:w="1280" w:type="dxa"/>
            <w:vAlign w:val="bottom"/>
            <w:tcBorders>
              <w:left w:val="single" w:sz="8" w:color="auto"/>
            </w:tcBorders>
          </w:tcPr>
          <w:p>
            <w:pPr>
              <w:spacing w:after="0"/>
              <w:rPr>
                <w:sz w:val="4"/>
                <w:szCs w:val="4"/>
                <w:color w:val="auto"/>
              </w:rPr>
            </w:pPr>
          </w:p>
        </w:tc>
        <w:tc>
          <w:tcPr>
            <w:tcW w:w="1080" w:type="dxa"/>
            <w:vAlign w:val="bottom"/>
            <w:tcBorders>
              <w:right w:val="single" w:sz="8" w:color="auto"/>
            </w:tcBorders>
          </w:tcPr>
          <w:p>
            <w:pPr>
              <w:spacing w:after="0"/>
              <w:rPr>
                <w:sz w:val="4"/>
                <w:szCs w:val="4"/>
                <w:color w:val="auto"/>
              </w:rPr>
            </w:pPr>
          </w:p>
        </w:tc>
        <w:tc>
          <w:tcPr>
            <w:tcW w:w="3660" w:type="dxa"/>
            <w:vAlign w:val="bottom"/>
            <w:tcBorders>
              <w:bottom w:val="single" w:sz="8" w:color="auto"/>
              <w:right w:val="single" w:sz="8" w:color="auto"/>
            </w:tcBorders>
          </w:tcPr>
          <w:p>
            <w:pPr>
              <w:spacing w:after="0"/>
              <w:rPr>
                <w:sz w:val="4"/>
                <w:szCs w:val="4"/>
                <w:color w:val="auto"/>
              </w:rPr>
            </w:pPr>
          </w:p>
        </w:tc>
        <w:tc>
          <w:tcPr>
            <w:tcW w:w="3160" w:type="dxa"/>
            <w:vAlign w:val="bottom"/>
            <w:tcBorders>
              <w:bottom w:val="single" w:sz="8" w:color="auto"/>
              <w:right w:val="single" w:sz="8" w:color="auto"/>
            </w:tcBorders>
          </w:tcPr>
          <w:p>
            <w:pPr>
              <w:spacing w:after="0"/>
              <w:rPr>
                <w:sz w:val="4"/>
                <w:szCs w:val="4"/>
                <w:color w:val="auto"/>
              </w:rPr>
            </w:pPr>
          </w:p>
        </w:tc>
      </w:tr>
      <w:tr>
        <w:trPr>
          <w:trHeight w:val="281"/>
        </w:trPr>
        <w:tc>
          <w:tcPr>
            <w:tcW w:w="1280" w:type="dxa"/>
            <w:vAlign w:val="bottom"/>
            <w:tcBorders>
              <w:left w:val="single" w:sz="8" w:color="auto"/>
            </w:tcBorders>
          </w:tcPr>
          <w:p>
            <w:pPr>
              <w:spacing w:after="0"/>
              <w:rPr>
                <w:sz w:val="24"/>
                <w:szCs w:val="24"/>
                <w:color w:val="auto"/>
              </w:rPr>
            </w:pPr>
          </w:p>
        </w:tc>
        <w:tc>
          <w:tcPr>
            <w:tcW w:w="1080" w:type="dxa"/>
            <w:vAlign w:val="bottom"/>
            <w:tcBorders>
              <w:right w:val="single" w:sz="8" w:color="auto"/>
            </w:tcBorders>
          </w:tcPr>
          <w:p>
            <w:pPr>
              <w:spacing w:after="0"/>
              <w:rPr>
                <w:sz w:val="24"/>
                <w:szCs w:val="24"/>
                <w:color w:val="auto"/>
              </w:rPr>
            </w:pPr>
          </w:p>
        </w:tc>
        <w:tc>
          <w:tcPr>
            <w:tcW w:w="36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Revenue</w:t>
            </w:r>
          </w:p>
        </w:tc>
        <w:tc>
          <w:tcPr>
            <w:tcW w:w="3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45%</w:t>
            </w:r>
          </w:p>
        </w:tc>
      </w:tr>
      <w:tr>
        <w:trPr>
          <w:trHeight w:val="50"/>
        </w:trPr>
        <w:tc>
          <w:tcPr>
            <w:tcW w:w="1280" w:type="dxa"/>
            <w:vAlign w:val="bottom"/>
            <w:tcBorders>
              <w:left w:val="single" w:sz="8" w:color="auto"/>
            </w:tcBorders>
          </w:tcPr>
          <w:p>
            <w:pPr>
              <w:spacing w:after="0"/>
              <w:rPr>
                <w:sz w:val="4"/>
                <w:szCs w:val="4"/>
                <w:color w:val="auto"/>
              </w:rPr>
            </w:pPr>
          </w:p>
        </w:tc>
        <w:tc>
          <w:tcPr>
            <w:tcW w:w="1080" w:type="dxa"/>
            <w:vAlign w:val="bottom"/>
            <w:tcBorders>
              <w:right w:val="single" w:sz="8" w:color="auto"/>
            </w:tcBorders>
          </w:tcPr>
          <w:p>
            <w:pPr>
              <w:spacing w:after="0"/>
              <w:rPr>
                <w:sz w:val="4"/>
                <w:szCs w:val="4"/>
                <w:color w:val="auto"/>
              </w:rPr>
            </w:pPr>
          </w:p>
        </w:tc>
        <w:tc>
          <w:tcPr>
            <w:tcW w:w="3660" w:type="dxa"/>
            <w:vAlign w:val="bottom"/>
            <w:tcBorders>
              <w:bottom w:val="single" w:sz="8" w:color="auto"/>
              <w:right w:val="single" w:sz="8" w:color="auto"/>
            </w:tcBorders>
          </w:tcPr>
          <w:p>
            <w:pPr>
              <w:spacing w:after="0"/>
              <w:rPr>
                <w:sz w:val="4"/>
                <w:szCs w:val="4"/>
                <w:color w:val="auto"/>
              </w:rPr>
            </w:pPr>
          </w:p>
        </w:tc>
        <w:tc>
          <w:tcPr>
            <w:tcW w:w="3160" w:type="dxa"/>
            <w:vAlign w:val="bottom"/>
            <w:tcBorders>
              <w:bottom w:val="single" w:sz="8" w:color="auto"/>
              <w:right w:val="single" w:sz="8" w:color="auto"/>
            </w:tcBorders>
          </w:tcPr>
          <w:p>
            <w:pPr>
              <w:spacing w:after="0"/>
              <w:rPr>
                <w:sz w:val="4"/>
                <w:szCs w:val="4"/>
                <w:color w:val="auto"/>
              </w:rPr>
            </w:pPr>
          </w:p>
        </w:tc>
      </w:tr>
      <w:tr>
        <w:trPr>
          <w:trHeight w:val="281"/>
        </w:trPr>
        <w:tc>
          <w:tcPr>
            <w:tcW w:w="1280" w:type="dxa"/>
            <w:vAlign w:val="bottom"/>
            <w:tcBorders>
              <w:left w:val="single" w:sz="8" w:color="auto"/>
            </w:tcBorders>
          </w:tcPr>
          <w:p>
            <w:pPr>
              <w:spacing w:after="0"/>
              <w:rPr>
                <w:sz w:val="24"/>
                <w:szCs w:val="24"/>
                <w:color w:val="auto"/>
              </w:rPr>
            </w:pPr>
          </w:p>
        </w:tc>
        <w:tc>
          <w:tcPr>
            <w:tcW w:w="1080" w:type="dxa"/>
            <w:vAlign w:val="bottom"/>
            <w:tcBorders>
              <w:right w:val="single" w:sz="8" w:color="auto"/>
            </w:tcBorders>
          </w:tcPr>
          <w:p>
            <w:pPr>
              <w:spacing w:after="0"/>
              <w:rPr>
                <w:sz w:val="24"/>
                <w:szCs w:val="24"/>
                <w:color w:val="auto"/>
              </w:rPr>
            </w:pPr>
          </w:p>
        </w:tc>
        <w:tc>
          <w:tcPr>
            <w:tcW w:w="36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Free Cash Flow</w:t>
            </w:r>
          </w:p>
        </w:tc>
        <w:tc>
          <w:tcPr>
            <w:tcW w:w="3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10%</w:t>
            </w:r>
          </w:p>
        </w:tc>
      </w:tr>
      <w:tr>
        <w:trPr>
          <w:trHeight w:val="50"/>
        </w:trPr>
        <w:tc>
          <w:tcPr>
            <w:tcW w:w="1280" w:type="dxa"/>
            <w:vAlign w:val="bottom"/>
            <w:tcBorders>
              <w:left w:val="single" w:sz="8" w:color="auto"/>
              <w:bottom w:val="single" w:sz="8" w:color="auto"/>
            </w:tcBorders>
          </w:tcPr>
          <w:p>
            <w:pPr>
              <w:spacing w:after="0"/>
              <w:rPr>
                <w:sz w:val="4"/>
                <w:szCs w:val="4"/>
                <w:color w:val="auto"/>
              </w:rPr>
            </w:pPr>
          </w:p>
        </w:tc>
        <w:tc>
          <w:tcPr>
            <w:tcW w:w="1080" w:type="dxa"/>
            <w:vAlign w:val="bottom"/>
            <w:tcBorders>
              <w:bottom w:val="single" w:sz="8" w:color="auto"/>
              <w:right w:val="single" w:sz="8" w:color="auto"/>
            </w:tcBorders>
          </w:tcPr>
          <w:p>
            <w:pPr>
              <w:spacing w:after="0"/>
              <w:rPr>
                <w:sz w:val="4"/>
                <w:szCs w:val="4"/>
                <w:color w:val="auto"/>
              </w:rPr>
            </w:pPr>
          </w:p>
        </w:tc>
        <w:tc>
          <w:tcPr>
            <w:tcW w:w="3660" w:type="dxa"/>
            <w:vAlign w:val="bottom"/>
            <w:tcBorders>
              <w:bottom w:val="single" w:sz="8" w:color="auto"/>
              <w:right w:val="single" w:sz="8" w:color="auto"/>
            </w:tcBorders>
          </w:tcPr>
          <w:p>
            <w:pPr>
              <w:spacing w:after="0"/>
              <w:rPr>
                <w:sz w:val="4"/>
                <w:szCs w:val="4"/>
                <w:color w:val="auto"/>
              </w:rPr>
            </w:pPr>
          </w:p>
        </w:tc>
        <w:tc>
          <w:tcPr>
            <w:tcW w:w="3160" w:type="dxa"/>
            <w:vAlign w:val="bottom"/>
            <w:tcBorders>
              <w:bottom w:val="single" w:sz="8" w:color="auto"/>
              <w:right w:val="single" w:sz="8" w:color="auto"/>
            </w:tcBorders>
          </w:tcPr>
          <w:p>
            <w:pPr>
              <w:spacing w:after="0"/>
              <w:rPr>
                <w:sz w:val="4"/>
                <w:szCs w:val="4"/>
                <w:color w:val="auto"/>
              </w:rPr>
            </w:pPr>
          </w:p>
        </w:tc>
      </w:tr>
      <w:tr>
        <w:trPr>
          <w:trHeight w:val="286"/>
        </w:trPr>
        <w:tc>
          <w:tcPr>
            <w:tcW w:w="2360" w:type="dxa"/>
            <w:vAlign w:val="bottom"/>
            <w:tcBorders>
              <w:left w:val="single" w:sz="8" w:color="auto"/>
              <w:bottom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Total</w:t>
            </w:r>
          </w:p>
        </w:tc>
        <w:tc>
          <w:tcPr>
            <w:tcW w:w="3660" w:type="dxa"/>
            <w:vAlign w:val="bottom"/>
            <w:tcBorders>
              <w:bottom w:val="single" w:sz="8" w:color="auto"/>
              <w:right w:val="single" w:sz="8" w:color="auto"/>
            </w:tcBorders>
          </w:tcPr>
          <w:p>
            <w:pPr>
              <w:spacing w:after="0"/>
              <w:rPr>
                <w:sz w:val="24"/>
                <w:szCs w:val="24"/>
                <w:color w:val="auto"/>
              </w:rPr>
            </w:pPr>
          </w:p>
        </w:tc>
        <w:tc>
          <w:tcPr>
            <w:tcW w:w="3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100%</w:t>
            </w:r>
          </w:p>
        </w:tc>
      </w:tr>
      <w:tr>
        <w:trPr>
          <w:trHeight w:val="187"/>
        </w:trPr>
        <w:tc>
          <w:tcPr>
            <w:tcW w:w="1280" w:type="dxa"/>
            <w:vAlign w:val="bottom"/>
            <w:tcBorders>
              <w:bottom w:val="single" w:sz="8" w:color="auto"/>
            </w:tcBorders>
          </w:tcPr>
          <w:p>
            <w:pPr>
              <w:spacing w:after="0"/>
              <w:rPr>
                <w:sz w:val="16"/>
                <w:szCs w:val="16"/>
                <w:color w:val="auto"/>
              </w:rPr>
            </w:pPr>
          </w:p>
        </w:tc>
        <w:tc>
          <w:tcPr>
            <w:tcW w:w="108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3160" w:type="dxa"/>
            <w:vAlign w:val="bottom"/>
          </w:tcPr>
          <w:p>
            <w:pPr>
              <w:spacing w:after="0"/>
              <w:rPr>
                <w:sz w:val="16"/>
                <w:szCs w:val="16"/>
                <w:color w:val="auto"/>
              </w:rPr>
            </w:pPr>
          </w:p>
        </w:tc>
      </w:tr>
    </w:tbl>
    <w:p>
      <w:pPr>
        <w:spacing w:after="0" w:line="95" w:lineRule="exact"/>
        <w:rPr>
          <w:sz w:val="20"/>
          <w:szCs w:val="20"/>
          <w:color w:val="auto"/>
        </w:rPr>
      </w:pPr>
    </w:p>
    <w:p>
      <w:pPr>
        <w:ind w:left="346" w:hanging="346"/>
        <w:spacing w:after="0"/>
        <w:tabs>
          <w:tab w:leader="none" w:pos="346" w:val="left"/>
        </w:tabs>
        <w:numPr>
          <w:ilvl w:val="0"/>
          <w:numId w:val="29"/>
        </w:numPr>
        <w:rPr>
          <w:rFonts w:ascii="Arial" w:cs="Arial" w:eastAsia="Arial" w:hAnsi="Arial"/>
          <w:sz w:val="14"/>
          <w:szCs w:val="14"/>
          <w:color w:val="auto"/>
        </w:rPr>
      </w:pPr>
      <w:r>
        <w:rPr>
          <w:rFonts w:ascii="Arial" w:cs="Arial" w:eastAsia="Arial" w:hAnsi="Arial"/>
          <w:sz w:val="14"/>
          <w:szCs w:val="14"/>
          <w:color w:val="auto"/>
        </w:rPr>
        <w:t>If the threshold Adjusted EBITDA goal is not achieved, no portion of the EMIP award will be paid.</w:t>
      </w:r>
    </w:p>
    <w:p>
      <w:pPr>
        <w:spacing w:after="0" w:line="180" w:lineRule="exact"/>
        <w:rPr>
          <w:sz w:val="20"/>
          <w:szCs w:val="20"/>
          <w:color w:val="auto"/>
        </w:rPr>
      </w:pPr>
    </w:p>
    <w:p>
      <w:pPr>
        <w:ind w:left="6" w:right="120"/>
        <w:spacing w:after="0" w:line="248" w:lineRule="auto"/>
        <w:rPr>
          <w:sz w:val="20"/>
          <w:szCs w:val="20"/>
          <w:color w:val="auto"/>
        </w:rPr>
      </w:pPr>
      <w:r>
        <w:rPr>
          <w:rFonts w:ascii="Arial" w:cs="Arial" w:eastAsia="Arial" w:hAnsi="Arial"/>
          <w:sz w:val="18"/>
          <w:szCs w:val="18"/>
          <w:color w:val="auto"/>
        </w:rPr>
        <w:t>Adjusted EBITDA focuses on profitable growth, while continuing to provide strong accountability for returns. Revenue ensures we are delivering an appropriate level of top-line growth. Free Cash Flow is a strong indicator of profitability adjusted for non-cash expenses and capital investments. The Compensation Committee retains discretion to further adjust the award upward or downward based on its assessment of individual performance.</w:t>
      </w:r>
    </w:p>
    <w:p>
      <w:pPr>
        <w:spacing w:after="0" w:line="130" w:lineRule="exact"/>
        <w:rPr>
          <w:sz w:val="20"/>
          <w:szCs w:val="20"/>
          <w:color w:val="auto"/>
        </w:rPr>
      </w:pPr>
    </w:p>
    <w:p>
      <w:pPr>
        <w:ind w:left="706" w:right="60" w:hanging="346"/>
        <w:spacing w:after="0" w:line="255" w:lineRule="auto"/>
        <w:tabs>
          <w:tab w:leader="none" w:pos="706"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LTIP: For fiscal 2020, the Compensation Committee approved annual long-term incentives using its historic equity mix of 50% performance-based restricted stock units (PRSUs), 25% stock options and 25% time-vested restricted stock units (RSUs). </w:t>
      </w:r>
      <w:r>
        <w:rPr>
          <w:rFonts w:ascii="Arial" w:cs="Arial" w:eastAsia="Arial" w:hAnsi="Arial"/>
          <w:sz w:val="18"/>
          <w:szCs w:val="18"/>
          <w:i w:val="1"/>
          <w:iCs w:val="1"/>
          <w:color w:val="auto"/>
        </w:rPr>
        <w:t>See</w:t>
      </w:r>
      <w:r>
        <w:rPr>
          <w:rFonts w:ascii="Arial" w:cs="Arial" w:eastAsia="Arial" w:hAnsi="Arial"/>
          <w:sz w:val="18"/>
          <w:szCs w:val="18"/>
          <w:color w:val="auto"/>
        </w:rPr>
        <w:t xml:space="preserve"> “</w:t>
      </w:r>
      <w:r>
        <w:rPr>
          <w:rFonts w:ascii="Arial" w:cs="Arial" w:eastAsia="Arial" w:hAnsi="Arial"/>
          <w:sz w:val="18"/>
          <w:szCs w:val="18"/>
          <w:i w:val="1"/>
          <w:iCs w:val="1"/>
          <w:color w:val="auto"/>
        </w:rPr>
        <w:t>Long-Term Incentives</w:t>
      </w:r>
      <w:r>
        <w:rPr>
          <w:rFonts w:ascii="Arial" w:cs="Arial" w:eastAsia="Arial" w:hAnsi="Arial"/>
          <w:sz w:val="18"/>
          <w:szCs w:val="18"/>
          <w:color w:val="auto"/>
        </w:rPr>
        <w:t>” in this CD&amp;A for details.</w:t>
      </w:r>
    </w:p>
    <w:p>
      <w:pPr>
        <w:spacing w:after="0" w:line="123" w:lineRule="exact"/>
        <w:rPr>
          <w:sz w:val="20"/>
          <w:szCs w:val="20"/>
          <w:color w:val="auto"/>
        </w:rPr>
      </w:pPr>
    </w:p>
    <w:p>
      <w:pPr>
        <w:ind w:left="6" w:right="20"/>
        <w:spacing w:after="0" w:line="258" w:lineRule="auto"/>
        <w:rPr>
          <w:sz w:val="20"/>
          <w:szCs w:val="20"/>
          <w:color w:val="auto"/>
        </w:rPr>
      </w:pPr>
      <w:r>
        <w:rPr>
          <w:rFonts w:ascii="Arial" w:cs="Arial" w:eastAsia="Arial" w:hAnsi="Arial"/>
          <w:sz w:val="17"/>
          <w:szCs w:val="17"/>
          <w:i w:val="1"/>
          <w:iCs w:val="1"/>
          <w:color w:val="auto"/>
        </w:rPr>
        <w:t xml:space="preserve">The Impact of COVID-19 on Compensation Decisions. </w:t>
      </w:r>
      <w:r>
        <w:rPr>
          <w:rFonts w:ascii="Arial" w:cs="Arial" w:eastAsia="Arial" w:hAnsi="Arial"/>
          <w:sz w:val="17"/>
          <w:szCs w:val="17"/>
          <w:color w:val="auto"/>
        </w:rPr>
        <w:t>As the Company responded to the COVID-19 pandemic, we</w:t>
      </w:r>
      <w:r>
        <w:rPr>
          <w:rFonts w:ascii="Arial" w:cs="Arial" w:eastAsia="Arial" w:hAnsi="Arial"/>
          <w:sz w:val="17"/>
          <w:szCs w:val="17"/>
          <w:i w:val="1"/>
          <w:iCs w:val="1"/>
          <w:color w:val="auto"/>
        </w:rPr>
        <w:t xml:space="preserve"> </w:t>
      </w:r>
      <w:r>
        <w:rPr>
          <w:rFonts w:ascii="Arial" w:cs="Arial" w:eastAsia="Arial" w:hAnsi="Arial"/>
          <w:sz w:val="17"/>
          <w:szCs w:val="17"/>
          <w:color w:val="auto"/>
        </w:rPr>
        <w:t>determined that preserving jobs, keeping our employees safe, and our customers operational during 2020 would be our top priorities. To support these priorities, the Compensation Committee, along with senior management, agreed that the proper action would be to allow the incentive plans to function as designed. Therefore, the Compensation Committee did not make any adjustments to the performance metrics or goals under the EMIP or for purposes of calculating earned PRSUs for 2020. In addition, the Committee made the decision to forgo applying discretion in adjusting such awards, despite its ability to do so. As a result, based on our 2020 financial performance and</w:t>
      </w:r>
    </w:p>
    <w:p>
      <w:pPr>
        <w:spacing w:after="0" w:line="271" w:lineRule="exact"/>
        <w:rPr>
          <w:sz w:val="20"/>
          <w:szCs w:val="20"/>
          <w:color w:val="auto"/>
        </w:rPr>
      </w:pPr>
    </w:p>
    <w:p>
      <w:pPr>
        <w:jc w:val="center"/>
        <w:ind w:right="-25"/>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165735</wp:posOffset>
            </wp:positionV>
            <wp:extent cx="699516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263" w:right="1359" w:bottom="1440" w:gutter="0" w:footer="0" w:header="0"/>
          <w:type w:val="continuous"/>
        </w:sectPr>
      </w:pPr>
    </w:p>
    <w:bookmarkStart w:id="25" w:name="page26"/>
    <w:bookmarkEnd w:id="25"/>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124" w:lineRule="exact"/>
        <w:rPr>
          <w:sz w:val="20"/>
          <w:szCs w:val="20"/>
          <w:color w:val="auto"/>
        </w:rPr>
      </w:pPr>
    </w:p>
    <w:p>
      <w:pPr>
        <w:ind w:right="580"/>
        <w:spacing w:after="0" w:line="255" w:lineRule="auto"/>
        <w:rPr>
          <w:sz w:val="20"/>
          <w:szCs w:val="20"/>
          <w:color w:val="auto"/>
        </w:rPr>
      </w:pPr>
      <w:r>
        <w:rPr>
          <w:rFonts w:ascii="Arial" w:cs="Arial" w:eastAsia="Arial" w:hAnsi="Arial"/>
          <w:sz w:val="18"/>
          <w:szCs w:val="18"/>
          <w:color w:val="auto"/>
        </w:rPr>
        <w:t>consistent with our program design, we were able to avoid COVID-19 related furloughs or other adverse pay actions to our broader workforce. With this as the backdrop, and based on our performance results, the Compensation Committee made the following incentive plan payout decisions for fiscal 2020:</w:t>
      </w:r>
    </w:p>
    <w:p>
      <w:pPr>
        <w:spacing w:after="0" w:line="137" w:lineRule="exact"/>
        <w:rPr>
          <w:sz w:val="20"/>
          <w:szCs w:val="20"/>
          <w:color w:val="auto"/>
        </w:rPr>
      </w:pPr>
    </w:p>
    <w:p>
      <w:pPr>
        <w:ind w:left="700" w:hanging="346"/>
        <w:spacing w:after="0"/>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EMIP: 2020 Adjusted EBITDA did not meet threshold performance levels, which resulted in an overall</w:t>
      </w:r>
    </w:p>
    <w:p>
      <w:pPr>
        <w:spacing w:after="0" w:line="17" w:lineRule="exact"/>
        <w:rPr>
          <w:rFonts w:ascii="Arial" w:cs="Arial" w:eastAsia="Arial" w:hAnsi="Arial"/>
          <w:sz w:val="18"/>
          <w:szCs w:val="18"/>
          <w:color w:val="auto"/>
        </w:rPr>
      </w:pPr>
    </w:p>
    <w:p>
      <w:pPr>
        <w:ind w:left="700" w:right="240"/>
        <w:spacing w:after="0" w:line="250" w:lineRule="auto"/>
        <w:rPr>
          <w:rFonts w:ascii="Arial" w:cs="Arial" w:eastAsia="Arial" w:hAnsi="Arial"/>
          <w:sz w:val="18"/>
          <w:szCs w:val="18"/>
          <w:color w:val="auto"/>
        </w:rPr>
      </w:pPr>
      <w:r>
        <w:rPr>
          <w:rFonts w:ascii="Arial" w:cs="Arial" w:eastAsia="Arial" w:hAnsi="Arial"/>
          <w:sz w:val="18"/>
          <w:szCs w:val="18"/>
          <w:color w:val="auto"/>
        </w:rPr>
        <w:t xml:space="preserve">attainment percentage of 0%. </w:t>
      </w:r>
      <w:r>
        <w:rPr>
          <w:rFonts w:ascii="Arial" w:cs="Arial" w:eastAsia="Arial" w:hAnsi="Arial"/>
          <w:sz w:val="18"/>
          <w:szCs w:val="18"/>
          <w:i w:val="1"/>
          <w:iCs w:val="1"/>
          <w:color w:val="auto"/>
        </w:rPr>
        <w:t>See</w:t>
      </w:r>
      <w:r>
        <w:rPr>
          <w:rFonts w:ascii="Arial" w:cs="Arial" w:eastAsia="Arial" w:hAnsi="Arial"/>
          <w:sz w:val="18"/>
          <w:szCs w:val="18"/>
          <w:color w:val="auto"/>
        </w:rPr>
        <w:t xml:space="preserve"> “</w:t>
      </w:r>
      <w:r>
        <w:rPr>
          <w:rFonts w:ascii="Arial" w:cs="Arial" w:eastAsia="Arial" w:hAnsi="Arial"/>
          <w:sz w:val="18"/>
          <w:szCs w:val="18"/>
          <w:i w:val="1"/>
          <w:iCs w:val="1"/>
          <w:color w:val="auto"/>
        </w:rPr>
        <w:t>Annual Cash Incentives: The Executive Management Incentive Plan</w:t>
      </w:r>
      <w:r>
        <w:rPr>
          <w:rFonts w:ascii="Arial" w:cs="Arial" w:eastAsia="Arial" w:hAnsi="Arial"/>
          <w:sz w:val="18"/>
          <w:szCs w:val="18"/>
          <w:color w:val="auto"/>
        </w:rPr>
        <w:t xml:space="preserve"> </w:t>
      </w:r>
      <w:r>
        <w:rPr>
          <w:rFonts w:ascii="Arial" w:cs="Arial" w:eastAsia="Arial" w:hAnsi="Arial"/>
          <w:sz w:val="18"/>
          <w:szCs w:val="18"/>
          <w:i w:val="1"/>
          <w:iCs w:val="1"/>
          <w:color w:val="auto"/>
        </w:rPr>
        <w:t>(EMIP)</w:t>
      </w:r>
      <w:r>
        <w:rPr>
          <w:rFonts w:ascii="Arial" w:cs="Arial" w:eastAsia="Arial" w:hAnsi="Arial"/>
          <w:sz w:val="18"/>
          <w:szCs w:val="18"/>
          <w:color w:val="auto"/>
        </w:rPr>
        <w:t>” in this CD&amp;A for details.</w:t>
      </w:r>
    </w:p>
    <w:p>
      <w:pPr>
        <w:spacing w:after="0" w:line="127" w:lineRule="exact"/>
        <w:rPr>
          <w:rFonts w:ascii="Arial" w:cs="Arial" w:eastAsia="Arial" w:hAnsi="Arial"/>
          <w:sz w:val="18"/>
          <w:szCs w:val="18"/>
          <w:color w:val="auto"/>
        </w:rPr>
      </w:pPr>
    </w:p>
    <w:p>
      <w:pPr>
        <w:ind w:left="700" w:right="60" w:hanging="346"/>
        <w:spacing w:after="0" w:line="248" w:lineRule="auto"/>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LTIP: Consistent with the terms of the LTIP, the NEOs earned 54.2% of their target PRSUs for the 2018-2020 performance cycle. This attainment is the combination of an average non-GAAP EPS target attainment of 47.1% and a total shareholder return (TSR) multiplier of 115%. </w:t>
      </w:r>
      <w:r>
        <w:rPr>
          <w:rFonts w:ascii="Arial" w:cs="Arial" w:eastAsia="Arial" w:hAnsi="Arial"/>
          <w:sz w:val="18"/>
          <w:szCs w:val="18"/>
          <w:i w:val="1"/>
          <w:iCs w:val="1"/>
          <w:color w:val="auto"/>
        </w:rPr>
        <w:t>See</w:t>
      </w:r>
      <w:r>
        <w:rPr>
          <w:rFonts w:ascii="Arial" w:cs="Arial" w:eastAsia="Arial" w:hAnsi="Arial"/>
          <w:sz w:val="18"/>
          <w:szCs w:val="18"/>
          <w:color w:val="auto"/>
        </w:rPr>
        <w:t xml:space="preserve"> “</w:t>
      </w:r>
      <w:r>
        <w:rPr>
          <w:rFonts w:ascii="Arial" w:cs="Arial" w:eastAsia="Arial" w:hAnsi="Arial"/>
          <w:sz w:val="18"/>
          <w:szCs w:val="18"/>
          <w:i w:val="1"/>
          <w:iCs w:val="1"/>
          <w:color w:val="auto"/>
        </w:rPr>
        <w:t>Long-Term Incentives –</w:t>
      </w:r>
      <w:r>
        <w:rPr>
          <w:rFonts w:ascii="Arial" w:cs="Arial" w:eastAsia="Arial" w:hAnsi="Arial"/>
          <w:sz w:val="18"/>
          <w:szCs w:val="18"/>
          <w:color w:val="auto"/>
        </w:rPr>
        <w:t xml:space="preserve"> </w:t>
      </w:r>
      <w:r>
        <w:rPr>
          <w:rFonts w:ascii="Arial" w:cs="Arial" w:eastAsia="Arial" w:hAnsi="Arial"/>
          <w:sz w:val="18"/>
          <w:szCs w:val="18"/>
          <w:i w:val="1"/>
          <w:iCs w:val="1"/>
          <w:color w:val="auto"/>
        </w:rPr>
        <w:t>A Closer Look at Performance-Based Restricted Stock Units (PRSUs)</w:t>
      </w:r>
      <w:r>
        <w:rPr>
          <w:rFonts w:ascii="Arial" w:cs="Arial" w:eastAsia="Arial" w:hAnsi="Arial"/>
          <w:sz w:val="18"/>
          <w:szCs w:val="18"/>
          <w:color w:val="auto"/>
        </w:rPr>
        <w:t>” in this CD&amp;A for details.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Linking CEO Pay and Performance</w:t>
      </w:r>
    </w:p>
    <w:p>
      <w:pPr>
        <w:spacing w:after="0" w:line="173" w:lineRule="exact"/>
        <w:rPr>
          <w:sz w:val="20"/>
          <w:szCs w:val="20"/>
          <w:color w:val="auto"/>
        </w:rPr>
      </w:pPr>
    </w:p>
    <w:p>
      <w:pPr>
        <w:ind w:right="360"/>
        <w:spacing w:after="0" w:line="255" w:lineRule="auto"/>
        <w:rPr>
          <w:sz w:val="20"/>
          <w:szCs w:val="20"/>
          <w:color w:val="auto"/>
        </w:rPr>
      </w:pPr>
      <w:r>
        <w:rPr>
          <w:rFonts w:ascii="Arial" w:cs="Arial" w:eastAsia="Arial" w:hAnsi="Arial"/>
          <w:sz w:val="18"/>
          <w:szCs w:val="18"/>
          <w:color w:val="auto"/>
        </w:rPr>
        <w:t>A key component of our executive compensation philosophy is the link between compensation and overall business results and shareholder value creation. We strive to clearly communicate this to our shareholders and believe that looking at realizable pay in the following different contexts can illustrate this point effectively:</w:t>
      </w:r>
    </w:p>
    <w:p>
      <w:pPr>
        <w:spacing w:after="0" w:line="123" w:lineRule="exact"/>
        <w:rPr>
          <w:sz w:val="20"/>
          <w:szCs w:val="20"/>
          <w:color w:val="auto"/>
        </w:rPr>
      </w:pPr>
    </w:p>
    <w:p>
      <w:pPr>
        <w:ind w:left="700" w:hanging="346"/>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Realizable pay versus pay opportunity; and</w:t>
      </w:r>
    </w:p>
    <w:p>
      <w:pPr>
        <w:spacing w:after="0" w:line="184" w:lineRule="exact"/>
        <w:rPr>
          <w:rFonts w:ascii="Arial" w:cs="Arial" w:eastAsia="Arial" w:hAnsi="Arial"/>
          <w:sz w:val="18"/>
          <w:szCs w:val="18"/>
          <w:color w:val="auto"/>
        </w:rPr>
      </w:pPr>
    </w:p>
    <w:p>
      <w:pPr>
        <w:ind w:left="700" w:hanging="346"/>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Realizable pay for performance relative to peers.</w:t>
      </w:r>
    </w:p>
    <w:p>
      <w:pPr>
        <w:spacing w:after="0" w:line="171" w:lineRule="exact"/>
        <w:rPr>
          <w:sz w:val="20"/>
          <w:szCs w:val="20"/>
          <w:color w:val="auto"/>
        </w:rPr>
      </w:pPr>
    </w:p>
    <w:p>
      <w:pPr>
        <w:spacing w:after="0" w:line="245" w:lineRule="auto"/>
        <w:rPr>
          <w:sz w:val="20"/>
          <w:szCs w:val="20"/>
          <w:color w:val="auto"/>
        </w:rPr>
      </w:pPr>
      <w:r>
        <w:rPr>
          <w:rFonts w:ascii="Arial" w:cs="Arial" w:eastAsia="Arial" w:hAnsi="Arial"/>
          <w:sz w:val="18"/>
          <w:szCs w:val="18"/>
          <w:i w:val="1"/>
          <w:iCs w:val="1"/>
          <w:color w:val="auto"/>
        </w:rPr>
        <w:t xml:space="preserve">CEO Realizable Pay versus Pay Opportunity. </w:t>
      </w:r>
      <w:r>
        <w:rPr>
          <w:rFonts w:ascii="Arial" w:cs="Arial" w:eastAsia="Arial" w:hAnsi="Arial"/>
          <w:sz w:val="18"/>
          <w:szCs w:val="18"/>
          <w:color w:val="auto"/>
        </w:rPr>
        <w:t>Many of the required disclosures concerning CEO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discuss pay elements or opportunities that may be earned by the CEO. Realizable pay, on the other hand, more closely considers actual compensation earned (or earnable) based on performance. To illustrate the differences, we compared pay opportunity to realizable pay on a year-by-year basis over the past three years; for this purpose, we use the following definitions: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Pay opportunity </w:t>
      </w:r>
      <w:r>
        <w:rPr>
          <w:rFonts w:ascii="Arial" w:cs="Arial" w:eastAsia="Arial" w:hAnsi="Arial"/>
          <w:sz w:val="18"/>
          <w:szCs w:val="18"/>
          <w:color w:val="auto"/>
        </w:rPr>
        <w:t>represents:</w:t>
      </w:r>
    </w:p>
    <w:p>
      <w:pPr>
        <w:spacing w:after="0" w:line="173" w:lineRule="exact"/>
        <w:rPr>
          <w:sz w:val="20"/>
          <w:szCs w:val="20"/>
          <w:color w:val="auto"/>
        </w:rPr>
      </w:pPr>
    </w:p>
    <w:p>
      <w:pPr>
        <w:ind w:left="700" w:hanging="346"/>
        <w:spacing w:after="0"/>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sum of base salary and target EMIP opportunity for each fiscal year; and</w:t>
      </w:r>
    </w:p>
    <w:p>
      <w:pPr>
        <w:spacing w:after="0" w:line="171" w:lineRule="exact"/>
        <w:rPr>
          <w:rFonts w:ascii="Arial" w:cs="Arial" w:eastAsia="Arial" w:hAnsi="Arial"/>
          <w:sz w:val="18"/>
          <w:szCs w:val="18"/>
          <w:color w:val="auto"/>
        </w:rPr>
      </w:pPr>
    </w:p>
    <w:p>
      <w:pPr>
        <w:ind w:left="700" w:hanging="346"/>
        <w:spacing w:after="0"/>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grant date fair value of stock options, RSUs and PRSUs granted in each fiscal year.</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Realizable pay </w:t>
      </w:r>
      <w:r>
        <w:rPr>
          <w:rFonts w:ascii="Arial" w:cs="Arial" w:eastAsia="Arial" w:hAnsi="Arial"/>
          <w:sz w:val="18"/>
          <w:szCs w:val="18"/>
          <w:color w:val="auto"/>
        </w:rPr>
        <w:t>represents:</w:t>
      </w:r>
    </w:p>
    <w:p>
      <w:pPr>
        <w:spacing w:after="0" w:line="173" w:lineRule="exact"/>
        <w:rPr>
          <w:sz w:val="20"/>
          <w:szCs w:val="20"/>
          <w:color w:val="auto"/>
        </w:rPr>
      </w:pPr>
    </w:p>
    <w:p>
      <w:pPr>
        <w:ind w:left="700" w:hanging="346"/>
        <w:spacing w:after="0"/>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sum of base salary and actual EMIP paid for each fiscal year;</w:t>
      </w:r>
    </w:p>
    <w:p>
      <w:pPr>
        <w:spacing w:after="0" w:line="184" w:lineRule="exact"/>
        <w:rPr>
          <w:rFonts w:ascii="Arial" w:cs="Arial" w:eastAsia="Arial" w:hAnsi="Arial"/>
          <w:sz w:val="18"/>
          <w:szCs w:val="18"/>
          <w:color w:val="auto"/>
        </w:rPr>
      </w:pPr>
    </w:p>
    <w:p>
      <w:pPr>
        <w:ind w:left="700" w:right="160" w:hanging="346"/>
        <w:spacing w:after="0" w:line="276" w:lineRule="auto"/>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 the money” value of any stock options granted in each fiscal year, valued as of their vesting date, or if unvested, as of December 31, 2020;</w:t>
      </w:r>
    </w:p>
    <w:p>
      <w:pPr>
        <w:spacing w:after="0" w:line="104" w:lineRule="exact"/>
        <w:rPr>
          <w:rFonts w:ascii="Arial" w:cs="Arial" w:eastAsia="Arial" w:hAnsi="Arial"/>
          <w:sz w:val="18"/>
          <w:szCs w:val="18"/>
          <w:color w:val="auto"/>
        </w:rPr>
      </w:pPr>
    </w:p>
    <w:p>
      <w:pPr>
        <w:ind w:left="700" w:right="940" w:hanging="346"/>
        <w:spacing w:after="0" w:line="276" w:lineRule="auto"/>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value of RSUs granted in each fiscal year valued at their vesting date, or if unvested, as of December 31, 2020;</w:t>
      </w:r>
    </w:p>
    <w:p>
      <w:pPr>
        <w:spacing w:after="0" w:line="104" w:lineRule="exact"/>
        <w:rPr>
          <w:rFonts w:ascii="Arial" w:cs="Arial" w:eastAsia="Arial" w:hAnsi="Arial"/>
          <w:sz w:val="18"/>
          <w:szCs w:val="18"/>
          <w:color w:val="auto"/>
        </w:rPr>
      </w:pPr>
    </w:p>
    <w:p>
      <w:pPr>
        <w:ind w:left="700" w:hanging="346"/>
        <w:spacing w:after="0"/>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number of PRSUs actually earned based on performance, valued as of December 31, 2020; and</w:t>
      </w:r>
    </w:p>
    <w:p>
      <w:pPr>
        <w:spacing w:after="0" w:line="184" w:lineRule="exact"/>
        <w:rPr>
          <w:rFonts w:ascii="Arial" w:cs="Arial" w:eastAsia="Arial" w:hAnsi="Arial"/>
          <w:sz w:val="18"/>
          <w:szCs w:val="18"/>
          <w:color w:val="auto"/>
        </w:rPr>
      </w:pPr>
    </w:p>
    <w:p>
      <w:pPr>
        <w:ind w:left="700" w:right="300" w:hanging="346"/>
        <w:spacing w:after="0" w:line="276" w:lineRule="auto"/>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For outstanding PRSUs (uncompleted performance cycles), the estimated number of PRSUs based on performance to date, valued as of December 31, 2020.</w:t>
      </w: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157480</wp:posOffset>
            </wp:positionV>
            <wp:extent cx="699516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263" w:right="1359" w:bottom="1440" w:gutter="0" w:footer="0" w:header="0"/>
        </w:sectPr>
      </w:pPr>
    </w:p>
    <w:bookmarkStart w:id="26" w:name="page27"/>
    <w:bookmarkEnd w:id="26"/>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124"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The chart below illustrates Philip Mezey’s (our former CEO) (for 2018) and Mr. Deitrich’s (for 2019 and 2020) realizable pay compared to their pay opportunities, as well as the corresponding year-end stock price for the last three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158750</wp:posOffset>
            </wp:positionH>
            <wp:positionV relativeFrom="paragraph">
              <wp:posOffset>204470</wp:posOffset>
            </wp:positionV>
            <wp:extent cx="5511800" cy="25374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511800" cy="2537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CEO Realizable Pay for Performance Relative to Peer Group. </w:t>
      </w:r>
      <w:r>
        <w:rPr>
          <w:rFonts w:ascii="Arial" w:cs="Arial" w:eastAsia="Arial" w:hAnsi="Arial"/>
          <w:sz w:val="18"/>
          <w:szCs w:val="18"/>
          <w:color w:val="auto"/>
        </w:rPr>
        <w:t>To provide another perspective, it is also helpful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understand the degree of alignment between CEO realizable pay and performance relative to our peer companies. </w:t>
      </w:r>
      <w:r>
        <w:rPr>
          <w:rFonts w:ascii="Arial" w:cs="Arial" w:eastAsia="Arial" w:hAnsi="Arial"/>
          <w:sz w:val="18"/>
          <w:szCs w:val="18"/>
          <w:i w:val="1"/>
          <w:iCs w:val="1"/>
          <w:color w:val="auto"/>
        </w:rPr>
        <w:t xml:space="preserve">See </w:t>
      </w:r>
      <w:r>
        <w:rPr>
          <w:rFonts w:ascii="Arial" w:cs="Arial" w:eastAsia="Arial" w:hAnsi="Arial"/>
          <w:sz w:val="18"/>
          <w:szCs w:val="18"/>
          <w:color w:val="auto"/>
        </w:rPr>
        <w:t>“</w:t>
      </w:r>
      <w:r>
        <w:rPr>
          <w:rFonts w:ascii="Arial" w:cs="Arial" w:eastAsia="Arial" w:hAnsi="Arial"/>
          <w:sz w:val="18"/>
          <w:szCs w:val="18"/>
          <w:i w:val="1"/>
          <w:iCs w:val="1"/>
          <w:color w:val="auto"/>
        </w:rPr>
        <w:t>Our Decision-Making Process – The Role of Peer Companies</w:t>
      </w:r>
      <w:r>
        <w:rPr>
          <w:rFonts w:ascii="Arial" w:cs="Arial" w:eastAsia="Arial" w:hAnsi="Arial"/>
          <w:sz w:val="18"/>
          <w:szCs w:val="18"/>
          <w:color w:val="auto"/>
        </w:rPr>
        <w:t>” in this CD&amp;A for a list of the peer companies.</w:t>
      </w:r>
      <w:r>
        <w:rPr>
          <w:rFonts w:ascii="Arial" w:cs="Arial" w:eastAsia="Arial" w:hAnsi="Arial"/>
          <w:sz w:val="18"/>
          <w:szCs w:val="18"/>
          <w:i w:val="1"/>
          <w:iCs w:val="1"/>
          <w:color w:val="auto"/>
        </w:rPr>
        <w:t xml:space="preserve"> </w:t>
      </w:r>
      <w:r>
        <w:rPr>
          <w:rFonts w:ascii="Arial" w:cs="Arial" w:eastAsia="Arial" w:hAnsi="Arial"/>
          <w:sz w:val="18"/>
          <w:szCs w:val="18"/>
          <w:color w:val="auto"/>
        </w:rPr>
        <w:t>To evaluate this alignment, we analyzed the relationship between realizable total direct compensation (TDC) for the CEO over 2017-2019 for the peer companies and for the Company, and TSR for the three years ended December 31, 2019. Note that this time period is different than used in the chart above since disclosed compensation information for our peer group companies was only available through 2019 at the time of the analysis.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For this purpose, realizable TDC is defined as the sum of:</w:t>
      </w:r>
    </w:p>
    <w:p>
      <w:pPr>
        <w:spacing w:after="0" w:line="171" w:lineRule="exact"/>
        <w:rPr>
          <w:sz w:val="20"/>
          <w:szCs w:val="20"/>
          <w:color w:val="auto"/>
        </w:rPr>
      </w:pPr>
    </w:p>
    <w:p>
      <w:pPr>
        <w:ind w:left="700" w:hanging="346"/>
        <w:spacing w:after="0"/>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Actual base salaries paid over the three-year period;</w:t>
      </w:r>
    </w:p>
    <w:p>
      <w:pPr>
        <w:spacing w:after="0" w:line="184" w:lineRule="exact"/>
        <w:rPr>
          <w:rFonts w:ascii="Arial" w:cs="Arial" w:eastAsia="Arial" w:hAnsi="Arial"/>
          <w:sz w:val="18"/>
          <w:szCs w:val="18"/>
          <w:color w:val="auto"/>
        </w:rPr>
      </w:pPr>
    </w:p>
    <w:p>
      <w:pPr>
        <w:ind w:left="700" w:hanging="346"/>
        <w:spacing w:after="0"/>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Actual annual incentives (bonuses) paid over the three-year period;</w:t>
      </w:r>
    </w:p>
    <w:p>
      <w:pPr>
        <w:spacing w:after="0" w:line="171" w:lineRule="exact"/>
        <w:rPr>
          <w:rFonts w:ascii="Arial" w:cs="Arial" w:eastAsia="Arial" w:hAnsi="Arial"/>
          <w:sz w:val="18"/>
          <w:szCs w:val="18"/>
          <w:color w:val="auto"/>
        </w:rPr>
      </w:pPr>
    </w:p>
    <w:p>
      <w:pPr>
        <w:ind w:left="700" w:hanging="346"/>
        <w:spacing w:after="0"/>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“In-the-money” value as of December 31, 2019 of any stock options granted over the three-year period;</w:t>
      </w:r>
    </w:p>
    <w:p>
      <w:pPr>
        <w:spacing w:after="0" w:line="171" w:lineRule="exact"/>
        <w:rPr>
          <w:rFonts w:ascii="Arial" w:cs="Arial" w:eastAsia="Arial" w:hAnsi="Arial"/>
          <w:sz w:val="18"/>
          <w:szCs w:val="18"/>
          <w:color w:val="auto"/>
        </w:rPr>
      </w:pPr>
    </w:p>
    <w:p>
      <w:pPr>
        <w:ind w:left="700" w:right="460" w:hanging="346"/>
        <w:spacing w:after="0" w:line="276" w:lineRule="auto"/>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value as of December 31, 2019 of any restricted shares granted (including vested and unvested shares) over the three-year period; and</w:t>
      </w:r>
    </w:p>
    <w:p>
      <w:pPr>
        <w:spacing w:after="0" w:line="117" w:lineRule="exact"/>
        <w:rPr>
          <w:rFonts w:ascii="Arial" w:cs="Arial" w:eastAsia="Arial" w:hAnsi="Arial"/>
          <w:sz w:val="18"/>
          <w:szCs w:val="18"/>
          <w:color w:val="auto"/>
        </w:rPr>
      </w:pPr>
    </w:p>
    <w:p>
      <w:pPr>
        <w:jc w:val="both"/>
        <w:ind w:left="700" w:right="160" w:hanging="346"/>
        <w:spacing w:after="0" w:line="255" w:lineRule="auto"/>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Cash-based long-term incentives awarded during the period, and the value as of December 31, 2019 of any performance shares granted over the three-year period (assuming target performance for cycles not completed).</w:t>
      </w: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157480</wp:posOffset>
            </wp:positionV>
            <wp:extent cx="699516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40"/>
          </w:cols>
          <w:pgMar w:left="1360" w:top="263" w:right="1399" w:bottom="1440" w:gutter="0" w:footer="0" w:header="0"/>
        </w:sectPr>
      </w:pPr>
    </w:p>
    <w:bookmarkStart w:id="27" w:name="page28"/>
    <w:bookmarkEnd w:id="27"/>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124"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The chart below illustrates the percentile ranking of our three-year TSR and Itron CEOs’ realizable TDC relative to our peer companies. As the chart indicates, during the three-year period our TSR performance was below the median of the peer companies and our CEOs’ realizable TDC was below the median. Itron CEO realizable TDC was within an “alignment corridor” representing a strong correlation between compensation and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1033145</wp:posOffset>
            </wp:positionH>
            <wp:positionV relativeFrom="paragraph">
              <wp:posOffset>208280</wp:posOffset>
            </wp:positionV>
            <wp:extent cx="3763010" cy="27343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763010" cy="2734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Best Compensation Practices &amp; Policies</w:t>
      </w:r>
    </w:p>
    <w:p>
      <w:pPr>
        <w:spacing w:after="0" w:line="173" w:lineRule="exact"/>
        <w:rPr>
          <w:sz w:val="20"/>
          <w:szCs w:val="20"/>
          <w:color w:val="auto"/>
        </w:rPr>
      </w:pPr>
    </w:p>
    <w:p>
      <w:pPr>
        <w:ind w:right="320"/>
        <w:spacing w:after="0" w:line="276" w:lineRule="auto"/>
        <w:rPr>
          <w:sz w:val="20"/>
          <w:szCs w:val="20"/>
          <w:color w:val="auto"/>
        </w:rPr>
      </w:pPr>
      <w:r>
        <w:rPr>
          <w:rFonts w:ascii="Arial" w:cs="Arial" w:eastAsia="Arial" w:hAnsi="Arial"/>
          <w:sz w:val="18"/>
          <w:szCs w:val="18"/>
          <w:color w:val="auto"/>
        </w:rPr>
        <w:t>We also believe the Company’s practices and policies promote sound compensation governance and are in the best interests of our shareholders and executives:</w:t>
      </w:r>
    </w:p>
    <w:p>
      <w:pPr>
        <w:spacing w:after="0" w:line="6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20" w:type="dxa"/>
            <w:vAlign w:val="bottom"/>
          </w:tcPr>
          <w:p>
            <w:pPr>
              <w:spacing w:after="0"/>
              <w:rPr>
                <w:sz w:val="21"/>
                <w:szCs w:val="21"/>
                <w:color w:val="auto"/>
              </w:rPr>
            </w:pPr>
          </w:p>
        </w:tc>
        <w:tc>
          <w:tcPr>
            <w:tcW w:w="4120" w:type="dxa"/>
            <w:vAlign w:val="bottom"/>
          </w:tcPr>
          <w:p>
            <w:pPr>
              <w:ind w:left="1380"/>
              <w:spacing w:after="0"/>
              <w:rPr>
                <w:sz w:val="20"/>
                <w:szCs w:val="20"/>
                <w:color w:val="auto"/>
              </w:rPr>
            </w:pPr>
            <w:r>
              <w:rPr>
                <w:rFonts w:ascii="Arial" w:cs="Arial" w:eastAsia="Arial" w:hAnsi="Arial"/>
                <w:sz w:val="18"/>
                <w:szCs w:val="18"/>
                <w:b w:val="1"/>
                <w:bCs w:val="1"/>
                <w:color w:val="auto"/>
              </w:rPr>
              <w:t>What We Do</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120" w:type="dxa"/>
            <w:vAlign w:val="bottom"/>
          </w:tcPr>
          <w:p>
            <w:pPr>
              <w:ind w:left="1140"/>
              <w:spacing w:after="0"/>
              <w:rPr>
                <w:sz w:val="20"/>
                <w:szCs w:val="20"/>
                <w:color w:val="auto"/>
              </w:rPr>
            </w:pPr>
            <w:r>
              <w:rPr>
                <w:rFonts w:ascii="Arial" w:cs="Arial" w:eastAsia="Arial" w:hAnsi="Arial"/>
                <w:sz w:val="18"/>
                <w:szCs w:val="18"/>
                <w:b w:val="1"/>
                <w:bCs w:val="1"/>
                <w:color w:val="auto"/>
              </w:rPr>
              <w:t>What We Don’t Do</w:t>
            </w:r>
          </w:p>
        </w:tc>
      </w:tr>
      <w:tr>
        <w:trPr>
          <w:trHeight w:val="42"/>
        </w:trPr>
        <w:tc>
          <w:tcPr>
            <w:tcW w:w="4440" w:type="dxa"/>
            <w:vAlign w:val="bottom"/>
            <w:tcBorders>
              <w:bottom w:val="single" w:sz="8" w:color="auto"/>
            </w:tcBorders>
            <w:gridSpan w:val="2"/>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4120" w:type="dxa"/>
            <w:vAlign w:val="bottom"/>
            <w:tcBorders>
              <w:bottom w:val="single" w:sz="8" w:color="auto"/>
            </w:tcBorders>
          </w:tcPr>
          <w:p>
            <w:pPr>
              <w:spacing w:after="0"/>
              <w:rPr>
                <w:sz w:val="3"/>
                <w:szCs w:val="3"/>
                <w:color w:val="auto"/>
              </w:rPr>
            </w:pPr>
          </w:p>
        </w:tc>
      </w:tr>
      <w:tr>
        <w:trPr>
          <w:trHeight w:val="297"/>
        </w:trPr>
        <w:tc>
          <w:tcPr>
            <w:tcW w:w="4440" w:type="dxa"/>
            <w:vAlign w:val="bottom"/>
            <w:gridSpan w:val="2"/>
          </w:tcPr>
          <w:p>
            <w:pPr>
              <w:ind w:left="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Heavy emphasis on variable compensation</w:t>
            </w:r>
          </w:p>
        </w:tc>
        <w:tc>
          <w:tcPr>
            <w:tcW w:w="500" w:type="dxa"/>
            <w:vAlign w:val="bottom"/>
            <w:gridSpan w:val="2"/>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4120" w:type="dxa"/>
            <w:vAlign w:val="bottom"/>
          </w:tcPr>
          <w:p>
            <w:pPr>
              <w:ind w:left="100"/>
              <w:spacing w:after="0"/>
              <w:rPr>
                <w:sz w:val="20"/>
                <w:szCs w:val="20"/>
                <w:color w:val="auto"/>
              </w:rPr>
            </w:pPr>
            <w:r>
              <w:rPr>
                <w:rFonts w:ascii="Arial" w:cs="Arial" w:eastAsia="Arial" w:hAnsi="Arial"/>
                <w:sz w:val="18"/>
                <w:szCs w:val="18"/>
                <w:color w:val="auto"/>
              </w:rPr>
              <w:t>No employment agreements</w:t>
            </w:r>
          </w:p>
        </w:tc>
      </w:tr>
      <w:tr>
        <w:trPr>
          <w:trHeight w:val="281"/>
        </w:trPr>
        <w:tc>
          <w:tcPr>
            <w:tcW w:w="4440" w:type="dxa"/>
            <w:vAlign w:val="bottom"/>
            <w:gridSpan w:val="2"/>
          </w:tcPr>
          <w:p>
            <w:pPr>
              <w:ind w:left="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Significant portion of annual long-term incentives</w:t>
            </w:r>
          </w:p>
        </w:tc>
        <w:tc>
          <w:tcPr>
            <w:tcW w:w="4620" w:type="dxa"/>
            <w:vAlign w:val="bottom"/>
            <w:gridSpan w:val="3"/>
          </w:tcPr>
          <w:p>
            <w:pPr>
              <w:ind w:left="2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 “single trigger” change-in-control cash</w:t>
            </w:r>
          </w:p>
        </w:tc>
      </w:tr>
      <w:tr>
        <w:trPr>
          <w:trHeight w:val="243"/>
        </w:trPr>
        <w:tc>
          <w:tcPr>
            <w:tcW w:w="320" w:type="dxa"/>
            <w:vAlign w:val="bottom"/>
          </w:tcPr>
          <w:p>
            <w:pPr>
              <w:spacing w:after="0"/>
              <w:rPr>
                <w:sz w:val="21"/>
                <w:szCs w:val="21"/>
                <w:color w:val="auto"/>
              </w:rPr>
            </w:pPr>
          </w:p>
        </w:tc>
        <w:tc>
          <w:tcPr>
            <w:tcW w:w="4120" w:type="dxa"/>
            <w:vAlign w:val="bottom"/>
          </w:tcPr>
          <w:p>
            <w:pPr>
              <w:ind w:left="100"/>
              <w:spacing w:after="0"/>
              <w:rPr>
                <w:sz w:val="20"/>
                <w:szCs w:val="20"/>
                <w:color w:val="auto"/>
              </w:rPr>
            </w:pPr>
            <w:r>
              <w:rPr>
                <w:rFonts w:ascii="Arial" w:cs="Arial" w:eastAsia="Arial" w:hAnsi="Arial"/>
                <w:sz w:val="18"/>
                <w:szCs w:val="18"/>
                <w:color w:val="auto"/>
              </w:rPr>
              <w:t>are performance based</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120" w:type="dxa"/>
            <w:vAlign w:val="bottom"/>
          </w:tcPr>
          <w:p>
            <w:pPr>
              <w:ind w:left="100"/>
              <w:spacing w:after="0"/>
              <w:rPr>
                <w:sz w:val="20"/>
                <w:szCs w:val="20"/>
                <w:color w:val="auto"/>
              </w:rPr>
            </w:pPr>
            <w:r>
              <w:rPr>
                <w:rFonts w:ascii="Arial" w:cs="Arial" w:eastAsia="Arial" w:hAnsi="Arial"/>
                <w:sz w:val="18"/>
                <w:szCs w:val="18"/>
                <w:color w:val="auto"/>
              </w:rPr>
              <w:t>payments</w:t>
            </w:r>
          </w:p>
        </w:tc>
      </w:tr>
      <w:tr>
        <w:trPr>
          <w:trHeight w:val="297"/>
        </w:trPr>
        <w:tc>
          <w:tcPr>
            <w:tcW w:w="4440" w:type="dxa"/>
            <w:vAlign w:val="bottom"/>
            <w:gridSpan w:val="2"/>
          </w:tcPr>
          <w:p>
            <w:pPr>
              <w:ind w:left="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Rigorous stock ownership guidelines</w:t>
            </w:r>
          </w:p>
        </w:tc>
        <w:tc>
          <w:tcPr>
            <w:tcW w:w="4620" w:type="dxa"/>
            <w:vAlign w:val="bottom"/>
            <w:gridSpan w:val="3"/>
          </w:tcPr>
          <w:p>
            <w:pPr>
              <w:ind w:left="2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 tax gross-ups in our change-in-control</w:t>
            </w:r>
          </w:p>
        </w:tc>
      </w:tr>
      <w:tr>
        <w:trPr>
          <w:trHeight w:val="243"/>
        </w:trPr>
        <w:tc>
          <w:tcPr>
            <w:tcW w:w="320" w:type="dxa"/>
            <w:vAlign w:val="bottom"/>
          </w:tcPr>
          <w:p>
            <w:pPr>
              <w:spacing w:after="0"/>
              <w:rPr>
                <w:sz w:val="21"/>
                <w:szCs w:val="21"/>
                <w:color w:val="auto"/>
              </w:rPr>
            </w:pPr>
          </w:p>
        </w:tc>
        <w:tc>
          <w:tcPr>
            <w:tcW w:w="4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120" w:type="dxa"/>
            <w:vAlign w:val="bottom"/>
          </w:tcPr>
          <w:p>
            <w:pPr>
              <w:ind w:left="100"/>
              <w:spacing w:after="0"/>
              <w:rPr>
                <w:sz w:val="20"/>
                <w:szCs w:val="20"/>
                <w:color w:val="auto"/>
              </w:rPr>
            </w:pPr>
            <w:r>
              <w:rPr>
                <w:rFonts w:ascii="Arial" w:cs="Arial" w:eastAsia="Arial" w:hAnsi="Arial"/>
                <w:sz w:val="18"/>
                <w:szCs w:val="18"/>
                <w:color w:val="auto"/>
              </w:rPr>
              <w:t>agreements</w:t>
            </w:r>
          </w:p>
        </w:tc>
      </w:tr>
      <w:tr>
        <w:trPr>
          <w:trHeight w:val="354"/>
        </w:trPr>
        <w:tc>
          <w:tcPr>
            <w:tcW w:w="4440" w:type="dxa"/>
            <w:vAlign w:val="bottom"/>
            <w:gridSpan w:val="2"/>
          </w:tcPr>
          <w:p>
            <w:pPr>
              <w:ind w:left="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Incentive Repayment (Clawback) Policy</w:t>
            </w:r>
          </w:p>
        </w:tc>
        <w:tc>
          <w:tcPr>
            <w:tcW w:w="4620" w:type="dxa"/>
            <w:vAlign w:val="bottom"/>
            <w:gridSpan w:val="3"/>
          </w:tcPr>
          <w:p>
            <w:pPr>
              <w:ind w:left="2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 option backdating or repricing</w:t>
            </w:r>
          </w:p>
        </w:tc>
      </w:tr>
      <w:tr>
        <w:trPr>
          <w:trHeight w:val="338"/>
        </w:trPr>
        <w:tc>
          <w:tcPr>
            <w:tcW w:w="32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4120" w:type="dxa"/>
            <w:vAlign w:val="bottom"/>
          </w:tcPr>
          <w:p>
            <w:pPr>
              <w:ind w:left="100"/>
              <w:spacing w:after="0"/>
              <w:rPr>
                <w:sz w:val="20"/>
                <w:szCs w:val="20"/>
                <w:color w:val="auto"/>
              </w:rPr>
            </w:pPr>
            <w:r>
              <w:rPr>
                <w:rFonts w:ascii="Arial" w:cs="Arial" w:eastAsia="Arial" w:hAnsi="Arial"/>
                <w:sz w:val="18"/>
                <w:szCs w:val="18"/>
                <w:color w:val="auto"/>
              </w:rPr>
              <w:t>Independent compensation consultant</w:t>
            </w:r>
          </w:p>
        </w:tc>
        <w:tc>
          <w:tcPr>
            <w:tcW w:w="4620" w:type="dxa"/>
            <w:vAlign w:val="bottom"/>
            <w:gridSpan w:val="3"/>
          </w:tcPr>
          <w:p>
            <w:pPr>
              <w:ind w:left="2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 hedging or pledging</w:t>
            </w:r>
          </w:p>
        </w:tc>
      </w:tr>
      <w:tr>
        <w:trPr>
          <w:trHeight w:val="338"/>
        </w:trPr>
        <w:tc>
          <w:tcPr>
            <w:tcW w:w="32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4120" w:type="dxa"/>
            <w:vAlign w:val="bottom"/>
          </w:tcPr>
          <w:p>
            <w:pPr>
              <w:ind w:left="100"/>
              <w:spacing w:after="0"/>
              <w:rPr>
                <w:sz w:val="20"/>
                <w:szCs w:val="20"/>
                <w:color w:val="auto"/>
              </w:rPr>
            </w:pPr>
            <w:r>
              <w:rPr>
                <w:rFonts w:ascii="Arial" w:cs="Arial" w:eastAsia="Arial" w:hAnsi="Arial"/>
                <w:sz w:val="18"/>
                <w:szCs w:val="18"/>
                <w:color w:val="auto"/>
              </w:rPr>
              <w:t>Annual risk assessments</w:t>
            </w:r>
          </w:p>
        </w:tc>
        <w:tc>
          <w:tcPr>
            <w:tcW w:w="500" w:type="dxa"/>
            <w:vAlign w:val="bottom"/>
            <w:gridSpan w:val="2"/>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4120" w:type="dxa"/>
            <w:vAlign w:val="bottom"/>
          </w:tcPr>
          <w:p>
            <w:pPr>
              <w:ind w:left="100"/>
              <w:spacing w:after="0"/>
              <w:rPr>
                <w:sz w:val="20"/>
                <w:szCs w:val="20"/>
                <w:color w:val="auto"/>
              </w:rPr>
            </w:pPr>
            <w:r>
              <w:rPr>
                <w:rFonts w:ascii="Arial" w:cs="Arial" w:eastAsia="Arial" w:hAnsi="Arial"/>
                <w:sz w:val="18"/>
                <w:szCs w:val="18"/>
                <w:color w:val="auto"/>
              </w:rPr>
              <w:t>No special perquisites</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Say-On-Pay &amp; Shareholder Engagement</w:t>
      </w:r>
    </w:p>
    <w:p>
      <w:pPr>
        <w:spacing w:after="0" w:line="187" w:lineRule="exact"/>
        <w:rPr>
          <w:sz w:val="20"/>
          <w:szCs w:val="20"/>
          <w:color w:val="auto"/>
        </w:rPr>
      </w:pPr>
    </w:p>
    <w:p>
      <w:pPr>
        <w:jc w:val="both"/>
        <w:ind w:right="120"/>
        <w:spacing w:after="0" w:line="255" w:lineRule="auto"/>
        <w:rPr>
          <w:sz w:val="20"/>
          <w:szCs w:val="20"/>
          <w:color w:val="auto"/>
        </w:rPr>
      </w:pPr>
      <w:r>
        <w:rPr>
          <w:rFonts w:ascii="Arial" w:cs="Arial" w:eastAsia="Arial" w:hAnsi="Arial"/>
          <w:sz w:val="18"/>
          <w:szCs w:val="18"/>
          <w:color w:val="auto"/>
        </w:rPr>
        <w:t>Each year, we carefully consider the results of our shareholder say-on-pay vote from the preceding year. We also take into account the feedback we receive from our major shareholders, which is solicited by the Board Chair, and the Chair of the Compensation Committee, either in person or via telephone.</w:t>
      </w:r>
    </w:p>
    <w:p>
      <w:pPr>
        <w:spacing w:after="0" w:line="123"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In 2020, approximately 94% of the votes cast supported our executive compensation decisions. The Board regularly conducts proactive outreach meetings with the Company’s largest shareholders. During 2020, the Company offered meetings to shareholders representing approximately 83% of shares outstanding, and directors met with shareholders representing approximately 23% of shares outstanding to discuss topics including Company strategy and performance, governance, and executive compensation. Overall, our shareholders are very supportive of our executive compensation program and its direction. We will continue to keep an open dialogue with our shareholders to help ensure that we have a regular pulse on investor perspectives.</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157480</wp:posOffset>
            </wp:positionV>
            <wp:extent cx="699516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60"/>
          </w:cols>
          <w:pgMar w:left="1360" w:top="263" w:right="1379" w:bottom="1440" w:gutter="0" w:footer="0" w:header="0"/>
        </w:sectPr>
      </w:pPr>
    </w:p>
    <w:bookmarkStart w:id="28" w:name="page29"/>
    <w:bookmarkEnd w:id="28"/>
    <w:p>
      <w:pPr>
        <w:ind w:left="920"/>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122"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What Guides Our Program</w:t>
      </w:r>
    </w:p>
    <w:p>
      <w:pPr>
        <w:spacing w:after="0" w:line="131"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Our Compensation Philosophy &amp; Objectives</w:t>
      </w:r>
    </w:p>
    <w:p>
      <w:pPr>
        <w:spacing w:after="0" w:line="173" w:lineRule="exact"/>
        <w:rPr>
          <w:sz w:val="20"/>
          <w:szCs w:val="20"/>
          <w:color w:val="auto"/>
        </w:rPr>
      </w:pPr>
    </w:p>
    <w:p>
      <w:pPr>
        <w:ind w:left="920" w:right="920"/>
        <w:spacing w:after="0" w:line="255" w:lineRule="auto"/>
        <w:rPr>
          <w:sz w:val="20"/>
          <w:szCs w:val="20"/>
          <w:color w:val="auto"/>
        </w:rPr>
      </w:pPr>
      <w:r>
        <w:rPr>
          <w:rFonts w:ascii="Arial" w:cs="Arial" w:eastAsia="Arial" w:hAnsi="Arial"/>
          <w:sz w:val="18"/>
          <w:szCs w:val="18"/>
          <w:color w:val="auto"/>
        </w:rPr>
        <w:t>The philosophy underlying our executive compensation program is to employ the best leaders in our industry to ensure we execute on our business goals, promote both short-and long-term profitable growth of the Company, and create long-term sustainable shareholder value, all grounded in the following guiding principles: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60" w:type="dxa"/>
            <w:vAlign w:val="bottom"/>
          </w:tcPr>
          <w:p>
            <w:pPr>
              <w:ind w:left="1040"/>
              <w:spacing w:after="0"/>
              <w:rPr>
                <w:sz w:val="20"/>
                <w:szCs w:val="20"/>
                <w:color w:val="auto"/>
              </w:rPr>
            </w:pPr>
            <w:r>
              <w:rPr>
                <w:rFonts w:ascii="Arial" w:cs="Arial" w:eastAsia="Arial" w:hAnsi="Arial"/>
                <w:sz w:val="18"/>
                <w:szCs w:val="18"/>
                <w:b w:val="1"/>
                <w:bCs w:val="1"/>
                <w:color w:val="auto"/>
              </w:rPr>
              <w:t>Pay for Performance</w:t>
            </w:r>
          </w:p>
        </w:tc>
        <w:tc>
          <w:tcPr>
            <w:tcW w:w="7560" w:type="dxa"/>
            <w:vAlign w:val="bottom"/>
          </w:tcPr>
          <w:p>
            <w:pPr>
              <w:ind w:left="340"/>
              <w:spacing w:after="0"/>
              <w:rPr>
                <w:sz w:val="20"/>
                <w:szCs w:val="20"/>
                <w:color w:val="auto"/>
              </w:rPr>
            </w:pPr>
            <w:r>
              <w:rPr>
                <w:rFonts w:ascii="Arial" w:cs="Arial" w:eastAsia="Arial" w:hAnsi="Arial"/>
                <w:sz w:val="18"/>
                <w:szCs w:val="18"/>
                <w:color w:val="auto"/>
              </w:rPr>
              <w:t>A significant portion of an executive’s total compensation should be variable</w:t>
            </w:r>
          </w:p>
        </w:tc>
      </w:tr>
      <w:tr>
        <w:trPr>
          <w:trHeight w:val="203"/>
        </w:trPr>
        <w:tc>
          <w:tcPr>
            <w:tcW w:w="3460" w:type="dxa"/>
            <w:vAlign w:val="bottom"/>
          </w:tcPr>
          <w:p>
            <w:pPr>
              <w:spacing w:after="0"/>
              <w:rPr>
                <w:sz w:val="17"/>
                <w:szCs w:val="17"/>
                <w:color w:val="auto"/>
              </w:rPr>
            </w:pPr>
          </w:p>
        </w:tc>
        <w:tc>
          <w:tcPr>
            <w:tcW w:w="7560" w:type="dxa"/>
            <w:vAlign w:val="bottom"/>
          </w:tcPr>
          <w:p>
            <w:pPr>
              <w:ind w:left="340"/>
              <w:spacing w:after="0" w:line="202" w:lineRule="exact"/>
              <w:rPr>
                <w:sz w:val="20"/>
                <w:szCs w:val="20"/>
                <w:color w:val="auto"/>
              </w:rPr>
            </w:pPr>
            <w:r>
              <w:rPr>
                <w:rFonts w:ascii="Arial" w:cs="Arial" w:eastAsia="Arial" w:hAnsi="Arial"/>
                <w:sz w:val="18"/>
                <w:szCs w:val="18"/>
                <w:color w:val="auto"/>
              </w:rPr>
              <w:t>(“at-risk”) and dependent upon the attainment of certain specific and</w:t>
            </w:r>
          </w:p>
        </w:tc>
      </w:tr>
      <w:tr>
        <w:trPr>
          <w:trHeight w:val="243"/>
        </w:trPr>
        <w:tc>
          <w:tcPr>
            <w:tcW w:w="3460" w:type="dxa"/>
            <w:vAlign w:val="bottom"/>
          </w:tcPr>
          <w:p>
            <w:pPr>
              <w:spacing w:after="0"/>
              <w:rPr>
                <w:sz w:val="21"/>
                <w:szCs w:val="21"/>
                <w:color w:val="auto"/>
              </w:rPr>
            </w:pPr>
          </w:p>
        </w:tc>
        <w:tc>
          <w:tcPr>
            <w:tcW w:w="7560" w:type="dxa"/>
            <w:vAlign w:val="bottom"/>
          </w:tcPr>
          <w:p>
            <w:pPr>
              <w:ind w:left="340"/>
              <w:spacing w:after="0"/>
              <w:rPr>
                <w:sz w:val="20"/>
                <w:szCs w:val="20"/>
                <w:color w:val="auto"/>
              </w:rPr>
            </w:pPr>
            <w:r>
              <w:rPr>
                <w:rFonts w:ascii="Arial" w:cs="Arial" w:eastAsia="Arial" w:hAnsi="Arial"/>
                <w:sz w:val="18"/>
                <w:szCs w:val="18"/>
                <w:color w:val="auto"/>
              </w:rPr>
              <w:t>measurable annual and long-term financial performance objectives.</w:t>
            </w:r>
          </w:p>
        </w:tc>
      </w:tr>
      <w:tr>
        <w:trPr>
          <w:trHeight w:val="473"/>
        </w:trPr>
        <w:tc>
          <w:tcPr>
            <w:tcW w:w="3460" w:type="dxa"/>
            <w:vAlign w:val="bottom"/>
          </w:tcPr>
          <w:p>
            <w:pPr>
              <w:ind w:left="1040"/>
              <w:spacing w:after="0"/>
              <w:rPr>
                <w:sz w:val="20"/>
                <w:szCs w:val="20"/>
                <w:color w:val="auto"/>
              </w:rPr>
            </w:pPr>
            <w:r>
              <w:rPr>
                <w:rFonts w:ascii="Arial" w:cs="Arial" w:eastAsia="Arial" w:hAnsi="Arial"/>
                <w:sz w:val="18"/>
                <w:szCs w:val="18"/>
                <w:b w:val="1"/>
                <w:bCs w:val="1"/>
                <w:color w:val="auto"/>
              </w:rPr>
              <w:t>Shareholder Alignment</w:t>
            </w:r>
          </w:p>
        </w:tc>
        <w:tc>
          <w:tcPr>
            <w:tcW w:w="7560" w:type="dxa"/>
            <w:vAlign w:val="bottom"/>
          </w:tcPr>
          <w:p>
            <w:pPr>
              <w:ind w:left="340"/>
              <w:spacing w:after="0"/>
              <w:rPr>
                <w:sz w:val="20"/>
                <w:szCs w:val="20"/>
                <w:color w:val="auto"/>
              </w:rPr>
            </w:pPr>
            <w:r>
              <w:rPr>
                <w:rFonts w:ascii="Arial" w:cs="Arial" w:eastAsia="Arial" w:hAnsi="Arial"/>
                <w:sz w:val="18"/>
                <w:szCs w:val="18"/>
                <w:color w:val="auto"/>
              </w:rPr>
              <w:t>Executives should be compensated through pay elements (base salaries and</w:t>
            </w:r>
          </w:p>
        </w:tc>
      </w:tr>
      <w:tr>
        <w:trPr>
          <w:trHeight w:val="203"/>
        </w:trPr>
        <w:tc>
          <w:tcPr>
            <w:tcW w:w="3460" w:type="dxa"/>
            <w:vAlign w:val="bottom"/>
          </w:tcPr>
          <w:p>
            <w:pPr>
              <w:spacing w:after="0"/>
              <w:rPr>
                <w:sz w:val="17"/>
                <w:szCs w:val="17"/>
                <w:color w:val="auto"/>
              </w:rPr>
            </w:pPr>
          </w:p>
        </w:tc>
        <w:tc>
          <w:tcPr>
            <w:tcW w:w="7560" w:type="dxa"/>
            <w:vAlign w:val="bottom"/>
          </w:tcPr>
          <w:p>
            <w:pPr>
              <w:ind w:left="340"/>
              <w:spacing w:after="0" w:line="202" w:lineRule="exact"/>
              <w:rPr>
                <w:sz w:val="20"/>
                <w:szCs w:val="20"/>
                <w:color w:val="auto"/>
              </w:rPr>
            </w:pPr>
            <w:r>
              <w:rPr>
                <w:rFonts w:ascii="Arial" w:cs="Arial" w:eastAsia="Arial" w:hAnsi="Arial"/>
                <w:sz w:val="18"/>
                <w:szCs w:val="18"/>
                <w:color w:val="auto"/>
              </w:rPr>
              <w:t>annual- and long-term incentives) designed to align executive compensation</w:t>
            </w:r>
          </w:p>
        </w:tc>
      </w:tr>
      <w:tr>
        <w:trPr>
          <w:trHeight w:val="243"/>
        </w:trPr>
        <w:tc>
          <w:tcPr>
            <w:tcW w:w="3460" w:type="dxa"/>
            <w:vAlign w:val="bottom"/>
          </w:tcPr>
          <w:p>
            <w:pPr>
              <w:spacing w:after="0"/>
              <w:rPr>
                <w:sz w:val="21"/>
                <w:szCs w:val="21"/>
                <w:color w:val="auto"/>
              </w:rPr>
            </w:pPr>
          </w:p>
        </w:tc>
        <w:tc>
          <w:tcPr>
            <w:tcW w:w="7560" w:type="dxa"/>
            <w:vAlign w:val="bottom"/>
          </w:tcPr>
          <w:p>
            <w:pPr>
              <w:ind w:left="340"/>
              <w:spacing w:after="0"/>
              <w:rPr>
                <w:sz w:val="20"/>
                <w:szCs w:val="20"/>
                <w:color w:val="auto"/>
              </w:rPr>
            </w:pPr>
            <w:r>
              <w:rPr>
                <w:rFonts w:ascii="Arial" w:cs="Arial" w:eastAsia="Arial" w:hAnsi="Arial"/>
                <w:sz w:val="18"/>
                <w:szCs w:val="18"/>
                <w:color w:val="auto"/>
              </w:rPr>
              <w:t>to the creation of long-term value for our shareholders.</w:t>
            </w:r>
          </w:p>
        </w:tc>
      </w:tr>
      <w:tr>
        <w:trPr>
          <w:trHeight w:val="473"/>
        </w:trPr>
        <w:tc>
          <w:tcPr>
            <w:tcW w:w="3460" w:type="dxa"/>
            <w:vAlign w:val="bottom"/>
          </w:tcPr>
          <w:p>
            <w:pPr>
              <w:ind w:left="1040"/>
              <w:spacing w:after="0"/>
              <w:rPr>
                <w:sz w:val="20"/>
                <w:szCs w:val="20"/>
                <w:color w:val="auto"/>
              </w:rPr>
            </w:pPr>
            <w:r>
              <w:rPr>
                <w:rFonts w:ascii="Arial" w:cs="Arial" w:eastAsia="Arial" w:hAnsi="Arial"/>
                <w:sz w:val="18"/>
                <w:szCs w:val="18"/>
                <w:b w:val="1"/>
                <w:bCs w:val="1"/>
                <w:color w:val="auto"/>
              </w:rPr>
              <w:t>Competitiveness</w:t>
            </w:r>
          </w:p>
        </w:tc>
        <w:tc>
          <w:tcPr>
            <w:tcW w:w="7560" w:type="dxa"/>
            <w:vAlign w:val="bottom"/>
          </w:tcPr>
          <w:p>
            <w:pPr>
              <w:ind w:left="340"/>
              <w:spacing w:after="0"/>
              <w:rPr>
                <w:sz w:val="20"/>
                <w:szCs w:val="20"/>
                <w:color w:val="auto"/>
              </w:rPr>
            </w:pPr>
            <w:r>
              <w:rPr>
                <w:rFonts w:ascii="Arial" w:cs="Arial" w:eastAsia="Arial" w:hAnsi="Arial"/>
                <w:sz w:val="18"/>
                <w:szCs w:val="18"/>
                <w:color w:val="auto"/>
              </w:rPr>
              <w:t>Target compensation should be set at the median of market to ensure that</w:t>
            </w:r>
          </w:p>
        </w:tc>
      </w:tr>
      <w:tr>
        <w:trPr>
          <w:trHeight w:val="203"/>
        </w:trPr>
        <w:tc>
          <w:tcPr>
            <w:tcW w:w="3460" w:type="dxa"/>
            <w:vAlign w:val="bottom"/>
          </w:tcPr>
          <w:p>
            <w:pPr>
              <w:spacing w:after="0"/>
              <w:rPr>
                <w:sz w:val="17"/>
                <w:szCs w:val="17"/>
                <w:color w:val="auto"/>
              </w:rPr>
            </w:pPr>
          </w:p>
        </w:tc>
        <w:tc>
          <w:tcPr>
            <w:tcW w:w="7560" w:type="dxa"/>
            <w:vAlign w:val="bottom"/>
          </w:tcPr>
          <w:p>
            <w:pPr>
              <w:ind w:left="340"/>
              <w:spacing w:after="0" w:line="202" w:lineRule="exact"/>
              <w:rPr>
                <w:sz w:val="20"/>
                <w:szCs w:val="20"/>
                <w:color w:val="auto"/>
              </w:rPr>
            </w:pPr>
            <w:r>
              <w:rPr>
                <w:rFonts w:ascii="Arial" w:cs="Arial" w:eastAsia="Arial" w:hAnsi="Arial"/>
                <w:sz w:val="18"/>
                <w:szCs w:val="18"/>
                <w:color w:val="auto"/>
              </w:rPr>
              <w:t>compensation is at a level that is competitive with that being offered to</w:t>
            </w:r>
          </w:p>
        </w:tc>
      </w:tr>
      <w:tr>
        <w:trPr>
          <w:trHeight w:val="203"/>
        </w:trPr>
        <w:tc>
          <w:tcPr>
            <w:tcW w:w="3460" w:type="dxa"/>
            <w:vAlign w:val="bottom"/>
          </w:tcPr>
          <w:p>
            <w:pPr>
              <w:spacing w:after="0"/>
              <w:rPr>
                <w:sz w:val="17"/>
                <w:szCs w:val="17"/>
                <w:color w:val="auto"/>
              </w:rPr>
            </w:pPr>
          </w:p>
        </w:tc>
        <w:tc>
          <w:tcPr>
            <w:tcW w:w="7560" w:type="dxa"/>
            <w:vAlign w:val="bottom"/>
          </w:tcPr>
          <w:p>
            <w:pPr>
              <w:ind w:left="340"/>
              <w:spacing w:after="0" w:line="202" w:lineRule="exact"/>
              <w:rPr>
                <w:sz w:val="20"/>
                <w:szCs w:val="20"/>
                <w:color w:val="auto"/>
              </w:rPr>
            </w:pPr>
            <w:r>
              <w:rPr>
                <w:rFonts w:ascii="Arial" w:cs="Arial" w:eastAsia="Arial" w:hAnsi="Arial"/>
                <w:sz w:val="18"/>
                <w:szCs w:val="18"/>
                <w:color w:val="auto"/>
              </w:rPr>
              <w:t>individuals holding comparable positions at other companies with which we</w:t>
            </w:r>
          </w:p>
        </w:tc>
      </w:tr>
      <w:tr>
        <w:trPr>
          <w:trHeight w:val="243"/>
        </w:trPr>
        <w:tc>
          <w:tcPr>
            <w:tcW w:w="3460" w:type="dxa"/>
            <w:vAlign w:val="bottom"/>
          </w:tcPr>
          <w:p>
            <w:pPr>
              <w:spacing w:after="0"/>
              <w:rPr>
                <w:sz w:val="21"/>
                <w:szCs w:val="21"/>
                <w:color w:val="auto"/>
              </w:rPr>
            </w:pPr>
          </w:p>
        </w:tc>
        <w:tc>
          <w:tcPr>
            <w:tcW w:w="7560" w:type="dxa"/>
            <w:vAlign w:val="bottom"/>
          </w:tcPr>
          <w:p>
            <w:pPr>
              <w:ind w:left="340"/>
              <w:spacing w:after="0"/>
              <w:rPr>
                <w:sz w:val="20"/>
                <w:szCs w:val="20"/>
                <w:color w:val="auto"/>
              </w:rPr>
            </w:pPr>
            <w:r>
              <w:rPr>
                <w:rFonts w:ascii="Arial" w:cs="Arial" w:eastAsia="Arial" w:hAnsi="Arial"/>
                <w:sz w:val="18"/>
                <w:szCs w:val="18"/>
                <w:color w:val="auto"/>
              </w:rPr>
              <w:t>compete for business and leadership talent.</w:t>
            </w:r>
          </w:p>
        </w:tc>
      </w:tr>
      <w:tr>
        <w:trPr>
          <w:trHeight w:val="473"/>
        </w:trPr>
        <w:tc>
          <w:tcPr>
            <w:tcW w:w="3460" w:type="dxa"/>
            <w:vAlign w:val="bottom"/>
          </w:tcPr>
          <w:p>
            <w:pPr>
              <w:ind w:left="1040"/>
              <w:spacing w:after="0"/>
              <w:rPr>
                <w:sz w:val="20"/>
                <w:szCs w:val="20"/>
                <w:color w:val="auto"/>
              </w:rPr>
            </w:pPr>
            <w:r>
              <w:rPr>
                <w:rFonts w:ascii="Arial" w:cs="Arial" w:eastAsia="Arial" w:hAnsi="Arial"/>
                <w:sz w:val="18"/>
                <w:szCs w:val="18"/>
                <w:b w:val="1"/>
                <w:bCs w:val="1"/>
                <w:color w:val="auto"/>
              </w:rPr>
              <w:t>Attraction and Retention</w:t>
            </w:r>
          </w:p>
        </w:tc>
        <w:tc>
          <w:tcPr>
            <w:tcW w:w="7560" w:type="dxa"/>
            <w:vAlign w:val="bottom"/>
          </w:tcPr>
          <w:p>
            <w:pPr>
              <w:ind w:left="340"/>
              <w:spacing w:after="0"/>
              <w:rPr>
                <w:sz w:val="20"/>
                <w:szCs w:val="20"/>
                <w:color w:val="auto"/>
              </w:rPr>
            </w:pPr>
            <w:r>
              <w:rPr>
                <w:rFonts w:ascii="Arial" w:cs="Arial" w:eastAsia="Arial" w:hAnsi="Arial"/>
                <w:sz w:val="18"/>
                <w:szCs w:val="18"/>
                <w:color w:val="auto"/>
              </w:rPr>
              <w:t>The executive compensation program should enable the Company to attract</w:t>
            </w:r>
          </w:p>
        </w:tc>
      </w:tr>
      <w:tr>
        <w:trPr>
          <w:trHeight w:val="203"/>
        </w:trPr>
        <w:tc>
          <w:tcPr>
            <w:tcW w:w="3460" w:type="dxa"/>
            <w:vAlign w:val="bottom"/>
          </w:tcPr>
          <w:p>
            <w:pPr>
              <w:spacing w:after="0"/>
              <w:rPr>
                <w:sz w:val="17"/>
                <w:szCs w:val="17"/>
                <w:color w:val="auto"/>
              </w:rPr>
            </w:pPr>
          </w:p>
        </w:tc>
        <w:tc>
          <w:tcPr>
            <w:tcW w:w="7560" w:type="dxa"/>
            <w:vAlign w:val="bottom"/>
          </w:tcPr>
          <w:p>
            <w:pPr>
              <w:ind w:left="340"/>
              <w:spacing w:after="0" w:line="202" w:lineRule="exact"/>
              <w:rPr>
                <w:sz w:val="20"/>
                <w:szCs w:val="20"/>
                <w:color w:val="auto"/>
              </w:rPr>
            </w:pPr>
            <w:r>
              <w:rPr>
                <w:rFonts w:ascii="Arial" w:cs="Arial" w:eastAsia="Arial" w:hAnsi="Arial"/>
                <w:sz w:val="18"/>
                <w:szCs w:val="18"/>
                <w:color w:val="auto"/>
              </w:rPr>
              <w:t>highly talented people with exceptional leadership capabilities and to retain</w:t>
            </w:r>
          </w:p>
        </w:tc>
      </w:tr>
      <w:tr>
        <w:trPr>
          <w:trHeight w:val="203"/>
        </w:trPr>
        <w:tc>
          <w:tcPr>
            <w:tcW w:w="3460" w:type="dxa"/>
            <w:vAlign w:val="bottom"/>
          </w:tcPr>
          <w:p>
            <w:pPr>
              <w:spacing w:after="0"/>
              <w:rPr>
                <w:sz w:val="17"/>
                <w:szCs w:val="17"/>
                <w:color w:val="auto"/>
              </w:rPr>
            </w:pPr>
          </w:p>
        </w:tc>
        <w:tc>
          <w:tcPr>
            <w:tcW w:w="7560" w:type="dxa"/>
            <w:vAlign w:val="bottom"/>
          </w:tcPr>
          <w:p>
            <w:pPr>
              <w:ind w:left="340"/>
              <w:spacing w:after="0" w:line="202" w:lineRule="exact"/>
              <w:rPr>
                <w:sz w:val="20"/>
                <w:szCs w:val="20"/>
                <w:color w:val="auto"/>
              </w:rPr>
            </w:pPr>
            <w:r>
              <w:rPr>
                <w:rFonts w:ascii="Arial" w:cs="Arial" w:eastAsia="Arial" w:hAnsi="Arial"/>
                <w:sz w:val="18"/>
                <w:szCs w:val="18"/>
                <w:color w:val="auto"/>
              </w:rPr>
              <w:t>high-caliber talent. When required, the Company may adjust individual</w:t>
            </w:r>
          </w:p>
        </w:tc>
      </w:tr>
      <w:tr>
        <w:trPr>
          <w:trHeight w:val="243"/>
        </w:trPr>
        <w:tc>
          <w:tcPr>
            <w:tcW w:w="3460" w:type="dxa"/>
            <w:vAlign w:val="bottom"/>
          </w:tcPr>
          <w:p>
            <w:pPr>
              <w:spacing w:after="0"/>
              <w:rPr>
                <w:sz w:val="21"/>
                <w:szCs w:val="21"/>
                <w:color w:val="auto"/>
              </w:rPr>
            </w:pPr>
          </w:p>
        </w:tc>
        <w:tc>
          <w:tcPr>
            <w:tcW w:w="7560" w:type="dxa"/>
            <w:vAlign w:val="bottom"/>
          </w:tcPr>
          <w:p>
            <w:pPr>
              <w:ind w:left="340"/>
              <w:spacing w:after="0"/>
              <w:rPr>
                <w:sz w:val="20"/>
                <w:szCs w:val="20"/>
                <w:color w:val="auto"/>
              </w:rPr>
            </w:pPr>
            <w:r>
              <w:rPr>
                <w:rFonts w:ascii="Arial" w:cs="Arial" w:eastAsia="Arial" w:hAnsi="Arial"/>
                <w:sz w:val="18"/>
                <w:szCs w:val="18"/>
                <w:color w:val="auto"/>
              </w:rPr>
              <w:t>elements of compensation to accomplish this goal.</w:t>
            </w:r>
          </w:p>
        </w:tc>
      </w:tr>
      <w:tr>
        <w:trPr>
          <w:trHeight w:val="553"/>
        </w:trPr>
        <w:tc>
          <w:tcPr>
            <w:tcW w:w="3460" w:type="dxa"/>
            <w:vAlign w:val="bottom"/>
          </w:tcPr>
          <w:p>
            <w:pPr>
              <w:spacing w:after="0"/>
              <w:rPr>
                <w:sz w:val="24"/>
                <w:szCs w:val="24"/>
                <w:color w:val="auto"/>
              </w:rPr>
            </w:pPr>
          </w:p>
        </w:tc>
        <w:tc>
          <w:tcPr>
            <w:tcW w:w="7560" w:type="dxa"/>
            <w:vAlign w:val="bottom"/>
          </w:tcPr>
          <w:p>
            <w:pPr>
              <w:ind w:left="1900"/>
              <w:spacing w:after="0"/>
              <w:rPr>
                <w:sz w:val="20"/>
                <w:szCs w:val="20"/>
                <w:color w:val="auto"/>
              </w:rPr>
            </w:pPr>
            <w:r>
              <w:rPr>
                <w:rFonts w:ascii="Arial" w:cs="Arial" w:eastAsia="Arial" w:hAnsi="Arial"/>
                <w:sz w:val="18"/>
                <w:szCs w:val="18"/>
                <w:color w:val="auto"/>
              </w:rPr>
              <w:t>-24-</w:t>
            </w:r>
          </w:p>
        </w:tc>
      </w:tr>
      <w:tr>
        <w:trPr>
          <w:trHeight w:val="232"/>
        </w:trPr>
        <w:tc>
          <w:tcPr>
            <w:tcW w:w="3460" w:type="dxa"/>
            <w:vAlign w:val="bottom"/>
            <w:tcBorders>
              <w:bottom w:val="single" w:sz="8" w:color="auto"/>
            </w:tcBorders>
          </w:tcPr>
          <w:p>
            <w:pPr>
              <w:spacing w:after="0"/>
              <w:rPr>
                <w:sz w:val="20"/>
                <w:szCs w:val="20"/>
                <w:color w:val="auto"/>
              </w:rPr>
            </w:pPr>
          </w:p>
        </w:tc>
        <w:tc>
          <w:tcPr>
            <w:tcW w:w="7560" w:type="dxa"/>
            <w:vAlign w:val="bottom"/>
            <w:tcBorders>
              <w:bottom w:val="single" w:sz="8" w:color="auto"/>
            </w:tcBorders>
          </w:tcPr>
          <w:p>
            <w:pPr>
              <w:spacing w:after="0"/>
              <w:rPr>
                <w:sz w:val="20"/>
                <w:szCs w:val="20"/>
                <w:color w:val="auto"/>
              </w:rPr>
            </w:pPr>
          </w:p>
        </w:tc>
      </w:tr>
    </w:tbl>
    <w:p>
      <w:pPr>
        <w:sectPr>
          <w:pgSz w:w="11900" w:h="16838" w:orient="portrait"/>
          <w:cols w:equalWidth="0" w:num="1">
            <w:col w:w="11020"/>
          </w:cols>
          <w:pgMar w:left="440" w:top="263" w:right="439" w:bottom="1440" w:gutter="0" w:footer="0" w:header="0"/>
        </w:sectPr>
      </w:pPr>
    </w:p>
    <w:bookmarkStart w:id="29" w:name="page30"/>
    <w:bookmarkEnd w:id="29"/>
    <w:p>
      <w:pPr>
        <w:ind w:left="6"/>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122"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The Principal Elements of Pay: Total Direct Compensation (TDC)</w:t>
      </w:r>
    </w:p>
    <w:p>
      <w:pPr>
        <w:spacing w:after="0" w:line="214" w:lineRule="exact"/>
        <w:rPr>
          <w:sz w:val="20"/>
          <w:szCs w:val="20"/>
          <w:color w:val="auto"/>
        </w:rPr>
      </w:pPr>
    </w:p>
    <w:p>
      <w:pPr>
        <w:ind w:left="6"/>
        <w:spacing w:after="0"/>
        <w:rPr>
          <w:sz w:val="20"/>
          <w:szCs w:val="20"/>
          <w:color w:val="auto"/>
        </w:rPr>
      </w:pPr>
      <w:r>
        <w:rPr>
          <w:rFonts w:ascii="Arial" w:cs="Arial" w:eastAsia="Arial" w:hAnsi="Arial"/>
          <w:sz w:val="18"/>
          <w:szCs w:val="18"/>
          <w:color w:val="auto"/>
        </w:rPr>
        <w:t>Our compensation philosophy is supported by the following principal pay elements:</w:t>
      </w:r>
    </w:p>
    <w:p>
      <w:pPr>
        <w:spacing w:after="0" w:line="66" w:lineRule="exact"/>
        <w:rPr>
          <w:sz w:val="20"/>
          <w:szCs w:val="20"/>
          <w:color w:val="auto"/>
        </w:rPr>
      </w:pPr>
    </w:p>
    <w:tbl>
      <w:tblPr>
        <w:tblLayout w:type="fixed"/>
        <w:tblInd w:w="16" w:type="dxa"/>
        <w:tblCellMar>
          <w:top w:w="0" w:type="dxa"/>
          <w:left w:w="0" w:type="dxa"/>
          <w:bottom w:w="0" w:type="dxa"/>
          <w:right w:w="0" w:type="dxa"/>
        </w:tblCellMar>
      </w:tblPr>
      <w:tr>
        <w:trPr>
          <w:trHeight w:val="272"/>
        </w:trPr>
        <w:tc>
          <w:tcPr>
            <w:tcW w:w="1280" w:type="dxa"/>
            <w:vAlign w:val="bottom"/>
            <w:tcBorders>
              <w:top w:val="single" w:sz="8" w:color="auto"/>
              <w:left w:val="single" w:sz="8" w:color="auto"/>
            </w:tcBorders>
            <w:shd w:val="clear" w:color="auto" w:fill="8C8C8C"/>
          </w:tcPr>
          <w:p>
            <w:pPr>
              <w:spacing w:after="0"/>
              <w:rPr>
                <w:sz w:val="23"/>
                <w:szCs w:val="23"/>
                <w:color w:val="auto"/>
              </w:rPr>
            </w:pPr>
          </w:p>
        </w:tc>
        <w:tc>
          <w:tcPr>
            <w:tcW w:w="440" w:type="dxa"/>
            <w:vAlign w:val="bottom"/>
            <w:tcBorders>
              <w:top w:val="single" w:sz="8" w:color="auto"/>
              <w:right w:val="single" w:sz="8" w:color="auto"/>
            </w:tcBorders>
            <w:shd w:val="clear" w:color="auto" w:fill="8C8C8C"/>
          </w:tcPr>
          <w:p>
            <w:pPr>
              <w:spacing w:after="0"/>
              <w:rPr>
                <w:sz w:val="23"/>
                <w:szCs w:val="23"/>
                <w:color w:val="auto"/>
              </w:rPr>
            </w:pPr>
          </w:p>
        </w:tc>
        <w:tc>
          <w:tcPr>
            <w:tcW w:w="60" w:type="dxa"/>
            <w:vAlign w:val="bottom"/>
            <w:tcBorders>
              <w:top w:val="single" w:sz="8" w:color="auto"/>
            </w:tcBorders>
            <w:shd w:val="clear" w:color="auto" w:fill="8C8C8C"/>
          </w:tcPr>
          <w:p>
            <w:pPr>
              <w:spacing w:after="0"/>
              <w:rPr>
                <w:sz w:val="23"/>
                <w:szCs w:val="23"/>
                <w:color w:val="auto"/>
              </w:rPr>
            </w:pPr>
          </w:p>
        </w:tc>
        <w:tc>
          <w:tcPr>
            <w:tcW w:w="1000" w:type="dxa"/>
            <w:vAlign w:val="bottom"/>
            <w:tcBorders>
              <w:top w:val="single" w:sz="8" w:color="auto"/>
              <w:right w:val="single" w:sz="8" w:color="auto"/>
            </w:tcBorders>
            <w:shd w:val="clear" w:color="auto" w:fill="8C8C8C"/>
          </w:tcPr>
          <w:p>
            <w:pPr>
              <w:ind w:left="20"/>
              <w:spacing w:after="0"/>
              <w:rPr>
                <w:sz w:val="20"/>
                <w:szCs w:val="20"/>
                <w:color w:val="auto"/>
              </w:rPr>
            </w:pPr>
            <w:r>
              <w:rPr>
                <w:rFonts w:ascii="Arial" w:cs="Arial" w:eastAsia="Arial" w:hAnsi="Arial"/>
                <w:sz w:val="18"/>
                <w:szCs w:val="18"/>
                <w:b w:val="1"/>
                <w:bCs w:val="1"/>
                <w:color w:val="FFFFFF"/>
              </w:rPr>
              <w:t>How It’s</w:t>
            </w:r>
          </w:p>
        </w:tc>
        <w:tc>
          <w:tcPr>
            <w:tcW w:w="2900" w:type="dxa"/>
            <w:vAlign w:val="bottom"/>
            <w:tcBorders>
              <w:top w:val="single" w:sz="8" w:color="auto"/>
              <w:right w:val="single" w:sz="8" w:color="auto"/>
            </w:tcBorders>
            <w:shd w:val="clear" w:color="auto" w:fill="8C8C8C"/>
          </w:tcPr>
          <w:p>
            <w:pPr>
              <w:spacing w:after="0"/>
              <w:rPr>
                <w:sz w:val="23"/>
                <w:szCs w:val="23"/>
                <w:color w:val="auto"/>
              </w:rPr>
            </w:pPr>
          </w:p>
        </w:tc>
        <w:tc>
          <w:tcPr>
            <w:tcW w:w="3500" w:type="dxa"/>
            <w:vAlign w:val="bottom"/>
            <w:tcBorders>
              <w:top w:val="single" w:sz="8" w:color="auto"/>
              <w:right w:val="single" w:sz="8" w:color="auto"/>
            </w:tcBorders>
            <w:shd w:val="clear" w:color="auto" w:fill="8C8C8C"/>
          </w:tcPr>
          <w:p>
            <w:pPr>
              <w:spacing w:after="0"/>
              <w:rPr>
                <w:sz w:val="23"/>
                <w:szCs w:val="23"/>
                <w:color w:val="auto"/>
              </w:rPr>
            </w:pPr>
          </w:p>
        </w:tc>
      </w:tr>
      <w:tr>
        <w:trPr>
          <w:trHeight w:val="300"/>
        </w:trPr>
        <w:tc>
          <w:tcPr>
            <w:tcW w:w="1720" w:type="dxa"/>
            <w:vAlign w:val="bottom"/>
            <w:tcBorders>
              <w:left w:val="single" w:sz="8" w:color="auto"/>
              <w:bottom w:val="single" w:sz="8" w:color="8C8C8C"/>
              <w:right w:val="single" w:sz="8" w:color="auto"/>
            </w:tcBorders>
            <w:gridSpan w:val="2"/>
            <w:shd w:val="clear" w:color="auto" w:fill="8C8C8C"/>
          </w:tcPr>
          <w:p>
            <w:pPr>
              <w:ind w:left="100"/>
              <w:spacing w:after="0"/>
              <w:rPr>
                <w:sz w:val="20"/>
                <w:szCs w:val="20"/>
                <w:color w:val="auto"/>
              </w:rPr>
            </w:pPr>
            <w:r>
              <w:rPr>
                <w:rFonts w:ascii="Arial" w:cs="Arial" w:eastAsia="Arial" w:hAnsi="Arial"/>
                <w:sz w:val="18"/>
                <w:szCs w:val="18"/>
                <w:b w:val="1"/>
                <w:bCs w:val="1"/>
                <w:color w:val="FFFFFF"/>
              </w:rPr>
              <w:t>Pay Element</w:t>
            </w:r>
          </w:p>
        </w:tc>
        <w:tc>
          <w:tcPr>
            <w:tcW w:w="60" w:type="dxa"/>
            <w:vAlign w:val="bottom"/>
            <w:tcBorders>
              <w:bottom w:val="single" w:sz="8" w:color="8C8C8C"/>
            </w:tcBorders>
            <w:shd w:val="clear" w:color="auto" w:fill="8C8C8C"/>
          </w:tcPr>
          <w:p>
            <w:pPr>
              <w:spacing w:after="0"/>
              <w:rPr>
                <w:sz w:val="24"/>
                <w:szCs w:val="24"/>
                <w:color w:val="auto"/>
              </w:rPr>
            </w:pPr>
          </w:p>
        </w:tc>
        <w:tc>
          <w:tcPr>
            <w:tcW w:w="1000" w:type="dxa"/>
            <w:vAlign w:val="bottom"/>
            <w:tcBorders>
              <w:bottom w:val="single" w:sz="8" w:color="8C8C8C"/>
              <w:right w:val="single" w:sz="8" w:color="auto"/>
            </w:tcBorders>
            <w:shd w:val="clear" w:color="auto" w:fill="8C8C8C"/>
          </w:tcPr>
          <w:p>
            <w:pPr>
              <w:ind w:left="20"/>
              <w:spacing w:after="0"/>
              <w:rPr>
                <w:sz w:val="20"/>
                <w:szCs w:val="20"/>
                <w:color w:val="auto"/>
              </w:rPr>
            </w:pPr>
            <w:r>
              <w:rPr>
                <w:rFonts w:ascii="Arial" w:cs="Arial" w:eastAsia="Arial" w:hAnsi="Arial"/>
                <w:sz w:val="18"/>
                <w:szCs w:val="18"/>
                <w:b w:val="1"/>
                <w:bCs w:val="1"/>
                <w:color w:val="FFFFFF"/>
              </w:rPr>
              <w:t>Paid</w:t>
            </w:r>
          </w:p>
        </w:tc>
        <w:tc>
          <w:tcPr>
            <w:tcW w:w="2900" w:type="dxa"/>
            <w:vAlign w:val="bottom"/>
            <w:tcBorders>
              <w:bottom w:val="single" w:sz="8" w:color="8C8C8C"/>
              <w:right w:val="single" w:sz="8" w:color="auto"/>
            </w:tcBorders>
            <w:shd w:val="clear" w:color="auto" w:fill="8C8C8C"/>
          </w:tcPr>
          <w:p>
            <w:pPr>
              <w:ind w:left="80"/>
              <w:spacing w:after="0"/>
              <w:rPr>
                <w:sz w:val="20"/>
                <w:szCs w:val="20"/>
                <w:color w:val="auto"/>
              </w:rPr>
            </w:pPr>
            <w:r>
              <w:rPr>
                <w:rFonts w:ascii="Arial" w:cs="Arial" w:eastAsia="Arial" w:hAnsi="Arial"/>
                <w:sz w:val="18"/>
                <w:szCs w:val="18"/>
                <w:b w:val="1"/>
                <w:bCs w:val="1"/>
                <w:color w:val="FFFFFF"/>
              </w:rPr>
              <w:t>What It Does</w:t>
            </w:r>
          </w:p>
        </w:tc>
        <w:tc>
          <w:tcPr>
            <w:tcW w:w="3500" w:type="dxa"/>
            <w:vAlign w:val="bottom"/>
            <w:tcBorders>
              <w:bottom w:val="single" w:sz="8" w:color="8C8C8C"/>
              <w:right w:val="single" w:sz="8" w:color="auto"/>
            </w:tcBorders>
            <w:shd w:val="clear" w:color="auto" w:fill="8C8C8C"/>
          </w:tcPr>
          <w:p>
            <w:pPr>
              <w:ind w:left="100"/>
              <w:spacing w:after="0"/>
              <w:rPr>
                <w:sz w:val="20"/>
                <w:szCs w:val="20"/>
                <w:color w:val="auto"/>
              </w:rPr>
            </w:pPr>
            <w:r>
              <w:rPr>
                <w:rFonts w:ascii="Arial" w:cs="Arial" w:eastAsia="Arial" w:hAnsi="Arial"/>
                <w:sz w:val="18"/>
                <w:szCs w:val="18"/>
                <w:b w:val="1"/>
                <w:bCs w:val="1"/>
                <w:color w:val="FFFFFF"/>
              </w:rPr>
              <w:t>How It Links to Performance</w:t>
            </w:r>
          </w:p>
        </w:tc>
      </w:tr>
      <w:tr>
        <w:trPr>
          <w:trHeight w:val="239"/>
        </w:trPr>
        <w:tc>
          <w:tcPr>
            <w:tcW w:w="1720" w:type="dxa"/>
            <w:vAlign w:val="bottom"/>
            <w:tcBorders>
              <w:top w:val="single" w:sz="8" w:color="auto"/>
              <w:left w:val="single" w:sz="8" w:color="auto"/>
              <w:right w:val="single" w:sz="8" w:color="auto"/>
            </w:tcBorders>
            <w:gridSpan w:val="2"/>
            <w:shd w:val="clear" w:color="auto" w:fill="D9D9D9"/>
          </w:tcPr>
          <w:p>
            <w:pPr>
              <w:ind w:left="100"/>
              <w:spacing w:after="0"/>
              <w:rPr>
                <w:sz w:val="20"/>
                <w:szCs w:val="20"/>
                <w:color w:val="auto"/>
              </w:rPr>
            </w:pPr>
            <w:r>
              <w:rPr>
                <w:rFonts w:ascii="Arial" w:cs="Arial" w:eastAsia="Arial" w:hAnsi="Arial"/>
                <w:sz w:val="18"/>
                <w:szCs w:val="18"/>
                <w:b w:val="1"/>
                <w:bCs w:val="1"/>
                <w:color w:val="auto"/>
              </w:rPr>
              <w:t>Base Salary</w:t>
            </w:r>
          </w:p>
        </w:tc>
        <w:tc>
          <w:tcPr>
            <w:tcW w:w="60" w:type="dxa"/>
            <w:vAlign w:val="bottom"/>
            <w:tcBorders>
              <w:top w:val="single" w:sz="8" w:color="auto"/>
            </w:tcBorders>
            <w:shd w:val="clear" w:color="auto" w:fill="D9D9D9"/>
          </w:tcPr>
          <w:p>
            <w:pPr>
              <w:spacing w:after="0"/>
              <w:rPr>
                <w:sz w:val="20"/>
                <w:szCs w:val="20"/>
                <w:color w:val="auto"/>
              </w:rPr>
            </w:pPr>
          </w:p>
        </w:tc>
        <w:tc>
          <w:tcPr>
            <w:tcW w:w="1000" w:type="dxa"/>
            <w:vAlign w:val="bottom"/>
            <w:tcBorders>
              <w:top w:val="single" w:sz="8" w:color="auto"/>
              <w:right w:val="single" w:sz="8" w:color="auto"/>
            </w:tcBorders>
            <w:shd w:val="clear" w:color="auto" w:fill="D9D9D9"/>
          </w:tcPr>
          <w:p>
            <w:pPr>
              <w:ind w:left="20"/>
              <w:spacing w:after="0"/>
              <w:rPr>
                <w:sz w:val="20"/>
                <w:szCs w:val="20"/>
                <w:color w:val="auto"/>
              </w:rPr>
            </w:pPr>
            <w:r>
              <w:rPr>
                <w:rFonts w:ascii="Arial" w:cs="Arial" w:eastAsia="Arial" w:hAnsi="Arial"/>
                <w:sz w:val="18"/>
                <w:szCs w:val="18"/>
                <w:b w:val="1"/>
                <w:bCs w:val="1"/>
                <w:color w:val="auto"/>
              </w:rPr>
              <w:t>Cash</w:t>
            </w:r>
          </w:p>
        </w:tc>
        <w:tc>
          <w:tcPr>
            <w:tcW w:w="290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Provides a competitive fixed rate</w:t>
            </w:r>
          </w:p>
        </w:tc>
        <w:tc>
          <w:tcPr>
            <w:tcW w:w="35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Based on job scope, level of</w:t>
            </w:r>
          </w:p>
        </w:tc>
      </w:tr>
      <w:tr>
        <w:trPr>
          <w:trHeight w:val="205"/>
        </w:trPr>
        <w:tc>
          <w:tcPr>
            <w:tcW w:w="1280" w:type="dxa"/>
            <w:vAlign w:val="bottom"/>
            <w:tcBorders>
              <w:left w:val="single" w:sz="8" w:color="auto"/>
            </w:tcBorders>
            <w:shd w:val="clear" w:color="auto" w:fill="D9D9D9"/>
          </w:tcPr>
          <w:p>
            <w:pPr>
              <w:spacing w:after="0"/>
              <w:rPr>
                <w:sz w:val="17"/>
                <w:szCs w:val="17"/>
                <w:color w:val="auto"/>
              </w:rPr>
            </w:pPr>
          </w:p>
        </w:tc>
        <w:tc>
          <w:tcPr>
            <w:tcW w:w="440" w:type="dxa"/>
            <w:vAlign w:val="bottom"/>
            <w:tcBorders>
              <w:right w:val="single" w:sz="8" w:color="auto"/>
            </w:tcBorders>
            <w:shd w:val="clear" w:color="auto" w:fill="D9D9D9"/>
          </w:tcPr>
          <w:p>
            <w:pPr>
              <w:spacing w:after="0"/>
              <w:rPr>
                <w:sz w:val="17"/>
                <w:szCs w:val="17"/>
                <w:color w:val="auto"/>
              </w:rPr>
            </w:pPr>
          </w:p>
        </w:tc>
        <w:tc>
          <w:tcPr>
            <w:tcW w:w="60" w:type="dxa"/>
            <w:vAlign w:val="bottom"/>
            <w:shd w:val="clear" w:color="auto" w:fill="D9D9D9"/>
          </w:tcPr>
          <w:p>
            <w:pPr>
              <w:spacing w:after="0"/>
              <w:rPr>
                <w:sz w:val="17"/>
                <w:szCs w:val="17"/>
                <w:color w:val="auto"/>
              </w:rPr>
            </w:pPr>
          </w:p>
        </w:tc>
        <w:tc>
          <w:tcPr>
            <w:tcW w:w="1000" w:type="dxa"/>
            <w:vAlign w:val="bottom"/>
            <w:tcBorders>
              <w:right w:val="single" w:sz="8" w:color="auto"/>
            </w:tcBorders>
            <w:shd w:val="clear" w:color="auto" w:fill="D9D9D9"/>
          </w:tcPr>
          <w:p>
            <w:pPr>
              <w:ind w:left="20"/>
              <w:spacing w:after="0" w:line="205" w:lineRule="exact"/>
              <w:rPr>
                <w:sz w:val="20"/>
                <w:szCs w:val="20"/>
                <w:color w:val="auto"/>
              </w:rPr>
            </w:pPr>
            <w:r>
              <w:rPr>
                <w:rFonts w:ascii="Arial" w:cs="Arial" w:eastAsia="Arial" w:hAnsi="Arial"/>
                <w:sz w:val="18"/>
                <w:szCs w:val="18"/>
                <w:b w:val="1"/>
                <w:bCs w:val="1"/>
                <w:color w:val="auto"/>
              </w:rPr>
              <w:t>(Fixed)</w:t>
            </w:r>
          </w:p>
        </w:tc>
        <w:tc>
          <w:tcPr>
            <w:tcW w:w="2900" w:type="dxa"/>
            <w:vAlign w:val="bottom"/>
            <w:tcBorders>
              <w:right w:val="single" w:sz="8" w:color="auto"/>
            </w:tcBorders>
          </w:tcPr>
          <w:p>
            <w:pPr>
              <w:ind w:left="80"/>
              <w:spacing w:after="0" w:line="205" w:lineRule="exact"/>
              <w:rPr>
                <w:sz w:val="20"/>
                <w:szCs w:val="20"/>
                <w:color w:val="auto"/>
              </w:rPr>
            </w:pPr>
            <w:r>
              <w:rPr>
                <w:rFonts w:ascii="Arial" w:cs="Arial" w:eastAsia="Arial" w:hAnsi="Arial"/>
                <w:sz w:val="18"/>
                <w:szCs w:val="18"/>
                <w:color w:val="auto"/>
              </w:rPr>
              <w:t>of pay relative to similar positions</w:t>
            </w:r>
          </w:p>
        </w:tc>
        <w:tc>
          <w:tcPr>
            <w:tcW w:w="3500" w:type="dxa"/>
            <w:vAlign w:val="bottom"/>
            <w:tcBorders>
              <w:right w:val="single" w:sz="8" w:color="auto"/>
            </w:tcBorders>
          </w:tcPr>
          <w:p>
            <w:pPr>
              <w:ind w:left="100"/>
              <w:spacing w:after="0" w:line="205" w:lineRule="exact"/>
              <w:rPr>
                <w:sz w:val="20"/>
                <w:szCs w:val="20"/>
                <w:color w:val="auto"/>
              </w:rPr>
            </w:pPr>
            <w:r>
              <w:rPr>
                <w:rFonts w:ascii="Arial" w:cs="Arial" w:eastAsia="Arial" w:hAnsi="Arial"/>
                <w:sz w:val="18"/>
                <w:szCs w:val="18"/>
                <w:color w:val="auto"/>
              </w:rPr>
              <w:t>responsibilities, individual performance,</w:t>
            </w:r>
          </w:p>
        </w:tc>
      </w:tr>
      <w:tr>
        <w:trPr>
          <w:trHeight w:val="203"/>
        </w:trPr>
        <w:tc>
          <w:tcPr>
            <w:tcW w:w="1280" w:type="dxa"/>
            <w:vAlign w:val="bottom"/>
            <w:tcBorders>
              <w:left w:val="single" w:sz="8" w:color="auto"/>
            </w:tcBorders>
            <w:shd w:val="clear" w:color="auto" w:fill="D9D9D9"/>
          </w:tcPr>
          <w:p>
            <w:pPr>
              <w:spacing w:after="0"/>
              <w:rPr>
                <w:sz w:val="17"/>
                <w:szCs w:val="17"/>
                <w:color w:val="auto"/>
              </w:rPr>
            </w:pPr>
          </w:p>
        </w:tc>
        <w:tc>
          <w:tcPr>
            <w:tcW w:w="440" w:type="dxa"/>
            <w:vAlign w:val="bottom"/>
            <w:tcBorders>
              <w:right w:val="single" w:sz="8" w:color="auto"/>
            </w:tcBorders>
            <w:shd w:val="clear" w:color="auto" w:fill="D9D9D9"/>
          </w:tcPr>
          <w:p>
            <w:pPr>
              <w:spacing w:after="0"/>
              <w:rPr>
                <w:sz w:val="17"/>
                <w:szCs w:val="17"/>
                <w:color w:val="auto"/>
              </w:rPr>
            </w:pPr>
          </w:p>
        </w:tc>
        <w:tc>
          <w:tcPr>
            <w:tcW w:w="60" w:type="dxa"/>
            <w:vAlign w:val="bottom"/>
            <w:shd w:val="clear" w:color="auto" w:fill="D9D9D9"/>
          </w:tcPr>
          <w:p>
            <w:pPr>
              <w:spacing w:after="0"/>
              <w:rPr>
                <w:sz w:val="17"/>
                <w:szCs w:val="17"/>
                <w:color w:val="auto"/>
              </w:rPr>
            </w:pPr>
          </w:p>
        </w:tc>
        <w:tc>
          <w:tcPr>
            <w:tcW w:w="1000" w:type="dxa"/>
            <w:vAlign w:val="bottom"/>
            <w:tcBorders>
              <w:right w:val="single" w:sz="8" w:color="auto"/>
            </w:tcBorders>
            <w:shd w:val="clear" w:color="auto" w:fill="D9D9D9"/>
          </w:tcPr>
          <w:p>
            <w:pPr>
              <w:spacing w:after="0"/>
              <w:rPr>
                <w:sz w:val="17"/>
                <w:szCs w:val="17"/>
                <w:color w:val="auto"/>
              </w:rPr>
            </w:pPr>
          </w:p>
        </w:tc>
        <w:tc>
          <w:tcPr>
            <w:tcW w:w="29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in the market, and enables the</w:t>
            </w:r>
          </w:p>
        </w:tc>
        <w:tc>
          <w:tcPr>
            <w:tcW w:w="350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experience, and market levels</w:t>
            </w:r>
          </w:p>
        </w:tc>
      </w:tr>
      <w:tr>
        <w:trPr>
          <w:trHeight w:val="203"/>
        </w:trPr>
        <w:tc>
          <w:tcPr>
            <w:tcW w:w="1280" w:type="dxa"/>
            <w:vAlign w:val="bottom"/>
            <w:tcBorders>
              <w:left w:val="single" w:sz="8" w:color="auto"/>
            </w:tcBorders>
            <w:shd w:val="clear" w:color="auto" w:fill="D9D9D9"/>
          </w:tcPr>
          <w:p>
            <w:pPr>
              <w:spacing w:after="0"/>
              <w:rPr>
                <w:sz w:val="17"/>
                <w:szCs w:val="17"/>
                <w:color w:val="auto"/>
              </w:rPr>
            </w:pPr>
          </w:p>
        </w:tc>
        <w:tc>
          <w:tcPr>
            <w:tcW w:w="440" w:type="dxa"/>
            <w:vAlign w:val="bottom"/>
            <w:tcBorders>
              <w:right w:val="single" w:sz="8" w:color="auto"/>
            </w:tcBorders>
            <w:shd w:val="clear" w:color="auto" w:fill="D9D9D9"/>
          </w:tcPr>
          <w:p>
            <w:pPr>
              <w:spacing w:after="0"/>
              <w:rPr>
                <w:sz w:val="17"/>
                <w:szCs w:val="17"/>
                <w:color w:val="auto"/>
              </w:rPr>
            </w:pPr>
          </w:p>
        </w:tc>
        <w:tc>
          <w:tcPr>
            <w:tcW w:w="60" w:type="dxa"/>
            <w:vAlign w:val="bottom"/>
            <w:shd w:val="clear" w:color="auto" w:fill="D9D9D9"/>
          </w:tcPr>
          <w:p>
            <w:pPr>
              <w:spacing w:after="0"/>
              <w:rPr>
                <w:sz w:val="17"/>
                <w:szCs w:val="17"/>
                <w:color w:val="auto"/>
              </w:rPr>
            </w:pPr>
          </w:p>
        </w:tc>
        <w:tc>
          <w:tcPr>
            <w:tcW w:w="1000" w:type="dxa"/>
            <w:vAlign w:val="bottom"/>
            <w:tcBorders>
              <w:right w:val="single" w:sz="8" w:color="auto"/>
            </w:tcBorders>
            <w:shd w:val="clear" w:color="auto" w:fill="D9D9D9"/>
          </w:tcPr>
          <w:p>
            <w:pPr>
              <w:spacing w:after="0"/>
              <w:rPr>
                <w:sz w:val="17"/>
                <w:szCs w:val="17"/>
                <w:color w:val="auto"/>
              </w:rPr>
            </w:pPr>
          </w:p>
        </w:tc>
        <w:tc>
          <w:tcPr>
            <w:tcW w:w="29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Company to attract and retain</w:t>
            </w:r>
          </w:p>
        </w:tc>
        <w:tc>
          <w:tcPr>
            <w:tcW w:w="3500" w:type="dxa"/>
            <w:vAlign w:val="bottom"/>
            <w:tcBorders>
              <w:right w:val="single" w:sz="8" w:color="auto"/>
            </w:tcBorders>
          </w:tcPr>
          <w:p>
            <w:pPr>
              <w:spacing w:after="0"/>
              <w:rPr>
                <w:sz w:val="17"/>
                <w:szCs w:val="17"/>
                <w:color w:val="auto"/>
              </w:rPr>
            </w:pPr>
          </w:p>
        </w:tc>
      </w:tr>
      <w:tr>
        <w:trPr>
          <w:trHeight w:val="293"/>
        </w:trPr>
        <w:tc>
          <w:tcPr>
            <w:tcW w:w="1280" w:type="dxa"/>
            <w:vAlign w:val="bottom"/>
            <w:tcBorders>
              <w:left w:val="single" w:sz="8" w:color="auto"/>
              <w:bottom w:val="single" w:sz="8" w:color="D9D9D9"/>
            </w:tcBorders>
            <w:shd w:val="clear" w:color="auto" w:fill="D9D9D9"/>
          </w:tcPr>
          <w:p>
            <w:pPr>
              <w:spacing w:after="0"/>
              <w:rPr>
                <w:sz w:val="24"/>
                <w:szCs w:val="24"/>
                <w:color w:val="auto"/>
              </w:rPr>
            </w:pPr>
          </w:p>
        </w:tc>
        <w:tc>
          <w:tcPr>
            <w:tcW w:w="440" w:type="dxa"/>
            <w:vAlign w:val="bottom"/>
            <w:tcBorders>
              <w:bottom w:val="single" w:sz="8" w:color="D9D9D9"/>
              <w:right w:val="single" w:sz="8" w:color="auto"/>
            </w:tcBorders>
            <w:shd w:val="clear" w:color="auto" w:fill="D9D9D9"/>
          </w:tcPr>
          <w:p>
            <w:pPr>
              <w:spacing w:after="0"/>
              <w:rPr>
                <w:sz w:val="24"/>
                <w:szCs w:val="24"/>
                <w:color w:val="auto"/>
              </w:rPr>
            </w:pPr>
          </w:p>
        </w:tc>
        <w:tc>
          <w:tcPr>
            <w:tcW w:w="60" w:type="dxa"/>
            <w:vAlign w:val="bottom"/>
            <w:tcBorders>
              <w:bottom w:val="single" w:sz="8" w:color="D9D9D9"/>
            </w:tcBorders>
            <w:shd w:val="clear" w:color="auto" w:fill="D9D9D9"/>
          </w:tcPr>
          <w:p>
            <w:pPr>
              <w:spacing w:after="0"/>
              <w:rPr>
                <w:sz w:val="24"/>
                <w:szCs w:val="24"/>
                <w:color w:val="auto"/>
              </w:rPr>
            </w:pPr>
          </w:p>
        </w:tc>
        <w:tc>
          <w:tcPr>
            <w:tcW w:w="1000" w:type="dxa"/>
            <w:vAlign w:val="bottom"/>
            <w:tcBorders>
              <w:bottom w:val="single" w:sz="8" w:color="D9D9D9"/>
              <w:right w:val="single" w:sz="8" w:color="auto"/>
            </w:tcBorders>
            <w:shd w:val="clear" w:color="auto" w:fill="D9D9D9"/>
          </w:tcPr>
          <w:p>
            <w:pPr>
              <w:spacing w:after="0"/>
              <w:rPr>
                <w:sz w:val="24"/>
                <w:szCs w:val="24"/>
                <w:color w:val="auto"/>
              </w:rPr>
            </w:pPr>
          </w:p>
        </w:tc>
        <w:tc>
          <w:tcPr>
            <w:tcW w:w="29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critical executive talent</w:t>
            </w:r>
          </w:p>
        </w:tc>
        <w:tc>
          <w:tcPr>
            <w:tcW w:w="3500" w:type="dxa"/>
            <w:vAlign w:val="bottom"/>
            <w:tcBorders>
              <w:right w:val="single" w:sz="8" w:color="auto"/>
            </w:tcBorders>
          </w:tcPr>
          <w:p>
            <w:pPr>
              <w:spacing w:after="0"/>
              <w:rPr>
                <w:sz w:val="24"/>
                <w:szCs w:val="24"/>
                <w:color w:val="auto"/>
              </w:rPr>
            </w:pPr>
          </w:p>
        </w:tc>
      </w:tr>
      <w:tr>
        <w:trPr>
          <w:trHeight w:val="239"/>
        </w:trPr>
        <w:tc>
          <w:tcPr>
            <w:tcW w:w="1720" w:type="dxa"/>
            <w:vAlign w:val="bottom"/>
            <w:tcBorders>
              <w:top w:val="single" w:sz="8" w:color="auto"/>
              <w:left w:val="single" w:sz="8" w:color="auto"/>
              <w:right w:val="single" w:sz="8" w:color="auto"/>
            </w:tcBorders>
            <w:gridSpan w:val="2"/>
            <w:shd w:val="clear" w:color="auto" w:fill="D9D9D9"/>
          </w:tcPr>
          <w:p>
            <w:pPr>
              <w:ind w:left="100"/>
              <w:spacing w:after="0"/>
              <w:rPr>
                <w:sz w:val="20"/>
                <w:szCs w:val="20"/>
                <w:color w:val="auto"/>
              </w:rPr>
            </w:pPr>
            <w:r>
              <w:rPr>
                <w:rFonts w:ascii="Arial" w:cs="Arial" w:eastAsia="Arial" w:hAnsi="Arial"/>
                <w:sz w:val="18"/>
                <w:szCs w:val="18"/>
                <w:b w:val="1"/>
                <w:bCs w:val="1"/>
                <w:color w:val="auto"/>
              </w:rPr>
              <w:t>Annual Cash</w:t>
            </w:r>
          </w:p>
        </w:tc>
        <w:tc>
          <w:tcPr>
            <w:tcW w:w="60" w:type="dxa"/>
            <w:vAlign w:val="bottom"/>
            <w:tcBorders>
              <w:top w:val="single" w:sz="8" w:color="auto"/>
            </w:tcBorders>
            <w:shd w:val="clear" w:color="auto" w:fill="D9D9D9"/>
          </w:tcPr>
          <w:p>
            <w:pPr>
              <w:spacing w:after="0"/>
              <w:rPr>
                <w:sz w:val="20"/>
                <w:szCs w:val="20"/>
                <w:color w:val="auto"/>
              </w:rPr>
            </w:pPr>
          </w:p>
        </w:tc>
        <w:tc>
          <w:tcPr>
            <w:tcW w:w="1000" w:type="dxa"/>
            <w:vAlign w:val="bottom"/>
            <w:tcBorders>
              <w:top w:val="single" w:sz="8" w:color="auto"/>
              <w:right w:val="single" w:sz="8" w:color="auto"/>
            </w:tcBorders>
            <w:shd w:val="clear" w:color="auto" w:fill="D9D9D9"/>
          </w:tcPr>
          <w:p>
            <w:pPr>
              <w:ind w:left="20"/>
              <w:spacing w:after="0"/>
              <w:rPr>
                <w:sz w:val="20"/>
                <w:szCs w:val="20"/>
                <w:color w:val="auto"/>
              </w:rPr>
            </w:pPr>
            <w:r>
              <w:rPr>
                <w:rFonts w:ascii="Arial" w:cs="Arial" w:eastAsia="Arial" w:hAnsi="Arial"/>
                <w:sz w:val="18"/>
                <w:szCs w:val="18"/>
                <w:b w:val="1"/>
                <w:bCs w:val="1"/>
                <w:color w:val="auto"/>
              </w:rPr>
              <w:t>Cash</w:t>
            </w:r>
          </w:p>
        </w:tc>
        <w:tc>
          <w:tcPr>
            <w:tcW w:w="290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Focuses executives on achieving</w:t>
            </w:r>
          </w:p>
        </w:tc>
        <w:tc>
          <w:tcPr>
            <w:tcW w:w="35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   Payouts: 0% to 200%* of target</w:t>
            </w:r>
          </w:p>
        </w:tc>
      </w:tr>
      <w:tr>
        <w:trPr>
          <w:trHeight w:val="205"/>
        </w:trPr>
        <w:tc>
          <w:tcPr>
            <w:tcW w:w="1720" w:type="dxa"/>
            <w:vAlign w:val="bottom"/>
            <w:tcBorders>
              <w:left w:val="single" w:sz="8" w:color="auto"/>
              <w:right w:val="single" w:sz="8" w:color="auto"/>
            </w:tcBorders>
            <w:gridSpan w:val="2"/>
            <w:shd w:val="clear" w:color="auto" w:fill="D9D9D9"/>
          </w:tcPr>
          <w:p>
            <w:pPr>
              <w:ind w:left="100"/>
              <w:spacing w:after="0" w:line="205" w:lineRule="exact"/>
              <w:rPr>
                <w:sz w:val="20"/>
                <w:szCs w:val="20"/>
                <w:color w:val="auto"/>
              </w:rPr>
            </w:pPr>
            <w:r>
              <w:rPr>
                <w:rFonts w:ascii="Arial" w:cs="Arial" w:eastAsia="Arial" w:hAnsi="Arial"/>
                <w:sz w:val="18"/>
                <w:szCs w:val="18"/>
                <w:b w:val="1"/>
                <w:bCs w:val="1"/>
                <w:color w:val="auto"/>
              </w:rPr>
              <w:t>Incentive (EMIP)</w:t>
            </w:r>
          </w:p>
        </w:tc>
        <w:tc>
          <w:tcPr>
            <w:tcW w:w="60" w:type="dxa"/>
            <w:vAlign w:val="bottom"/>
            <w:shd w:val="clear" w:color="auto" w:fill="D9D9D9"/>
          </w:tcPr>
          <w:p>
            <w:pPr>
              <w:spacing w:after="0"/>
              <w:rPr>
                <w:sz w:val="17"/>
                <w:szCs w:val="17"/>
                <w:color w:val="auto"/>
              </w:rPr>
            </w:pPr>
          </w:p>
        </w:tc>
        <w:tc>
          <w:tcPr>
            <w:tcW w:w="1000" w:type="dxa"/>
            <w:vAlign w:val="bottom"/>
            <w:tcBorders>
              <w:right w:val="single" w:sz="8" w:color="auto"/>
            </w:tcBorders>
            <w:shd w:val="clear" w:color="auto" w:fill="D9D9D9"/>
          </w:tcPr>
          <w:p>
            <w:pPr>
              <w:ind w:left="20"/>
              <w:spacing w:after="0" w:line="205" w:lineRule="exact"/>
              <w:rPr>
                <w:sz w:val="20"/>
                <w:szCs w:val="20"/>
                <w:color w:val="auto"/>
              </w:rPr>
            </w:pPr>
            <w:r>
              <w:rPr>
                <w:rFonts w:ascii="Arial" w:cs="Arial" w:eastAsia="Arial" w:hAnsi="Arial"/>
                <w:sz w:val="18"/>
                <w:szCs w:val="18"/>
                <w:b w:val="1"/>
                <w:bCs w:val="1"/>
                <w:color w:val="auto"/>
              </w:rPr>
              <w:t>(Variable)</w:t>
            </w:r>
          </w:p>
        </w:tc>
        <w:tc>
          <w:tcPr>
            <w:tcW w:w="2900" w:type="dxa"/>
            <w:vAlign w:val="bottom"/>
            <w:tcBorders>
              <w:right w:val="single" w:sz="8" w:color="auto"/>
            </w:tcBorders>
          </w:tcPr>
          <w:p>
            <w:pPr>
              <w:ind w:left="80"/>
              <w:spacing w:after="0" w:line="205" w:lineRule="exact"/>
              <w:rPr>
                <w:sz w:val="20"/>
                <w:szCs w:val="20"/>
                <w:color w:val="auto"/>
              </w:rPr>
            </w:pPr>
            <w:r>
              <w:rPr>
                <w:rFonts w:ascii="Arial" w:cs="Arial" w:eastAsia="Arial" w:hAnsi="Arial"/>
                <w:sz w:val="18"/>
                <w:szCs w:val="18"/>
                <w:color w:val="auto"/>
              </w:rPr>
              <w:t>annual financial goals that drive</w:t>
            </w:r>
          </w:p>
        </w:tc>
        <w:tc>
          <w:tcPr>
            <w:tcW w:w="3500" w:type="dxa"/>
            <w:vAlign w:val="bottom"/>
            <w:tcBorders>
              <w:right w:val="single" w:sz="8" w:color="auto"/>
            </w:tcBorders>
          </w:tcPr>
          <w:p>
            <w:pPr>
              <w:ind w:left="420"/>
              <w:spacing w:after="0" w:line="205" w:lineRule="exact"/>
              <w:rPr>
                <w:sz w:val="20"/>
                <w:szCs w:val="20"/>
                <w:color w:val="auto"/>
              </w:rPr>
            </w:pPr>
            <w:r>
              <w:rPr>
                <w:rFonts w:ascii="Arial" w:cs="Arial" w:eastAsia="Arial" w:hAnsi="Arial"/>
                <w:sz w:val="18"/>
                <w:szCs w:val="18"/>
                <w:color w:val="auto"/>
              </w:rPr>
              <w:t>based on financial performance</w:t>
            </w:r>
          </w:p>
        </w:tc>
      </w:tr>
      <w:tr>
        <w:trPr>
          <w:trHeight w:val="203"/>
        </w:trPr>
        <w:tc>
          <w:tcPr>
            <w:tcW w:w="1280" w:type="dxa"/>
            <w:vAlign w:val="bottom"/>
            <w:tcBorders>
              <w:left w:val="single" w:sz="8" w:color="auto"/>
            </w:tcBorders>
            <w:shd w:val="clear" w:color="auto" w:fill="D9D9D9"/>
          </w:tcPr>
          <w:p>
            <w:pPr>
              <w:spacing w:after="0"/>
              <w:rPr>
                <w:sz w:val="17"/>
                <w:szCs w:val="17"/>
                <w:color w:val="auto"/>
              </w:rPr>
            </w:pPr>
          </w:p>
        </w:tc>
        <w:tc>
          <w:tcPr>
            <w:tcW w:w="440" w:type="dxa"/>
            <w:vAlign w:val="bottom"/>
            <w:tcBorders>
              <w:right w:val="single" w:sz="8" w:color="auto"/>
            </w:tcBorders>
            <w:shd w:val="clear" w:color="auto" w:fill="D9D9D9"/>
          </w:tcPr>
          <w:p>
            <w:pPr>
              <w:spacing w:after="0"/>
              <w:rPr>
                <w:sz w:val="17"/>
                <w:szCs w:val="17"/>
                <w:color w:val="auto"/>
              </w:rPr>
            </w:pPr>
          </w:p>
        </w:tc>
        <w:tc>
          <w:tcPr>
            <w:tcW w:w="60" w:type="dxa"/>
            <w:vAlign w:val="bottom"/>
            <w:shd w:val="clear" w:color="auto" w:fill="D9D9D9"/>
          </w:tcPr>
          <w:p>
            <w:pPr>
              <w:spacing w:after="0"/>
              <w:rPr>
                <w:sz w:val="17"/>
                <w:szCs w:val="17"/>
                <w:color w:val="auto"/>
              </w:rPr>
            </w:pPr>
          </w:p>
        </w:tc>
        <w:tc>
          <w:tcPr>
            <w:tcW w:w="1000" w:type="dxa"/>
            <w:vAlign w:val="bottom"/>
            <w:tcBorders>
              <w:right w:val="single" w:sz="8" w:color="auto"/>
            </w:tcBorders>
            <w:shd w:val="clear" w:color="auto" w:fill="D9D9D9"/>
          </w:tcPr>
          <w:p>
            <w:pPr>
              <w:spacing w:after="0"/>
              <w:rPr>
                <w:sz w:val="17"/>
                <w:szCs w:val="17"/>
                <w:color w:val="auto"/>
              </w:rPr>
            </w:pPr>
          </w:p>
        </w:tc>
        <w:tc>
          <w:tcPr>
            <w:tcW w:w="29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long-term shareholder value</w:t>
            </w:r>
          </w:p>
        </w:tc>
        <w:tc>
          <w:tcPr>
            <w:tcW w:w="3500" w:type="dxa"/>
            <w:vAlign w:val="bottom"/>
            <w:tcBorders>
              <w:right w:val="single" w:sz="8" w:color="auto"/>
            </w:tcBorders>
          </w:tcPr>
          <w:p>
            <w:pPr>
              <w:ind w:left="420"/>
              <w:spacing w:after="0" w:line="202" w:lineRule="exact"/>
              <w:rPr>
                <w:sz w:val="20"/>
                <w:szCs w:val="20"/>
                <w:color w:val="auto"/>
              </w:rPr>
            </w:pPr>
            <w:r>
              <w:rPr>
                <w:rFonts w:ascii="Arial" w:cs="Arial" w:eastAsia="Arial" w:hAnsi="Arial"/>
                <w:sz w:val="18"/>
                <w:szCs w:val="18"/>
                <w:color w:val="auto"/>
              </w:rPr>
              <w:t>attainment against pre-established</w:t>
            </w:r>
          </w:p>
        </w:tc>
      </w:tr>
      <w:tr>
        <w:trPr>
          <w:trHeight w:val="203"/>
        </w:trPr>
        <w:tc>
          <w:tcPr>
            <w:tcW w:w="1280" w:type="dxa"/>
            <w:vAlign w:val="bottom"/>
            <w:tcBorders>
              <w:left w:val="single" w:sz="8" w:color="auto"/>
            </w:tcBorders>
            <w:shd w:val="clear" w:color="auto" w:fill="D9D9D9"/>
          </w:tcPr>
          <w:p>
            <w:pPr>
              <w:spacing w:after="0"/>
              <w:rPr>
                <w:sz w:val="17"/>
                <w:szCs w:val="17"/>
                <w:color w:val="auto"/>
              </w:rPr>
            </w:pPr>
          </w:p>
        </w:tc>
        <w:tc>
          <w:tcPr>
            <w:tcW w:w="440" w:type="dxa"/>
            <w:vAlign w:val="bottom"/>
            <w:tcBorders>
              <w:right w:val="single" w:sz="8" w:color="auto"/>
            </w:tcBorders>
            <w:shd w:val="clear" w:color="auto" w:fill="D9D9D9"/>
          </w:tcPr>
          <w:p>
            <w:pPr>
              <w:spacing w:after="0"/>
              <w:rPr>
                <w:sz w:val="17"/>
                <w:szCs w:val="17"/>
                <w:color w:val="auto"/>
              </w:rPr>
            </w:pPr>
          </w:p>
        </w:tc>
        <w:tc>
          <w:tcPr>
            <w:tcW w:w="60" w:type="dxa"/>
            <w:vAlign w:val="bottom"/>
            <w:shd w:val="clear" w:color="auto" w:fill="D9D9D9"/>
          </w:tcPr>
          <w:p>
            <w:pPr>
              <w:spacing w:after="0"/>
              <w:rPr>
                <w:sz w:val="17"/>
                <w:szCs w:val="17"/>
                <w:color w:val="auto"/>
              </w:rPr>
            </w:pPr>
          </w:p>
        </w:tc>
        <w:tc>
          <w:tcPr>
            <w:tcW w:w="1000" w:type="dxa"/>
            <w:vAlign w:val="bottom"/>
            <w:tcBorders>
              <w:right w:val="single" w:sz="8" w:color="auto"/>
            </w:tcBorders>
            <w:shd w:val="clear" w:color="auto" w:fill="D9D9D9"/>
          </w:tcPr>
          <w:p>
            <w:pPr>
              <w:spacing w:after="0"/>
              <w:rPr>
                <w:sz w:val="17"/>
                <w:szCs w:val="17"/>
                <w:color w:val="auto"/>
              </w:rPr>
            </w:pPr>
          </w:p>
        </w:tc>
        <w:tc>
          <w:tcPr>
            <w:tcW w:w="2900" w:type="dxa"/>
            <w:vAlign w:val="bottom"/>
            <w:tcBorders>
              <w:right w:val="single" w:sz="8" w:color="auto"/>
            </w:tcBorders>
          </w:tcPr>
          <w:p>
            <w:pPr>
              <w:spacing w:after="0"/>
              <w:rPr>
                <w:sz w:val="17"/>
                <w:szCs w:val="17"/>
                <w:color w:val="auto"/>
              </w:rPr>
            </w:pPr>
          </w:p>
        </w:tc>
        <w:tc>
          <w:tcPr>
            <w:tcW w:w="3500" w:type="dxa"/>
            <w:vAlign w:val="bottom"/>
            <w:tcBorders>
              <w:right w:val="single" w:sz="8" w:color="auto"/>
            </w:tcBorders>
          </w:tcPr>
          <w:p>
            <w:pPr>
              <w:ind w:left="420"/>
              <w:spacing w:after="0" w:line="202" w:lineRule="exact"/>
              <w:rPr>
                <w:sz w:val="20"/>
                <w:szCs w:val="20"/>
                <w:color w:val="auto"/>
              </w:rPr>
            </w:pPr>
            <w:r>
              <w:rPr>
                <w:rFonts w:ascii="Arial" w:cs="Arial" w:eastAsia="Arial" w:hAnsi="Arial"/>
                <w:sz w:val="18"/>
                <w:szCs w:val="18"/>
                <w:color w:val="auto"/>
              </w:rPr>
              <w:t>goals, subject to the achievement of</w:t>
            </w:r>
          </w:p>
        </w:tc>
      </w:tr>
      <w:tr>
        <w:trPr>
          <w:trHeight w:val="243"/>
        </w:trPr>
        <w:tc>
          <w:tcPr>
            <w:tcW w:w="1280" w:type="dxa"/>
            <w:vAlign w:val="bottom"/>
            <w:tcBorders>
              <w:left w:val="single" w:sz="8" w:color="auto"/>
            </w:tcBorders>
            <w:shd w:val="clear" w:color="auto" w:fill="D9D9D9"/>
          </w:tcPr>
          <w:p>
            <w:pPr>
              <w:spacing w:after="0"/>
              <w:rPr>
                <w:sz w:val="21"/>
                <w:szCs w:val="21"/>
                <w:color w:val="auto"/>
              </w:rPr>
            </w:pPr>
          </w:p>
        </w:tc>
        <w:tc>
          <w:tcPr>
            <w:tcW w:w="440" w:type="dxa"/>
            <w:vAlign w:val="bottom"/>
            <w:tcBorders>
              <w:right w:val="single" w:sz="8" w:color="auto"/>
            </w:tcBorders>
            <w:shd w:val="clear" w:color="auto" w:fill="D9D9D9"/>
          </w:tcPr>
          <w:p>
            <w:pPr>
              <w:spacing w:after="0"/>
              <w:rPr>
                <w:sz w:val="21"/>
                <w:szCs w:val="21"/>
                <w:color w:val="auto"/>
              </w:rPr>
            </w:pPr>
          </w:p>
        </w:tc>
        <w:tc>
          <w:tcPr>
            <w:tcW w:w="60" w:type="dxa"/>
            <w:vAlign w:val="bottom"/>
            <w:shd w:val="clear" w:color="auto" w:fill="D9D9D9"/>
          </w:tcPr>
          <w:p>
            <w:pPr>
              <w:spacing w:after="0"/>
              <w:rPr>
                <w:sz w:val="21"/>
                <w:szCs w:val="21"/>
                <w:color w:val="auto"/>
              </w:rPr>
            </w:pPr>
          </w:p>
        </w:tc>
        <w:tc>
          <w:tcPr>
            <w:tcW w:w="1000" w:type="dxa"/>
            <w:vAlign w:val="bottom"/>
            <w:tcBorders>
              <w:right w:val="single" w:sz="8" w:color="auto"/>
            </w:tcBorders>
            <w:shd w:val="clear" w:color="auto" w:fill="D9D9D9"/>
          </w:tcPr>
          <w:p>
            <w:pPr>
              <w:spacing w:after="0"/>
              <w:rPr>
                <w:sz w:val="21"/>
                <w:szCs w:val="21"/>
                <w:color w:val="auto"/>
              </w:rPr>
            </w:pPr>
          </w:p>
        </w:tc>
        <w:tc>
          <w:tcPr>
            <w:tcW w:w="2900" w:type="dxa"/>
            <w:vAlign w:val="bottom"/>
            <w:tcBorders>
              <w:right w:val="single" w:sz="8" w:color="auto"/>
            </w:tcBorders>
          </w:tcPr>
          <w:p>
            <w:pPr>
              <w:spacing w:after="0"/>
              <w:rPr>
                <w:sz w:val="21"/>
                <w:szCs w:val="21"/>
                <w:color w:val="auto"/>
              </w:rPr>
            </w:pPr>
          </w:p>
        </w:tc>
        <w:tc>
          <w:tcPr>
            <w:tcW w:w="350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a threshold Adjusted EBITDA goal</w:t>
            </w:r>
          </w:p>
        </w:tc>
      </w:tr>
      <w:tr>
        <w:trPr>
          <w:trHeight w:val="297"/>
        </w:trPr>
        <w:tc>
          <w:tcPr>
            <w:tcW w:w="1280" w:type="dxa"/>
            <w:vAlign w:val="bottom"/>
            <w:tcBorders>
              <w:left w:val="single" w:sz="8" w:color="auto"/>
            </w:tcBorders>
            <w:shd w:val="clear" w:color="auto" w:fill="D9D9D9"/>
          </w:tcPr>
          <w:p>
            <w:pPr>
              <w:spacing w:after="0"/>
              <w:rPr>
                <w:sz w:val="24"/>
                <w:szCs w:val="24"/>
                <w:color w:val="auto"/>
              </w:rPr>
            </w:pPr>
          </w:p>
        </w:tc>
        <w:tc>
          <w:tcPr>
            <w:tcW w:w="440" w:type="dxa"/>
            <w:vAlign w:val="bottom"/>
            <w:tcBorders>
              <w:right w:val="single" w:sz="8" w:color="auto"/>
            </w:tcBorders>
            <w:shd w:val="clear" w:color="auto" w:fill="D9D9D9"/>
          </w:tcPr>
          <w:p>
            <w:pPr>
              <w:spacing w:after="0"/>
              <w:rPr>
                <w:sz w:val="24"/>
                <w:szCs w:val="24"/>
                <w:color w:val="auto"/>
              </w:rPr>
            </w:pPr>
          </w:p>
        </w:tc>
        <w:tc>
          <w:tcPr>
            <w:tcW w:w="60" w:type="dxa"/>
            <w:vAlign w:val="bottom"/>
            <w:shd w:val="clear" w:color="auto" w:fill="D9D9D9"/>
          </w:tcPr>
          <w:p>
            <w:pPr>
              <w:spacing w:after="0"/>
              <w:rPr>
                <w:sz w:val="24"/>
                <w:szCs w:val="24"/>
                <w:color w:val="auto"/>
              </w:rPr>
            </w:pPr>
          </w:p>
        </w:tc>
        <w:tc>
          <w:tcPr>
            <w:tcW w:w="1000" w:type="dxa"/>
            <w:vAlign w:val="bottom"/>
            <w:tcBorders>
              <w:right w:val="single" w:sz="8" w:color="auto"/>
            </w:tcBorders>
            <w:shd w:val="clear" w:color="auto" w:fill="D9D9D9"/>
          </w:tcPr>
          <w:p>
            <w:pPr>
              <w:spacing w:after="0"/>
              <w:rPr>
                <w:sz w:val="24"/>
                <w:szCs w:val="24"/>
                <w:color w:val="auto"/>
              </w:rPr>
            </w:pPr>
          </w:p>
        </w:tc>
        <w:tc>
          <w:tcPr>
            <w:tcW w:w="2900" w:type="dxa"/>
            <w:vAlign w:val="bottom"/>
            <w:tcBorders>
              <w:right w:val="single" w:sz="8" w:color="auto"/>
            </w:tcBorders>
          </w:tcPr>
          <w:p>
            <w:pPr>
              <w:spacing w:after="0"/>
              <w:rPr>
                <w:sz w:val="24"/>
                <w:szCs w:val="24"/>
                <w:color w:val="auto"/>
              </w:rPr>
            </w:pPr>
          </w:p>
        </w:tc>
        <w:tc>
          <w:tcPr>
            <w:tcW w:w="350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   If the threshold Adjusted EBITDA</w:t>
            </w:r>
          </w:p>
        </w:tc>
      </w:tr>
      <w:tr>
        <w:trPr>
          <w:trHeight w:val="203"/>
        </w:trPr>
        <w:tc>
          <w:tcPr>
            <w:tcW w:w="1280" w:type="dxa"/>
            <w:vAlign w:val="bottom"/>
            <w:tcBorders>
              <w:left w:val="single" w:sz="8" w:color="auto"/>
            </w:tcBorders>
            <w:shd w:val="clear" w:color="auto" w:fill="D9D9D9"/>
          </w:tcPr>
          <w:p>
            <w:pPr>
              <w:spacing w:after="0"/>
              <w:rPr>
                <w:sz w:val="17"/>
                <w:szCs w:val="17"/>
                <w:color w:val="auto"/>
              </w:rPr>
            </w:pPr>
          </w:p>
        </w:tc>
        <w:tc>
          <w:tcPr>
            <w:tcW w:w="440" w:type="dxa"/>
            <w:vAlign w:val="bottom"/>
            <w:tcBorders>
              <w:right w:val="single" w:sz="8" w:color="auto"/>
            </w:tcBorders>
            <w:shd w:val="clear" w:color="auto" w:fill="D9D9D9"/>
          </w:tcPr>
          <w:p>
            <w:pPr>
              <w:spacing w:after="0"/>
              <w:rPr>
                <w:sz w:val="17"/>
                <w:szCs w:val="17"/>
                <w:color w:val="auto"/>
              </w:rPr>
            </w:pPr>
          </w:p>
        </w:tc>
        <w:tc>
          <w:tcPr>
            <w:tcW w:w="60" w:type="dxa"/>
            <w:vAlign w:val="bottom"/>
            <w:shd w:val="clear" w:color="auto" w:fill="D9D9D9"/>
          </w:tcPr>
          <w:p>
            <w:pPr>
              <w:spacing w:after="0"/>
              <w:rPr>
                <w:sz w:val="17"/>
                <w:szCs w:val="17"/>
                <w:color w:val="auto"/>
              </w:rPr>
            </w:pPr>
          </w:p>
        </w:tc>
        <w:tc>
          <w:tcPr>
            <w:tcW w:w="1000" w:type="dxa"/>
            <w:vAlign w:val="bottom"/>
            <w:tcBorders>
              <w:right w:val="single" w:sz="8" w:color="auto"/>
            </w:tcBorders>
            <w:shd w:val="clear" w:color="auto" w:fill="D9D9D9"/>
          </w:tcPr>
          <w:p>
            <w:pPr>
              <w:spacing w:after="0"/>
              <w:rPr>
                <w:sz w:val="17"/>
                <w:szCs w:val="17"/>
                <w:color w:val="auto"/>
              </w:rPr>
            </w:pPr>
          </w:p>
        </w:tc>
        <w:tc>
          <w:tcPr>
            <w:tcW w:w="2900" w:type="dxa"/>
            <w:vAlign w:val="bottom"/>
            <w:tcBorders>
              <w:right w:val="single" w:sz="8" w:color="auto"/>
            </w:tcBorders>
          </w:tcPr>
          <w:p>
            <w:pPr>
              <w:spacing w:after="0"/>
              <w:rPr>
                <w:sz w:val="17"/>
                <w:szCs w:val="17"/>
                <w:color w:val="auto"/>
              </w:rPr>
            </w:pPr>
          </w:p>
        </w:tc>
        <w:tc>
          <w:tcPr>
            <w:tcW w:w="3500" w:type="dxa"/>
            <w:vAlign w:val="bottom"/>
            <w:tcBorders>
              <w:right w:val="single" w:sz="8" w:color="auto"/>
            </w:tcBorders>
          </w:tcPr>
          <w:p>
            <w:pPr>
              <w:ind w:left="740"/>
              <w:spacing w:after="0" w:line="202" w:lineRule="exact"/>
              <w:rPr>
                <w:sz w:val="20"/>
                <w:szCs w:val="20"/>
                <w:color w:val="auto"/>
              </w:rPr>
            </w:pPr>
            <w:r>
              <w:rPr>
                <w:rFonts w:ascii="Arial" w:cs="Arial" w:eastAsia="Arial" w:hAnsi="Arial"/>
                <w:sz w:val="18"/>
                <w:szCs w:val="18"/>
                <w:color w:val="auto"/>
              </w:rPr>
              <w:t>goal is not achieved, no portion</w:t>
            </w:r>
          </w:p>
        </w:tc>
      </w:tr>
      <w:tr>
        <w:trPr>
          <w:trHeight w:val="243"/>
        </w:trPr>
        <w:tc>
          <w:tcPr>
            <w:tcW w:w="1280" w:type="dxa"/>
            <w:vAlign w:val="bottom"/>
            <w:tcBorders>
              <w:left w:val="single" w:sz="8" w:color="auto"/>
            </w:tcBorders>
            <w:shd w:val="clear" w:color="auto" w:fill="D9D9D9"/>
          </w:tcPr>
          <w:p>
            <w:pPr>
              <w:spacing w:after="0"/>
              <w:rPr>
                <w:sz w:val="21"/>
                <w:szCs w:val="21"/>
                <w:color w:val="auto"/>
              </w:rPr>
            </w:pPr>
          </w:p>
        </w:tc>
        <w:tc>
          <w:tcPr>
            <w:tcW w:w="440" w:type="dxa"/>
            <w:vAlign w:val="bottom"/>
            <w:tcBorders>
              <w:right w:val="single" w:sz="8" w:color="auto"/>
            </w:tcBorders>
            <w:shd w:val="clear" w:color="auto" w:fill="D9D9D9"/>
          </w:tcPr>
          <w:p>
            <w:pPr>
              <w:spacing w:after="0"/>
              <w:rPr>
                <w:sz w:val="21"/>
                <w:szCs w:val="21"/>
                <w:color w:val="auto"/>
              </w:rPr>
            </w:pPr>
          </w:p>
        </w:tc>
        <w:tc>
          <w:tcPr>
            <w:tcW w:w="60" w:type="dxa"/>
            <w:vAlign w:val="bottom"/>
            <w:shd w:val="clear" w:color="auto" w:fill="D9D9D9"/>
          </w:tcPr>
          <w:p>
            <w:pPr>
              <w:spacing w:after="0"/>
              <w:rPr>
                <w:sz w:val="21"/>
                <w:szCs w:val="21"/>
                <w:color w:val="auto"/>
              </w:rPr>
            </w:pPr>
          </w:p>
        </w:tc>
        <w:tc>
          <w:tcPr>
            <w:tcW w:w="1000" w:type="dxa"/>
            <w:vAlign w:val="bottom"/>
            <w:tcBorders>
              <w:right w:val="single" w:sz="8" w:color="auto"/>
            </w:tcBorders>
            <w:shd w:val="clear" w:color="auto" w:fill="D9D9D9"/>
          </w:tcPr>
          <w:p>
            <w:pPr>
              <w:spacing w:after="0"/>
              <w:rPr>
                <w:sz w:val="21"/>
                <w:szCs w:val="21"/>
                <w:color w:val="auto"/>
              </w:rPr>
            </w:pPr>
          </w:p>
        </w:tc>
        <w:tc>
          <w:tcPr>
            <w:tcW w:w="2900" w:type="dxa"/>
            <w:vAlign w:val="bottom"/>
            <w:tcBorders>
              <w:right w:val="single" w:sz="8" w:color="auto"/>
            </w:tcBorders>
          </w:tcPr>
          <w:p>
            <w:pPr>
              <w:spacing w:after="0"/>
              <w:rPr>
                <w:sz w:val="21"/>
                <w:szCs w:val="21"/>
                <w:color w:val="auto"/>
              </w:rPr>
            </w:pPr>
          </w:p>
        </w:tc>
        <w:tc>
          <w:tcPr>
            <w:tcW w:w="3500" w:type="dxa"/>
            <w:vAlign w:val="bottom"/>
            <w:tcBorders>
              <w:right w:val="single" w:sz="8" w:color="auto"/>
            </w:tcBorders>
          </w:tcPr>
          <w:p>
            <w:pPr>
              <w:ind w:left="740"/>
              <w:spacing w:after="0"/>
              <w:rPr>
                <w:sz w:val="20"/>
                <w:szCs w:val="20"/>
                <w:color w:val="auto"/>
              </w:rPr>
            </w:pPr>
            <w:r>
              <w:rPr>
                <w:rFonts w:ascii="Arial" w:cs="Arial" w:eastAsia="Arial" w:hAnsi="Arial"/>
                <w:sz w:val="18"/>
                <w:szCs w:val="18"/>
                <w:color w:val="auto"/>
              </w:rPr>
              <w:t>of the EMIP award will be paid</w:t>
            </w:r>
          </w:p>
        </w:tc>
      </w:tr>
      <w:tr>
        <w:trPr>
          <w:trHeight w:val="297"/>
        </w:trPr>
        <w:tc>
          <w:tcPr>
            <w:tcW w:w="1280" w:type="dxa"/>
            <w:vAlign w:val="bottom"/>
            <w:tcBorders>
              <w:left w:val="single" w:sz="8" w:color="auto"/>
            </w:tcBorders>
            <w:shd w:val="clear" w:color="auto" w:fill="D9D9D9"/>
          </w:tcPr>
          <w:p>
            <w:pPr>
              <w:spacing w:after="0"/>
              <w:rPr>
                <w:sz w:val="24"/>
                <w:szCs w:val="24"/>
                <w:color w:val="auto"/>
              </w:rPr>
            </w:pPr>
          </w:p>
        </w:tc>
        <w:tc>
          <w:tcPr>
            <w:tcW w:w="440" w:type="dxa"/>
            <w:vAlign w:val="bottom"/>
            <w:tcBorders>
              <w:right w:val="single" w:sz="8" w:color="auto"/>
            </w:tcBorders>
            <w:shd w:val="clear" w:color="auto" w:fill="D9D9D9"/>
          </w:tcPr>
          <w:p>
            <w:pPr>
              <w:spacing w:after="0"/>
              <w:rPr>
                <w:sz w:val="24"/>
                <w:szCs w:val="24"/>
                <w:color w:val="auto"/>
              </w:rPr>
            </w:pPr>
          </w:p>
        </w:tc>
        <w:tc>
          <w:tcPr>
            <w:tcW w:w="60" w:type="dxa"/>
            <w:vAlign w:val="bottom"/>
            <w:shd w:val="clear" w:color="auto" w:fill="D9D9D9"/>
          </w:tcPr>
          <w:p>
            <w:pPr>
              <w:spacing w:after="0"/>
              <w:rPr>
                <w:sz w:val="24"/>
                <w:szCs w:val="24"/>
                <w:color w:val="auto"/>
              </w:rPr>
            </w:pPr>
          </w:p>
        </w:tc>
        <w:tc>
          <w:tcPr>
            <w:tcW w:w="1000" w:type="dxa"/>
            <w:vAlign w:val="bottom"/>
            <w:tcBorders>
              <w:right w:val="single" w:sz="8" w:color="auto"/>
            </w:tcBorders>
            <w:shd w:val="clear" w:color="auto" w:fill="D9D9D9"/>
          </w:tcPr>
          <w:p>
            <w:pPr>
              <w:spacing w:after="0"/>
              <w:rPr>
                <w:sz w:val="24"/>
                <w:szCs w:val="24"/>
                <w:color w:val="auto"/>
              </w:rPr>
            </w:pPr>
          </w:p>
        </w:tc>
        <w:tc>
          <w:tcPr>
            <w:tcW w:w="2900" w:type="dxa"/>
            <w:vAlign w:val="bottom"/>
            <w:tcBorders>
              <w:right w:val="single" w:sz="8" w:color="auto"/>
            </w:tcBorders>
          </w:tcPr>
          <w:p>
            <w:pPr>
              <w:spacing w:after="0"/>
              <w:rPr>
                <w:sz w:val="24"/>
                <w:szCs w:val="24"/>
                <w:color w:val="auto"/>
              </w:rPr>
            </w:pPr>
          </w:p>
        </w:tc>
        <w:tc>
          <w:tcPr>
            <w:tcW w:w="3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   Financial metrics: Adjusted EBITDA,</w:t>
            </w:r>
          </w:p>
        </w:tc>
      </w:tr>
      <w:tr>
        <w:trPr>
          <w:trHeight w:val="243"/>
        </w:trPr>
        <w:tc>
          <w:tcPr>
            <w:tcW w:w="1280" w:type="dxa"/>
            <w:vAlign w:val="bottom"/>
            <w:tcBorders>
              <w:left w:val="single" w:sz="8" w:color="auto"/>
            </w:tcBorders>
            <w:shd w:val="clear" w:color="auto" w:fill="D9D9D9"/>
          </w:tcPr>
          <w:p>
            <w:pPr>
              <w:spacing w:after="0"/>
              <w:rPr>
                <w:sz w:val="21"/>
                <w:szCs w:val="21"/>
                <w:color w:val="auto"/>
              </w:rPr>
            </w:pPr>
          </w:p>
        </w:tc>
        <w:tc>
          <w:tcPr>
            <w:tcW w:w="440" w:type="dxa"/>
            <w:vAlign w:val="bottom"/>
            <w:tcBorders>
              <w:right w:val="single" w:sz="8" w:color="auto"/>
            </w:tcBorders>
            <w:shd w:val="clear" w:color="auto" w:fill="D9D9D9"/>
          </w:tcPr>
          <w:p>
            <w:pPr>
              <w:spacing w:after="0"/>
              <w:rPr>
                <w:sz w:val="21"/>
                <w:szCs w:val="21"/>
                <w:color w:val="auto"/>
              </w:rPr>
            </w:pPr>
          </w:p>
        </w:tc>
        <w:tc>
          <w:tcPr>
            <w:tcW w:w="60" w:type="dxa"/>
            <w:vAlign w:val="bottom"/>
            <w:shd w:val="clear" w:color="auto" w:fill="D9D9D9"/>
          </w:tcPr>
          <w:p>
            <w:pPr>
              <w:spacing w:after="0"/>
              <w:rPr>
                <w:sz w:val="21"/>
                <w:szCs w:val="21"/>
                <w:color w:val="auto"/>
              </w:rPr>
            </w:pPr>
          </w:p>
        </w:tc>
        <w:tc>
          <w:tcPr>
            <w:tcW w:w="1000" w:type="dxa"/>
            <w:vAlign w:val="bottom"/>
            <w:tcBorders>
              <w:right w:val="single" w:sz="8" w:color="auto"/>
            </w:tcBorders>
            <w:shd w:val="clear" w:color="auto" w:fill="D9D9D9"/>
          </w:tcPr>
          <w:p>
            <w:pPr>
              <w:spacing w:after="0"/>
              <w:rPr>
                <w:sz w:val="21"/>
                <w:szCs w:val="21"/>
                <w:color w:val="auto"/>
              </w:rPr>
            </w:pPr>
          </w:p>
        </w:tc>
        <w:tc>
          <w:tcPr>
            <w:tcW w:w="2900" w:type="dxa"/>
            <w:vAlign w:val="bottom"/>
            <w:tcBorders>
              <w:right w:val="single" w:sz="8" w:color="auto"/>
            </w:tcBorders>
          </w:tcPr>
          <w:p>
            <w:pPr>
              <w:spacing w:after="0"/>
              <w:rPr>
                <w:sz w:val="21"/>
                <w:szCs w:val="21"/>
                <w:color w:val="auto"/>
              </w:rPr>
            </w:pPr>
          </w:p>
        </w:tc>
        <w:tc>
          <w:tcPr>
            <w:tcW w:w="350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Revenue, and Free Cash Flow</w:t>
            </w:r>
          </w:p>
        </w:tc>
      </w:tr>
      <w:tr>
        <w:trPr>
          <w:trHeight w:val="297"/>
        </w:trPr>
        <w:tc>
          <w:tcPr>
            <w:tcW w:w="1280" w:type="dxa"/>
            <w:vAlign w:val="bottom"/>
            <w:tcBorders>
              <w:left w:val="single" w:sz="8" w:color="auto"/>
            </w:tcBorders>
            <w:shd w:val="clear" w:color="auto" w:fill="D9D9D9"/>
          </w:tcPr>
          <w:p>
            <w:pPr>
              <w:spacing w:after="0"/>
              <w:rPr>
                <w:sz w:val="24"/>
                <w:szCs w:val="24"/>
                <w:color w:val="auto"/>
              </w:rPr>
            </w:pPr>
          </w:p>
        </w:tc>
        <w:tc>
          <w:tcPr>
            <w:tcW w:w="440" w:type="dxa"/>
            <w:vAlign w:val="bottom"/>
            <w:tcBorders>
              <w:right w:val="single" w:sz="8" w:color="auto"/>
            </w:tcBorders>
            <w:shd w:val="clear" w:color="auto" w:fill="D9D9D9"/>
          </w:tcPr>
          <w:p>
            <w:pPr>
              <w:spacing w:after="0"/>
              <w:rPr>
                <w:sz w:val="24"/>
                <w:szCs w:val="24"/>
                <w:color w:val="auto"/>
              </w:rPr>
            </w:pPr>
          </w:p>
        </w:tc>
        <w:tc>
          <w:tcPr>
            <w:tcW w:w="60" w:type="dxa"/>
            <w:vAlign w:val="bottom"/>
            <w:shd w:val="clear" w:color="auto" w:fill="D9D9D9"/>
          </w:tcPr>
          <w:p>
            <w:pPr>
              <w:spacing w:after="0"/>
              <w:rPr>
                <w:sz w:val="24"/>
                <w:szCs w:val="24"/>
                <w:color w:val="auto"/>
              </w:rPr>
            </w:pPr>
          </w:p>
        </w:tc>
        <w:tc>
          <w:tcPr>
            <w:tcW w:w="1000" w:type="dxa"/>
            <w:vAlign w:val="bottom"/>
            <w:tcBorders>
              <w:right w:val="single" w:sz="8" w:color="auto"/>
            </w:tcBorders>
            <w:shd w:val="clear" w:color="auto" w:fill="D9D9D9"/>
          </w:tcPr>
          <w:p>
            <w:pPr>
              <w:spacing w:after="0"/>
              <w:rPr>
                <w:sz w:val="24"/>
                <w:szCs w:val="24"/>
                <w:color w:val="auto"/>
              </w:rPr>
            </w:pPr>
          </w:p>
        </w:tc>
        <w:tc>
          <w:tcPr>
            <w:tcW w:w="2900" w:type="dxa"/>
            <w:vAlign w:val="bottom"/>
            <w:tcBorders>
              <w:right w:val="single" w:sz="8" w:color="auto"/>
            </w:tcBorders>
          </w:tcPr>
          <w:p>
            <w:pPr>
              <w:spacing w:after="0"/>
              <w:rPr>
                <w:sz w:val="24"/>
                <w:szCs w:val="24"/>
                <w:color w:val="auto"/>
              </w:rPr>
            </w:pPr>
          </w:p>
        </w:tc>
        <w:tc>
          <w:tcPr>
            <w:tcW w:w="3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   The Committee retains discretion to</w:t>
            </w:r>
          </w:p>
        </w:tc>
      </w:tr>
      <w:tr>
        <w:trPr>
          <w:trHeight w:val="203"/>
        </w:trPr>
        <w:tc>
          <w:tcPr>
            <w:tcW w:w="1280" w:type="dxa"/>
            <w:vAlign w:val="bottom"/>
            <w:tcBorders>
              <w:left w:val="single" w:sz="8" w:color="auto"/>
            </w:tcBorders>
            <w:shd w:val="clear" w:color="auto" w:fill="D9D9D9"/>
          </w:tcPr>
          <w:p>
            <w:pPr>
              <w:spacing w:after="0"/>
              <w:rPr>
                <w:sz w:val="17"/>
                <w:szCs w:val="17"/>
                <w:color w:val="auto"/>
              </w:rPr>
            </w:pPr>
          </w:p>
        </w:tc>
        <w:tc>
          <w:tcPr>
            <w:tcW w:w="440" w:type="dxa"/>
            <w:vAlign w:val="bottom"/>
            <w:tcBorders>
              <w:right w:val="single" w:sz="8" w:color="auto"/>
            </w:tcBorders>
            <w:shd w:val="clear" w:color="auto" w:fill="D9D9D9"/>
          </w:tcPr>
          <w:p>
            <w:pPr>
              <w:spacing w:after="0"/>
              <w:rPr>
                <w:sz w:val="17"/>
                <w:szCs w:val="17"/>
                <w:color w:val="auto"/>
              </w:rPr>
            </w:pPr>
          </w:p>
        </w:tc>
        <w:tc>
          <w:tcPr>
            <w:tcW w:w="60" w:type="dxa"/>
            <w:vAlign w:val="bottom"/>
            <w:shd w:val="clear" w:color="auto" w:fill="D9D9D9"/>
          </w:tcPr>
          <w:p>
            <w:pPr>
              <w:spacing w:after="0"/>
              <w:rPr>
                <w:sz w:val="17"/>
                <w:szCs w:val="17"/>
                <w:color w:val="auto"/>
              </w:rPr>
            </w:pPr>
          </w:p>
        </w:tc>
        <w:tc>
          <w:tcPr>
            <w:tcW w:w="1000" w:type="dxa"/>
            <w:vAlign w:val="bottom"/>
            <w:tcBorders>
              <w:right w:val="single" w:sz="8" w:color="auto"/>
            </w:tcBorders>
            <w:shd w:val="clear" w:color="auto" w:fill="D9D9D9"/>
          </w:tcPr>
          <w:p>
            <w:pPr>
              <w:spacing w:after="0"/>
              <w:rPr>
                <w:sz w:val="17"/>
                <w:szCs w:val="17"/>
                <w:color w:val="auto"/>
              </w:rPr>
            </w:pPr>
          </w:p>
        </w:tc>
        <w:tc>
          <w:tcPr>
            <w:tcW w:w="2900" w:type="dxa"/>
            <w:vAlign w:val="bottom"/>
            <w:tcBorders>
              <w:right w:val="single" w:sz="8" w:color="auto"/>
            </w:tcBorders>
          </w:tcPr>
          <w:p>
            <w:pPr>
              <w:spacing w:after="0"/>
              <w:rPr>
                <w:sz w:val="17"/>
                <w:szCs w:val="17"/>
                <w:color w:val="auto"/>
              </w:rPr>
            </w:pPr>
          </w:p>
        </w:tc>
        <w:tc>
          <w:tcPr>
            <w:tcW w:w="3500" w:type="dxa"/>
            <w:vAlign w:val="bottom"/>
            <w:tcBorders>
              <w:right w:val="single" w:sz="8" w:color="auto"/>
            </w:tcBorders>
          </w:tcPr>
          <w:p>
            <w:pPr>
              <w:ind w:left="420"/>
              <w:spacing w:after="0" w:line="202" w:lineRule="exact"/>
              <w:rPr>
                <w:sz w:val="20"/>
                <w:szCs w:val="20"/>
                <w:color w:val="auto"/>
              </w:rPr>
            </w:pPr>
            <w:r>
              <w:rPr>
                <w:rFonts w:ascii="Arial" w:cs="Arial" w:eastAsia="Arial" w:hAnsi="Arial"/>
                <w:sz w:val="18"/>
                <w:szCs w:val="18"/>
                <w:color w:val="auto"/>
              </w:rPr>
              <w:t>further adjust the award upward or</w:t>
            </w:r>
          </w:p>
        </w:tc>
      </w:tr>
      <w:tr>
        <w:trPr>
          <w:trHeight w:val="203"/>
        </w:trPr>
        <w:tc>
          <w:tcPr>
            <w:tcW w:w="1280" w:type="dxa"/>
            <w:vAlign w:val="bottom"/>
            <w:tcBorders>
              <w:left w:val="single" w:sz="8" w:color="auto"/>
            </w:tcBorders>
            <w:shd w:val="clear" w:color="auto" w:fill="D9D9D9"/>
          </w:tcPr>
          <w:p>
            <w:pPr>
              <w:spacing w:after="0"/>
              <w:rPr>
                <w:sz w:val="17"/>
                <w:szCs w:val="17"/>
                <w:color w:val="auto"/>
              </w:rPr>
            </w:pPr>
          </w:p>
        </w:tc>
        <w:tc>
          <w:tcPr>
            <w:tcW w:w="440" w:type="dxa"/>
            <w:vAlign w:val="bottom"/>
            <w:tcBorders>
              <w:right w:val="single" w:sz="8" w:color="auto"/>
            </w:tcBorders>
            <w:shd w:val="clear" w:color="auto" w:fill="D9D9D9"/>
          </w:tcPr>
          <w:p>
            <w:pPr>
              <w:spacing w:after="0"/>
              <w:rPr>
                <w:sz w:val="17"/>
                <w:szCs w:val="17"/>
                <w:color w:val="auto"/>
              </w:rPr>
            </w:pPr>
          </w:p>
        </w:tc>
        <w:tc>
          <w:tcPr>
            <w:tcW w:w="60" w:type="dxa"/>
            <w:vAlign w:val="bottom"/>
            <w:shd w:val="clear" w:color="auto" w:fill="D9D9D9"/>
          </w:tcPr>
          <w:p>
            <w:pPr>
              <w:spacing w:after="0"/>
              <w:rPr>
                <w:sz w:val="17"/>
                <w:szCs w:val="17"/>
                <w:color w:val="auto"/>
              </w:rPr>
            </w:pPr>
          </w:p>
        </w:tc>
        <w:tc>
          <w:tcPr>
            <w:tcW w:w="1000" w:type="dxa"/>
            <w:vAlign w:val="bottom"/>
            <w:tcBorders>
              <w:right w:val="single" w:sz="8" w:color="auto"/>
            </w:tcBorders>
            <w:shd w:val="clear" w:color="auto" w:fill="D9D9D9"/>
          </w:tcPr>
          <w:p>
            <w:pPr>
              <w:spacing w:after="0"/>
              <w:rPr>
                <w:sz w:val="17"/>
                <w:szCs w:val="17"/>
                <w:color w:val="auto"/>
              </w:rPr>
            </w:pPr>
          </w:p>
        </w:tc>
        <w:tc>
          <w:tcPr>
            <w:tcW w:w="2900" w:type="dxa"/>
            <w:vAlign w:val="bottom"/>
            <w:tcBorders>
              <w:right w:val="single" w:sz="8" w:color="auto"/>
            </w:tcBorders>
          </w:tcPr>
          <w:p>
            <w:pPr>
              <w:spacing w:after="0"/>
              <w:rPr>
                <w:sz w:val="17"/>
                <w:szCs w:val="17"/>
                <w:color w:val="auto"/>
              </w:rPr>
            </w:pPr>
          </w:p>
        </w:tc>
        <w:tc>
          <w:tcPr>
            <w:tcW w:w="3500" w:type="dxa"/>
            <w:vAlign w:val="bottom"/>
            <w:tcBorders>
              <w:right w:val="single" w:sz="8" w:color="auto"/>
            </w:tcBorders>
          </w:tcPr>
          <w:p>
            <w:pPr>
              <w:ind w:left="420"/>
              <w:spacing w:after="0" w:line="202" w:lineRule="exact"/>
              <w:rPr>
                <w:sz w:val="20"/>
                <w:szCs w:val="20"/>
                <w:color w:val="auto"/>
              </w:rPr>
            </w:pPr>
            <w:r>
              <w:rPr>
                <w:rFonts w:ascii="Arial" w:cs="Arial" w:eastAsia="Arial" w:hAnsi="Arial"/>
                <w:sz w:val="18"/>
                <w:szCs w:val="18"/>
                <w:color w:val="auto"/>
              </w:rPr>
              <w:t>downward based on its assessment</w:t>
            </w:r>
          </w:p>
        </w:tc>
      </w:tr>
      <w:tr>
        <w:trPr>
          <w:trHeight w:val="293"/>
        </w:trPr>
        <w:tc>
          <w:tcPr>
            <w:tcW w:w="1280" w:type="dxa"/>
            <w:vAlign w:val="bottom"/>
            <w:tcBorders>
              <w:left w:val="single" w:sz="8" w:color="auto"/>
              <w:bottom w:val="single" w:sz="8" w:color="D9D9D9"/>
            </w:tcBorders>
            <w:shd w:val="clear" w:color="auto" w:fill="D9D9D9"/>
          </w:tcPr>
          <w:p>
            <w:pPr>
              <w:spacing w:after="0"/>
              <w:rPr>
                <w:sz w:val="24"/>
                <w:szCs w:val="24"/>
                <w:color w:val="auto"/>
              </w:rPr>
            </w:pPr>
          </w:p>
        </w:tc>
        <w:tc>
          <w:tcPr>
            <w:tcW w:w="440" w:type="dxa"/>
            <w:vAlign w:val="bottom"/>
            <w:tcBorders>
              <w:bottom w:val="single" w:sz="8" w:color="D9D9D9"/>
              <w:right w:val="single" w:sz="8" w:color="auto"/>
            </w:tcBorders>
            <w:shd w:val="clear" w:color="auto" w:fill="D9D9D9"/>
          </w:tcPr>
          <w:p>
            <w:pPr>
              <w:spacing w:after="0"/>
              <w:rPr>
                <w:sz w:val="24"/>
                <w:szCs w:val="24"/>
                <w:color w:val="auto"/>
              </w:rPr>
            </w:pPr>
          </w:p>
        </w:tc>
        <w:tc>
          <w:tcPr>
            <w:tcW w:w="60" w:type="dxa"/>
            <w:vAlign w:val="bottom"/>
            <w:tcBorders>
              <w:bottom w:val="single" w:sz="8" w:color="D9D9D9"/>
            </w:tcBorders>
            <w:shd w:val="clear" w:color="auto" w:fill="D9D9D9"/>
          </w:tcPr>
          <w:p>
            <w:pPr>
              <w:spacing w:after="0"/>
              <w:rPr>
                <w:sz w:val="24"/>
                <w:szCs w:val="24"/>
                <w:color w:val="auto"/>
              </w:rPr>
            </w:pPr>
          </w:p>
        </w:tc>
        <w:tc>
          <w:tcPr>
            <w:tcW w:w="1000" w:type="dxa"/>
            <w:vAlign w:val="bottom"/>
            <w:tcBorders>
              <w:bottom w:val="single" w:sz="8" w:color="D9D9D9"/>
              <w:right w:val="single" w:sz="8" w:color="auto"/>
            </w:tcBorders>
            <w:shd w:val="clear" w:color="auto" w:fill="D9D9D9"/>
          </w:tcPr>
          <w:p>
            <w:pPr>
              <w:spacing w:after="0"/>
              <w:rPr>
                <w:sz w:val="24"/>
                <w:szCs w:val="24"/>
                <w:color w:val="auto"/>
              </w:rPr>
            </w:pPr>
          </w:p>
        </w:tc>
        <w:tc>
          <w:tcPr>
            <w:tcW w:w="2900" w:type="dxa"/>
            <w:vAlign w:val="bottom"/>
            <w:tcBorders>
              <w:right w:val="single" w:sz="8" w:color="auto"/>
            </w:tcBorders>
          </w:tcPr>
          <w:p>
            <w:pPr>
              <w:spacing w:after="0"/>
              <w:rPr>
                <w:sz w:val="24"/>
                <w:szCs w:val="24"/>
                <w:color w:val="auto"/>
              </w:rPr>
            </w:pPr>
          </w:p>
        </w:tc>
        <w:tc>
          <w:tcPr>
            <w:tcW w:w="350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of individual performance</w:t>
            </w:r>
          </w:p>
        </w:tc>
      </w:tr>
      <w:tr>
        <w:trPr>
          <w:trHeight w:val="239"/>
        </w:trPr>
        <w:tc>
          <w:tcPr>
            <w:tcW w:w="1720" w:type="dxa"/>
            <w:vAlign w:val="bottom"/>
            <w:tcBorders>
              <w:top w:val="single" w:sz="8" w:color="auto"/>
              <w:left w:val="single" w:sz="8" w:color="auto"/>
              <w:right w:val="single" w:sz="8" w:color="auto"/>
            </w:tcBorders>
            <w:gridSpan w:val="2"/>
            <w:shd w:val="clear" w:color="auto" w:fill="D9D9D9"/>
          </w:tcPr>
          <w:p>
            <w:pPr>
              <w:ind w:left="100"/>
              <w:spacing w:after="0"/>
              <w:rPr>
                <w:sz w:val="20"/>
                <w:szCs w:val="20"/>
                <w:color w:val="auto"/>
              </w:rPr>
            </w:pPr>
            <w:r>
              <w:rPr>
                <w:rFonts w:ascii="Arial" w:cs="Arial" w:eastAsia="Arial" w:hAnsi="Arial"/>
                <w:sz w:val="18"/>
                <w:szCs w:val="18"/>
                <w:b w:val="1"/>
                <w:bCs w:val="1"/>
                <w:color w:val="auto"/>
              </w:rPr>
              <w:t>Long-Term</w:t>
            </w:r>
          </w:p>
        </w:tc>
        <w:tc>
          <w:tcPr>
            <w:tcW w:w="60" w:type="dxa"/>
            <w:vAlign w:val="bottom"/>
            <w:tcBorders>
              <w:top w:val="single" w:sz="8" w:color="auto"/>
            </w:tcBorders>
            <w:shd w:val="clear" w:color="auto" w:fill="D9D9D9"/>
          </w:tcPr>
          <w:p>
            <w:pPr>
              <w:spacing w:after="0"/>
              <w:rPr>
                <w:sz w:val="20"/>
                <w:szCs w:val="20"/>
                <w:color w:val="auto"/>
              </w:rPr>
            </w:pPr>
          </w:p>
        </w:tc>
        <w:tc>
          <w:tcPr>
            <w:tcW w:w="1000" w:type="dxa"/>
            <w:vAlign w:val="bottom"/>
            <w:tcBorders>
              <w:top w:val="single" w:sz="8" w:color="auto"/>
              <w:right w:val="single" w:sz="8" w:color="auto"/>
            </w:tcBorders>
            <w:shd w:val="clear" w:color="auto" w:fill="D9D9D9"/>
          </w:tcPr>
          <w:p>
            <w:pPr>
              <w:ind w:left="20"/>
              <w:spacing w:after="0"/>
              <w:rPr>
                <w:sz w:val="20"/>
                <w:szCs w:val="20"/>
                <w:color w:val="auto"/>
              </w:rPr>
            </w:pPr>
            <w:r>
              <w:rPr>
                <w:rFonts w:ascii="Arial" w:cs="Arial" w:eastAsia="Arial" w:hAnsi="Arial"/>
                <w:sz w:val="18"/>
                <w:szCs w:val="18"/>
                <w:b w:val="1"/>
                <w:bCs w:val="1"/>
                <w:color w:val="auto"/>
              </w:rPr>
              <w:t>Equity</w:t>
            </w:r>
          </w:p>
        </w:tc>
        <w:tc>
          <w:tcPr>
            <w:tcW w:w="290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Provides incentives for</w:t>
            </w:r>
          </w:p>
        </w:tc>
        <w:tc>
          <w:tcPr>
            <w:tcW w:w="35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i w:val="1"/>
                <w:iCs w:val="1"/>
                <w:color w:val="auto"/>
              </w:rPr>
              <w:t>See below</w:t>
            </w:r>
          </w:p>
        </w:tc>
      </w:tr>
      <w:tr>
        <w:trPr>
          <w:trHeight w:val="203"/>
        </w:trPr>
        <w:tc>
          <w:tcPr>
            <w:tcW w:w="1720" w:type="dxa"/>
            <w:vAlign w:val="bottom"/>
            <w:tcBorders>
              <w:left w:val="single" w:sz="8" w:color="auto"/>
              <w:right w:val="single" w:sz="8" w:color="auto"/>
            </w:tcBorders>
            <w:gridSpan w:val="2"/>
            <w:shd w:val="clear" w:color="auto" w:fill="D9D9D9"/>
          </w:tcPr>
          <w:p>
            <w:pPr>
              <w:ind w:left="100"/>
              <w:spacing w:after="0" w:line="202" w:lineRule="exact"/>
              <w:rPr>
                <w:sz w:val="20"/>
                <w:szCs w:val="20"/>
                <w:color w:val="auto"/>
              </w:rPr>
            </w:pPr>
            <w:r>
              <w:rPr>
                <w:rFonts w:ascii="Arial" w:cs="Arial" w:eastAsia="Arial" w:hAnsi="Arial"/>
                <w:sz w:val="18"/>
                <w:szCs w:val="18"/>
                <w:b w:val="1"/>
                <w:bCs w:val="1"/>
                <w:color w:val="auto"/>
              </w:rPr>
              <w:t>Incentive Plan</w:t>
            </w:r>
          </w:p>
        </w:tc>
        <w:tc>
          <w:tcPr>
            <w:tcW w:w="60" w:type="dxa"/>
            <w:vAlign w:val="bottom"/>
            <w:shd w:val="clear" w:color="auto" w:fill="D9D9D9"/>
          </w:tcPr>
          <w:p>
            <w:pPr>
              <w:spacing w:after="0"/>
              <w:rPr>
                <w:sz w:val="17"/>
                <w:szCs w:val="17"/>
                <w:color w:val="auto"/>
              </w:rPr>
            </w:pPr>
          </w:p>
        </w:tc>
        <w:tc>
          <w:tcPr>
            <w:tcW w:w="1000" w:type="dxa"/>
            <w:vAlign w:val="bottom"/>
            <w:tcBorders>
              <w:right w:val="single" w:sz="8" w:color="auto"/>
            </w:tcBorders>
            <w:shd w:val="clear" w:color="auto" w:fill="D9D9D9"/>
          </w:tcPr>
          <w:p>
            <w:pPr>
              <w:ind w:left="20"/>
              <w:spacing w:after="0" w:line="202" w:lineRule="exact"/>
              <w:rPr>
                <w:sz w:val="20"/>
                <w:szCs w:val="20"/>
                <w:color w:val="auto"/>
              </w:rPr>
            </w:pPr>
            <w:r>
              <w:rPr>
                <w:rFonts w:ascii="Arial" w:cs="Arial" w:eastAsia="Arial" w:hAnsi="Arial"/>
                <w:sz w:val="18"/>
                <w:szCs w:val="18"/>
                <w:b w:val="1"/>
                <w:bCs w:val="1"/>
                <w:color w:val="auto"/>
              </w:rPr>
              <w:t>(Variable)</w:t>
            </w:r>
          </w:p>
        </w:tc>
        <w:tc>
          <w:tcPr>
            <w:tcW w:w="29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executives to execute on longer-</w:t>
            </w:r>
          </w:p>
        </w:tc>
        <w:tc>
          <w:tcPr>
            <w:tcW w:w="3500" w:type="dxa"/>
            <w:vAlign w:val="bottom"/>
            <w:tcBorders>
              <w:right w:val="single" w:sz="8" w:color="auto"/>
            </w:tcBorders>
          </w:tcPr>
          <w:p>
            <w:pPr>
              <w:spacing w:after="0"/>
              <w:rPr>
                <w:sz w:val="17"/>
                <w:szCs w:val="17"/>
                <w:color w:val="auto"/>
              </w:rPr>
            </w:pPr>
          </w:p>
        </w:tc>
      </w:tr>
      <w:tr>
        <w:trPr>
          <w:trHeight w:val="205"/>
        </w:trPr>
        <w:tc>
          <w:tcPr>
            <w:tcW w:w="1720" w:type="dxa"/>
            <w:vAlign w:val="bottom"/>
            <w:tcBorders>
              <w:left w:val="single" w:sz="8" w:color="auto"/>
              <w:right w:val="single" w:sz="8" w:color="auto"/>
            </w:tcBorders>
            <w:gridSpan w:val="2"/>
            <w:shd w:val="clear" w:color="auto" w:fill="D9D9D9"/>
          </w:tcPr>
          <w:p>
            <w:pPr>
              <w:ind w:left="100"/>
              <w:spacing w:after="0" w:line="205" w:lineRule="exact"/>
              <w:rPr>
                <w:sz w:val="20"/>
                <w:szCs w:val="20"/>
                <w:color w:val="auto"/>
              </w:rPr>
            </w:pPr>
            <w:r>
              <w:rPr>
                <w:rFonts w:ascii="Arial" w:cs="Arial" w:eastAsia="Arial" w:hAnsi="Arial"/>
                <w:sz w:val="18"/>
                <w:szCs w:val="18"/>
                <w:b w:val="1"/>
                <w:bCs w:val="1"/>
                <w:color w:val="auto"/>
              </w:rPr>
              <w:t>(LTIP)</w:t>
            </w:r>
          </w:p>
        </w:tc>
        <w:tc>
          <w:tcPr>
            <w:tcW w:w="60" w:type="dxa"/>
            <w:vAlign w:val="bottom"/>
            <w:shd w:val="clear" w:color="auto" w:fill="D9D9D9"/>
          </w:tcPr>
          <w:p>
            <w:pPr>
              <w:spacing w:after="0"/>
              <w:rPr>
                <w:sz w:val="17"/>
                <w:szCs w:val="17"/>
                <w:color w:val="auto"/>
              </w:rPr>
            </w:pPr>
          </w:p>
        </w:tc>
        <w:tc>
          <w:tcPr>
            <w:tcW w:w="1000" w:type="dxa"/>
            <w:vAlign w:val="bottom"/>
            <w:tcBorders>
              <w:right w:val="single" w:sz="8" w:color="auto"/>
            </w:tcBorders>
            <w:shd w:val="clear" w:color="auto" w:fill="D9D9D9"/>
          </w:tcPr>
          <w:p>
            <w:pPr>
              <w:spacing w:after="0"/>
              <w:rPr>
                <w:sz w:val="17"/>
                <w:szCs w:val="17"/>
                <w:color w:val="auto"/>
              </w:rPr>
            </w:pPr>
          </w:p>
        </w:tc>
        <w:tc>
          <w:tcPr>
            <w:tcW w:w="2900" w:type="dxa"/>
            <w:vAlign w:val="bottom"/>
            <w:tcBorders>
              <w:right w:val="single" w:sz="8" w:color="auto"/>
            </w:tcBorders>
          </w:tcPr>
          <w:p>
            <w:pPr>
              <w:ind w:left="80"/>
              <w:spacing w:after="0" w:line="205" w:lineRule="exact"/>
              <w:rPr>
                <w:sz w:val="20"/>
                <w:szCs w:val="20"/>
                <w:color w:val="auto"/>
              </w:rPr>
            </w:pPr>
            <w:r>
              <w:rPr>
                <w:rFonts w:ascii="Arial" w:cs="Arial" w:eastAsia="Arial" w:hAnsi="Arial"/>
                <w:sz w:val="18"/>
                <w:szCs w:val="18"/>
                <w:color w:val="auto"/>
              </w:rPr>
              <w:t>term financial/strategic growth</w:t>
            </w:r>
          </w:p>
        </w:tc>
        <w:tc>
          <w:tcPr>
            <w:tcW w:w="3500" w:type="dxa"/>
            <w:vAlign w:val="bottom"/>
            <w:tcBorders>
              <w:right w:val="single" w:sz="8" w:color="auto"/>
            </w:tcBorders>
          </w:tcPr>
          <w:p>
            <w:pPr>
              <w:spacing w:after="0"/>
              <w:rPr>
                <w:sz w:val="17"/>
                <w:szCs w:val="17"/>
                <w:color w:val="auto"/>
              </w:rPr>
            </w:pPr>
          </w:p>
        </w:tc>
      </w:tr>
      <w:tr>
        <w:trPr>
          <w:trHeight w:val="203"/>
        </w:trPr>
        <w:tc>
          <w:tcPr>
            <w:tcW w:w="1280" w:type="dxa"/>
            <w:vAlign w:val="bottom"/>
            <w:tcBorders>
              <w:left w:val="single" w:sz="8" w:color="auto"/>
            </w:tcBorders>
            <w:shd w:val="clear" w:color="auto" w:fill="D9D9D9"/>
          </w:tcPr>
          <w:p>
            <w:pPr>
              <w:spacing w:after="0"/>
              <w:rPr>
                <w:sz w:val="17"/>
                <w:szCs w:val="17"/>
                <w:color w:val="auto"/>
              </w:rPr>
            </w:pPr>
          </w:p>
        </w:tc>
        <w:tc>
          <w:tcPr>
            <w:tcW w:w="440" w:type="dxa"/>
            <w:vAlign w:val="bottom"/>
            <w:tcBorders>
              <w:right w:val="single" w:sz="8" w:color="auto"/>
            </w:tcBorders>
            <w:shd w:val="clear" w:color="auto" w:fill="D9D9D9"/>
          </w:tcPr>
          <w:p>
            <w:pPr>
              <w:spacing w:after="0"/>
              <w:rPr>
                <w:sz w:val="17"/>
                <w:szCs w:val="17"/>
                <w:color w:val="auto"/>
              </w:rPr>
            </w:pPr>
          </w:p>
        </w:tc>
        <w:tc>
          <w:tcPr>
            <w:tcW w:w="60" w:type="dxa"/>
            <w:vAlign w:val="bottom"/>
            <w:shd w:val="clear" w:color="auto" w:fill="D9D9D9"/>
          </w:tcPr>
          <w:p>
            <w:pPr>
              <w:spacing w:after="0"/>
              <w:rPr>
                <w:sz w:val="17"/>
                <w:szCs w:val="17"/>
                <w:color w:val="auto"/>
              </w:rPr>
            </w:pPr>
          </w:p>
        </w:tc>
        <w:tc>
          <w:tcPr>
            <w:tcW w:w="1000" w:type="dxa"/>
            <w:vAlign w:val="bottom"/>
            <w:tcBorders>
              <w:right w:val="single" w:sz="8" w:color="auto"/>
            </w:tcBorders>
            <w:shd w:val="clear" w:color="auto" w:fill="D9D9D9"/>
          </w:tcPr>
          <w:p>
            <w:pPr>
              <w:spacing w:after="0"/>
              <w:rPr>
                <w:sz w:val="17"/>
                <w:szCs w:val="17"/>
                <w:color w:val="auto"/>
              </w:rPr>
            </w:pPr>
          </w:p>
        </w:tc>
        <w:tc>
          <w:tcPr>
            <w:tcW w:w="29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goals that drive shareholder</w:t>
            </w:r>
          </w:p>
        </w:tc>
        <w:tc>
          <w:tcPr>
            <w:tcW w:w="3500" w:type="dxa"/>
            <w:vAlign w:val="bottom"/>
            <w:tcBorders>
              <w:right w:val="single" w:sz="8" w:color="auto"/>
            </w:tcBorders>
          </w:tcPr>
          <w:p>
            <w:pPr>
              <w:spacing w:after="0"/>
              <w:rPr>
                <w:sz w:val="17"/>
                <w:szCs w:val="17"/>
                <w:color w:val="auto"/>
              </w:rPr>
            </w:pPr>
          </w:p>
        </w:tc>
      </w:tr>
      <w:tr>
        <w:trPr>
          <w:trHeight w:val="203"/>
        </w:trPr>
        <w:tc>
          <w:tcPr>
            <w:tcW w:w="1280" w:type="dxa"/>
            <w:vAlign w:val="bottom"/>
            <w:tcBorders>
              <w:left w:val="single" w:sz="8" w:color="auto"/>
            </w:tcBorders>
            <w:shd w:val="clear" w:color="auto" w:fill="D9D9D9"/>
          </w:tcPr>
          <w:p>
            <w:pPr>
              <w:spacing w:after="0"/>
              <w:rPr>
                <w:sz w:val="17"/>
                <w:szCs w:val="17"/>
                <w:color w:val="auto"/>
              </w:rPr>
            </w:pPr>
          </w:p>
        </w:tc>
        <w:tc>
          <w:tcPr>
            <w:tcW w:w="440" w:type="dxa"/>
            <w:vAlign w:val="bottom"/>
            <w:tcBorders>
              <w:right w:val="single" w:sz="8" w:color="auto"/>
            </w:tcBorders>
            <w:shd w:val="clear" w:color="auto" w:fill="D9D9D9"/>
          </w:tcPr>
          <w:p>
            <w:pPr>
              <w:spacing w:after="0"/>
              <w:rPr>
                <w:sz w:val="17"/>
                <w:szCs w:val="17"/>
                <w:color w:val="auto"/>
              </w:rPr>
            </w:pPr>
          </w:p>
        </w:tc>
        <w:tc>
          <w:tcPr>
            <w:tcW w:w="60" w:type="dxa"/>
            <w:vAlign w:val="bottom"/>
            <w:shd w:val="clear" w:color="auto" w:fill="D9D9D9"/>
          </w:tcPr>
          <w:p>
            <w:pPr>
              <w:spacing w:after="0"/>
              <w:rPr>
                <w:sz w:val="17"/>
                <w:szCs w:val="17"/>
                <w:color w:val="auto"/>
              </w:rPr>
            </w:pPr>
          </w:p>
        </w:tc>
        <w:tc>
          <w:tcPr>
            <w:tcW w:w="1000" w:type="dxa"/>
            <w:vAlign w:val="bottom"/>
            <w:tcBorders>
              <w:right w:val="single" w:sz="8" w:color="auto"/>
            </w:tcBorders>
            <w:shd w:val="clear" w:color="auto" w:fill="D9D9D9"/>
          </w:tcPr>
          <w:p>
            <w:pPr>
              <w:spacing w:after="0"/>
              <w:rPr>
                <w:sz w:val="17"/>
                <w:szCs w:val="17"/>
                <w:color w:val="auto"/>
              </w:rPr>
            </w:pPr>
          </w:p>
        </w:tc>
        <w:tc>
          <w:tcPr>
            <w:tcW w:w="29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value creation and support the</w:t>
            </w:r>
          </w:p>
        </w:tc>
        <w:tc>
          <w:tcPr>
            <w:tcW w:w="3500" w:type="dxa"/>
            <w:vAlign w:val="bottom"/>
            <w:tcBorders>
              <w:right w:val="single" w:sz="8" w:color="auto"/>
            </w:tcBorders>
          </w:tcPr>
          <w:p>
            <w:pPr>
              <w:spacing w:after="0"/>
              <w:rPr>
                <w:sz w:val="17"/>
                <w:szCs w:val="17"/>
                <w:color w:val="auto"/>
              </w:rPr>
            </w:pPr>
          </w:p>
        </w:tc>
      </w:tr>
      <w:tr>
        <w:trPr>
          <w:trHeight w:val="293"/>
        </w:trPr>
        <w:tc>
          <w:tcPr>
            <w:tcW w:w="1280" w:type="dxa"/>
            <w:vAlign w:val="bottom"/>
            <w:tcBorders>
              <w:left w:val="single" w:sz="8" w:color="auto"/>
              <w:bottom w:val="single" w:sz="8" w:color="D9D9D9"/>
            </w:tcBorders>
            <w:shd w:val="clear" w:color="auto" w:fill="D9D9D9"/>
          </w:tcPr>
          <w:p>
            <w:pPr>
              <w:spacing w:after="0"/>
              <w:rPr>
                <w:sz w:val="24"/>
                <w:szCs w:val="24"/>
                <w:color w:val="auto"/>
              </w:rPr>
            </w:pPr>
          </w:p>
        </w:tc>
        <w:tc>
          <w:tcPr>
            <w:tcW w:w="440" w:type="dxa"/>
            <w:vAlign w:val="bottom"/>
            <w:tcBorders>
              <w:bottom w:val="single" w:sz="8" w:color="D9D9D9"/>
              <w:right w:val="single" w:sz="8" w:color="auto"/>
            </w:tcBorders>
            <w:shd w:val="clear" w:color="auto" w:fill="D9D9D9"/>
          </w:tcPr>
          <w:p>
            <w:pPr>
              <w:spacing w:after="0"/>
              <w:rPr>
                <w:sz w:val="24"/>
                <w:szCs w:val="24"/>
                <w:color w:val="auto"/>
              </w:rPr>
            </w:pPr>
          </w:p>
        </w:tc>
        <w:tc>
          <w:tcPr>
            <w:tcW w:w="60" w:type="dxa"/>
            <w:vAlign w:val="bottom"/>
            <w:tcBorders>
              <w:bottom w:val="single" w:sz="8" w:color="D9D9D9"/>
            </w:tcBorders>
            <w:shd w:val="clear" w:color="auto" w:fill="D9D9D9"/>
          </w:tcPr>
          <w:p>
            <w:pPr>
              <w:spacing w:after="0"/>
              <w:rPr>
                <w:sz w:val="24"/>
                <w:szCs w:val="24"/>
                <w:color w:val="auto"/>
              </w:rPr>
            </w:pPr>
          </w:p>
        </w:tc>
        <w:tc>
          <w:tcPr>
            <w:tcW w:w="1000" w:type="dxa"/>
            <w:vAlign w:val="bottom"/>
            <w:tcBorders>
              <w:bottom w:val="single" w:sz="8" w:color="D9D9D9"/>
              <w:right w:val="single" w:sz="8" w:color="auto"/>
            </w:tcBorders>
            <w:shd w:val="clear" w:color="auto" w:fill="D9D9D9"/>
          </w:tcPr>
          <w:p>
            <w:pPr>
              <w:spacing w:after="0"/>
              <w:rPr>
                <w:sz w:val="24"/>
                <w:szCs w:val="24"/>
                <w:color w:val="auto"/>
              </w:rPr>
            </w:pPr>
          </w:p>
        </w:tc>
        <w:tc>
          <w:tcPr>
            <w:tcW w:w="29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Company’s retention strategy</w:t>
            </w:r>
          </w:p>
        </w:tc>
        <w:tc>
          <w:tcPr>
            <w:tcW w:w="3500" w:type="dxa"/>
            <w:vAlign w:val="bottom"/>
            <w:tcBorders>
              <w:right w:val="single" w:sz="8" w:color="auto"/>
            </w:tcBorders>
          </w:tcPr>
          <w:p>
            <w:pPr>
              <w:spacing w:after="0"/>
              <w:rPr>
                <w:sz w:val="24"/>
                <w:szCs w:val="24"/>
                <w:color w:val="auto"/>
              </w:rPr>
            </w:pPr>
          </w:p>
        </w:tc>
      </w:tr>
      <w:tr>
        <w:trPr>
          <w:trHeight w:val="241"/>
        </w:trPr>
        <w:tc>
          <w:tcPr>
            <w:tcW w:w="2780" w:type="dxa"/>
            <w:vAlign w:val="bottom"/>
            <w:tcBorders>
              <w:top w:val="single" w:sz="8" w:color="auto"/>
              <w:left w:val="single" w:sz="8" w:color="auto"/>
              <w:right w:val="single" w:sz="8" w:color="auto"/>
            </w:tcBorders>
            <w:gridSpan w:val="4"/>
            <w:shd w:val="clear" w:color="auto" w:fill="D9D9D9"/>
          </w:tcPr>
          <w:p>
            <w:pPr>
              <w:ind w:left="100"/>
              <w:spacing w:after="0"/>
              <w:rPr>
                <w:sz w:val="20"/>
                <w:szCs w:val="20"/>
                <w:color w:val="auto"/>
              </w:rPr>
            </w:pPr>
            <w:r>
              <w:rPr>
                <w:rFonts w:ascii="Arial" w:cs="Arial" w:eastAsia="Arial" w:hAnsi="Arial"/>
                <w:sz w:val="18"/>
                <w:szCs w:val="18"/>
                <w:i w:val="1"/>
                <w:iCs w:val="1"/>
                <w:color w:val="auto"/>
              </w:rPr>
              <w:t>Performance-Based Restricted</w:t>
            </w:r>
          </w:p>
        </w:tc>
        <w:tc>
          <w:tcPr>
            <w:tcW w:w="290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Rewards achievement of</w:t>
            </w:r>
          </w:p>
        </w:tc>
        <w:tc>
          <w:tcPr>
            <w:tcW w:w="35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   Payouts: 0% to 200% of a target</w:t>
            </w:r>
          </w:p>
        </w:tc>
      </w:tr>
      <w:tr>
        <w:trPr>
          <w:trHeight w:val="203"/>
        </w:trPr>
        <w:tc>
          <w:tcPr>
            <w:tcW w:w="1780" w:type="dxa"/>
            <w:vAlign w:val="bottom"/>
            <w:tcBorders>
              <w:left w:val="single" w:sz="8" w:color="auto"/>
            </w:tcBorders>
            <w:gridSpan w:val="3"/>
            <w:shd w:val="clear" w:color="auto" w:fill="D9D9D9"/>
          </w:tcPr>
          <w:p>
            <w:pPr>
              <w:ind w:left="100"/>
              <w:spacing w:after="0" w:line="202" w:lineRule="exact"/>
              <w:rPr>
                <w:sz w:val="20"/>
                <w:szCs w:val="20"/>
                <w:color w:val="auto"/>
              </w:rPr>
            </w:pPr>
            <w:r>
              <w:rPr>
                <w:rFonts w:ascii="Arial" w:cs="Arial" w:eastAsia="Arial" w:hAnsi="Arial"/>
                <w:sz w:val="18"/>
                <w:szCs w:val="18"/>
                <w:i w:val="1"/>
                <w:iCs w:val="1"/>
                <w:color w:val="auto"/>
                <w:w w:val="99"/>
              </w:rPr>
              <w:t>Stock Units (PRSUs)</w:t>
            </w:r>
          </w:p>
        </w:tc>
        <w:tc>
          <w:tcPr>
            <w:tcW w:w="1000" w:type="dxa"/>
            <w:vAlign w:val="bottom"/>
            <w:tcBorders>
              <w:right w:val="single" w:sz="8" w:color="auto"/>
            </w:tcBorders>
            <w:shd w:val="clear" w:color="auto" w:fill="D9D9D9"/>
          </w:tcPr>
          <w:p>
            <w:pPr>
              <w:spacing w:after="0"/>
              <w:rPr>
                <w:sz w:val="17"/>
                <w:szCs w:val="17"/>
                <w:color w:val="auto"/>
              </w:rPr>
            </w:pPr>
          </w:p>
        </w:tc>
        <w:tc>
          <w:tcPr>
            <w:tcW w:w="29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financial goals measured over a</w:t>
            </w:r>
          </w:p>
        </w:tc>
        <w:tc>
          <w:tcPr>
            <w:tcW w:w="3500" w:type="dxa"/>
            <w:vAlign w:val="bottom"/>
            <w:tcBorders>
              <w:right w:val="single" w:sz="8" w:color="auto"/>
            </w:tcBorders>
          </w:tcPr>
          <w:p>
            <w:pPr>
              <w:ind w:left="420"/>
              <w:spacing w:after="0" w:line="202" w:lineRule="exact"/>
              <w:rPr>
                <w:sz w:val="20"/>
                <w:szCs w:val="20"/>
                <w:color w:val="auto"/>
              </w:rPr>
            </w:pPr>
            <w:r>
              <w:rPr>
                <w:rFonts w:ascii="Arial" w:cs="Arial" w:eastAsia="Arial" w:hAnsi="Arial"/>
                <w:sz w:val="18"/>
                <w:szCs w:val="18"/>
                <w:color w:val="auto"/>
              </w:rPr>
              <w:t>based on results against pre-</w:t>
            </w:r>
          </w:p>
        </w:tc>
      </w:tr>
      <w:tr>
        <w:trPr>
          <w:trHeight w:val="203"/>
        </w:trPr>
        <w:tc>
          <w:tcPr>
            <w:tcW w:w="1280" w:type="dxa"/>
            <w:vAlign w:val="bottom"/>
            <w:tcBorders>
              <w:left w:val="single" w:sz="8" w:color="auto"/>
            </w:tcBorders>
            <w:shd w:val="clear" w:color="auto" w:fill="D9D9D9"/>
          </w:tcPr>
          <w:p>
            <w:pPr>
              <w:spacing w:after="0"/>
              <w:rPr>
                <w:sz w:val="17"/>
                <w:szCs w:val="17"/>
                <w:color w:val="auto"/>
              </w:rPr>
            </w:pPr>
          </w:p>
        </w:tc>
        <w:tc>
          <w:tcPr>
            <w:tcW w:w="440" w:type="dxa"/>
            <w:vAlign w:val="bottom"/>
            <w:tcBorders>
              <w:right w:val="single" w:sz="8" w:color="D9D9D9"/>
            </w:tcBorders>
            <w:shd w:val="clear" w:color="auto" w:fill="D9D9D9"/>
          </w:tcPr>
          <w:p>
            <w:pPr>
              <w:spacing w:after="0"/>
              <w:rPr>
                <w:sz w:val="17"/>
                <w:szCs w:val="17"/>
                <w:color w:val="auto"/>
              </w:rPr>
            </w:pPr>
          </w:p>
        </w:tc>
        <w:tc>
          <w:tcPr>
            <w:tcW w:w="60" w:type="dxa"/>
            <w:vAlign w:val="bottom"/>
            <w:shd w:val="clear" w:color="auto" w:fill="D9D9D9"/>
          </w:tcPr>
          <w:p>
            <w:pPr>
              <w:spacing w:after="0"/>
              <w:rPr>
                <w:sz w:val="17"/>
                <w:szCs w:val="17"/>
                <w:color w:val="auto"/>
              </w:rPr>
            </w:pPr>
          </w:p>
        </w:tc>
        <w:tc>
          <w:tcPr>
            <w:tcW w:w="1000" w:type="dxa"/>
            <w:vAlign w:val="bottom"/>
            <w:tcBorders>
              <w:right w:val="single" w:sz="8" w:color="auto"/>
            </w:tcBorders>
            <w:shd w:val="clear" w:color="auto" w:fill="D9D9D9"/>
          </w:tcPr>
          <w:p>
            <w:pPr>
              <w:spacing w:after="0"/>
              <w:rPr>
                <w:sz w:val="17"/>
                <w:szCs w:val="17"/>
                <w:color w:val="auto"/>
              </w:rPr>
            </w:pPr>
          </w:p>
        </w:tc>
        <w:tc>
          <w:tcPr>
            <w:tcW w:w="29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three-year performance period</w:t>
            </w:r>
          </w:p>
        </w:tc>
        <w:tc>
          <w:tcPr>
            <w:tcW w:w="3500" w:type="dxa"/>
            <w:vAlign w:val="bottom"/>
            <w:tcBorders>
              <w:right w:val="single" w:sz="8" w:color="auto"/>
            </w:tcBorders>
          </w:tcPr>
          <w:p>
            <w:pPr>
              <w:ind w:left="420"/>
              <w:spacing w:after="0" w:line="202" w:lineRule="exact"/>
              <w:rPr>
                <w:sz w:val="20"/>
                <w:szCs w:val="20"/>
                <w:color w:val="auto"/>
              </w:rPr>
            </w:pPr>
            <w:r>
              <w:rPr>
                <w:rFonts w:ascii="Arial" w:cs="Arial" w:eastAsia="Arial" w:hAnsi="Arial"/>
                <w:sz w:val="18"/>
                <w:szCs w:val="18"/>
                <w:color w:val="auto"/>
              </w:rPr>
              <w:t>established financial goals and</w:t>
            </w:r>
          </w:p>
        </w:tc>
      </w:tr>
      <w:tr>
        <w:trPr>
          <w:trHeight w:val="243"/>
        </w:trPr>
        <w:tc>
          <w:tcPr>
            <w:tcW w:w="1280" w:type="dxa"/>
            <w:vAlign w:val="bottom"/>
            <w:tcBorders>
              <w:left w:val="single" w:sz="8" w:color="auto"/>
            </w:tcBorders>
            <w:shd w:val="clear" w:color="auto" w:fill="D9D9D9"/>
          </w:tcPr>
          <w:p>
            <w:pPr>
              <w:spacing w:after="0"/>
              <w:rPr>
                <w:sz w:val="21"/>
                <w:szCs w:val="21"/>
                <w:color w:val="auto"/>
              </w:rPr>
            </w:pPr>
          </w:p>
        </w:tc>
        <w:tc>
          <w:tcPr>
            <w:tcW w:w="440" w:type="dxa"/>
            <w:vAlign w:val="bottom"/>
            <w:tcBorders>
              <w:right w:val="single" w:sz="8" w:color="D9D9D9"/>
            </w:tcBorders>
            <w:shd w:val="clear" w:color="auto" w:fill="D9D9D9"/>
          </w:tcPr>
          <w:p>
            <w:pPr>
              <w:spacing w:after="0"/>
              <w:rPr>
                <w:sz w:val="21"/>
                <w:szCs w:val="21"/>
                <w:color w:val="auto"/>
              </w:rPr>
            </w:pPr>
          </w:p>
        </w:tc>
        <w:tc>
          <w:tcPr>
            <w:tcW w:w="60" w:type="dxa"/>
            <w:vAlign w:val="bottom"/>
            <w:shd w:val="clear" w:color="auto" w:fill="D9D9D9"/>
          </w:tcPr>
          <w:p>
            <w:pPr>
              <w:spacing w:after="0"/>
              <w:rPr>
                <w:sz w:val="21"/>
                <w:szCs w:val="21"/>
                <w:color w:val="auto"/>
              </w:rPr>
            </w:pPr>
          </w:p>
        </w:tc>
        <w:tc>
          <w:tcPr>
            <w:tcW w:w="1000" w:type="dxa"/>
            <w:vAlign w:val="bottom"/>
            <w:tcBorders>
              <w:right w:val="single" w:sz="8" w:color="auto"/>
            </w:tcBorders>
            <w:shd w:val="clear" w:color="auto" w:fill="D9D9D9"/>
          </w:tcPr>
          <w:p>
            <w:pPr>
              <w:spacing w:after="0"/>
              <w:rPr>
                <w:sz w:val="21"/>
                <w:szCs w:val="21"/>
                <w:color w:val="auto"/>
              </w:rPr>
            </w:pPr>
          </w:p>
        </w:tc>
        <w:tc>
          <w:tcPr>
            <w:tcW w:w="2900" w:type="dxa"/>
            <w:vAlign w:val="bottom"/>
            <w:tcBorders>
              <w:right w:val="single" w:sz="8" w:color="auto"/>
            </w:tcBorders>
          </w:tcPr>
          <w:p>
            <w:pPr>
              <w:spacing w:after="0"/>
              <w:rPr>
                <w:sz w:val="21"/>
                <w:szCs w:val="21"/>
                <w:color w:val="auto"/>
              </w:rPr>
            </w:pPr>
          </w:p>
        </w:tc>
        <w:tc>
          <w:tcPr>
            <w:tcW w:w="350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relative TSR performance</w:t>
            </w:r>
          </w:p>
        </w:tc>
      </w:tr>
      <w:tr>
        <w:trPr>
          <w:trHeight w:val="297"/>
        </w:trPr>
        <w:tc>
          <w:tcPr>
            <w:tcW w:w="1280" w:type="dxa"/>
            <w:vAlign w:val="bottom"/>
            <w:tcBorders>
              <w:left w:val="single" w:sz="8" w:color="auto"/>
            </w:tcBorders>
            <w:shd w:val="clear" w:color="auto" w:fill="D9D9D9"/>
          </w:tcPr>
          <w:p>
            <w:pPr>
              <w:spacing w:after="0"/>
              <w:rPr>
                <w:sz w:val="24"/>
                <w:szCs w:val="24"/>
                <w:color w:val="auto"/>
              </w:rPr>
            </w:pPr>
          </w:p>
        </w:tc>
        <w:tc>
          <w:tcPr>
            <w:tcW w:w="440" w:type="dxa"/>
            <w:vAlign w:val="bottom"/>
            <w:tcBorders>
              <w:right w:val="single" w:sz="8" w:color="D9D9D9"/>
            </w:tcBorders>
            <w:shd w:val="clear" w:color="auto" w:fill="D9D9D9"/>
          </w:tcPr>
          <w:p>
            <w:pPr>
              <w:spacing w:after="0"/>
              <w:rPr>
                <w:sz w:val="24"/>
                <w:szCs w:val="24"/>
                <w:color w:val="auto"/>
              </w:rPr>
            </w:pPr>
          </w:p>
        </w:tc>
        <w:tc>
          <w:tcPr>
            <w:tcW w:w="60" w:type="dxa"/>
            <w:vAlign w:val="bottom"/>
            <w:shd w:val="clear" w:color="auto" w:fill="D9D9D9"/>
          </w:tcPr>
          <w:p>
            <w:pPr>
              <w:spacing w:after="0"/>
              <w:rPr>
                <w:sz w:val="24"/>
                <w:szCs w:val="24"/>
                <w:color w:val="auto"/>
              </w:rPr>
            </w:pPr>
          </w:p>
        </w:tc>
        <w:tc>
          <w:tcPr>
            <w:tcW w:w="1000" w:type="dxa"/>
            <w:vAlign w:val="bottom"/>
            <w:tcBorders>
              <w:right w:val="single" w:sz="8" w:color="auto"/>
            </w:tcBorders>
            <w:shd w:val="clear" w:color="auto" w:fill="D9D9D9"/>
          </w:tcPr>
          <w:p>
            <w:pPr>
              <w:spacing w:after="0"/>
              <w:rPr>
                <w:sz w:val="24"/>
                <w:szCs w:val="24"/>
                <w:color w:val="auto"/>
              </w:rPr>
            </w:pPr>
          </w:p>
        </w:tc>
        <w:tc>
          <w:tcPr>
            <w:tcW w:w="2900" w:type="dxa"/>
            <w:vAlign w:val="bottom"/>
            <w:tcBorders>
              <w:right w:val="single" w:sz="8" w:color="auto"/>
            </w:tcBorders>
          </w:tcPr>
          <w:p>
            <w:pPr>
              <w:spacing w:after="0"/>
              <w:rPr>
                <w:sz w:val="24"/>
                <w:szCs w:val="24"/>
                <w:color w:val="auto"/>
              </w:rPr>
            </w:pPr>
          </w:p>
        </w:tc>
        <w:tc>
          <w:tcPr>
            <w:tcW w:w="3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   Financial metrics: Non-GAAP EPS</w:t>
            </w:r>
          </w:p>
        </w:tc>
      </w:tr>
      <w:tr>
        <w:trPr>
          <w:trHeight w:val="293"/>
        </w:trPr>
        <w:tc>
          <w:tcPr>
            <w:tcW w:w="1280" w:type="dxa"/>
            <w:vAlign w:val="bottom"/>
            <w:tcBorders>
              <w:left w:val="single" w:sz="8" w:color="auto"/>
              <w:bottom w:val="single" w:sz="8" w:color="D9D9D9"/>
            </w:tcBorders>
            <w:shd w:val="clear" w:color="auto" w:fill="D9D9D9"/>
          </w:tcPr>
          <w:p>
            <w:pPr>
              <w:spacing w:after="0"/>
              <w:rPr>
                <w:sz w:val="24"/>
                <w:szCs w:val="24"/>
                <w:color w:val="auto"/>
              </w:rPr>
            </w:pPr>
          </w:p>
        </w:tc>
        <w:tc>
          <w:tcPr>
            <w:tcW w:w="440" w:type="dxa"/>
            <w:vAlign w:val="bottom"/>
            <w:tcBorders>
              <w:bottom w:val="single" w:sz="8" w:color="D9D9D9"/>
              <w:right w:val="single" w:sz="8" w:color="D9D9D9"/>
            </w:tcBorders>
            <w:shd w:val="clear" w:color="auto" w:fill="D9D9D9"/>
          </w:tcPr>
          <w:p>
            <w:pPr>
              <w:spacing w:after="0"/>
              <w:rPr>
                <w:sz w:val="24"/>
                <w:szCs w:val="24"/>
                <w:color w:val="auto"/>
              </w:rPr>
            </w:pPr>
          </w:p>
        </w:tc>
        <w:tc>
          <w:tcPr>
            <w:tcW w:w="60" w:type="dxa"/>
            <w:vAlign w:val="bottom"/>
            <w:tcBorders>
              <w:bottom w:val="single" w:sz="8" w:color="D9D9D9"/>
            </w:tcBorders>
            <w:shd w:val="clear" w:color="auto" w:fill="D9D9D9"/>
          </w:tcPr>
          <w:p>
            <w:pPr>
              <w:spacing w:after="0"/>
              <w:rPr>
                <w:sz w:val="24"/>
                <w:szCs w:val="24"/>
                <w:color w:val="auto"/>
              </w:rPr>
            </w:pPr>
          </w:p>
        </w:tc>
        <w:tc>
          <w:tcPr>
            <w:tcW w:w="1000" w:type="dxa"/>
            <w:vAlign w:val="bottom"/>
            <w:tcBorders>
              <w:bottom w:val="single" w:sz="8" w:color="D9D9D9"/>
              <w:right w:val="single" w:sz="8" w:color="auto"/>
            </w:tcBorders>
            <w:shd w:val="clear" w:color="auto" w:fill="D9D9D9"/>
          </w:tcPr>
          <w:p>
            <w:pPr>
              <w:spacing w:after="0"/>
              <w:rPr>
                <w:sz w:val="24"/>
                <w:szCs w:val="24"/>
                <w:color w:val="auto"/>
              </w:rPr>
            </w:pPr>
          </w:p>
        </w:tc>
        <w:tc>
          <w:tcPr>
            <w:tcW w:w="2900" w:type="dxa"/>
            <w:vAlign w:val="bottom"/>
            <w:tcBorders>
              <w:right w:val="single" w:sz="8" w:color="auto"/>
            </w:tcBorders>
          </w:tcPr>
          <w:p>
            <w:pPr>
              <w:spacing w:after="0"/>
              <w:rPr>
                <w:sz w:val="24"/>
                <w:szCs w:val="24"/>
                <w:color w:val="auto"/>
              </w:rPr>
            </w:pPr>
          </w:p>
        </w:tc>
        <w:tc>
          <w:tcPr>
            <w:tcW w:w="350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and relative TSR</w:t>
            </w:r>
          </w:p>
        </w:tc>
      </w:tr>
      <w:tr>
        <w:trPr>
          <w:trHeight w:val="241"/>
        </w:trPr>
        <w:tc>
          <w:tcPr>
            <w:tcW w:w="1780" w:type="dxa"/>
            <w:vAlign w:val="bottom"/>
            <w:tcBorders>
              <w:top w:val="single" w:sz="8" w:color="auto"/>
              <w:left w:val="single" w:sz="8" w:color="auto"/>
            </w:tcBorders>
            <w:gridSpan w:val="3"/>
            <w:shd w:val="clear" w:color="auto" w:fill="D9D9D9"/>
          </w:tcPr>
          <w:p>
            <w:pPr>
              <w:ind w:left="100"/>
              <w:spacing w:after="0"/>
              <w:rPr>
                <w:sz w:val="20"/>
                <w:szCs w:val="20"/>
                <w:color w:val="auto"/>
              </w:rPr>
            </w:pPr>
            <w:r>
              <w:rPr>
                <w:rFonts w:ascii="Arial" w:cs="Arial" w:eastAsia="Arial" w:hAnsi="Arial"/>
                <w:sz w:val="18"/>
                <w:szCs w:val="18"/>
                <w:i w:val="1"/>
                <w:iCs w:val="1"/>
                <w:color w:val="auto"/>
              </w:rPr>
              <w:t>Stock Options</w:t>
            </w:r>
          </w:p>
        </w:tc>
        <w:tc>
          <w:tcPr>
            <w:tcW w:w="1000" w:type="dxa"/>
            <w:vAlign w:val="bottom"/>
            <w:tcBorders>
              <w:top w:val="single" w:sz="8" w:color="auto"/>
              <w:right w:val="single" w:sz="8" w:color="auto"/>
            </w:tcBorders>
            <w:shd w:val="clear" w:color="auto" w:fill="D9D9D9"/>
          </w:tcPr>
          <w:p>
            <w:pPr>
              <w:spacing w:after="0"/>
              <w:rPr>
                <w:sz w:val="20"/>
                <w:szCs w:val="20"/>
                <w:color w:val="auto"/>
              </w:rPr>
            </w:pPr>
          </w:p>
        </w:tc>
        <w:tc>
          <w:tcPr>
            <w:tcW w:w="290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Rewards for stock price</w:t>
            </w:r>
          </w:p>
        </w:tc>
        <w:tc>
          <w:tcPr>
            <w:tcW w:w="35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   Exercise price: 100% of fair market</w:t>
            </w:r>
          </w:p>
        </w:tc>
      </w:tr>
      <w:tr>
        <w:trPr>
          <w:trHeight w:val="243"/>
        </w:trPr>
        <w:tc>
          <w:tcPr>
            <w:tcW w:w="1280" w:type="dxa"/>
            <w:vAlign w:val="bottom"/>
            <w:tcBorders>
              <w:left w:val="single" w:sz="8" w:color="auto"/>
            </w:tcBorders>
            <w:shd w:val="clear" w:color="auto" w:fill="D9D9D9"/>
          </w:tcPr>
          <w:p>
            <w:pPr>
              <w:spacing w:after="0"/>
              <w:rPr>
                <w:sz w:val="21"/>
                <w:szCs w:val="21"/>
                <w:color w:val="auto"/>
              </w:rPr>
            </w:pPr>
          </w:p>
        </w:tc>
        <w:tc>
          <w:tcPr>
            <w:tcW w:w="440" w:type="dxa"/>
            <w:vAlign w:val="bottom"/>
            <w:tcBorders>
              <w:right w:val="single" w:sz="8" w:color="D9D9D9"/>
            </w:tcBorders>
            <w:shd w:val="clear" w:color="auto" w:fill="D9D9D9"/>
          </w:tcPr>
          <w:p>
            <w:pPr>
              <w:spacing w:after="0"/>
              <w:rPr>
                <w:sz w:val="21"/>
                <w:szCs w:val="21"/>
                <w:color w:val="auto"/>
              </w:rPr>
            </w:pPr>
          </w:p>
        </w:tc>
        <w:tc>
          <w:tcPr>
            <w:tcW w:w="60" w:type="dxa"/>
            <w:vAlign w:val="bottom"/>
            <w:shd w:val="clear" w:color="auto" w:fill="D9D9D9"/>
          </w:tcPr>
          <w:p>
            <w:pPr>
              <w:spacing w:after="0"/>
              <w:rPr>
                <w:sz w:val="21"/>
                <w:szCs w:val="21"/>
                <w:color w:val="auto"/>
              </w:rPr>
            </w:pPr>
          </w:p>
        </w:tc>
        <w:tc>
          <w:tcPr>
            <w:tcW w:w="1000" w:type="dxa"/>
            <w:vAlign w:val="bottom"/>
            <w:tcBorders>
              <w:right w:val="single" w:sz="8" w:color="auto"/>
            </w:tcBorders>
            <w:shd w:val="clear" w:color="auto" w:fill="D9D9D9"/>
          </w:tcPr>
          <w:p>
            <w:pPr>
              <w:spacing w:after="0"/>
              <w:rPr>
                <w:sz w:val="21"/>
                <w:szCs w:val="21"/>
                <w:color w:val="auto"/>
              </w:rPr>
            </w:pPr>
          </w:p>
        </w:tc>
        <w:tc>
          <w:tcPr>
            <w:tcW w:w="29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appreciation</w:t>
            </w:r>
          </w:p>
        </w:tc>
        <w:tc>
          <w:tcPr>
            <w:tcW w:w="350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value on the grant date</w:t>
            </w:r>
          </w:p>
        </w:tc>
      </w:tr>
      <w:tr>
        <w:trPr>
          <w:trHeight w:val="297"/>
        </w:trPr>
        <w:tc>
          <w:tcPr>
            <w:tcW w:w="1280" w:type="dxa"/>
            <w:vAlign w:val="bottom"/>
            <w:tcBorders>
              <w:left w:val="single" w:sz="8" w:color="auto"/>
            </w:tcBorders>
            <w:shd w:val="clear" w:color="auto" w:fill="D9D9D9"/>
          </w:tcPr>
          <w:p>
            <w:pPr>
              <w:spacing w:after="0"/>
              <w:rPr>
                <w:sz w:val="24"/>
                <w:szCs w:val="24"/>
                <w:color w:val="auto"/>
              </w:rPr>
            </w:pPr>
          </w:p>
        </w:tc>
        <w:tc>
          <w:tcPr>
            <w:tcW w:w="440" w:type="dxa"/>
            <w:vAlign w:val="bottom"/>
            <w:tcBorders>
              <w:right w:val="single" w:sz="8" w:color="D9D9D9"/>
            </w:tcBorders>
            <w:shd w:val="clear" w:color="auto" w:fill="D9D9D9"/>
          </w:tcPr>
          <w:p>
            <w:pPr>
              <w:spacing w:after="0"/>
              <w:rPr>
                <w:sz w:val="24"/>
                <w:szCs w:val="24"/>
                <w:color w:val="auto"/>
              </w:rPr>
            </w:pPr>
          </w:p>
        </w:tc>
        <w:tc>
          <w:tcPr>
            <w:tcW w:w="60" w:type="dxa"/>
            <w:vAlign w:val="bottom"/>
            <w:shd w:val="clear" w:color="auto" w:fill="D9D9D9"/>
          </w:tcPr>
          <w:p>
            <w:pPr>
              <w:spacing w:after="0"/>
              <w:rPr>
                <w:sz w:val="24"/>
                <w:szCs w:val="24"/>
                <w:color w:val="auto"/>
              </w:rPr>
            </w:pPr>
          </w:p>
        </w:tc>
        <w:tc>
          <w:tcPr>
            <w:tcW w:w="1000" w:type="dxa"/>
            <w:vAlign w:val="bottom"/>
            <w:tcBorders>
              <w:right w:val="single" w:sz="8" w:color="auto"/>
            </w:tcBorders>
            <w:shd w:val="clear" w:color="auto" w:fill="D9D9D9"/>
          </w:tcPr>
          <w:p>
            <w:pPr>
              <w:spacing w:after="0"/>
              <w:rPr>
                <w:sz w:val="24"/>
                <w:szCs w:val="24"/>
                <w:color w:val="auto"/>
              </w:rPr>
            </w:pPr>
          </w:p>
        </w:tc>
        <w:tc>
          <w:tcPr>
            <w:tcW w:w="2900" w:type="dxa"/>
            <w:vAlign w:val="bottom"/>
            <w:tcBorders>
              <w:right w:val="single" w:sz="8" w:color="auto"/>
            </w:tcBorders>
          </w:tcPr>
          <w:p>
            <w:pPr>
              <w:spacing w:after="0"/>
              <w:rPr>
                <w:sz w:val="24"/>
                <w:szCs w:val="24"/>
                <w:color w:val="auto"/>
              </w:rPr>
            </w:pPr>
          </w:p>
        </w:tc>
        <w:tc>
          <w:tcPr>
            <w:tcW w:w="3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   Vesting: 1/3 per year on the</w:t>
            </w:r>
          </w:p>
        </w:tc>
      </w:tr>
      <w:tr>
        <w:trPr>
          <w:trHeight w:val="243"/>
        </w:trPr>
        <w:tc>
          <w:tcPr>
            <w:tcW w:w="1280" w:type="dxa"/>
            <w:vAlign w:val="bottom"/>
            <w:tcBorders>
              <w:left w:val="single" w:sz="8" w:color="auto"/>
            </w:tcBorders>
            <w:shd w:val="clear" w:color="auto" w:fill="D9D9D9"/>
          </w:tcPr>
          <w:p>
            <w:pPr>
              <w:spacing w:after="0"/>
              <w:rPr>
                <w:sz w:val="21"/>
                <w:szCs w:val="21"/>
                <w:color w:val="auto"/>
              </w:rPr>
            </w:pPr>
          </w:p>
        </w:tc>
        <w:tc>
          <w:tcPr>
            <w:tcW w:w="440" w:type="dxa"/>
            <w:vAlign w:val="bottom"/>
            <w:tcBorders>
              <w:right w:val="single" w:sz="8" w:color="D9D9D9"/>
            </w:tcBorders>
            <w:shd w:val="clear" w:color="auto" w:fill="D9D9D9"/>
          </w:tcPr>
          <w:p>
            <w:pPr>
              <w:spacing w:after="0"/>
              <w:rPr>
                <w:sz w:val="21"/>
                <w:szCs w:val="21"/>
                <w:color w:val="auto"/>
              </w:rPr>
            </w:pPr>
          </w:p>
        </w:tc>
        <w:tc>
          <w:tcPr>
            <w:tcW w:w="60" w:type="dxa"/>
            <w:vAlign w:val="bottom"/>
            <w:shd w:val="clear" w:color="auto" w:fill="D9D9D9"/>
          </w:tcPr>
          <w:p>
            <w:pPr>
              <w:spacing w:after="0"/>
              <w:rPr>
                <w:sz w:val="21"/>
                <w:szCs w:val="21"/>
                <w:color w:val="auto"/>
              </w:rPr>
            </w:pPr>
          </w:p>
        </w:tc>
        <w:tc>
          <w:tcPr>
            <w:tcW w:w="1000" w:type="dxa"/>
            <w:vAlign w:val="bottom"/>
            <w:tcBorders>
              <w:right w:val="single" w:sz="8" w:color="auto"/>
            </w:tcBorders>
            <w:shd w:val="clear" w:color="auto" w:fill="D9D9D9"/>
          </w:tcPr>
          <w:p>
            <w:pPr>
              <w:spacing w:after="0"/>
              <w:rPr>
                <w:sz w:val="21"/>
                <w:szCs w:val="21"/>
                <w:color w:val="auto"/>
              </w:rPr>
            </w:pPr>
          </w:p>
        </w:tc>
        <w:tc>
          <w:tcPr>
            <w:tcW w:w="2900" w:type="dxa"/>
            <w:vAlign w:val="bottom"/>
            <w:tcBorders>
              <w:right w:val="single" w:sz="8" w:color="auto"/>
            </w:tcBorders>
          </w:tcPr>
          <w:p>
            <w:pPr>
              <w:spacing w:after="0"/>
              <w:rPr>
                <w:sz w:val="21"/>
                <w:szCs w:val="21"/>
                <w:color w:val="auto"/>
              </w:rPr>
            </w:pPr>
          </w:p>
        </w:tc>
        <w:tc>
          <w:tcPr>
            <w:tcW w:w="350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anniversary of the grant date</w:t>
            </w:r>
          </w:p>
        </w:tc>
      </w:tr>
      <w:tr>
        <w:trPr>
          <w:trHeight w:val="388"/>
        </w:trPr>
        <w:tc>
          <w:tcPr>
            <w:tcW w:w="1280" w:type="dxa"/>
            <w:vAlign w:val="bottom"/>
            <w:tcBorders>
              <w:left w:val="single" w:sz="8" w:color="auto"/>
              <w:bottom w:val="single" w:sz="8" w:color="D9D9D9"/>
            </w:tcBorders>
            <w:shd w:val="clear" w:color="auto" w:fill="D9D9D9"/>
          </w:tcPr>
          <w:p>
            <w:pPr>
              <w:spacing w:after="0"/>
              <w:rPr>
                <w:sz w:val="24"/>
                <w:szCs w:val="24"/>
                <w:color w:val="auto"/>
              </w:rPr>
            </w:pPr>
          </w:p>
        </w:tc>
        <w:tc>
          <w:tcPr>
            <w:tcW w:w="440" w:type="dxa"/>
            <w:vAlign w:val="bottom"/>
            <w:tcBorders>
              <w:bottom w:val="single" w:sz="8" w:color="D9D9D9"/>
              <w:right w:val="single" w:sz="8" w:color="D9D9D9"/>
            </w:tcBorders>
            <w:shd w:val="clear" w:color="auto" w:fill="D9D9D9"/>
          </w:tcPr>
          <w:p>
            <w:pPr>
              <w:spacing w:after="0"/>
              <w:rPr>
                <w:sz w:val="24"/>
                <w:szCs w:val="24"/>
                <w:color w:val="auto"/>
              </w:rPr>
            </w:pPr>
          </w:p>
        </w:tc>
        <w:tc>
          <w:tcPr>
            <w:tcW w:w="60" w:type="dxa"/>
            <w:vAlign w:val="bottom"/>
            <w:tcBorders>
              <w:bottom w:val="single" w:sz="8" w:color="D9D9D9"/>
            </w:tcBorders>
            <w:shd w:val="clear" w:color="auto" w:fill="D9D9D9"/>
          </w:tcPr>
          <w:p>
            <w:pPr>
              <w:spacing w:after="0"/>
              <w:rPr>
                <w:sz w:val="24"/>
                <w:szCs w:val="24"/>
                <w:color w:val="auto"/>
              </w:rPr>
            </w:pPr>
          </w:p>
        </w:tc>
        <w:tc>
          <w:tcPr>
            <w:tcW w:w="1000" w:type="dxa"/>
            <w:vAlign w:val="bottom"/>
            <w:tcBorders>
              <w:bottom w:val="single" w:sz="8" w:color="D9D9D9"/>
              <w:right w:val="single" w:sz="8" w:color="auto"/>
            </w:tcBorders>
            <w:shd w:val="clear" w:color="auto" w:fill="D9D9D9"/>
          </w:tcPr>
          <w:p>
            <w:pPr>
              <w:spacing w:after="0"/>
              <w:rPr>
                <w:sz w:val="24"/>
                <w:szCs w:val="24"/>
                <w:color w:val="auto"/>
              </w:rPr>
            </w:pPr>
          </w:p>
        </w:tc>
        <w:tc>
          <w:tcPr>
            <w:tcW w:w="2900" w:type="dxa"/>
            <w:vAlign w:val="bottom"/>
            <w:tcBorders>
              <w:right w:val="single" w:sz="8" w:color="auto"/>
            </w:tcBorders>
          </w:tcPr>
          <w:p>
            <w:pPr>
              <w:spacing w:after="0"/>
              <w:rPr>
                <w:sz w:val="24"/>
                <w:szCs w:val="24"/>
                <w:color w:val="auto"/>
              </w:rPr>
            </w:pPr>
          </w:p>
        </w:tc>
        <w:tc>
          <w:tcPr>
            <w:tcW w:w="3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   Exercise term: 10 years</w:t>
            </w:r>
          </w:p>
        </w:tc>
      </w:tr>
      <w:tr>
        <w:trPr>
          <w:trHeight w:val="241"/>
        </w:trPr>
        <w:tc>
          <w:tcPr>
            <w:tcW w:w="2780" w:type="dxa"/>
            <w:vAlign w:val="bottom"/>
            <w:tcBorders>
              <w:top w:val="single" w:sz="8" w:color="auto"/>
              <w:left w:val="single" w:sz="8" w:color="auto"/>
              <w:right w:val="single" w:sz="8" w:color="auto"/>
            </w:tcBorders>
            <w:gridSpan w:val="4"/>
            <w:shd w:val="clear" w:color="auto" w:fill="D9D9D9"/>
          </w:tcPr>
          <w:p>
            <w:pPr>
              <w:ind w:left="100"/>
              <w:spacing w:after="0"/>
              <w:rPr>
                <w:sz w:val="20"/>
                <w:szCs w:val="20"/>
                <w:color w:val="auto"/>
              </w:rPr>
            </w:pPr>
            <w:r>
              <w:rPr>
                <w:rFonts w:ascii="Arial" w:cs="Arial" w:eastAsia="Arial" w:hAnsi="Arial"/>
                <w:sz w:val="18"/>
                <w:szCs w:val="18"/>
                <w:i w:val="1"/>
                <w:iCs w:val="1"/>
                <w:color w:val="auto"/>
              </w:rPr>
              <w:t>Time-Vested Restricted Stock</w:t>
            </w:r>
          </w:p>
        </w:tc>
        <w:tc>
          <w:tcPr>
            <w:tcW w:w="290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Supports retention</w:t>
            </w:r>
          </w:p>
        </w:tc>
        <w:tc>
          <w:tcPr>
            <w:tcW w:w="35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   Vesting: 1/3 per year on the</w:t>
            </w:r>
          </w:p>
        </w:tc>
      </w:tr>
      <w:tr>
        <w:trPr>
          <w:trHeight w:val="243"/>
        </w:trPr>
        <w:tc>
          <w:tcPr>
            <w:tcW w:w="1780" w:type="dxa"/>
            <w:vAlign w:val="bottom"/>
            <w:tcBorders>
              <w:left w:val="single" w:sz="8" w:color="auto"/>
            </w:tcBorders>
            <w:gridSpan w:val="3"/>
            <w:shd w:val="clear" w:color="auto" w:fill="D9D9D9"/>
          </w:tcPr>
          <w:p>
            <w:pPr>
              <w:ind w:left="100"/>
              <w:spacing w:after="0"/>
              <w:rPr>
                <w:sz w:val="20"/>
                <w:szCs w:val="20"/>
                <w:color w:val="auto"/>
              </w:rPr>
            </w:pPr>
            <w:r>
              <w:rPr>
                <w:rFonts w:ascii="Arial" w:cs="Arial" w:eastAsia="Arial" w:hAnsi="Arial"/>
                <w:sz w:val="18"/>
                <w:szCs w:val="18"/>
                <w:i w:val="1"/>
                <w:iCs w:val="1"/>
                <w:color w:val="auto"/>
              </w:rPr>
              <w:t>Units (RSUs)</w:t>
            </w:r>
          </w:p>
        </w:tc>
        <w:tc>
          <w:tcPr>
            <w:tcW w:w="1000" w:type="dxa"/>
            <w:vAlign w:val="bottom"/>
            <w:tcBorders>
              <w:right w:val="single" w:sz="8" w:color="auto"/>
            </w:tcBorders>
            <w:shd w:val="clear" w:color="auto" w:fill="D9D9D9"/>
          </w:tcPr>
          <w:p>
            <w:pPr>
              <w:spacing w:after="0"/>
              <w:rPr>
                <w:sz w:val="21"/>
                <w:szCs w:val="21"/>
                <w:color w:val="auto"/>
              </w:rPr>
            </w:pPr>
          </w:p>
        </w:tc>
        <w:tc>
          <w:tcPr>
            <w:tcW w:w="2900" w:type="dxa"/>
            <w:vAlign w:val="bottom"/>
            <w:tcBorders>
              <w:right w:val="single" w:sz="8" w:color="auto"/>
            </w:tcBorders>
          </w:tcPr>
          <w:p>
            <w:pPr>
              <w:spacing w:after="0"/>
              <w:rPr>
                <w:sz w:val="21"/>
                <w:szCs w:val="21"/>
                <w:color w:val="auto"/>
              </w:rPr>
            </w:pPr>
          </w:p>
        </w:tc>
        <w:tc>
          <w:tcPr>
            <w:tcW w:w="350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anniversary of the grant date</w:t>
            </w:r>
          </w:p>
        </w:tc>
      </w:tr>
      <w:tr>
        <w:trPr>
          <w:trHeight w:val="342"/>
        </w:trPr>
        <w:tc>
          <w:tcPr>
            <w:tcW w:w="1280" w:type="dxa"/>
            <w:vAlign w:val="bottom"/>
            <w:tcBorders>
              <w:left w:val="single" w:sz="8" w:color="auto"/>
              <w:bottom w:val="single" w:sz="8" w:color="auto"/>
            </w:tcBorders>
            <w:shd w:val="clear" w:color="auto" w:fill="D9D9D9"/>
          </w:tcPr>
          <w:p>
            <w:pPr>
              <w:spacing w:after="0"/>
              <w:rPr>
                <w:sz w:val="24"/>
                <w:szCs w:val="24"/>
                <w:color w:val="auto"/>
              </w:rPr>
            </w:pPr>
          </w:p>
        </w:tc>
        <w:tc>
          <w:tcPr>
            <w:tcW w:w="440" w:type="dxa"/>
            <w:vAlign w:val="bottom"/>
            <w:tcBorders>
              <w:bottom w:val="single" w:sz="8" w:color="auto"/>
              <w:right w:val="single" w:sz="8" w:color="D9D9D9"/>
            </w:tcBorders>
            <w:shd w:val="clear" w:color="auto" w:fill="D9D9D9"/>
          </w:tcPr>
          <w:p>
            <w:pPr>
              <w:spacing w:after="0"/>
              <w:rPr>
                <w:sz w:val="24"/>
                <w:szCs w:val="24"/>
                <w:color w:val="auto"/>
              </w:rPr>
            </w:pPr>
          </w:p>
        </w:tc>
        <w:tc>
          <w:tcPr>
            <w:tcW w:w="60" w:type="dxa"/>
            <w:vAlign w:val="bottom"/>
            <w:tcBorders>
              <w:bottom w:val="single" w:sz="8" w:color="auto"/>
            </w:tcBorders>
            <w:shd w:val="clear" w:color="auto" w:fill="D9D9D9"/>
          </w:tcPr>
          <w:p>
            <w:pPr>
              <w:spacing w:after="0"/>
              <w:rPr>
                <w:sz w:val="24"/>
                <w:szCs w:val="24"/>
                <w:color w:val="auto"/>
              </w:rPr>
            </w:pPr>
          </w:p>
        </w:tc>
        <w:tc>
          <w:tcPr>
            <w:tcW w:w="1000" w:type="dxa"/>
            <w:vAlign w:val="bottom"/>
            <w:tcBorders>
              <w:bottom w:val="single" w:sz="8" w:color="auto"/>
              <w:right w:val="single" w:sz="8" w:color="auto"/>
            </w:tcBorders>
            <w:shd w:val="clear" w:color="auto" w:fill="D9D9D9"/>
          </w:tcPr>
          <w:p>
            <w:pPr>
              <w:spacing w:after="0"/>
              <w:rPr>
                <w:sz w:val="24"/>
                <w:szCs w:val="24"/>
                <w:color w:val="auto"/>
              </w:rPr>
            </w:pPr>
          </w:p>
        </w:tc>
        <w:tc>
          <w:tcPr>
            <w:tcW w:w="2900" w:type="dxa"/>
            <w:vAlign w:val="bottom"/>
            <w:tcBorders>
              <w:bottom w:val="single" w:sz="8" w:color="auto"/>
              <w:right w:val="single" w:sz="8" w:color="auto"/>
            </w:tcBorders>
          </w:tcPr>
          <w:p>
            <w:pPr>
              <w:spacing w:after="0"/>
              <w:rPr>
                <w:sz w:val="24"/>
                <w:szCs w:val="24"/>
                <w:color w:val="auto"/>
              </w:rPr>
            </w:pPr>
          </w:p>
        </w:tc>
        <w:tc>
          <w:tcPr>
            <w:tcW w:w="35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   Paid in Itron shares at vesting</w:t>
            </w:r>
          </w:p>
        </w:tc>
      </w:tr>
      <w:tr>
        <w:trPr>
          <w:trHeight w:val="187"/>
        </w:trPr>
        <w:tc>
          <w:tcPr>
            <w:tcW w:w="1280" w:type="dxa"/>
            <w:vAlign w:val="bottom"/>
            <w:tcBorders>
              <w:bottom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3500" w:type="dxa"/>
            <w:vAlign w:val="bottom"/>
          </w:tcPr>
          <w:p>
            <w:pPr>
              <w:spacing w:after="0"/>
              <w:rPr>
                <w:sz w:val="16"/>
                <w:szCs w:val="16"/>
                <w:color w:val="auto"/>
              </w:rPr>
            </w:pPr>
          </w:p>
        </w:tc>
      </w:tr>
    </w:tbl>
    <w:p>
      <w:pPr>
        <w:spacing w:after="0" w:line="95" w:lineRule="exact"/>
        <w:rPr>
          <w:sz w:val="20"/>
          <w:szCs w:val="20"/>
          <w:color w:val="auto"/>
        </w:rPr>
      </w:pPr>
    </w:p>
    <w:p>
      <w:pPr>
        <w:ind w:left="346" w:hanging="346"/>
        <w:spacing w:after="0"/>
        <w:tabs>
          <w:tab w:leader="none" w:pos="346" w:val="left"/>
        </w:tabs>
        <w:numPr>
          <w:ilvl w:val="0"/>
          <w:numId w:val="36"/>
        </w:numPr>
        <w:rPr>
          <w:rFonts w:ascii="Arial" w:cs="Arial" w:eastAsia="Arial" w:hAnsi="Arial"/>
          <w:sz w:val="14"/>
          <w:szCs w:val="14"/>
          <w:color w:val="auto"/>
        </w:rPr>
      </w:pPr>
      <w:r>
        <w:rPr>
          <w:rFonts w:ascii="Arial" w:cs="Arial" w:eastAsia="Arial" w:hAnsi="Arial"/>
          <w:sz w:val="14"/>
          <w:szCs w:val="14"/>
          <w:color w:val="auto"/>
        </w:rPr>
        <w:t>Plan design allows for 200%; for fiscal 2020, the maximum payout was set at 150% of target.</w:t>
      </w:r>
    </w:p>
    <w:p>
      <w:pPr>
        <w:spacing w:after="0" w:line="315" w:lineRule="exact"/>
        <w:rPr>
          <w:sz w:val="20"/>
          <w:szCs w:val="20"/>
          <w:color w:val="auto"/>
        </w:rPr>
      </w:pPr>
    </w:p>
    <w:p>
      <w:pPr>
        <w:jc w:val="center"/>
        <w:ind w:right="-25"/>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157480</wp:posOffset>
            </wp:positionV>
            <wp:extent cx="699516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263" w:right="1359" w:bottom="1440" w:gutter="0" w:footer="0" w:header="0"/>
        </w:sectPr>
      </w:pPr>
    </w:p>
    <w:bookmarkStart w:id="30" w:name="page31"/>
    <w:bookmarkEnd w:id="30"/>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 Mix</w:t>
      </w:r>
    </w:p>
    <w:p>
      <w:pPr>
        <w:spacing w:after="0" w:line="187" w:lineRule="exact"/>
        <w:rPr>
          <w:sz w:val="20"/>
          <w:szCs w:val="20"/>
          <w:color w:val="auto"/>
        </w:rPr>
      </w:pPr>
    </w:p>
    <w:p>
      <w:pPr>
        <w:ind w:right="60"/>
        <w:spacing w:after="0" w:line="277" w:lineRule="auto"/>
        <w:rPr>
          <w:sz w:val="20"/>
          <w:szCs w:val="20"/>
          <w:color w:val="auto"/>
        </w:rPr>
      </w:pPr>
      <w:r>
        <w:rPr>
          <w:rFonts w:ascii="Arial" w:cs="Arial" w:eastAsia="Arial" w:hAnsi="Arial"/>
          <w:sz w:val="17"/>
          <w:szCs w:val="17"/>
          <w:color w:val="auto"/>
        </w:rPr>
        <w:t>The charts below show the target annual TDC of our CEO, Mr. Deitrich, and our other NEOs for fiscal 2020. These charts illustrate that a majority of NEO TDC is variable (83% for our CEO and an average of 70% for our other NEOs). These charts do not include any one-time equity grants or awards outside of target annual TDC,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2182495</wp:posOffset>
            </wp:positionV>
            <wp:extent cx="82296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22960" cy="8890"/>
                    </a:xfrm>
                    <a:prstGeom prst="rect">
                      <a:avLst/>
                    </a:prstGeom>
                    <a:noFill/>
                  </pic:spPr>
                </pic:pic>
              </a:graphicData>
            </a:graphic>
          </wp:anchor>
        </w:drawing>
        <w:drawing>
          <wp:anchor simplePos="0" relativeHeight="251657728" behindDoc="1" locked="0" layoutInCell="0" allowOverlap="1">
            <wp:simplePos x="0" y="0"/>
            <wp:positionH relativeFrom="column">
              <wp:posOffset>219075</wp:posOffset>
            </wp:positionH>
            <wp:positionV relativeFrom="paragraph">
              <wp:posOffset>-28575</wp:posOffset>
            </wp:positionV>
            <wp:extent cx="5391785" cy="19456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391785" cy="1945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0"/>
        <w:spacing w:after="0"/>
        <w:rPr>
          <w:sz w:val="20"/>
          <w:szCs w:val="20"/>
          <w:color w:val="auto"/>
        </w:rPr>
      </w:pPr>
      <w:r>
        <w:rPr>
          <w:rFonts w:ascii="Arial" w:cs="Arial" w:eastAsia="Arial" w:hAnsi="Arial"/>
          <w:sz w:val="14"/>
          <w:szCs w:val="14"/>
          <w:color w:val="auto"/>
        </w:rPr>
        <w:t>Note: Figures may not add up to 100% due to rounding.</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Decision-Making Process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Role of the Compensation Committee</w:t>
      </w:r>
    </w:p>
    <w:p>
      <w:pPr>
        <w:spacing w:after="0" w:line="187"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 xml:space="preserve">The Compensation Committee oversees the executive compensation program for our NEOs. The Committee is comprised of independent, non-employee members of the Board. The Committee works very closely with its independent consultant and management to examine the effectiveness of the Company’s executive compensation program throughout the year. Details of the Committee’s authority and responsibilities are specified in the Compensation Committee’s charter, which may be accessed at our website, </w:t>
      </w:r>
      <w:r>
        <w:rPr>
          <w:rFonts w:ascii="Arial" w:cs="Arial" w:eastAsia="Arial" w:hAnsi="Arial"/>
          <w:sz w:val="18"/>
          <w:szCs w:val="18"/>
          <w:i w:val="1"/>
          <w:iCs w:val="1"/>
          <w:color w:val="auto"/>
        </w:rPr>
        <w:t>www.itron.com</w:t>
      </w:r>
      <w:r>
        <w:rPr>
          <w:rFonts w:ascii="Arial" w:cs="Arial" w:eastAsia="Arial" w:hAnsi="Arial"/>
          <w:sz w:val="18"/>
          <w:szCs w:val="18"/>
          <w:color w:val="auto"/>
        </w:rPr>
        <w:t>, by selecting “Investors,” and then “Corporate Governance.”</w:t>
      </w:r>
    </w:p>
    <w:p>
      <w:pPr>
        <w:spacing w:after="0" w:line="13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Committee makes all final compensation and equity award decisions regarding our NEOs, except for the CEO, whose compensation is determined by the independent members of the full Board, based upon recommendations of the Committee.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Role of Management</w:t>
      </w:r>
    </w:p>
    <w:p>
      <w:pPr>
        <w:spacing w:after="0" w:line="173" w:lineRule="exact"/>
        <w:rPr>
          <w:sz w:val="20"/>
          <w:szCs w:val="20"/>
          <w:color w:val="auto"/>
        </w:rPr>
      </w:pPr>
    </w:p>
    <w:p>
      <w:pPr>
        <w:ind w:right="420"/>
        <w:spacing w:after="0" w:line="277" w:lineRule="auto"/>
        <w:rPr>
          <w:sz w:val="20"/>
          <w:szCs w:val="20"/>
          <w:color w:val="auto"/>
        </w:rPr>
      </w:pPr>
      <w:r>
        <w:rPr>
          <w:rFonts w:ascii="Arial" w:cs="Arial" w:eastAsia="Arial" w:hAnsi="Arial"/>
          <w:sz w:val="17"/>
          <w:szCs w:val="17"/>
          <w:color w:val="auto"/>
        </w:rPr>
        <w:t>Members of our management team attend regular Compensation Committee meetings where executive compensation, Company and individual performance, and competitive compensation levels and practices are discussed and evaluated. Only the Committee members can vote on decisions regarding NEO compensation.</w:t>
      </w:r>
    </w:p>
    <w:p>
      <w:pPr>
        <w:spacing w:after="0" w:line="120"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color w:val="auto"/>
        </w:rPr>
        <w:t>The CEO reviews his recommendations pertaining to the compensation of other non-NEO executive officers with the Committee providing management input, transparency, and oversight. Approvals of non-NEO executive officer compensation are made by the Committee. The CEO does not participate in the deliberations of the Committee regarding his own compensation. Independent members of the Board make all final determinations regarding CEO compensation.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Role of the Independent Consultant</w:t>
      </w:r>
    </w:p>
    <w:p>
      <w:pPr>
        <w:spacing w:after="0" w:line="173" w:lineRule="exact"/>
        <w:rPr>
          <w:sz w:val="20"/>
          <w:szCs w:val="20"/>
          <w:color w:val="auto"/>
        </w:rPr>
      </w:pPr>
    </w:p>
    <w:p>
      <w:pPr>
        <w:ind w:right="360"/>
        <w:spacing w:after="0" w:line="243" w:lineRule="auto"/>
        <w:rPr>
          <w:sz w:val="20"/>
          <w:szCs w:val="20"/>
          <w:color w:val="auto"/>
        </w:rPr>
      </w:pPr>
      <w:r>
        <w:rPr>
          <w:rFonts w:ascii="Arial" w:cs="Arial" w:eastAsia="Arial" w:hAnsi="Arial"/>
          <w:sz w:val="18"/>
          <w:szCs w:val="18"/>
          <w:color w:val="auto"/>
        </w:rPr>
        <w:t>The Committee engages an independent compensation consultant to provide expertise on competitive pay practices, program design, and an objective assessment of any inherent risks of any programs. Pursuant to authority granted to it under its charter, the Committee has hired F.W. Cook as its independent consultant. F.W. Cook reports directly to the Committee and does not provide any additional services to management. The Committee has conducted an independence assessment of F.W. Cook in accordance with SEC rules and concluded that F.W. Cook is independent.</w:t>
      </w:r>
    </w:p>
    <w:p>
      <w:pPr>
        <w:spacing w:after="0" w:line="2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157480</wp:posOffset>
            </wp:positionV>
            <wp:extent cx="699516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40"/>
          </w:cols>
          <w:pgMar w:left="1360" w:top="263" w:right="1399" w:bottom="1440" w:gutter="0" w:footer="0" w:header="0"/>
        </w:sectPr>
      </w:pPr>
    </w:p>
    <w:bookmarkStart w:id="31" w:name="page32"/>
    <w:bookmarkEnd w:id="31"/>
    <w:p>
      <w:pPr>
        <w:ind w:left="6"/>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122"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The Role of Peer Companies</w:t>
      </w:r>
    </w:p>
    <w:p>
      <w:pPr>
        <w:spacing w:after="0" w:line="187" w:lineRule="exact"/>
        <w:rPr>
          <w:sz w:val="20"/>
          <w:szCs w:val="20"/>
          <w:color w:val="auto"/>
        </w:rPr>
      </w:pPr>
    </w:p>
    <w:p>
      <w:pPr>
        <w:ind w:left="6" w:right="20"/>
        <w:spacing w:after="0" w:line="243" w:lineRule="auto"/>
        <w:rPr>
          <w:sz w:val="20"/>
          <w:szCs w:val="20"/>
          <w:color w:val="auto"/>
        </w:rPr>
      </w:pPr>
      <w:r>
        <w:rPr>
          <w:rFonts w:ascii="Arial" w:cs="Arial" w:eastAsia="Arial" w:hAnsi="Arial"/>
          <w:sz w:val="18"/>
          <w:szCs w:val="18"/>
          <w:color w:val="auto"/>
        </w:rPr>
        <w:t>For some of our direct competitors who are not publicly held, or are smaller business units within a conglomerate, there is limited compensation information available. As a result, our peer companies for purposes of benchmarking executive compensation (Peer Companies) generally consist of direct competitors for which public information is available, who are part of the same broad Standard &amp; Poor’s (S&amp;P) industry classifications of technology hardware and equipment or in software and services, and who are similar in size and scope of global operations as Itron. The Committee reviews the Peer Companies on an annual basis.</w:t>
      </w:r>
    </w:p>
    <w:p>
      <w:pPr>
        <w:spacing w:after="0" w:line="133" w:lineRule="exact"/>
        <w:rPr>
          <w:sz w:val="20"/>
          <w:szCs w:val="20"/>
          <w:color w:val="auto"/>
        </w:rPr>
      </w:pPr>
    </w:p>
    <w:p>
      <w:pPr>
        <w:jc w:val="both"/>
        <w:ind w:left="6" w:right="60"/>
        <w:spacing w:after="0" w:line="255" w:lineRule="auto"/>
        <w:rPr>
          <w:sz w:val="20"/>
          <w:szCs w:val="20"/>
          <w:color w:val="auto"/>
        </w:rPr>
      </w:pPr>
      <w:r>
        <w:rPr>
          <w:rFonts w:ascii="Arial" w:cs="Arial" w:eastAsia="Arial" w:hAnsi="Arial"/>
          <w:sz w:val="18"/>
          <w:szCs w:val="18"/>
          <w:color w:val="auto"/>
        </w:rPr>
        <w:t>Our current Peer Companies for setting compensation were updated in 2018. After review, and with the support of F.W. Cook, the Committee determined that no changes to the Peer Companies were necessary for the purposes of setting 2020 compensation. The 2020 Peer Companies are listed below:</w:t>
      </w:r>
    </w:p>
    <w:p>
      <w:pPr>
        <w:sectPr>
          <w:pgSz w:w="11900" w:h="16838" w:orient="portrait"/>
          <w:cols w:equalWidth="0" w:num="1">
            <w:col w:w="9186"/>
          </w:cols>
          <w:pgMar w:left="1354" w:top="263" w:right="1359" w:bottom="1440" w:gutter="0" w:footer="0" w:header="0"/>
        </w:sectPr>
      </w:pPr>
    </w:p>
    <w:p>
      <w:pPr>
        <w:spacing w:after="0" w:line="135" w:lineRule="exact"/>
        <w:rPr>
          <w:sz w:val="20"/>
          <w:szCs w:val="20"/>
          <w:color w:val="auto"/>
        </w:rPr>
      </w:pPr>
    </w:p>
    <w:p>
      <w:pPr>
        <w:ind w:left="1526"/>
        <w:spacing w:after="0"/>
        <w:rPr>
          <w:sz w:val="20"/>
          <w:szCs w:val="20"/>
          <w:color w:val="auto"/>
        </w:rPr>
      </w:pPr>
      <w:r>
        <w:rPr>
          <w:rFonts w:ascii="Arial" w:cs="Arial" w:eastAsia="Arial" w:hAnsi="Arial"/>
          <w:sz w:val="18"/>
          <w:szCs w:val="18"/>
          <w:b w:val="1"/>
          <w:bCs w:val="1"/>
          <w:color w:val="auto"/>
        </w:rPr>
        <w:t>Peer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55880</wp:posOffset>
            </wp:positionV>
            <wp:extent cx="279463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tbl>
      <w:tblPr>
        <w:tblLayout w:type="fixed"/>
        <w:tblInd w:w="6" w:type="dxa"/>
        <w:tblCellMar>
          <w:top w:w="0" w:type="dxa"/>
          <w:left w:w="0" w:type="dxa"/>
          <w:bottom w:w="0" w:type="dxa"/>
          <w:right w:w="0" w:type="dxa"/>
        </w:tblCellMar>
      </w:tblPr>
      <w:tr>
        <w:trPr>
          <w:trHeight w:val="219"/>
        </w:trPr>
        <w:tc>
          <w:tcPr>
            <w:tcW w:w="2160" w:type="dxa"/>
            <w:vAlign w:val="bottom"/>
            <w:gridSpan w:val="2"/>
          </w:tcPr>
          <w:p>
            <w:pPr>
              <w:ind w:left="60"/>
              <w:spacing w:after="0"/>
              <w:rPr>
                <w:sz w:val="20"/>
                <w:szCs w:val="20"/>
                <w:color w:val="auto"/>
              </w:rPr>
            </w:pPr>
            <w:r>
              <w:rPr>
                <w:rFonts w:ascii="Arial" w:cs="Arial" w:eastAsia="Arial" w:hAnsi="Arial"/>
                <w:sz w:val="16"/>
                <w:szCs w:val="16"/>
                <w:color w:val="auto"/>
              </w:rPr>
              <w:t>Diebold Nixdorf, Inc.*</w:t>
            </w:r>
          </w:p>
        </w:tc>
        <w:tc>
          <w:tcPr>
            <w:tcW w:w="2260" w:type="dxa"/>
            <w:vAlign w:val="bottom"/>
          </w:tcPr>
          <w:p>
            <w:pPr>
              <w:ind w:left="80"/>
              <w:spacing w:after="0"/>
              <w:rPr>
                <w:sz w:val="20"/>
                <w:szCs w:val="20"/>
                <w:color w:val="auto"/>
              </w:rPr>
            </w:pPr>
            <w:r>
              <w:rPr>
                <w:rFonts w:ascii="Arial" w:cs="Arial" w:eastAsia="Arial" w:hAnsi="Arial"/>
                <w:sz w:val="16"/>
                <w:szCs w:val="16"/>
                <w:color w:val="auto"/>
              </w:rPr>
              <w:t>PTC Inc.</w:t>
            </w:r>
          </w:p>
        </w:tc>
      </w:tr>
      <w:tr>
        <w:trPr>
          <w:trHeight w:val="324"/>
        </w:trPr>
        <w:tc>
          <w:tcPr>
            <w:tcW w:w="2160" w:type="dxa"/>
            <w:vAlign w:val="bottom"/>
            <w:gridSpan w:val="2"/>
          </w:tcPr>
          <w:p>
            <w:pPr>
              <w:ind w:left="60"/>
              <w:spacing w:after="0"/>
              <w:rPr>
                <w:sz w:val="20"/>
                <w:szCs w:val="20"/>
                <w:color w:val="auto"/>
              </w:rPr>
            </w:pPr>
            <w:r>
              <w:rPr>
                <w:rFonts w:ascii="Arial" w:cs="Arial" w:eastAsia="Arial" w:hAnsi="Arial"/>
                <w:sz w:val="16"/>
                <w:szCs w:val="16"/>
                <w:color w:val="auto"/>
              </w:rPr>
              <w:t>EPAM Systems, Inc.*</w:t>
            </w:r>
          </w:p>
        </w:tc>
        <w:tc>
          <w:tcPr>
            <w:tcW w:w="2260" w:type="dxa"/>
            <w:vAlign w:val="bottom"/>
          </w:tcPr>
          <w:p>
            <w:pPr>
              <w:ind w:left="80"/>
              <w:spacing w:after="0"/>
              <w:rPr>
                <w:sz w:val="20"/>
                <w:szCs w:val="20"/>
                <w:color w:val="auto"/>
              </w:rPr>
            </w:pPr>
            <w:r>
              <w:rPr>
                <w:rFonts w:ascii="Arial" w:cs="Arial" w:eastAsia="Arial" w:hAnsi="Arial"/>
                <w:sz w:val="16"/>
                <w:szCs w:val="16"/>
                <w:color w:val="auto"/>
              </w:rPr>
              <w:t>Roper Technologies Inc.*</w:t>
            </w:r>
          </w:p>
        </w:tc>
      </w:tr>
      <w:tr>
        <w:trPr>
          <w:trHeight w:val="324"/>
        </w:trPr>
        <w:tc>
          <w:tcPr>
            <w:tcW w:w="2160" w:type="dxa"/>
            <w:vAlign w:val="bottom"/>
            <w:gridSpan w:val="2"/>
          </w:tcPr>
          <w:p>
            <w:pPr>
              <w:ind w:left="60"/>
              <w:spacing w:after="0"/>
              <w:rPr>
                <w:sz w:val="20"/>
                <w:szCs w:val="20"/>
                <w:color w:val="auto"/>
              </w:rPr>
            </w:pPr>
            <w:r>
              <w:rPr>
                <w:rFonts w:ascii="Arial" w:cs="Arial" w:eastAsia="Arial" w:hAnsi="Arial"/>
                <w:sz w:val="16"/>
                <w:szCs w:val="16"/>
                <w:color w:val="auto"/>
              </w:rPr>
              <w:t>F5 Networks, Inc.*</w:t>
            </w:r>
          </w:p>
        </w:tc>
        <w:tc>
          <w:tcPr>
            <w:tcW w:w="2260" w:type="dxa"/>
            <w:vAlign w:val="bottom"/>
          </w:tcPr>
          <w:p>
            <w:pPr>
              <w:ind w:left="80"/>
              <w:spacing w:after="0"/>
              <w:rPr>
                <w:sz w:val="20"/>
                <w:szCs w:val="20"/>
                <w:color w:val="auto"/>
              </w:rPr>
            </w:pPr>
            <w:r>
              <w:rPr>
                <w:rFonts w:ascii="Arial" w:cs="Arial" w:eastAsia="Arial" w:hAnsi="Arial"/>
                <w:sz w:val="16"/>
                <w:szCs w:val="16"/>
                <w:color w:val="auto"/>
              </w:rPr>
              <w:t>Teradyne Inc.</w:t>
            </w:r>
          </w:p>
        </w:tc>
      </w:tr>
      <w:tr>
        <w:trPr>
          <w:trHeight w:val="324"/>
        </w:trPr>
        <w:tc>
          <w:tcPr>
            <w:tcW w:w="2160" w:type="dxa"/>
            <w:vAlign w:val="bottom"/>
            <w:gridSpan w:val="2"/>
          </w:tcPr>
          <w:p>
            <w:pPr>
              <w:ind w:left="60"/>
              <w:spacing w:after="0"/>
              <w:rPr>
                <w:sz w:val="20"/>
                <w:szCs w:val="20"/>
                <w:color w:val="auto"/>
              </w:rPr>
            </w:pPr>
            <w:r>
              <w:rPr>
                <w:rFonts w:ascii="Arial" w:cs="Arial" w:eastAsia="Arial" w:hAnsi="Arial"/>
                <w:sz w:val="16"/>
                <w:szCs w:val="16"/>
                <w:color w:val="auto"/>
              </w:rPr>
              <w:t>FLIR Systems, Inc.</w:t>
            </w:r>
          </w:p>
        </w:tc>
        <w:tc>
          <w:tcPr>
            <w:tcW w:w="2260" w:type="dxa"/>
            <w:vAlign w:val="bottom"/>
          </w:tcPr>
          <w:p>
            <w:pPr>
              <w:ind w:left="80"/>
              <w:spacing w:after="0"/>
              <w:rPr>
                <w:sz w:val="20"/>
                <w:szCs w:val="20"/>
                <w:color w:val="auto"/>
              </w:rPr>
            </w:pPr>
            <w:r>
              <w:rPr>
                <w:rFonts w:ascii="Arial" w:cs="Arial" w:eastAsia="Arial" w:hAnsi="Arial"/>
                <w:sz w:val="16"/>
                <w:szCs w:val="16"/>
                <w:color w:val="auto"/>
              </w:rPr>
              <w:t>Trimble Inc.*</w:t>
            </w:r>
          </w:p>
        </w:tc>
      </w:tr>
      <w:tr>
        <w:trPr>
          <w:trHeight w:val="324"/>
        </w:trPr>
        <w:tc>
          <w:tcPr>
            <w:tcW w:w="2160" w:type="dxa"/>
            <w:vAlign w:val="bottom"/>
            <w:gridSpan w:val="2"/>
          </w:tcPr>
          <w:p>
            <w:pPr>
              <w:ind w:left="60"/>
              <w:spacing w:after="0"/>
              <w:rPr>
                <w:sz w:val="20"/>
                <w:szCs w:val="20"/>
                <w:color w:val="auto"/>
              </w:rPr>
            </w:pPr>
            <w:r>
              <w:rPr>
                <w:rFonts w:ascii="Arial" w:cs="Arial" w:eastAsia="Arial" w:hAnsi="Arial"/>
                <w:sz w:val="16"/>
                <w:szCs w:val="16"/>
                <w:color w:val="auto"/>
              </w:rPr>
              <w:t>ITT Inc.</w:t>
            </w:r>
          </w:p>
        </w:tc>
        <w:tc>
          <w:tcPr>
            <w:tcW w:w="2260" w:type="dxa"/>
            <w:vAlign w:val="bottom"/>
          </w:tcPr>
          <w:p>
            <w:pPr>
              <w:ind w:left="80"/>
              <w:spacing w:after="0"/>
              <w:rPr>
                <w:sz w:val="20"/>
                <w:szCs w:val="20"/>
                <w:color w:val="auto"/>
              </w:rPr>
            </w:pPr>
            <w:r>
              <w:rPr>
                <w:rFonts w:ascii="Arial" w:cs="Arial" w:eastAsia="Arial" w:hAnsi="Arial"/>
                <w:sz w:val="16"/>
                <w:szCs w:val="16"/>
                <w:color w:val="auto"/>
              </w:rPr>
              <w:t>Unisys Corporation*</w:t>
            </w:r>
          </w:p>
        </w:tc>
      </w:tr>
      <w:tr>
        <w:trPr>
          <w:trHeight w:val="324"/>
        </w:trPr>
        <w:tc>
          <w:tcPr>
            <w:tcW w:w="2160" w:type="dxa"/>
            <w:vAlign w:val="bottom"/>
            <w:gridSpan w:val="2"/>
          </w:tcPr>
          <w:p>
            <w:pPr>
              <w:ind w:left="60"/>
              <w:spacing w:after="0"/>
              <w:rPr>
                <w:sz w:val="20"/>
                <w:szCs w:val="20"/>
                <w:color w:val="auto"/>
              </w:rPr>
            </w:pPr>
            <w:r>
              <w:rPr>
                <w:rFonts w:ascii="Arial" w:cs="Arial" w:eastAsia="Arial" w:hAnsi="Arial"/>
                <w:sz w:val="16"/>
                <w:szCs w:val="16"/>
                <w:color w:val="auto"/>
              </w:rPr>
              <w:t>Keysight Technologies, Inc.*</w:t>
            </w:r>
          </w:p>
        </w:tc>
        <w:tc>
          <w:tcPr>
            <w:tcW w:w="2260" w:type="dxa"/>
            <w:vAlign w:val="bottom"/>
          </w:tcPr>
          <w:p>
            <w:pPr>
              <w:ind w:left="80"/>
              <w:spacing w:after="0"/>
              <w:rPr>
                <w:sz w:val="20"/>
                <w:szCs w:val="20"/>
                <w:color w:val="auto"/>
              </w:rPr>
            </w:pPr>
            <w:r>
              <w:rPr>
                <w:rFonts w:ascii="Arial" w:cs="Arial" w:eastAsia="Arial" w:hAnsi="Arial"/>
                <w:sz w:val="16"/>
                <w:szCs w:val="16"/>
                <w:color w:val="auto"/>
                <w:w w:val="99"/>
              </w:rPr>
              <w:t>Watts Water Technologies, Inc</w:t>
            </w:r>
          </w:p>
        </w:tc>
      </w:tr>
      <w:tr>
        <w:trPr>
          <w:trHeight w:val="324"/>
        </w:trPr>
        <w:tc>
          <w:tcPr>
            <w:tcW w:w="2160" w:type="dxa"/>
            <w:vAlign w:val="bottom"/>
            <w:gridSpan w:val="2"/>
          </w:tcPr>
          <w:p>
            <w:pPr>
              <w:ind w:left="60"/>
              <w:spacing w:after="0"/>
              <w:rPr>
                <w:sz w:val="20"/>
                <w:szCs w:val="20"/>
                <w:color w:val="auto"/>
              </w:rPr>
            </w:pPr>
            <w:r>
              <w:rPr>
                <w:rFonts w:ascii="Arial" w:cs="Arial" w:eastAsia="Arial" w:hAnsi="Arial"/>
                <w:sz w:val="16"/>
                <w:szCs w:val="16"/>
                <w:color w:val="auto"/>
              </w:rPr>
              <w:t>Mueller Water Products, Inc.</w:t>
            </w:r>
          </w:p>
        </w:tc>
        <w:tc>
          <w:tcPr>
            <w:tcW w:w="2260" w:type="dxa"/>
            <w:vAlign w:val="bottom"/>
          </w:tcPr>
          <w:p>
            <w:pPr>
              <w:ind w:left="80"/>
              <w:spacing w:after="0"/>
              <w:rPr>
                <w:sz w:val="20"/>
                <w:szCs w:val="20"/>
                <w:color w:val="auto"/>
              </w:rPr>
            </w:pPr>
            <w:r>
              <w:rPr>
                <w:rFonts w:ascii="Arial" w:cs="Arial" w:eastAsia="Arial" w:hAnsi="Arial"/>
                <w:sz w:val="16"/>
                <w:szCs w:val="16"/>
                <w:color w:val="auto"/>
              </w:rPr>
              <w:t>Xylem Inc.</w:t>
            </w:r>
          </w:p>
        </w:tc>
      </w:tr>
      <w:tr>
        <w:trPr>
          <w:trHeight w:val="324"/>
        </w:trPr>
        <w:tc>
          <w:tcPr>
            <w:tcW w:w="2160" w:type="dxa"/>
            <w:vAlign w:val="bottom"/>
            <w:gridSpan w:val="2"/>
          </w:tcPr>
          <w:p>
            <w:pPr>
              <w:ind w:left="60"/>
              <w:spacing w:after="0"/>
              <w:rPr>
                <w:sz w:val="20"/>
                <w:szCs w:val="20"/>
                <w:color w:val="auto"/>
              </w:rPr>
            </w:pPr>
            <w:r>
              <w:rPr>
                <w:rFonts w:ascii="Arial" w:cs="Arial" w:eastAsia="Arial" w:hAnsi="Arial"/>
                <w:sz w:val="16"/>
                <w:szCs w:val="16"/>
                <w:color w:val="auto"/>
              </w:rPr>
              <w:t>NetScout Systems, Inc.*</w:t>
            </w:r>
          </w:p>
        </w:tc>
        <w:tc>
          <w:tcPr>
            <w:tcW w:w="2260" w:type="dxa"/>
            <w:vAlign w:val="bottom"/>
          </w:tcPr>
          <w:p>
            <w:pPr>
              <w:ind w:left="80"/>
              <w:spacing w:after="0"/>
              <w:rPr>
                <w:sz w:val="20"/>
                <w:szCs w:val="20"/>
                <w:color w:val="auto"/>
              </w:rPr>
            </w:pPr>
            <w:r>
              <w:rPr>
                <w:rFonts w:ascii="Arial" w:cs="Arial" w:eastAsia="Arial" w:hAnsi="Arial"/>
                <w:sz w:val="16"/>
                <w:szCs w:val="16"/>
                <w:color w:val="auto"/>
              </w:rPr>
              <w:t>Zebra Technologies Corp*</w:t>
            </w:r>
          </w:p>
        </w:tc>
      </w:tr>
      <w:tr>
        <w:trPr>
          <w:trHeight w:val="70"/>
        </w:trPr>
        <w:tc>
          <w:tcPr>
            <w:tcW w:w="1280" w:type="dxa"/>
            <w:vAlign w:val="bottom"/>
            <w:tcBorders>
              <w:bottom w:val="single" w:sz="8" w:color="auto"/>
            </w:tcBorders>
          </w:tcPr>
          <w:p>
            <w:pPr>
              <w:spacing w:after="0"/>
              <w:rPr>
                <w:sz w:val="6"/>
                <w:szCs w:val="6"/>
                <w:color w:val="auto"/>
              </w:rPr>
            </w:pPr>
          </w:p>
        </w:tc>
        <w:tc>
          <w:tcPr>
            <w:tcW w:w="880" w:type="dxa"/>
            <w:vAlign w:val="bottom"/>
          </w:tcPr>
          <w:p>
            <w:pPr>
              <w:spacing w:after="0"/>
              <w:rPr>
                <w:sz w:val="6"/>
                <w:szCs w:val="6"/>
                <w:color w:val="auto"/>
              </w:rPr>
            </w:pPr>
          </w:p>
        </w:tc>
        <w:tc>
          <w:tcPr>
            <w:tcW w:w="2260" w:type="dxa"/>
            <w:vAlign w:val="bottom"/>
          </w:tcPr>
          <w:p>
            <w:pPr>
              <w:spacing w:after="0"/>
              <w:rPr>
                <w:sz w:val="6"/>
                <w:szCs w:val="6"/>
                <w:color w:val="auto"/>
              </w:rPr>
            </w:pPr>
          </w:p>
        </w:tc>
      </w:tr>
    </w:tbl>
    <w:p>
      <w:pPr>
        <w:spacing w:after="0" w:line="95" w:lineRule="exact"/>
        <w:rPr>
          <w:sz w:val="20"/>
          <w:szCs w:val="20"/>
          <w:color w:val="auto"/>
        </w:rPr>
      </w:pPr>
    </w:p>
    <w:p>
      <w:pPr>
        <w:ind w:left="346" w:hanging="346"/>
        <w:spacing w:after="0"/>
        <w:tabs>
          <w:tab w:leader="none" w:pos="346" w:val="left"/>
        </w:tabs>
        <w:numPr>
          <w:ilvl w:val="0"/>
          <w:numId w:val="37"/>
        </w:numPr>
        <w:rPr>
          <w:rFonts w:ascii="Arial" w:cs="Arial" w:eastAsia="Arial" w:hAnsi="Arial"/>
          <w:sz w:val="14"/>
          <w:szCs w:val="14"/>
          <w:color w:val="auto"/>
        </w:rPr>
      </w:pPr>
      <w:r>
        <w:rPr>
          <w:rFonts w:ascii="Arial" w:cs="Arial" w:eastAsia="Arial" w:hAnsi="Arial"/>
          <w:sz w:val="14"/>
          <w:szCs w:val="14"/>
          <w:color w:val="auto"/>
        </w:rPr>
        <w:t>Software and services included in their business mix.</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364"/>
        </w:trPr>
        <w:tc>
          <w:tcPr>
            <w:tcW w:w="40" w:type="dxa"/>
            <w:vAlign w:val="bottom"/>
            <w:tcBorders>
              <w:top w:val="single" w:sz="8" w:color="auto"/>
              <w:left w:val="single" w:sz="8" w:color="auto"/>
            </w:tcBorders>
          </w:tcPr>
          <w:p>
            <w:pPr>
              <w:spacing w:after="0"/>
              <w:rPr>
                <w:sz w:val="24"/>
                <w:szCs w:val="24"/>
                <w:color w:val="auto"/>
              </w:rPr>
            </w:pPr>
          </w:p>
        </w:tc>
        <w:tc>
          <w:tcPr>
            <w:tcW w:w="4440" w:type="dxa"/>
            <w:vAlign w:val="bottom"/>
            <w:tcBorders>
              <w:top w:val="single" w:sz="8" w:color="auto"/>
              <w:bottom w:val="single" w:sz="8" w:color="auto"/>
              <w:right w:val="single" w:sz="8" w:color="auto"/>
            </w:tcBorders>
            <w:gridSpan w:val="3"/>
          </w:tcPr>
          <w:p>
            <w:pPr>
              <w:ind w:left="1040"/>
              <w:spacing w:after="0"/>
              <w:rPr>
                <w:sz w:val="20"/>
                <w:szCs w:val="20"/>
                <w:color w:val="auto"/>
              </w:rPr>
            </w:pPr>
            <w:r>
              <w:rPr>
                <w:rFonts w:ascii="Arial" w:cs="Arial" w:eastAsia="Arial" w:hAnsi="Arial"/>
                <w:sz w:val="18"/>
                <w:szCs w:val="18"/>
                <w:b w:val="1"/>
                <w:bCs w:val="1"/>
                <w:color w:val="auto"/>
              </w:rPr>
              <w:t>Peer Data as of 12-31-2019</w:t>
            </w:r>
          </w:p>
        </w:tc>
      </w:tr>
      <w:tr>
        <w:trPr>
          <w:trHeight w:val="289"/>
        </w:trPr>
        <w:tc>
          <w:tcPr>
            <w:tcW w:w="40" w:type="dxa"/>
            <w:vAlign w:val="bottom"/>
            <w:tcBorders>
              <w:left w:val="single" w:sz="8" w:color="auto"/>
            </w:tcBorders>
          </w:tcPr>
          <w:p>
            <w:pPr>
              <w:spacing w:after="0"/>
              <w:rPr>
                <w:sz w:val="24"/>
                <w:szCs w:val="24"/>
                <w:color w:val="auto"/>
              </w:rPr>
            </w:pPr>
          </w:p>
        </w:tc>
        <w:tc>
          <w:tcPr>
            <w:tcW w:w="1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8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$Millions</w:t>
            </w:r>
          </w:p>
        </w:tc>
      </w:tr>
      <w:tr>
        <w:trPr>
          <w:trHeight w:val="310"/>
        </w:trPr>
        <w:tc>
          <w:tcPr>
            <w:tcW w:w="40" w:type="dxa"/>
            <w:vAlign w:val="bottom"/>
            <w:tcBorders>
              <w:left w:val="single" w:sz="8" w:color="auto"/>
            </w:tcBorders>
          </w:tcPr>
          <w:p>
            <w:pPr>
              <w:spacing w:after="0"/>
              <w:rPr>
                <w:sz w:val="24"/>
                <w:szCs w:val="24"/>
                <w:color w:val="auto"/>
              </w:rPr>
            </w:pPr>
          </w:p>
        </w:tc>
        <w:tc>
          <w:tcPr>
            <w:tcW w:w="1520" w:type="dxa"/>
            <w:vAlign w:val="bottom"/>
          </w:tcPr>
          <w:p>
            <w:pPr>
              <w:ind w:left="300"/>
              <w:spacing w:after="0"/>
              <w:rPr>
                <w:sz w:val="20"/>
                <w:szCs w:val="20"/>
                <w:color w:val="auto"/>
              </w:rPr>
            </w:pPr>
            <w:r>
              <w:rPr>
                <w:rFonts w:ascii="Arial" w:cs="Arial" w:eastAsia="Arial" w:hAnsi="Arial"/>
                <w:sz w:val="16"/>
                <w:szCs w:val="16"/>
                <w:i w:val="1"/>
                <w:iCs w:val="1"/>
                <w:color w:val="auto"/>
              </w:rPr>
              <w:t>Percentile</w:t>
            </w:r>
          </w:p>
        </w:tc>
        <w:tc>
          <w:tcPr>
            <w:tcW w:w="1040" w:type="dxa"/>
            <w:vAlign w:val="bottom"/>
          </w:tcPr>
          <w:p>
            <w:pPr>
              <w:jc w:val="right"/>
              <w:spacing w:after="0"/>
              <w:rPr>
                <w:sz w:val="20"/>
                <w:szCs w:val="20"/>
                <w:color w:val="auto"/>
              </w:rPr>
            </w:pPr>
            <w:r>
              <w:rPr>
                <w:rFonts w:ascii="Arial" w:cs="Arial" w:eastAsia="Arial" w:hAnsi="Arial"/>
                <w:sz w:val="16"/>
                <w:szCs w:val="16"/>
                <w:i w:val="1"/>
                <w:iCs w:val="1"/>
                <w:color w:val="auto"/>
              </w:rPr>
              <w:t>Revenue</w:t>
            </w:r>
          </w:p>
        </w:tc>
        <w:tc>
          <w:tcPr>
            <w:tcW w:w="1880" w:type="dxa"/>
            <w:vAlign w:val="bottom"/>
            <w:tcBorders>
              <w:right w:val="single" w:sz="8" w:color="auto"/>
            </w:tcBorders>
          </w:tcPr>
          <w:p>
            <w:pPr>
              <w:jc w:val="right"/>
              <w:ind w:right="238"/>
              <w:spacing w:after="0"/>
              <w:rPr>
                <w:sz w:val="20"/>
                <w:szCs w:val="20"/>
                <w:color w:val="auto"/>
              </w:rPr>
            </w:pPr>
            <w:r>
              <w:rPr>
                <w:rFonts w:ascii="Arial" w:cs="Arial" w:eastAsia="Arial" w:hAnsi="Arial"/>
                <w:sz w:val="16"/>
                <w:szCs w:val="16"/>
                <w:i w:val="1"/>
                <w:iCs w:val="1"/>
                <w:color w:val="auto"/>
              </w:rPr>
              <w:t>Market Cap</w:t>
            </w:r>
          </w:p>
        </w:tc>
      </w:tr>
      <w:tr>
        <w:trPr>
          <w:trHeight w:val="56"/>
        </w:trPr>
        <w:tc>
          <w:tcPr>
            <w:tcW w:w="40" w:type="dxa"/>
            <w:vAlign w:val="bottom"/>
            <w:tcBorders>
              <w:left w:val="single" w:sz="8" w:color="auto"/>
            </w:tcBorders>
          </w:tcPr>
          <w:p>
            <w:pPr>
              <w:spacing w:after="0"/>
              <w:rPr>
                <w:sz w:val="4"/>
                <w:szCs w:val="4"/>
                <w:color w:val="auto"/>
              </w:rPr>
            </w:pPr>
          </w:p>
        </w:tc>
        <w:tc>
          <w:tcPr>
            <w:tcW w:w="15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880" w:type="dxa"/>
            <w:vAlign w:val="bottom"/>
            <w:tcBorders>
              <w:right w:val="single" w:sz="8" w:color="auto"/>
            </w:tcBorders>
          </w:tcPr>
          <w:p>
            <w:pPr>
              <w:spacing w:after="0"/>
              <w:rPr>
                <w:sz w:val="4"/>
                <w:szCs w:val="4"/>
                <w:color w:val="auto"/>
              </w:rPr>
            </w:pPr>
          </w:p>
        </w:tc>
      </w:tr>
      <w:tr>
        <w:trPr>
          <w:trHeight w:val="324"/>
        </w:trPr>
        <w:tc>
          <w:tcPr>
            <w:tcW w:w="40" w:type="dxa"/>
            <w:vAlign w:val="bottom"/>
            <w:tcBorders>
              <w:left w:val="single" w:sz="8" w:color="auto"/>
            </w:tcBorders>
            <w:shd w:val="clear" w:color="auto" w:fill="CCCCCC"/>
          </w:tcPr>
          <w:p>
            <w:pPr>
              <w:spacing w:after="0"/>
              <w:rPr>
                <w:sz w:val="24"/>
                <w:szCs w:val="24"/>
                <w:color w:val="auto"/>
              </w:rPr>
            </w:pPr>
          </w:p>
        </w:tc>
        <w:tc>
          <w:tcPr>
            <w:tcW w:w="1520" w:type="dxa"/>
            <w:vAlign w:val="bottom"/>
            <w:shd w:val="clear" w:color="auto" w:fill="CCCCCC"/>
          </w:tcPr>
          <w:p>
            <w:pPr>
              <w:ind w:left="20"/>
              <w:spacing w:after="0"/>
              <w:rPr>
                <w:sz w:val="20"/>
                <w:szCs w:val="20"/>
                <w:color w:val="auto"/>
              </w:rPr>
            </w:pPr>
            <w:r>
              <w:rPr>
                <w:rFonts w:ascii="Arial" w:cs="Arial" w:eastAsia="Arial" w:hAnsi="Arial"/>
                <w:sz w:val="16"/>
                <w:szCs w:val="16"/>
                <w:i w:val="1"/>
                <w:iCs w:val="1"/>
                <w:color w:val="auto"/>
              </w:rPr>
              <w:t>25</w:t>
            </w:r>
            <w:r>
              <w:rPr>
                <w:rFonts w:ascii="Arial" w:cs="Arial" w:eastAsia="Arial" w:hAnsi="Arial"/>
                <w:sz w:val="26"/>
                <w:szCs w:val="26"/>
                <w:i w:val="1"/>
                <w:iCs w:val="1"/>
                <w:color w:val="auto"/>
                <w:vertAlign w:val="superscript"/>
              </w:rPr>
              <w:t>th</w:t>
            </w:r>
          </w:p>
        </w:tc>
        <w:tc>
          <w:tcPr>
            <w:tcW w:w="1040" w:type="dxa"/>
            <w:vAlign w:val="bottom"/>
            <w:shd w:val="clear" w:color="auto" w:fill="CCCCCC"/>
          </w:tcPr>
          <w:p>
            <w:pPr>
              <w:jc w:val="right"/>
              <w:ind w:right="59"/>
              <w:spacing w:after="0"/>
              <w:rPr>
                <w:sz w:val="20"/>
                <w:szCs w:val="20"/>
                <w:color w:val="auto"/>
              </w:rPr>
            </w:pPr>
            <w:r>
              <w:rPr>
                <w:rFonts w:ascii="Arial" w:cs="Arial" w:eastAsia="Arial" w:hAnsi="Arial"/>
                <w:sz w:val="16"/>
                <w:szCs w:val="16"/>
                <w:color w:val="auto"/>
              </w:rPr>
              <w:t>$1,815</w:t>
            </w:r>
          </w:p>
        </w:tc>
        <w:tc>
          <w:tcPr>
            <w:tcW w:w="1880" w:type="dxa"/>
            <w:vAlign w:val="bottom"/>
            <w:tcBorders>
              <w:right w:val="single" w:sz="8" w:color="auto"/>
            </w:tcBorders>
            <w:shd w:val="clear" w:color="auto" w:fill="CCCCCC"/>
          </w:tcPr>
          <w:p>
            <w:pPr>
              <w:ind w:left="840"/>
              <w:spacing w:after="0"/>
              <w:rPr>
                <w:sz w:val="20"/>
                <w:szCs w:val="20"/>
                <w:color w:val="auto"/>
              </w:rPr>
            </w:pPr>
            <w:r>
              <w:rPr>
                <w:rFonts w:ascii="Arial" w:cs="Arial" w:eastAsia="Arial" w:hAnsi="Arial"/>
                <w:sz w:val="16"/>
                <w:szCs w:val="16"/>
                <w:color w:val="auto"/>
              </w:rPr>
              <w:t>$ 3,008</w:t>
            </w:r>
          </w:p>
        </w:tc>
      </w:tr>
      <w:tr>
        <w:trPr>
          <w:trHeight w:val="324"/>
        </w:trPr>
        <w:tc>
          <w:tcPr>
            <w:tcW w:w="40" w:type="dxa"/>
            <w:vAlign w:val="bottom"/>
            <w:tcBorders>
              <w:left w:val="single" w:sz="8" w:color="auto"/>
            </w:tcBorders>
          </w:tcPr>
          <w:p>
            <w:pPr>
              <w:spacing w:after="0"/>
              <w:rPr>
                <w:sz w:val="24"/>
                <w:szCs w:val="24"/>
                <w:color w:val="auto"/>
              </w:rPr>
            </w:pPr>
          </w:p>
        </w:tc>
        <w:tc>
          <w:tcPr>
            <w:tcW w:w="1520" w:type="dxa"/>
            <w:vAlign w:val="bottom"/>
          </w:tcPr>
          <w:p>
            <w:pPr>
              <w:ind w:left="20"/>
              <w:spacing w:after="0"/>
              <w:rPr>
                <w:sz w:val="20"/>
                <w:szCs w:val="20"/>
                <w:color w:val="auto"/>
              </w:rPr>
            </w:pPr>
            <w:r>
              <w:rPr>
                <w:rFonts w:ascii="Arial" w:cs="Arial" w:eastAsia="Arial" w:hAnsi="Arial"/>
                <w:sz w:val="16"/>
                <w:szCs w:val="16"/>
                <w:i w:val="1"/>
                <w:iCs w:val="1"/>
                <w:color w:val="auto"/>
              </w:rPr>
              <w:t>50</w:t>
            </w:r>
            <w:r>
              <w:rPr>
                <w:rFonts w:ascii="Arial" w:cs="Arial" w:eastAsia="Arial" w:hAnsi="Arial"/>
                <w:sz w:val="26"/>
                <w:szCs w:val="26"/>
                <w:i w:val="1"/>
                <w:iCs w:val="1"/>
                <w:color w:val="auto"/>
                <w:vertAlign w:val="superscript"/>
              </w:rPr>
              <w:t>th</w:t>
            </w: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$2,571</w:t>
            </w:r>
          </w:p>
        </w:tc>
        <w:tc>
          <w:tcPr>
            <w:tcW w:w="1880" w:type="dxa"/>
            <w:vAlign w:val="bottom"/>
            <w:tcBorders>
              <w:right w:val="single" w:sz="8" w:color="auto"/>
            </w:tcBorders>
          </w:tcPr>
          <w:p>
            <w:pPr>
              <w:ind w:left="840"/>
              <w:spacing w:after="0"/>
              <w:rPr>
                <w:sz w:val="20"/>
                <w:szCs w:val="20"/>
                <w:color w:val="auto"/>
              </w:rPr>
            </w:pPr>
            <w:r>
              <w:rPr>
                <w:rFonts w:ascii="Arial" w:cs="Arial" w:eastAsia="Arial" w:hAnsi="Arial"/>
                <w:sz w:val="16"/>
                <w:szCs w:val="16"/>
                <w:color w:val="auto"/>
              </w:rPr>
              <w:t>$ 8,570</w:t>
            </w:r>
          </w:p>
        </w:tc>
      </w:tr>
      <w:tr>
        <w:trPr>
          <w:trHeight w:val="324"/>
        </w:trPr>
        <w:tc>
          <w:tcPr>
            <w:tcW w:w="40" w:type="dxa"/>
            <w:vAlign w:val="bottom"/>
            <w:tcBorders>
              <w:left w:val="single" w:sz="8" w:color="auto"/>
            </w:tcBorders>
            <w:shd w:val="clear" w:color="auto" w:fill="CCCCCC"/>
          </w:tcPr>
          <w:p>
            <w:pPr>
              <w:spacing w:after="0"/>
              <w:rPr>
                <w:sz w:val="24"/>
                <w:szCs w:val="24"/>
                <w:color w:val="auto"/>
              </w:rPr>
            </w:pPr>
          </w:p>
        </w:tc>
        <w:tc>
          <w:tcPr>
            <w:tcW w:w="1520" w:type="dxa"/>
            <w:vAlign w:val="bottom"/>
            <w:shd w:val="clear" w:color="auto" w:fill="CCCCCC"/>
          </w:tcPr>
          <w:p>
            <w:pPr>
              <w:ind w:left="20"/>
              <w:spacing w:after="0"/>
              <w:rPr>
                <w:sz w:val="20"/>
                <w:szCs w:val="20"/>
                <w:color w:val="auto"/>
              </w:rPr>
            </w:pPr>
            <w:r>
              <w:rPr>
                <w:rFonts w:ascii="Arial" w:cs="Arial" w:eastAsia="Arial" w:hAnsi="Arial"/>
                <w:sz w:val="16"/>
                <w:szCs w:val="16"/>
                <w:i w:val="1"/>
                <w:iCs w:val="1"/>
                <w:color w:val="auto"/>
              </w:rPr>
              <w:t>75</w:t>
            </w:r>
            <w:r>
              <w:rPr>
                <w:rFonts w:ascii="Arial" w:cs="Arial" w:eastAsia="Arial" w:hAnsi="Arial"/>
                <w:sz w:val="26"/>
                <w:szCs w:val="26"/>
                <w:i w:val="1"/>
                <w:iCs w:val="1"/>
                <w:color w:val="auto"/>
                <w:vertAlign w:val="superscript"/>
              </w:rPr>
              <w:t>th</w:t>
            </w:r>
          </w:p>
        </w:tc>
        <w:tc>
          <w:tcPr>
            <w:tcW w:w="1040" w:type="dxa"/>
            <w:vAlign w:val="bottom"/>
            <w:shd w:val="clear" w:color="auto" w:fill="CCCCCC"/>
          </w:tcPr>
          <w:p>
            <w:pPr>
              <w:jc w:val="right"/>
              <w:ind w:right="59"/>
              <w:spacing w:after="0"/>
              <w:rPr>
                <w:sz w:val="20"/>
                <w:szCs w:val="20"/>
                <w:color w:val="auto"/>
              </w:rPr>
            </w:pPr>
            <w:r>
              <w:rPr>
                <w:rFonts w:ascii="Arial" w:cs="Arial" w:eastAsia="Arial" w:hAnsi="Arial"/>
                <w:sz w:val="16"/>
                <w:szCs w:val="16"/>
                <w:color w:val="auto"/>
              </w:rPr>
              <w:t>$4,329</w:t>
            </w:r>
          </w:p>
        </w:tc>
        <w:tc>
          <w:tcPr>
            <w:tcW w:w="1880" w:type="dxa"/>
            <w:vAlign w:val="bottom"/>
            <w:tcBorders>
              <w:right w:val="single" w:sz="8" w:color="auto"/>
            </w:tcBorders>
            <w:shd w:val="clear" w:color="auto" w:fill="CCCCCC"/>
          </w:tcPr>
          <w:p>
            <w:pPr>
              <w:ind w:left="840"/>
              <w:spacing w:after="0"/>
              <w:rPr>
                <w:sz w:val="20"/>
                <w:szCs w:val="20"/>
                <w:color w:val="auto"/>
              </w:rPr>
            </w:pPr>
            <w:r>
              <w:rPr>
                <w:rFonts w:ascii="Arial" w:cs="Arial" w:eastAsia="Arial" w:hAnsi="Arial"/>
                <w:sz w:val="16"/>
                <w:szCs w:val="16"/>
                <w:color w:val="auto"/>
              </w:rPr>
              <w:t>$12,193</w:t>
            </w:r>
          </w:p>
        </w:tc>
      </w:tr>
      <w:tr>
        <w:trPr>
          <w:trHeight w:val="324"/>
        </w:trPr>
        <w:tc>
          <w:tcPr>
            <w:tcW w:w="40" w:type="dxa"/>
            <w:vAlign w:val="bottom"/>
            <w:tcBorders>
              <w:left w:val="single" w:sz="8" w:color="auto"/>
            </w:tcBorders>
          </w:tcPr>
          <w:p>
            <w:pPr>
              <w:spacing w:after="0"/>
              <w:rPr>
                <w:sz w:val="24"/>
                <w:szCs w:val="24"/>
                <w:color w:val="auto"/>
              </w:rPr>
            </w:pPr>
          </w:p>
        </w:tc>
        <w:tc>
          <w:tcPr>
            <w:tcW w:w="1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r>
      <w:tr>
        <w:trPr>
          <w:trHeight w:val="304"/>
        </w:trPr>
        <w:tc>
          <w:tcPr>
            <w:tcW w:w="40" w:type="dxa"/>
            <w:vAlign w:val="bottom"/>
            <w:tcBorders>
              <w:left w:val="single" w:sz="8" w:color="auto"/>
              <w:bottom w:val="single" w:sz="8" w:color="CCCCCC"/>
            </w:tcBorders>
            <w:shd w:val="clear" w:color="auto" w:fill="CCCCCC"/>
          </w:tcPr>
          <w:p>
            <w:pPr>
              <w:spacing w:after="0"/>
              <w:rPr>
                <w:sz w:val="24"/>
                <w:szCs w:val="24"/>
                <w:color w:val="auto"/>
              </w:rPr>
            </w:pPr>
          </w:p>
        </w:tc>
        <w:tc>
          <w:tcPr>
            <w:tcW w:w="152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6"/>
                <w:szCs w:val="16"/>
                <w:color w:val="auto"/>
              </w:rPr>
              <w:t>Itron</w:t>
            </w:r>
          </w:p>
        </w:tc>
        <w:tc>
          <w:tcPr>
            <w:tcW w:w="1040" w:type="dxa"/>
            <w:vAlign w:val="bottom"/>
            <w:tcBorders>
              <w:bottom w:val="single" w:sz="8" w:color="CCCCCC"/>
            </w:tcBorders>
            <w:shd w:val="clear" w:color="auto" w:fill="CCCCCC"/>
          </w:tcPr>
          <w:p>
            <w:pPr>
              <w:jc w:val="right"/>
              <w:ind w:right="59"/>
              <w:spacing w:after="0"/>
              <w:rPr>
                <w:sz w:val="20"/>
                <w:szCs w:val="20"/>
                <w:color w:val="auto"/>
              </w:rPr>
            </w:pPr>
            <w:r>
              <w:rPr>
                <w:rFonts w:ascii="Arial" w:cs="Arial" w:eastAsia="Arial" w:hAnsi="Arial"/>
                <w:sz w:val="16"/>
                <w:szCs w:val="16"/>
                <w:color w:val="auto"/>
              </w:rPr>
              <w:t>$2,502</w:t>
            </w:r>
          </w:p>
        </w:tc>
        <w:tc>
          <w:tcPr>
            <w:tcW w:w="1880" w:type="dxa"/>
            <w:vAlign w:val="bottom"/>
            <w:tcBorders>
              <w:bottom w:val="single" w:sz="8" w:color="CCCCCC"/>
              <w:right w:val="single" w:sz="8" w:color="auto"/>
            </w:tcBorders>
            <w:shd w:val="clear" w:color="auto" w:fill="CCCCCC"/>
          </w:tcPr>
          <w:p>
            <w:pPr>
              <w:ind w:left="840"/>
              <w:spacing w:after="0"/>
              <w:rPr>
                <w:sz w:val="20"/>
                <w:szCs w:val="20"/>
                <w:color w:val="auto"/>
              </w:rPr>
            </w:pPr>
            <w:r>
              <w:rPr>
                <w:rFonts w:ascii="Arial" w:cs="Arial" w:eastAsia="Arial" w:hAnsi="Arial"/>
                <w:sz w:val="16"/>
                <w:szCs w:val="16"/>
                <w:color w:val="auto"/>
              </w:rPr>
              <w:t>$ 3,332</w:t>
            </w:r>
          </w:p>
        </w:tc>
      </w:tr>
      <w:tr>
        <w:trPr>
          <w:trHeight w:val="277"/>
        </w:trPr>
        <w:tc>
          <w:tcPr>
            <w:tcW w:w="40" w:type="dxa"/>
            <w:vAlign w:val="bottom"/>
            <w:tcBorders>
              <w:left w:val="single" w:sz="8" w:color="auto"/>
              <w:bottom w:val="single" w:sz="8" w:color="auto"/>
            </w:tcBorders>
          </w:tcPr>
          <w:p>
            <w:pPr>
              <w:spacing w:after="0"/>
              <w:rPr>
                <w:sz w:val="24"/>
                <w:szCs w:val="24"/>
                <w:color w:val="auto"/>
              </w:rPr>
            </w:pPr>
          </w:p>
        </w:tc>
        <w:tc>
          <w:tcPr>
            <w:tcW w:w="15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Percentile Rank</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1880" w:type="dxa"/>
            <w:vAlign w:val="bottom"/>
            <w:tcBorders>
              <w:bottom w:val="single" w:sz="8" w:color="auto"/>
              <w:right w:val="single" w:sz="8" w:color="auto"/>
            </w:tcBorders>
          </w:tcPr>
          <w:p>
            <w:pPr>
              <w:jc w:val="right"/>
              <w:ind w:right="238"/>
              <w:spacing w:after="0"/>
              <w:rPr>
                <w:sz w:val="20"/>
                <w:szCs w:val="20"/>
                <w:color w:val="auto"/>
              </w:rPr>
            </w:pPr>
            <w:r>
              <w:rPr>
                <w:rFonts w:ascii="Arial" w:cs="Arial" w:eastAsia="Arial" w:hAnsi="Arial"/>
                <w:sz w:val="16"/>
                <w:szCs w:val="16"/>
                <w:color w:val="auto"/>
              </w:rPr>
              <w:t>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2797810</wp:posOffset>
            </wp:positionH>
            <wp:positionV relativeFrom="paragraph">
              <wp:posOffset>-1645285</wp:posOffset>
            </wp:positionV>
            <wp:extent cx="431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-1645285</wp:posOffset>
            </wp:positionV>
            <wp:extent cx="2540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840" w:lineRule="exact"/>
        <w:rPr>
          <w:sz w:val="20"/>
          <w:szCs w:val="20"/>
          <w:color w:val="auto"/>
        </w:rPr>
      </w:pPr>
    </w:p>
    <w:p>
      <w:pPr>
        <w:sectPr>
          <w:pgSz w:w="11900" w:h="16838" w:orient="portrait"/>
          <w:cols w:equalWidth="0" w:num="2">
            <w:col w:w="4426" w:space="280"/>
            <w:col w:w="4480"/>
          </w:cols>
          <w:pgMar w:left="1354" w:top="263" w:right="1359" w:bottom="1440" w:gutter="0" w:footer="0" w:header="0"/>
          <w:type w:val="continuous"/>
        </w:sectPr>
      </w:pPr>
    </w:p>
    <w:p>
      <w:pPr>
        <w:ind w:left="6" w:right="120"/>
        <w:spacing w:after="0" w:line="245" w:lineRule="auto"/>
        <w:rPr>
          <w:sz w:val="20"/>
          <w:szCs w:val="20"/>
          <w:color w:val="auto"/>
        </w:rPr>
      </w:pPr>
      <w:r>
        <w:rPr>
          <w:rFonts w:ascii="Arial" w:cs="Arial" w:eastAsia="Arial" w:hAnsi="Arial"/>
          <w:sz w:val="18"/>
          <w:szCs w:val="18"/>
          <w:color w:val="auto"/>
        </w:rPr>
        <w:t>For each of the Peer Companies, data regarding base salaries, annual incentives, and long-term incentives was obtained from their annual proxy statements. This data was supplemented with survey data prepared by Radford Survey &amp; Consulting (Radford Survey), which provides compensation market information on more than 700 technology companies, aggregated and presented anonymously. The Radford Survey data was narrowed to those technology companies with revenues between $1 billion and $3 billion, similar to Itron.</w:t>
      </w:r>
    </w:p>
    <w:p>
      <w:pPr>
        <w:spacing w:after="0" w:line="132" w:lineRule="exact"/>
        <w:rPr>
          <w:sz w:val="20"/>
          <w:szCs w:val="20"/>
          <w:color w:val="auto"/>
        </w:rPr>
      </w:pPr>
    </w:p>
    <w:p>
      <w:pPr>
        <w:ind w:left="6" w:right="220"/>
        <w:spacing w:after="0"/>
        <w:rPr>
          <w:sz w:val="20"/>
          <w:szCs w:val="20"/>
          <w:color w:val="auto"/>
        </w:rPr>
      </w:pPr>
      <w:r>
        <w:rPr>
          <w:rFonts w:ascii="Arial" w:cs="Arial" w:eastAsia="Arial" w:hAnsi="Arial"/>
          <w:sz w:val="18"/>
          <w:szCs w:val="18"/>
          <w:color w:val="auto"/>
        </w:rPr>
        <w:t>With the support of F.W. Cook, the Committee evaluates this data for informational purposes when establishing a range of competitive compensation for our NEOs. For each NEO, the Committee determines the salary range, annual incentive target, and long-term incentive taking into consideration market data for the position being evaluated. However, market data is not the sole determinant of the Company’s practices or executive compensation levels. The Committee also considers the experience, performance, responsibilities, and contributions to the Company by each NEO when making its decisions. For the CEO, the Committee makes a recommendation to the full Board, and the independent members of the Board review and approve the CEO’s compensation.</w:t>
      </w:r>
    </w:p>
    <w:p>
      <w:pPr>
        <w:spacing w:after="0" w:line="288" w:lineRule="exact"/>
        <w:rPr>
          <w:sz w:val="20"/>
          <w:szCs w:val="20"/>
          <w:color w:val="auto"/>
        </w:rPr>
      </w:pPr>
    </w:p>
    <w:p>
      <w:pPr>
        <w:jc w:val="center"/>
        <w:ind w:right="-25"/>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157480</wp:posOffset>
            </wp:positionV>
            <wp:extent cx="699516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263" w:right="1359" w:bottom="1440" w:gutter="0" w:footer="0" w:header="0"/>
          <w:type w:val="continuous"/>
        </w:sectPr>
      </w:pPr>
    </w:p>
    <w:bookmarkStart w:id="32" w:name="page33"/>
    <w:bookmarkEnd w:id="32"/>
    <w:p>
      <w:pPr>
        <w:ind w:left="6"/>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122" w:lineRule="exact"/>
        <w:rPr>
          <w:sz w:val="20"/>
          <w:szCs w:val="20"/>
          <w:color w:val="auto"/>
        </w:rPr>
      </w:pPr>
    </w:p>
    <w:p>
      <w:pPr>
        <w:ind w:left="6"/>
        <w:spacing w:after="0"/>
        <w:rPr>
          <w:sz w:val="20"/>
          <w:szCs w:val="20"/>
          <w:color w:val="auto"/>
        </w:rPr>
      </w:pPr>
      <w:r>
        <w:rPr>
          <w:rFonts w:ascii="Arial" w:cs="Arial" w:eastAsia="Arial" w:hAnsi="Arial"/>
          <w:sz w:val="18"/>
          <w:szCs w:val="18"/>
          <w:b w:val="1"/>
          <w:bCs w:val="1"/>
          <w:u w:val="single" w:color="auto"/>
          <w:color w:val="auto"/>
        </w:rPr>
        <w:t>The 2020 Executive Compensation Program in Detail</w:t>
      </w:r>
    </w:p>
    <w:p>
      <w:pPr>
        <w:spacing w:after="0" w:line="131"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Base Salary</w:t>
      </w:r>
    </w:p>
    <w:p>
      <w:pPr>
        <w:spacing w:after="0" w:line="187" w:lineRule="exact"/>
        <w:rPr>
          <w:sz w:val="20"/>
          <w:szCs w:val="20"/>
          <w:color w:val="auto"/>
        </w:rPr>
      </w:pPr>
    </w:p>
    <w:p>
      <w:pPr>
        <w:ind w:left="6" w:right="40"/>
        <w:spacing w:after="0" w:line="241" w:lineRule="auto"/>
        <w:rPr>
          <w:sz w:val="20"/>
          <w:szCs w:val="20"/>
          <w:color w:val="auto"/>
        </w:rPr>
      </w:pPr>
      <w:r>
        <w:rPr>
          <w:rFonts w:ascii="Arial" w:cs="Arial" w:eastAsia="Arial" w:hAnsi="Arial"/>
          <w:sz w:val="18"/>
          <w:szCs w:val="18"/>
          <w:color w:val="auto"/>
        </w:rPr>
        <w:t>Base salary represents annual fixed compensation and is a standard element of compensation necessary to attract and retain executive leadership talent. In making base salary decisions, the Committee considers the CEO’s recommendations for NEO compensation (other than the CEO), as well as each NEO’s position and level of responsibility within the Company. The Committee considers factors such as relevant market data as well as individual performance and contributions. Prior to the onset of the COVID-19 pandemic, the Committee approved a base salary increase for Ms. Hooper and Mr. Cadieux to better align their salaries with the market for their roles. Annual base salary rates for 2020 were as follows:</w:t>
      </w:r>
    </w:p>
    <w:p>
      <w:pPr>
        <w:spacing w:after="0" w:line="92" w:lineRule="exact"/>
        <w:rPr>
          <w:sz w:val="20"/>
          <w:szCs w:val="20"/>
          <w:color w:val="auto"/>
        </w:rPr>
      </w:pPr>
    </w:p>
    <w:tbl>
      <w:tblPr>
        <w:tblLayout w:type="fixed"/>
        <w:tblInd w:w="6" w:type="dxa"/>
        <w:tblCellMar>
          <w:top w:w="0" w:type="dxa"/>
          <w:left w:w="0" w:type="dxa"/>
          <w:bottom w:w="0" w:type="dxa"/>
          <w:right w:w="0" w:type="dxa"/>
        </w:tblCellMar>
      </w:tblPr>
      <w:tr>
        <w:trPr>
          <w:trHeight w:val="162"/>
        </w:trPr>
        <w:tc>
          <w:tcPr>
            <w:tcW w:w="6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ind w:left="30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r>
      <w:tr>
        <w:trPr>
          <w:trHeight w:val="202"/>
        </w:trPr>
        <w:tc>
          <w:tcPr>
            <w:tcW w:w="60" w:type="dxa"/>
            <w:vAlign w:val="bottom"/>
          </w:tcPr>
          <w:p>
            <w:pPr>
              <w:spacing w:after="0"/>
              <w:rPr>
                <w:sz w:val="17"/>
                <w:szCs w:val="17"/>
                <w:color w:val="auto"/>
              </w:rPr>
            </w:pPr>
          </w:p>
        </w:tc>
        <w:tc>
          <w:tcPr>
            <w:tcW w:w="6040" w:type="dxa"/>
            <w:vAlign w:val="bottom"/>
            <w:gridSpan w:val="2"/>
          </w:tcPr>
          <w:p>
            <w:pPr>
              <w:ind w:left="20"/>
              <w:spacing w:after="0"/>
              <w:rPr>
                <w:sz w:val="20"/>
                <w:szCs w:val="20"/>
                <w:color w:val="auto"/>
              </w:rPr>
            </w:pPr>
            <w:r>
              <w:rPr>
                <w:rFonts w:ascii="Arial" w:cs="Arial" w:eastAsia="Arial" w:hAnsi="Arial"/>
                <w:sz w:val="14"/>
                <w:szCs w:val="14"/>
                <w:b w:val="1"/>
                <w:bCs w:val="1"/>
                <w:color w:val="auto"/>
              </w:rPr>
              <w:t>NEO</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2019</w:t>
            </w:r>
          </w:p>
        </w:tc>
        <w:tc>
          <w:tcPr>
            <w:tcW w:w="1140" w:type="dxa"/>
            <w:vAlign w:val="bottom"/>
            <w:gridSpan w:val="2"/>
          </w:tcPr>
          <w:p>
            <w:pPr>
              <w:jc w:val="center"/>
              <w:ind w:left="293"/>
              <w:spacing w:after="0"/>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17"/>
                <w:szCs w:val="17"/>
                <w:color w:val="auto"/>
              </w:rPr>
            </w:pPr>
          </w:p>
        </w:tc>
        <w:tc>
          <w:tcPr>
            <w:tcW w:w="800" w:type="dxa"/>
            <w:vAlign w:val="bottom"/>
            <w:gridSpan w:val="2"/>
          </w:tcPr>
          <w:p>
            <w:pPr>
              <w:ind w:left="80"/>
              <w:spacing w:after="0"/>
              <w:rPr>
                <w:sz w:val="20"/>
                <w:szCs w:val="20"/>
                <w:color w:val="auto"/>
              </w:rPr>
            </w:pPr>
            <w:r>
              <w:rPr>
                <w:rFonts w:ascii="Arial" w:cs="Arial" w:eastAsia="Arial" w:hAnsi="Arial"/>
                <w:sz w:val="14"/>
                <w:szCs w:val="14"/>
                <w:b w:val="1"/>
                <w:bCs w:val="1"/>
                <w:color w:val="auto"/>
              </w:rPr>
              <w:t>Increase</w:t>
            </w:r>
          </w:p>
        </w:tc>
      </w:tr>
      <w:tr>
        <w:trPr>
          <w:trHeight w:val="56"/>
        </w:trPr>
        <w:tc>
          <w:tcPr>
            <w:tcW w:w="60" w:type="dxa"/>
            <w:vAlign w:val="bottom"/>
            <w:tcBorders>
              <w:bottom w:val="single" w:sz="8" w:color="B2B2B2"/>
            </w:tcBorders>
          </w:tcPr>
          <w:p>
            <w:pPr>
              <w:spacing w:after="0"/>
              <w:rPr>
                <w:sz w:val="4"/>
                <w:szCs w:val="4"/>
                <w:color w:val="auto"/>
              </w:rPr>
            </w:pPr>
          </w:p>
        </w:tc>
        <w:tc>
          <w:tcPr>
            <w:tcW w:w="5640" w:type="dxa"/>
            <w:vAlign w:val="bottom"/>
            <w:tcBorders>
              <w:bottom w:val="single" w:sz="8" w:color="auto"/>
            </w:tcBorders>
          </w:tcPr>
          <w:p>
            <w:pPr>
              <w:spacing w:after="0"/>
              <w:rPr>
                <w:sz w:val="4"/>
                <w:szCs w:val="4"/>
                <w:color w:val="auto"/>
              </w:rPr>
            </w:pPr>
          </w:p>
        </w:tc>
        <w:tc>
          <w:tcPr>
            <w:tcW w:w="400" w:type="dxa"/>
            <w:vAlign w:val="bottom"/>
            <w:tcBorders>
              <w:bottom w:val="single" w:sz="8" w:color="B2B2B2"/>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380" w:type="dxa"/>
            <w:vAlign w:val="bottom"/>
            <w:tcBorders>
              <w:bottom w:val="single" w:sz="8" w:color="B2B2B2"/>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380" w:type="dxa"/>
            <w:vAlign w:val="bottom"/>
            <w:tcBorders>
              <w:bottom w:val="single" w:sz="8" w:color="B2B2B2"/>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60" w:type="dxa"/>
            <w:vAlign w:val="bottom"/>
            <w:tcBorders>
              <w:bottom w:val="single" w:sz="8" w:color="B2B2B2"/>
            </w:tcBorders>
          </w:tcPr>
          <w:p>
            <w:pPr>
              <w:spacing w:after="0"/>
              <w:rPr>
                <w:sz w:val="4"/>
                <w:szCs w:val="4"/>
                <w:color w:val="auto"/>
              </w:rPr>
            </w:pPr>
          </w:p>
        </w:tc>
      </w:tr>
      <w:tr>
        <w:trPr>
          <w:trHeight w:val="295"/>
        </w:trPr>
        <w:tc>
          <w:tcPr>
            <w:tcW w:w="60" w:type="dxa"/>
            <w:vAlign w:val="bottom"/>
            <w:shd w:val="clear" w:color="auto" w:fill="B2B2B2"/>
          </w:tcPr>
          <w:p>
            <w:pPr>
              <w:spacing w:after="0"/>
              <w:rPr>
                <w:sz w:val="24"/>
                <w:szCs w:val="24"/>
                <w:color w:val="auto"/>
              </w:rPr>
            </w:pPr>
          </w:p>
        </w:tc>
        <w:tc>
          <w:tcPr>
            <w:tcW w:w="6040" w:type="dxa"/>
            <w:vAlign w:val="bottom"/>
            <w:gridSpan w:val="2"/>
            <w:shd w:val="clear" w:color="auto" w:fill="B2B2B2"/>
          </w:tcPr>
          <w:p>
            <w:pPr>
              <w:ind w:left="20"/>
              <w:spacing w:after="0"/>
              <w:rPr>
                <w:sz w:val="20"/>
                <w:szCs w:val="20"/>
                <w:color w:val="auto"/>
              </w:rPr>
            </w:pPr>
            <w:r>
              <w:rPr>
                <w:rFonts w:ascii="Arial" w:cs="Arial" w:eastAsia="Arial" w:hAnsi="Arial"/>
                <w:sz w:val="18"/>
                <w:szCs w:val="18"/>
                <w:color w:val="auto"/>
              </w:rPr>
              <w:t>Thomas L. Deitrich</w:t>
            </w:r>
          </w:p>
        </w:tc>
        <w:tc>
          <w:tcPr>
            <w:tcW w:w="760" w:type="dxa"/>
            <w:vAlign w:val="bottom"/>
            <w:shd w:val="clear" w:color="auto" w:fill="B2B2B2"/>
          </w:tcPr>
          <w:p>
            <w:pPr>
              <w:jc w:val="center"/>
              <w:spacing w:after="0"/>
              <w:rPr>
                <w:sz w:val="20"/>
                <w:szCs w:val="20"/>
                <w:color w:val="auto"/>
              </w:rPr>
            </w:pPr>
            <w:r>
              <w:rPr>
                <w:rFonts w:ascii="Arial" w:cs="Arial" w:eastAsia="Arial" w:hAnsi="Arial"/>
                <w:sz w:val="18"/>
                <w:szCs w:val="18"/>
                <w:color w:val="auto"/>
                <w:w w:val="98"/>
              </w:rPr>
              <w:t>$800,000</w:t>
            </w:r>
          </w:p>
        </w:tc>
        <w:tc>
          <w:tcPr>
            <w:tcW w:w="1140" w:type="dxa"/>
            <w:vAlign w:val="bottom"/>
            <w:gridSpan w:val="2"/>
            <w:shd w:val="clear" w:color="auto" w:fill="B2B2B2"/>
          </w:tcPr>
          <w:p>
            <w:pPr>
              <w:jc w:val="center"/>
              <w:ind w:left="293"/>
              <w:spacing w:after="0"/>
              <w:rPr>
                <w:sz w:val="20"/>
                <w:szCs w:val="20"/>
                <w:color w:val="auto"/>
              </w:rPr>
            </w:pPr>
            <w:r>
              <w:rPr>
                <w:rFonts w:ascii="Arial" w:cs="Arial" w:eastAsia="Arial" w:hAnsi="Arial"/>
                <w:sz w:val="18"/>
                <w:szCs w:val="18"/>
                <w:color w:val="auto"/>
              </w:rPr>
              <w:t>$800,000</w:t>
            </w:r>
          </w:p>
        </w:tc>
        <w:tc>
          <w:tcPr>
            <w:tcW w:w="380" w:type="dxa"/>
            <w:vAlign w:val="bottom"/>
            <w:shd w:val="clear" w:color="auto" w:fill="B2B2B2"/>
          </w:tcPr>
          <w:p>
            <w:pPr>
              <w:spacing w:after="0"/>
              <w:rPr>
                <w:sz w:val="24"/>
                <w:szCs w:val="24"/>
                <w:color w:val="auto"/>
              </w:rPr>
            </w:pPr>
          </w:p>
        </w:tc>
        <w:tc>
          <w:tcPr>
            <w:tcW w:w="740" w:type="dxa"/>
            <w:vAlign w:val="bottom"/>
            <w:shd w:val="clear" w:color="auto" w:fill="B2B2B2"/>
          </w:tcPr>
          <w:p>
            <w:pPr>
              <w:ind w:left="320"/>
              <w:spacing w:after="0"/>
              <w:rPr>
                <w:sz w:val="20"/>
                <w:szCs w:val="20"/>
                <w:color w:val="auto"/>
              </w:rPr>
            </w:pPr>
            <w:r>
              <w:rPr>
                <w:rFonts w:ascii="Arial" w:cs="Arial" w:eastAsia="Arial" w:hAnsi="Arial"/>
                <w:sz w:val="18"/>
                <w:szCs w:val="18"/>
                <w:color w:val="auto"/>
              </w:rPr>
              <w:t>0%</w:t>
            </w:r>
          </w:p>
        </w:tc>
        <w:tc>
          <w:tcPr>
            <w:tcW w:w="60" w:type="dxa"/>
            <w:vAlign w:val="bottom"/>
            <w:shd w:val="clear" w:color="auto" w:fill="B2B2B2"/>
          </w:tcPr>
          <w:p>
            <w:pPr>
              <w:spacing w:after="0"/>
              <w:rPr>
                <w:sz w:val="24"/>
                <w:szCs w:val="24"/>
                <w:color w:val="auto"/>
              </w:rPr>
            </w:pPr>
          </w:p>
        </w:tc>
      </w:tr>
      <w:tr>
        <w:trPr>
          <w:trHeight w:val="63"/>
        </w:trPr>
        <w:tc>
          <w:tcPr>
            <w:tcW w:w="60" w:type="dxa"/>
            <w:vAlign w:val="bottom"/>
            <w:shd w:val="clear" w:color="auto" w:fill="B2B2B2"/>
          </w:tcPr>
          <w:p>
            <w:pPr>
              <w:spacing w:after="0"/>
              <w:rPr>
                <w:sz w:val="5"/>
                <w:szCs w:val="5"/>
                <w:color w:val="auto"/>
              </w:rPr>
            </w:pPr>
          </w:p>
        </w:tc>
        <w:tc>
          <w:tcPr>
            <w:tcW w:w="5640" w:type="dxa"/>
            <w:vAlign w:val="bottom"/>
            <w:shd w:val="clear" w:color="auto" w:fill="B2B2B2"/>
          </w:tcPr>
          <w:p>
            <w:pPr>
              <w:spacing w:after="0"/>
              <w:rPr>
                <w:sz w:val="5"/>
                <w:szCs w:val="5"/>
                <w:color w:val="auto"/>
              </w:rPr>
            </w:pPr>
          </w:p>
        </w:tc>
        <w:tc>
          <w:tcPr>
            <w:tcW w:w="400" w:type="dxa"/>
            <w:vAlign w:val="bottom"/>
            <w:shd w:val="clear" w:color="auto" w:fill="B2B2B2"/>
          </w:tcPr>
          <w:p>
            <w:pPr>
              <w:spacing w:after="0"/>
              <w:rPr>
                <w:sz w:val="5"/>
                <w:szCs w:val="5"/>
                <w:color w:val="auto"/>
              </w:rPr>
            </w:pPr>
          </w:p>
        </w:tc>
        <w:tc>
          <w:tcPr>
            <w:tcW w:w="760" w:type="dxa"/>
            <w:vAlign w:val="bottom"/>
            <w:shd w:val="clear" w:color="auto" w:fill="B2B2B2"/>
          </w:tcPr>
          <w:p>
            <w:pPr>
              <w:spacing w:after="0"/>
              <w:rPr>
                <w:sz w:val="5"/>
                <w:szCs w:val="5"/>
                <w:color w:val="auto"/>
              </w:rPr>
            </w:pPr>
          </w:p>
        </w:tc>
        <w:tc>
          <w:tcPr>
            <w:tcW w:w="380" w:type="dxa"/>
            <w:vAlign w:val="bottom"/>
            <w:shd w:val="clear" w:color="auto" w:fill="B2B2B2"/>
          </w:tcPr>
          <w:p>
            <w:pPr>
              <w:spacing w:after="0"/>
              <w:rPr>
                <w:sz w:val="5"/>
                <w:szCs w:val="5"/>
                <w:color w:val="auto"/>
              </w:rPr>
            </w:pPr>
          </w:p>
        </w:tc>
        <w:tc>
          <w:tcPr>
            <w:tcW w:w="760" w:type="dxa"/>
            <w:vAlign w:val="bottom"/>
            <w:shd w:val="clear" w:color="auto" w:fill="B2B2B2"/>
          </w:tcPr>
          <w:p>
            <w:pPr>
              <w:spacing w:after="0"/>
              <w:rPr>
                <w:sz w:val="5"/>
                <w:szCs w:val="5"/>
                <w:color w:val="auto"/>
              </w:rPr>
            </w:pPr>
          </w:p>
        </w:tc>
        <w:tc>
          <w:tcPr>
            <w:tcW w:w="380" w:type="dxa"/>
            <w:vAlign w:val="bottom"/>
            <w:shd w:val="clear" w:color="auto" w:fill="B2B2B2"/>
          </w:tcPr>
          <w:p>
            <w:pPr>
              <w:spacing w:after="0"/>
              <w:rPr>
                <w:sz w:val="5"/>
                <w:szCs w:val="5"/>
                <w:color w:val="auto"/>
              </w:rPr>
            </w:pPr>
          </w:p>
        </w:tc>
        <w:tc>
          <w:tcPr>
            <w:tcW w:w="740" w:type="dxa"/>
            <w:vAlign w:val="bottom"/>
            <w:shd w:val="clear" w:color="auto" w:fill="B2B2B2"/>
          </w:tcPr>
          <w:p>
            <w:pPr>
              <w:spacing w:after="0"/>
              <w:rPr>
                <w:sz w:val="5"/>
                <w:szCs w:val="5"/>
                <w:color w:val="auto"/>
              </w:rPr>
            </w:pPr>
          </w:p>
        </w:tc>
        <w:tc>
          <w:tcPr>
            <w:tcW w:w="60" w:type="dxa"/>
            <w:vAlign w:val="bottom"/>
            <w:shd w:val="clear" w:color="auto" w:fill="B2B2B2"/>
          </w:tcPr>
          <w:p>
            <w:pPr>
              <w:spacing w:after="0"/>
              <w:rPr>
                <w:sz w:val="5"/>
                <w:szCs w:val="5"/>
                <w:color w:val="auto"/>
              </w:rPr>
            </w:pPr>
          </w:p>
        </w:tc>
      </w:tr>
      <w:tr>
        <w:trPr>
          <w:trHeight w:val="301"/>
        </w:trPr>
        <w:tc>
          <w:tcPr>
            <w:tcW w:w="60" w:type="dxa"/>
            <w:vAlign w:val="bottom"/>
          </w:tcPr>
          <w:p>
            <w:pPr>
              <w:spacing w:after="0"/>
              <w:rPr>
                <w:sz w:val="24"/>
                <w:szCs w:val="24"/>
                <w:color w:val="auto"/>
              </w:rPr>
            </w:pPr>
          </w:p>
        </w:tc>
        <w:tc>
          <w:tcPr>
            <w:tcW w:w="6040" w:type="dxa"/>
            <w:vAlign w:val="bottom"/>
            <w:gridSpan w:val="2"/>
          </w:tcPr>
          <w:p>
            <w:pPr>
              <w:ind w:left="20"/>
              <w:spacing w:after="0"/>
              <w:rPr>
                <w:sz w:val="20"/>
                <w:szCs w:val="20"/>
                <w:color w:val="auto"/>
              </w:rPr>
            </w:pPr>
            <w:r>
              <w:rPr>
                <w:rFonts w:ascii="Arial" w:cs="Arial" w:eastAsia="Arial" w:hAnsi="Arial"/>
                <w:sz w:val="18"/>
                <w:szCs w:val="18"/>
                <w:color w:val="auto"/>
              </w:rPr>
              <w:t>Joan S. Hooper</w:t>
            </w:r>
          </w:p>
        </w:tc>
        <w:tc>
          <w:tcPr>
            <w:tcW w:w="760" w:type="dxa"/>
            <w:vAlign w:val="bottom"/>
          </w:tcPr>
          <w:p>
            <w:pPr>
              <w:jc w:val="center"/>
              <w:spacing w:after="0"/>
              <w:rPr>
                <w:sz w:val="20"/>
                <w:szCs w:val="20"/>
                <w:color w:val="auto"/>
              </w:rPr>
            </w:pPr>
            <w:r>
              <w:rPr>
                <w:rFonts w:ascii="Arial" w:cs="Arial" w:eastAsia="Arial" w:hAnsi="Arial"/>
                <w:sz w:val="18"/>
                <w:szCs w:val="18"/>
                <w:color w:val="auto"/>
                <w:w w:val="98"/>
              </w:rPr>
              <w:t>$485,000</w:t>
            </w:r>
          </w:p>
        </w:tc>
        <w:tc>
          <w:tcPr>
            <w:tcW w:w="1140" w:type="dxa"/>
            <w:vAlign w:val="bottom"/>
            <w:gridSpan w:val="2"/>
          </w:tcPr>
          <w:p>
            <w:pPr>
              <w:jc w:val="center"/>
              <w:ind w:left="293"/>
              <w:spacing w:after="0"/>
              <w:rPr>
                <w:sz w:val="20"/>
                <w:szCs w:val="20"/>
                <w:color w:val="auto"/>
              </w:rPr>
            </w:pPr>
            <w:r>
              <w:rPr>
                <w:rFonts w:ascii="Arial" w:cs="Arial" w:eastAsia="Arial" w:hAnsi="Arial"/>
                <w:sz w:val="18"/>
                <w:szCs w:val="18"/>
                <w:color w:val="auto"/>
              </w:rPr>
              <w:t>$520,000</w:t>
            </w:r>
          </w:p>
        </w:tc>
        <w:tc>
          <w:tcPr>
            <w:tcW w:w="380" w:type="dxa"/>
            <w:vAlign w:val="bottom"/>
          </w:tcPr>
          <w:p>
            <w:pPr>
              <w:spacing w:after="0"/>
              <w:rPr>
                <w:sz w:val="24"/>
                <w:szCs w:val="24"/>
                <w:color w:val="auto"/>
              </w:rPr>
            </w:pPr>
          </w:p>
        </w:tc>
        <w:tc>
          <w:tcPr>
            <w:tcW w:w="740" w:type="dxa"/>
            <w:vAlign w:val="bottom"/>
          </w:tcPr>
          <w:p>
            <w:pPr>
              <w:ind w:left="320"/>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24"/>
                <w:szCs w:val="24"/>
                <w:color w:val="auto"/>
              </w:rPr>
            </w:pPr>
          </w:p>
        </w:tc>
      </w:tr>
      <w:tr>
        <w:trPr>
          <w:trHeight w:val="63"/>
        </w:trPr>
        <w:tc>
          <w:tcPr>
            <w:tcW w:w="60" w:type="dxa"/>
            <w:vAlign w:val="bottom"/>
          </w:tcPr>
          <w:p>
            <w:pPr>
              <w:spacing w:after="0"/>
              <w:rPr>
                <w:sz w:val="5"/>
                <w:szCs w:val="5"/>
                <w:color w:val="auto"/>
              </w:rPr>
            </w:pPr>
          </w:p>
        </w:tc>
        <w:tc>
          <w:tcPr>
            <w:tcW w:w="56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60" w:type="dxa"/>
            <w:vAlign w:val="bottom"/>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tcPr>
          <w:p>
            <w:pPr>
              <w:spacing w:after="0"/>
              <w:rPr>
                <w:sz w:val="5"/>
                <w:szCs w:val="5"/>
                <w:color w:val="auto"/>
              </w:rPr>
            </w:pPr>
          </w:p>
        </w:tc>
        <w:tc>
          <w:tcPr>
            <w:tcW w:w="3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r>
      <w:tr>
        <w:trPr>
          <w:trHeight w:val="301"/>
        </w:trPr>
        <w:tc>
          <w:tcPr>
            <w:tcW w:w="60" w:type="dxa"/>
            <w:vAlign w:val="bottom"/>
            <w:shd w:val="clear" w:color="auto" w:fill="B2B2B2"/>
          </w:tcPr>
          <w:p>
            <w:pPr>
              <w:spacing w:after="0"/>
              <w:rPr>
                <w:sz w:val="24"/>
                <w:szCs w:val="24"/>
                <w:color w:val="auto"/>
              </w:rPr>
            </w:pPr>
          </w:p>
        </w:tc>
        <w:tc>
          <w:tcPr>
            <w:tcW w:w="6040" w:type="dxa"/>
            <w:vAlign w:val="bottom"/>
            <w:gridSpan w:val="2"/>
            <w:shd w:val="clear" w:color="auto" w:fill="B2B2B2"/>
          </w:tcPr>
          <w:p>
            <w:pPr>
              <w:ind w:left="20"/>
              <w:spacing w:after="0"/>
              <w:rPr>
                <w:sz w:val="20"/>
                <w:szCs w:val="20"/>
                <w:color w:val="auto"/>
              </w:rPr>
            </w:pPr>
            <w:r>
              <w:rPr>
                <w:rFonts w:ascii="Arial" w:cs="Arial" w:eastAsia="Arial" w:hAnsi="Arial"/>
                <w:sz w:val="18"/>
                <w:szCs w:val="18"/>
                <w:color w:val="auto"/>
              </w:rPr>
              <w:t>Sarah E. Hlavinka</w:t>
            </w:r>
          </w:p>
        </w:tc>
        <w:tc>
          <w:tcPr>
            <w:tcW w:w="760" w:type="dxa"/>
            <w:vAlign w:val="bottom"/>
            <w:shd w:val="clear" w:color="auto" w:fill="B2B2B2"/>
          </w:tcPr>
          <w:p>
            <w:pPr>
              <w:jc w:val="center"/>
              <w:spacing w:after="0"/>
              <w:rPr>
                <w:sz w:val="20"/>
                <w:szCs w:val="20"/>
                <w:color w:val="auto"/>
              </w:rPr>
            </w:pPr>
            <w:r>
              <w:rPr>
                <w:rFonts w:ascii="Arial" w:cs="Arial" w:eastAsia="Arial" w:hAnsi="Arial"/>
                <w:sz w:val="18"/>
                <w:szCs w:val="18"/>
                <w:color w:val="auto"/>
                <w:w w:val="98"/>
              </w:rPr>
              <w:t>$475,000</w:t>
            </w:r>
          </w:p>
        </w:tc>
        <w:tc>
          <w:tcPr>
            <w:tcW w:w="1140" w:type="dxa"/>
            <w:vAlign w:val="bottom"/>
            <w:gridSpan w:val="2"/>
            <w:shd w:val="clear" w:color="auto" w:fill="B2B2B2"/>
          </w:tcPr>
          <w:p>
            <w:pPr>
              <w:jc w:val="center"/>
              <w:ind w:left="293"/>
              <w:spacing w:after="0"/>
              <w:rPr>
                <w:sz w:val="20"/>
                <w:szCs w:val="20"/>
                <w:color w:val="auto"/>
              </w:rPr>
            </w:pPr>
            <w:r>
              <w:rPr>
                <w:rFonts w:ascii="Arial" w:cs="Arial" w:eastAsia="Arial" w:hAnsi="Arial"/>
                <w:sz w:val="18"/>
                <w:szCs w:val="18"/>
                <w:color w:val="auto"/>
              </w:rPr>
              <w:t>$475,000</w:t>
            </w:r>
          </w:p>
        </w:tc>
        <w:tc>
          <w:tcPr>
            <w:tcW w:w="380" w:type="dxa"/>
            <w:vAlign w:val="bottom"/>
            <w:shd w:val="clear" w:color="auto" w:fill="B2B2B2"/>
          </w:tcPr>
          <w:p>
            <w:pPr>
              <w:spacing w:after="0"/>
              <w:rPr>
                <w:sz w:val="24"/>
                <w:szCs w:val="24"/>
                <w:color w:val="auto"/>
              </w:rPr>
            </w:pPr>
          </w:p>
        </w:tc>
        <w:tc>
          <w:tcPr>
            <w:tcW w:w="740" w:type="dxa"/>
            <w:vAlign w:val="bottom"/>
            <w:shd w:val="clear" w:color="auto" w:fill="B2B2B2"/>
          </w:tcPr>
          <w:p>
            <w:pPr>
              <w:ind w:left="320"/>
              <w:spacing w:after="0"/>
              <w:rPr>
                <w:sz w:val="20"/>
                <w:szCs w:val="20"/>
                <w:color w:val="auto"/>
              </w:rPr>
            </w:pPr>
            <w:r>
              <w:rPr>
                <w:rFonts w:ascii="Arial" w:cs="Arial" w:eastAsia="Arial" w:hAnsi="Arial"/>
                <w:sz w:val="18"/>
                <w:szCs w:val="18"/>
                <w:color w:val="auto"/>
              </w:rPr>
              <w:t>0%</w:t>
            </w:r>
          </w:p>
        </w:tc>
        <w:tc>
          <w:tcPr>
            <w:tcW w:w="60" w:type="dxa"/>
            <w:vAlign w:val="bottom"/>
            <w:shd w:val="clear" w:color="auto" w:fill="B2B2B2"/>
          </w:tcPr>
          <w:p>
            <w:pPr>
              <w:spacing w:after="0"/>
              <w:rPr>
                <w:sz w:val="24"/>
                <w:szCs w:val="24"/>
                <w:color w:val="auto"/>
              </w:rPr>
            </w:pPr>
          </w:p>
        </w:tc>
      </w:tr>
      <w:tr>
        <w:trPr>
          <w:trHeight w:val="63"/>
        </w:trPr>
        <w:tc>
          <w:tcPr>
            <w:tcW w:w="60" w:type="dxa"/>
            <w:vAlign w:val="bottom"/>
            <w:shd w:val="clear" w:color="auto" w:fill="B2B2B2"/>
          </w:tcPr>
          <w:p>
            <w:pPr>
              <w:spacing w:after="0"/>
              <w:rPr>
                <w:sz w:val="5"/>
                <w:szCs w:val="5"/>
                <w:color w:val="auto"/>
              </w:rPr>
            </w:pPr>
          </w:p>
        </w:tc>
        <w:tc>
          <w:tcPr>
            <w:tcW w:w="5640" w:type="dxa"/>
            <w:vAlign w:val="bottom"/>
            <w:shd w:val="clear" w:color="auto" w:fill="B2B2B2"/>
          </w:tcPr>
          <w:p>
            <w:pPr>
              <w:spacing w:after="0"/>
              <w:rPr>
                <w:sz w:val="5"/>
                <w:szCs w:val="5"/>
                <w:color w:val="auto"/>
              </w:rPr>
            </w:pPr>
          </w:p>
        </w:tc>
        <w:tc>
          <w:tcPr>
            <w:tcW w:w="400" w:type="dxa"/>
            <w:vAlign w:val="bottom"/>
            <w:shd w:val="clear" w:color="auto" w:fill="B2B2B2"/>
          </w:tcPr>
          <w:p>
            <w:pPr>
              <w:spacing w:after="0"/>
              <w:rPr>
                <w:sz w:val="5"/>
                <w:szCs w:val="5"/>
                <w:color w:val="auto"/>
              </w:rPr>
            </w:pPr>
          </w:p>
        </w:tc>
        <w:tc>
          <w:tcPr>
            <w:tcW w:w="760" w:type="dxa"/>
            <w:vAlign w:val="bottom"/>
            <w:shd w:val="clear" w:color="auto" w:fill="B2B2B2"/>
          </w:tcPr>
          <w:p>
            <w:pPr>
              <w:spacing w:after="0"/>
              <w:rPr>
                <w:sz w:val="5"/>
                <w:szCs w:val="5"/>
                <w:color w:val="auto"/>
              </w:rPr>
            </w:pPr>
          </w:p>
        </w:tc>
        <w:tc>
          <w:tcPr>
            <w:tcW w:w="380" w:type="dxa"/>
            <w:vAlign w:val="bottom"/>
            <w:shd w:val="clear" w:color="auto" w:fill="B2B2B2"/>
          </w:tcPr>
          <w:p>
            <w:pPr>
              <w:spacing w:after="0"/>
              <w:rPr>
                <w:sz w:val="5"/>
                <w:szCs w:val="5"/>
                <w:color w:val="auto"/>
              </w:rPr>
            </w:pPr>
          </w:p>
        </w:tc>
        <w:tc>
          <w:tcPr>
            <w:tcW w:w="760" w:type="dxa"/>
            <w:vAlign w:val="bottom"/>
            <w:shd w:val="clear" w:color="auto" w:fill="B2B2B2"/>
          </w:tcPr>
          <w:p>
            <w:pPr>
              <w:spacing w:after="0"/>
              <w:rPr>
                <w:sz w:val="5"/>
                <w:szCs w:val="5"/>
                <w:color w:val="auto"/>
              </w:rPr>
            </w:pPr>
          </w:p>
        </w:tc>
        <w:tc>
          <w:tcPr>
            <w:tcW w:w="380" w:type="dxa"/>
            <w:vAlign w:val="bottom"/>
            <w:shd w:val="clear" w:color="auto" w:fill="B2B2B2"/>
          </w:tcPr>
          <w:p>
            <w:pPr>
              <w:spacing w:after="0"/>
              <w:rPr>
                <w:sz w:val="5"/>
                <w:szCs w:val="5"/>
                <w:color w:val="auto"/>
              </w:rPr>
            </w:pPr>
          </w:p>
        </w:tc>
        <w:tc>
          <w:tcPr>
            <w:tcW w:w="740" w:type="dxa"/>
            <w:vAlign w:val="bottom"/>
            <w:shd w:val="clear" w:color="auto" w:fill="B2B2B2"/>
          </w:tcPr>
          <w:p>
            <w:pPr>
              <w:spacing w:after="0"/>
              <w:rPr>
                <w:sz w:val="5"/>
                <w:szCs w:val="5"/>
                <w:color w:val="auto"/>
              </w:rPr>
            </w:pPr>
          </w:p>
        </w:tc>
        <w:tc>
          <w:tcPr>
            <w:tcW w:w="60" w:type="dxa"/>
            <w:vAlign w:val="bottom"/>
            <w:shd w:val="clear" w:color="auto" w:fill="B2B2B2"/>
          </w:tcPr>
          <w:p>
            <w:pPr>
              <w:spacing w:after="0"/>
              <w:rPr>
                <w:sz w:val="5"/>
                <w:szCs w:val="5"/>
                <w:color w:val="auto"/>
              </w:rPr>
            </w:pPr>
          </w:p>
        </w:tc>
      </w:tr>
      <w:tr>
        <w:trPr>
          <w:trHeight w:val="301"/>
        </w:trPr>
        <w:tc>
          <w:tcPr>
            <w:tcW w:w="60" w:type="dxa"/>
            <w:vAlign w:val="bottom"/>
          </w:tcPr>
          <w:p>
            <w:pPr>
              <w:spacing w:after="0"/>
              <w:rPr>
                <w:sz w:val="24"/>
                <w:szCs w:val="24"/>
                <w:color w:val="auto"/>
              </w:rPr>
            </w:pPr>
          </w:p>
        </w:tc>
        <w:tc>
          <w:tcPr>
            <w:tcW w:w="6040" w:type="dxa"/>
            <w:vAlign w:val="bottom"/>
            <w:gridSpan w:val="2"/>
          </w:tcPr>
          <w:p>
            <w:pPr>
              <w:ind w:left="20"/>
              <w:spacing w:after="0"/>
              <w:rPr>
                <w:sz w:val="20"/>
                <w:szCs w:val="20"/>
                <w:color w:val="auto"/>
              </w:rPr>
            </w:pPr>
            <w:r>
              <w:rPr>
                <w:rFonts w:ascii="Arial" w:cs="Arial" w:eastAsia="Arial" w:hAnsi="Arial"/>
                <w:sz w:val="18"/>
                <w:szCs w:val="18"/>
                <w:color w:val="auto"/>
              </w:rPr>
              <w:t>Michel C. Cadieux</w:t>
            </w:r>
          </w:p>
        </w:tc>
        <w:tc>
          <w:tcPr>
            <w:tcW w:w="760" w:type="dxa"/>
            <w:vAlign w:val="bottom"/>
          </w:tcPr>
          <w:p>
            <w:pPr>
              <w:jc w:val="center"/>
              <w:spacing w:after="0"/>
              <w:rPr>
                <w:sz w:val="20"/>
                <w:szCs w:val="20"/>
                <w:color w:val="auto"/>
              </w:rPr>
            </w:pPr>
            <w:r>
              <w:rPr>
                <w:rFonts w:ascii="Arial" w:cs="Arial" w:eastAsia="Arial" w:hAnsi="Arial"/>
                <w:sz w:val="18"/>
                <w:szCs w:val="18"/>
                <w:color w:val="auto"/>
                <w:w w:val="98"/>
              </w:rPr>
              <w:t>$400,000</w:t>
            </w:r>
          </w:p>
        </w:tc>
        <w:tc>
          <w:tcPr>
            <w:tcW w:w="1140" w:type="dxa"/>
            <w:vAlign w:val="bottom"/>
            <w:gridSpan w:val="2"/>
          </w:tcPr>
          <w:p>
            <w:pPr>
              <w:jc w:val="center"/>
              <w:ind w:left="293"/>
              <w:spacing w:after="0"/>
              <w:rPr>
                <w:sz w:val="20"/>
                <w:szCs w:val="20"/>
                <w:color w:val="auto"/>
              </w:rPr>
            </w:pPr>
            <w:r>
              <w:rPr>
                <w:rFonts w:ascii="Arial" w:cs="Arial" w:eastAsia="Arial" w:hAnsi="Arial"/>
                <w:sz w:val="18"/>
                <w:szCs w:val="18"/>
                <w:color w:val="auto"/>
              </w:rPr>
              <w:t>$410,000</w:t>
            </w:r>
          </w:p>
        </w:tc>
        <w:tc>
          <w:tcPr>
            <w:tcW w:w="380" w:type="dxa"/>
            <w:vAlign w:val="bottom"/>
          </w:tcPr>
          <w:p>
            <w:pPr>
              <w:spacing w:after="0"/>
              <w:rPr>
                <w:sz w:val="24"/>
                <w:szCs w:val="24"/>
                <w:color w:val="auto"/>
              </w:rPr>
            </w:pPr>
          </w:p>
        </w:tc>
        <w:tc>
          <w:tcPr>
            <w:tcW w:w="740" w:type="dxa"/>
            <w:vAlign w:val="bottom"/>
          </w:tcPr>
          <w:p>
            <w:pPr>
              <w:ind w:left="32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24"/>
                <w:szCs w:val="24"/>
                <w:color w:val="auto"/>
              </w:rPr>
            </w:pPr>
          </w:p>
        </w:tc>
      </w:tr>
      <w:tr>
        <w:trPr>
          <w:trHeight w:val="63"/>
        </w:trPr>
        <w:tc>
          <w:tcPr>
            <w:tcW w:w="60" w:type="dxa"/>
            <w:vAlign w:val="bottom"/>
          </w:tcPr>
          <w:p>
            <w:pPr>
              <w:spacing w:after="0"/>
              <w:rPr>
                <w:sz w:val="5"/>
                <w:szCs w:val="5"/>
                <w:color w:val="auto"/>
              </w:rPr>
            </w:pPr>
          </w:p>
        </w:tc>
        <w:tc>
          <w:tcPr>
            <w:tcW w:w="56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60" w:type="dxa"/>
            <w:vAlign w:val="bottom"/>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tcPr>
          <w:p>
            <w:pPr>
              <w:spacing w:after="0"/>
              <w:rPr>
                <w:sz w:val="5"/>
                <w:szCs w:val="5"/>
                <w:color w:val="auto"/>
              </w:rPr>
            </w:pPr>
          </w:p>
        </w:tc>
        <w:tc>
          <w:tcPr>
            <w:tcW w:w="3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r>
      <w:tr>
        <w:trPr>
          <w:trHeight w:val="311"/>
        </w:trPr>
        <w:tc>
          <w:tcPr>
            <w:tcW w:w="60" w:type="dxa"/>
            <w:vAlign w:val="bottom"/>
            <w:shd w:val="clear" w:color="auto" w:fill="B2B2B2"/>
          </w:tcPr>
          <w:p>
            <w:pPr>
              <w:spacing w:after="0"/>
              <w:rPr>
                <w:sz w:val="24"/>
                <w:szCs w:val="24"/>
                <w:color w:val="auto"/>
              </w:rPr>
            </w:pPr>
          </w:p>
        </w:tc>
        <w:tc>
          <w:tcPr>
            <w:tcW w:w="6040" w:type="dxa"/>
            <w:vAlign w:val="bottom"/>
            <w:gridSpan w:val="2"/>
            <w:shd w:val="clear" w:color="auto" w:fill="B2B2B2"/>
          </w:tcPr>
          <w:p>
            <w:pPr>
              <w:ind w:left="20"/>
              <w:spacing w:after="0"/>
              <w:rPr>
                <w:sz w:val="20"/>
                <w:szCs w:val="20"/>
                <w:color w:val="auto"/>
              </w:rPr>
            </w:pPr>
            <w:r>
              <w:rPr>
                <w:rFonts w:ascii="Arial" w:cs="Arial" w:eastAsia="Arial" w:hAnsi="Arial"/>
                <w:sz w:val="18"/>
                <w:szCs w:val="18"/>
                <w:color w:val="auto"/>
              </w:rPr>
              <w:t>Donald L. Reeves III</w:t>
            </w:r>
          </w:p>
        </w:tc>
        <w:tc>
          <w:tcPr>
            <w:tcW w:w="760" w:type="dxa"/>
            <w:vAlign w:val="bottom"/>
            <w:shd w:val="clear" w:color="auto" w:fill="B2B2B2"/>
          </w:tcPr>
          <w:p>
            <w:pPr>
              <w:jc w:val="center"/>
              <w:spacing w:after="0"/>
              <w:rPr>
                <w:sz w:val="20"/>
                <w:szCs w:val="20"/>
                <w:color w:val="auto"/>
              </w:rPr>
            </w:pPr>
            <w:r>
              <w:rPr>
                <w:rFonts w:ascii="Arial" w:cs="Arial" w:eastAsia="Arial" w:hAnsi="Arial"/>
                <w:sz w:val="18"/>
                <w:szCs w:val="18"/>
                <w:color w:val="auto"/>
                <w:w w:val="98"/>
              </w:rPr>
              <w:t>$425,000</w:t>
            </w:r>
          </w:p>
        </w:tc>
        <w:tc>
          <w:tcPr>
            <w:tcW w:w="1140" w:type="dxa"/>
            <w:vAlign w:val="bottom"/>
            <w:gridSpan w:val="2"/>
            <w:shd w:val="clear" w:color="auto" w:fill="B2B2B2"/>
          </w:tcPr>
          <w:p>
            <w:pPr>
              <w:jc w:val="center"/>
              <w:ind w:left="293"/>
              <w:spacing w:after="0"/>
              <w:rPr>
                <w:sz w:val="20"/>
                <w:szCs w:val="20"/>
                <w:color w:val="auto"/>
              </w:rPr>
            </w:pPr>
            <w:r>
              <w:rPr>
                <w:rFonts w:ascii="Arial" w:cs="Arial" w:eastAsia="Arial" w:hAnsi="Arial"/>
                <w:sz w:val="18"/>
                <w:szCs w:val="18"/>
                <w:color w:val="auto"/>
              </w:rPr>
              <w:t>$425,000</w:t>
            </w:r>
          </w:p>
        </w:tc>
        <w:tc>
          <w:tcPr>
            <w:tcW w:w="380" w:type="dxa"/>
            <w:vAlign w:val="bottom"/>
            <w:shd w:val="clear" w:color="auto" w:fill="B2B2B2"/>
          </w:tcPr>
          <w:p>
            <w:pPr>
              <w:spacing w:after="0"/>
              <w:rPr>
                <w:sz w:val="24"/>
                <w:szCs w:val="24"/>
                <w:color w:val="auto"/>
              </w:rPr>
            </w:pPr>
          </w:p>
        </w:tc>
        <w:tc>
          <w:tcPr>
            <w:tcW w:w="740" w:type="dxa"/>
            <w:vAlign w:val="bottom"/>
            <w:shd w:val="clear" w:color="auto" w:fill="B2B2B2"/>
          </w:tcPr>
          <w:p>
            <w:pPr>
              <w:ind w:left="320"/>
              <w:spacing w:after="0"/>
              <w:rPr>
                <w:sz w:val="20"/>
                <w:szCs w:val="20"/>
                <w:color w:val="auto"/>
              </w:rPr>
            </w:pPr>
            <w:r>
              <w:rPr>
                <w:rFonts w:ascii="Arial" w:cs="Arial" w:eastAsia="Arial" w:hAnsi="Arial"/>
                <w:sz w:val="18"/>
                <w:szCs w:val="18"/>
                <w:color w:val="auto"/>
              </w:rPr>
              <w:t>0%</w:t>
            </w:r>
          </w:p>
        </w:tc>
        <w:tc>
          <w:tcPr>
            <w:tcW w:w="60" w:type="dxa"/>
            <w:vAlign w:val="bottom"/>
            <w:shd w:val="clear" w:color="auto" w:fill="B2B2B2"/>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5795010</wp:posOffset>
            </wp:positionH>
            <wp:positionV relativeFrom="paragraph">
              <wp:posOffset>-1130935</wp:posOffset>
            </wp:positionV>
            <wp:extent cx="3429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5083175</wp:posOffset>
            </wp:positionH>
            <wp:positionV relativeFrom="paragraph">
              <wp:posOffset>-1130935</wp:posOffset>
            </wp:positionV>
            <wp:extent cx="24003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4363085</wp:posOffset>
            </wp:positionH>
            <wp:positionV relativeFrom="paragraph">
              <wp:posOffset>-1130935</wp:posOffset>
            </wp:positionV>
            <wp:extent cx="24003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3617595</wp:posOffset>
            </wp:positionH>
            <wp:positionV relativeFrom="paragraph">
              <wp:posOffset>-1130935</wp:posOffset>
            </wp:positionV>
            <wp:extent cx="25717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5717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-1130935</wp:posOffset>
            </wp:positionV>
            <wp:extent cx="431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52"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Annual Cash Incentives: The Executive Management Incentive Plan (EMIP)</w:t>
      </w:r>
    </w:p>
    <w:p>
      <w:pPr>
        <w:spacing w:after="0" w:line="173" w:lineRule="exact"/>
        <w:rPr>
          <w:sz w:val="20"/>
          <w:szCs w:val="20"/>
          <w:color w:val="auto"/>
        </w:rPr>
      </w:pPr>
    </w:p>
    <w:p>
      <w:pPr>
        <w:ind w:left="6" w:right="40"/>
        <w:spacing w:after="0" w:line="241" w:lineRule="auto"/>
        <w:rPr>
          <w:sz w:val="20"/>
          <w:szCs w:val="20"/>
          <w:color w:val="auto"/>
        </w:rPr>
      </w:pPr>
      <w:r>
        <w:rPr>
          <w:rFonts w:ascii="Arial" w:cs="Arial" w:eastAsia="Arial" w:hAnsi="Arial"/>
          <w:sz w:val="18"/>
          <w:szCs w:val="18"/>
          <w:color w:val="auto"/>
        </w:rPr>
        <w:t>The 2020 EMIP provided our NEOs the opportunity to earn a performance-based annual cash bonus. Actual bonus payouts depend on the achievement of pre-established financial performance objectives and can range from 0% to 150% of target award amounts. Target annual bonus opportunities are expressed as a p ercentage of base salary and were established by the NEO’s level of responsibility and his or her ability to impact overall results. The Committee also considers market data in setting target award amounts. Other than an increase from 50% of base salary to 60% of base salary for Mr. Reeves to better align his target award opportunity with his role, target award opportunities for 2020 remained unchanged from 2019, and were as follows:</w:t>
      </w:r>
    </w:p>
    <w:p>
      <w:pPr>
        <w:spacing w:after="0" w:line="105" w:lineRule="exact"/>
        <w:rPr>
          <w:sz w:val="20"/>
          <w:szCs w:val="20"/>
          <w:color w:val="auto"/>
        </w:rPr>
      </w:pPr>
    </w:p>
    <w:tbl>
      <w:tblPr>
        <w:tblLayout w:type="fixed"/>
        <w:tblInd w:w="6"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Target EMIP</w:t>
            </w:r>
          </w:p>
        </w:tc>
      </w:tr>
      <w:tr>
        <w:trPr>
          <w:trHeight w:val="162"/>
        </w:trPr>
        <w:tc>
          <w:tcPr>
            <w:tcW w:w="4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(as a % of</w:t>
            </w:r>
          </w:p>
        </w:tc>
      </w:tr>
      <w:tr>
        <w:trPr>
          <w:trHeight w:val="162"/>
        </w:trPr>
        <w:tc>
          <w:tcPr>
            <w:tcW w:w="4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Base</w:t>
            </w:r>
          </w:p>
        </w:tc>
      </w:tr>
      <w:tr>
        <w:trPr>
          <w:trHeight w:val="202"/>
        </w:trPr>
        <w:tc>
          <w:tcPr>
            <w:tcW w:w="40" w:type="dxa"/>
            <w:vAlign w:val="bottom"/>
          </w:tcPr>
          <w:p>
            <w:pPr>
              <w:spacing w:after="0"/>
              <w:rPr>
                <w:sz w:val="17"/>
                <w:szCs w:val="17"/>
                <w:color w:val="auto"/>
              </w:rPr>
            </w:pPr>
          </w:p>
        </w:tc>
        <w:tc>
          <w:tcPr>
            <w:tcW w:w="8220" w:type="dxa"/>
            <w:vAlign w:val="bottom"/>
            <w:gridSpan w:val="2"/>
          </w:tcPr>
          <w:p>
            <w:pPr>
              <w:ind w:left="40"/>
              <w:spacing w:after="0"/>
              <w:rPr>
                <w:sz w:val="20"/>
                <w:szCs w:val="20"/>
                <w:color w:val="auto"/>
              </w:rPr>
            </w:pPr>
            <w:r>
              <w:rPr>
                <w:rFonts w:ascii="Arial" w:cs="Arial" w:eastAsia="Arial" w:hAnsi="Arial"/>
                <w:sz w:val="14"/>
                <w:szCs w:val="14"/>
                <w:b w:val="1"/>
                <w:bCs w:val="1"/>
                <w:color w:val="auto"/>
              </w:rPr>
              <w:t>NEO</w:t>
            </w:r>
          </w:p>
        </w:tc>
        <w:tc>
          <w:tcPr>
            <w:tcW w:w="9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Salary)</w:t>
            </w:r>
          </w:p>
        </w:tc>
      </w:tr>
      <w:tr>
        <w:trPr>
          <w:trHeight w:val="56"/>
        </w:trPr>
        <w:tc>
          <w:tcPr>
            <w:tcW w:w="40" w:type="dxa"/>
            <w:vAlign w:val="bottom"/>
            <w:tcBorders>
              <w:bottom w:val="single" w:sz="8" w:color="B2B2B2"/>
            </w:tcBorders>
          </w:tcPr>
          <w:p>
            <w:pPr>
              <w:spacing w:after="0"/>
              <w:rPr>
                <w:sz w:val="4"/>
                <w:szCs w:val="4"/>
                <w:color w:val="auto"/>
              </w:rPr>
            </w:pPr>
          </w:p>
        </w:tc>
        <w:tc>
          <w:tcPr>
            <w:tcW w:w="7560" w:type="dxa"/>
            <w:vAlign w:val="bottom"/>
            <w:tcBorders>
              <w:bottom w:val="single" w:sz="8" w:color="auto"/>
            </w:tcBorders>
          </w:tcPr>
          <w:p>
            <w:pPr>
              <w:spacing w:after="0"/>
              <w:rPr>
                <w:sz w:val="4"/>
                <w:szCs w:val="4"/>
                <w:color w:val="auto"/>
              </w:rPr>
            </w:pPr>
          </w:p>
        </w:tc>
        <w:tc>
          <w:tcPr>
            <w:tcW w:w="660" w:type="dxa"/>
            <w:vAlign w:val="bottom"/>
            <w:tcBorders>
              <w:bottom w:val="single" w:sz="8" w:color="B2B2B2"/>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0" w:type="dxa"/>
            <w:vAlign w:val="bottom"/>
            <w:tcBorders>
              <w:bottom w:val="single" w:sz="8" w:color="B2B2B2"/>
            </w:tcBorders>
          </w:tcPr>
          <w:p>
            <w:pPr>
              <w:spacing w:after="0"/>
              <w:rPr>
                <w:sz w:val="4"/>
                <w:szCs w:val="4"/>
                <w:color w:val="auto"/>
              </w:rPr>
            </w:pPr>
          </w:p>
        </w:tc>
      </w:tr>
      <w:tr>
        <w:trPr>
          <w:trHeight w:val="295"/>
        </w:trPr>
        <w:tc>
          <w:tcPr>
            <w:tcW w:w="40" w:type="dxa"/>
            <w:vAlign w:val="bottom"/>
            <w:shd w:val="clear" w:color="auto" w:fill="B2B2B2"/>
          </w:tcPr>
          <w:p>
            <w:pPr>
              <w:spacing w:after="0"/>
              <w:rPr>
                <w:sz w:val="24"/>
                <w:szCs w:val="24"/>
                <w:color w:val="auto"/>
              </w:rPr>
            </w:pPr>
          </w:p>
        </w:tc>
        <w:tc>
          <w:tcPr>
            <w:tcW w:w="8220" w:type="dxa"/>
            <w:vAlign w:val="bottom"/>
            <w:gridSpan w:val="2"/>
            <w:shd w:val="clear" w:color="auto" w:fill="B2B2B2"/>
          </w:tcPr>
          <w:p>
            <w:pPr>
              <w:ind w:left="40"/>
              <w:spacing w:after="0"/>
              <w:rPr>
                <w:sz w:val="20"/>
                <w:szCs w:val="20"/>
                <w:color w:val="auto"/>
              </w:rPr>
            </w:pPr>
            <w:r>
              <w:rPr>
                <w:rFonts w:ascii="Arial" w:cs="Arial" w:eastAsia="Arial" w:hAnsi="Arial"/>
                <w:sz w:val="18"/>
                <w:szCs w:val="18"/>
                <w:color w:val="auto"/>
              </w:rPr>
              <w:t>Thomas L. Deitrich</w:t>
            </w:r>
          </w:p>
        </w:tc>
        <w:tc>
          <w:tcPr>
            <w:tcW w:w="840" w:type="dxa"/>
            <w:vAlign w:val="bottom"/>
            <w:shd w:val="clear" w:color="auto" w:fill="B2B2B2"/>
          </w:tcPr>
          <w:p>
            <w:pPr>
              <w:jc w:val="right"/>
              <w:ind w:right="18"/>
              <w:spacing w:after="0"/>
              <w:rPr>
                <w:sz w:val="20"/>
                <w:szCs w:val="20"/>
                <w:color w:val="auto"/>
              </w:rPr>
            </w:pPr>
            <w:r>
              <w:rPr>
                <w:rFonts w:ascii="Arial" w:cs="Arial" w:eastAsia="Arial" w:hAnsi="Arial"/>
                <w:sz w:val="18"/>
                <w:szCs w:val="18"/>
                <w:color w:val="auto"/>
              </w:rPr>
              <w:t>125%</w:t>
            </w:r>
          </w:p>
        </w:tc>
        <w:tc>
          <w:tcPr>
            <w:tcW w:w="80" w:type="dxa"/>
            <w:vAlign w:val="bottom"/>
            <w:shd w:val="clear" w:color="auto" w:fill="B2B2B2"/>
          </w:tcPr>
          <w:p>
            <w:pPr>
              <w:spacing w:after="0"/>
              <w:rPr>
                <w:sz w:val="24"/>
                <w:szCs w:val="24"/>
                <w:color w:val="auto"/>
              </w:rPr>
            </w:pPr>
          </w:p>
        </w:tc>
      </w:tr>
      <w:tr>
        <w:trPr>
          <w:trHeight w:val="63"/>
        </w:trPr>
        <w:tc>
          <w:tcPr>
            <w:tcW w:w="40" w:type="dxa"/>
            <w:vAlign w:val="bottom"/>
            <w:shd w:val="clear" w:color="auto" w:fill="B2B2B2"/>
          </w:tcPr>
          <w:p>
            <w:pPr>
              <w:spacing w:after="0"/>
              <w:rPr>
                <w:sz w:val="5"/>
                <w:szCs w:val="5"/>
                <w:color w:val="auto"/>
              </w:rPr>
            </w:pPr>
          </w:p>
        </w:tc>
        <w:tc>
          <w:tcPr>
            <w:tcW w:w="7560" w:type="dxa"/>
            <w:vAlign w:val="bottom"/>
            <w:shd w:val="clear" w:color="auto" w:fill="B2B2B2"/>
          </w:tcPr>
          <w:p>
            <w:pPr>
              <w:spacing w:after="0"/>
              <w:rPr>
                <w:sz w:val="5"/>
                <w:szCs w:val="5"/>
                <w:color w:val="auto"/>
              </w:rPr>
            </w:pPr>
          </w:p>
        </w:tc>
        <w:tc>
          <w:tcPr>
            <w:tcW w:w="660" w:type="dxa"/>
            <w:vAlign w:val="bottom"/>
            <w:shd w:val="clear" w:color="auto" w:fill="B2B2B2"/>
          </w:tcPr>
          <w:p>
            <w:pPr>
              <w:spacing w:after="0"/>
              <w:rPr>
                <w:sz w:val="5"/>
                <w:szCs w:val="5"/>
                <w:color w:val="auto"/>
              </w:rPr>
            </w:pPr>
          </w:p>
        </w:tc>
        <w:tc>
          <w:tcPr>
            <w:tcW w:w="840" w:type="dxa"/>
            <w:vAlign w:val="bottom"/>
            <w:shd w:val="clear" w:color="auto" w:fill="B2B2B2"/>
          </w:tcPr>
          <w:p>
            <w:pPr>
              <w:spacing w:after="0"/>
              <w:rPr>
                <w:sz w:val="5"/>
                <w:szCs w:val="5"/>
                <w:color w:val="auto"/>
              </w:rPr>
            </w:pPr>
          </w:p>
        </w:tc>
        <w:tc>
          <w:tcPr>
            <w:tcW w:w="80" w:type="dxa"/>
            <w:vAlign w:val="bottom"/>
            <w:shd w:val="clear" w:color="auto" w:fill="B2B2B2"/>
          </w:tcPr>
          <w:p>
            <w:pPr>
              <w:spacing w:after="0"/>
              <w:rPr>
                <w:sz w:val="5"/>
                <w:szCs w:val="5"/>
                <w:color w:val="auto"/>
              </w:rPr>
            </w:pPr>
          </w:p>
        </w:tc>
      </w:tr>
      <w:tr>
        <w:trPr>
          <w:trHeight w:val="301"/>
        </w:trPr>
        <w:tc>
          <w:tcPr>
            <w:tcW w:w="40" w:type="dxa"/>
            <w:vAlign w:val="bottom"/>
          </w:tcPr>
          <w:p>
            <w:pPr>
              <w:spacing w:after="0"/>
              <w:rPr>
                <w:sz w:val="24"/>
                <w:szCs w:val="24"/>
                <w:color w:val="auto"/>
              </w:rPr>
            </w:pPr>
          </w:p>
        </w:tc>
        <w:tc>
          <w:tcPr>
            <w:tcW w:w="8220" w:type="dxa"/>
            <w:vAlign w:val="bottom"/>
            <w:gridSpan w:val="2"/>
          </w:tcPr>
          <w:p>
            <w:pPr>
              <w:ind w:left="40"/>
              <w:spacing w:after="0"/>
              <w:rPr>
                <w:sz w:val="20"/>
                <w:szCs w:val="20"/>
                <w:color w:val="auto"/>
              </w:rPr>
            </w:pPr>
            <w:r>
              <w:rPr>
                <w:rFonts w:ascii="Arial" w:cs="Arial" w:eastAsia="Arial" w:hAnsi="Arial"/>
                <w:sz w:val="18"/>
                <w:szCs w:val="18"/>
                <w:color w:val="auto"/>
              </w:rPr>
              <w:t>Joan S. Hooper</w:t>
            </w:r>
          </w:p>
        </w:tc>
        <w:tc>
          <w:tcPr>
            <w:tcW w:w="840" w:type="dxa"/>
            <w:vAlign w:val="bottom"/>
          </w:tcPr>
          <w:p>
            <w:pPr>
              <w:jc w:val="right"/>
              <w:ind w:right="18"/>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24"/>
                <w:szCs w:val="24"/>
                <w:color w:val="auto"/>
              </w:rPr>
            </w:pPr>
          </w:p>
        </w:tc>
      </w:tr>
      <w:tr>
        <w:trPr>
          <w:trHeight w:val="64"/>
        </w:trPr>
        <w:tc>
          <w:tcPr>
            <w:tcW w:w="40" w:type="dxa"/>
            <w:vAlign w:val="bottom"/>
          </w:tcPr>
          <w:p>
            <w:pPr>
              <w:spacing w:after="0"/>
              <w:rPr>
                <w:sz w:val="5"/>
                <w:szCs w:val="5"/>
                <w:color w:val="auto"/>
              </w:rPr>
            </w:pPr>
          </w:p>
        </w:tc>
        <w:tc>
          <w:tcPr>
            <w:tcW w:w="7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r>
      <w:tr>
        <w:trPr>
          <w:trHeight w:val="301"/>
        </w:trPr>
        <w:tc>
          <w:tcPr>
            <w:tcW w:w="40" w:type="dxa"/>
            <w:vAlign w:val="bottom"/>
            <w:shd w:val="clear" w:color="auto" w:fill="B2B2B2"/>
          </w:tcPr>
          <w:p>
            <w:pPr>
              <w:spacing w:after="0"/>
              <w:rPr>
                <w:sz w:val="24"/>
                <w:szCs w:val="24"/>
                <w:color w:val="auto"/>
              </w:rPr>
            </w:pPr>
          </w:p>
        </w:tc>
        <w:tc>
          <w:tcPr>
            <w:tcW w:w="8220" w:type="dxa"/>
            <w:vAlign w:val="bottom"/>
            <w:gridSpan w:val="2"/>
            <w:shd w:val="clear" w:color="auto" w:fill="B2B2B2"/>
          </w:tcPr>
          <w:p>
            <w:pPr>
              <w:ind w:left="40"/>
              <w:spacing w:after="0"/>
              <w:rPr>
                <w:sz w:val="20"/>
                <w:szCs w:val="20"/>
                <w:color w:val="auto"/>
              </w:rPr>
            </w:pPr>
            <w:r>
              <w:rPr>
                <w:rFonts w:ascii="Arial" w:cs="Arial" w:eastAsia="Arial" w:hAnsi="Arial"/>
                <w:sz w:val="18"/>
                <w:szCs w:val="18"/>
                <w:color w:val="auto"/>
              </w:rPr>
              <w:t>Sarah E. Hlavinka</w:t>
            </w:r>
          </w:p>
        </w:tc>
        <w:tc>
          <w:tcPr>
            <w:tcW w:w="840" w:type="dxa"/>
            <w:vAlign w:val="bottom"/>
            <w:shd w:val="clear" w:color="auto" w:fill="B2B2B2"/>
          </w:tcPr>
          <w:p>
            <w:pPr>
              <w:jc w:val="right"/>
              <w:ind w:right="18"/>
              <w:spacing w:after="0"/>
              <w:rPr>
                <w:sz w:val="20"/>
                <w:szCs w:val="20"/>
                <w:color w:val="auto"/>
              </w:rPr>
            </w:pPr>
            <w:r>
              <w:rPr>
                <w:rFonts w:ascii="Arial" w:cs="Arial" w:eastAsia="Arial" w:hAnsi="Arial"/>
                <w:sz w:val="18"/>
                <w:szCs w:val="18"/>
                <w:color w:val="auto"/>
              </w:rPr>
              <w:t>75%</w:t>
            </w:r>
          </w:p>
        </w:tc>
        <w:tc>
          <w:tcPr>
            <w:tcW w:w="80" w:type="dxa"/>
            <w:vAlign w:val="bottom"/>
            <w:shd w:val="clear" w:color="auto" w:fill="B2B2B2"/>
          </w:tcPr>
          <w:p>
            <w:pPr>
              <w:spacing w:after="0"/>
              <w:rPr>
                <w:sz w:val="24"/>
                <w:szCs w:val="24"/>
                <w:color w:val="auto"/>
              </w:rPr>
            </w:pPr>
          </w:p>
        </w:tc>
      </w:tr>
      <w:tr>
        <w:trPr>
          <w:trHeight w:val="64"/>
        </w:trPr>
        <w:tc>
          <w:tcPr>
            <w:tcW w:w="40" w:type="dxa"/>
            <w:vAlign w:val="bottom"/>
            <w:shd w:val="clear" w:color="auto" w:fill="B2B2B2"/>
          </w:tcPr>
          <w:p>
            <w:pPr>
              <w:spacing w:after="0"/>
              <w:rPr>
                <w:sz w:val="5"/>
                <w:szCs w:val="5"/>
                <w:color w:val="auto"/>
              </w:rPr>
            </w:pPr>
          </w:p>
        </w:tc>
        <w:tc>
          <w:tcPr>
            <w:tcW w:w="7560" w:type="dxa"/>
            <w:vAlign w:val="bottom"/>
            <w:shd w:val="clear" w:color="auto" w:fill="B2B2B2"/>
          </w:tcPr>
          <w:p>
            <w:pPr>
              <w:spacing w:after="0"/>
              <w:rPr>
                <w:sz w:val="5"/>
                <w:szCs w:val="5"/>
                <w:color w:val="auto"/>
              </w:rPr>
            </w:pPr>
          </w:p>
        </w:tc>
        <w:tc>
          <w:tcPr>
            <w:tcW w:w="660" w:type="dxa"/>
            <w:vAlign w:val="bottom"/>
            <w:shd w:val="clear" w:color="auto" w:fill="B2B2B2"/>
          </w:tcPr>
          <w:p>
            <w:pPr>
              <w:spacing w:after="0"/>
              <w:rPr>
                <w:sz w:val="5"/>
                <w:szCs w:val="5"/>
                <w:color w:val="auto"/>
              </w:rPr>
            </w:pPr>
          </w:p>
        </w:tc>
        <w:tc>
          <w:tcPr>
            <w:tcW w:w="840" w:type="dxa"/>
            <w:vAlign w:val="bottom"/>
            <w:shd w:val="clear" w:color="auto" w:fill="B2B2B2"/>
          </w:tcPr>
          <w:p>
            <w:pPr>
              <w:spacing w:after="0"/>
              <w:rPr>
                <w:sz w:val="5"/>
                <w:szCs w:val="5"/>
                <w:color w:val="auto"/>
              </w:rPr>
            </w:pPr>
          </w:p>
        </w:tc>
        <w:tc>
          <w:tcPr>
            <w:tcW w:w="80" w:type="dxa"/>
            <w:vAlign w:val="bottom"/>
            <w:shd w:val="clear" w:color="auto" w:fill="B2B2B2"/>
          </w:tcPr>
          <w:p>
            <w:pPr>
              <w:spacing w:after="0"/>
              <w:rPr>
                <w:sz w:val="5"/>
                <w:szCs w:val="5"/>
                <w:color w:val="auto"/>
              </w:rPr>
            </w:pPr>
          </w:p>
        </w:tc>
      </w:tr>
      <w:tr>
        <w:trPr>
          <w:trHeight w:val="301"/>
        </w:trPr>
        <w:tc>
          <w:tcPr>
            <w:tcW w:w="40" w:type="dxa"/>
            <w:vAlign w:val="bottom"/>
          </w:tcPr>
          <w:p>
            <w:pPr>
              <w:spacing w:after="0"/>
              <w:rPr>
                <w:sz w:val="24"/>
                <w:szCs w:val="24"/>
                <w:color w:val="auto"/>
              </w:rPr>
            </w:pPr>
          </w:p>
        </w:tc>
        <w:tc>
          <w:tcPr>
            <w:tcW w:w="8220" w:type="dxa"/>
            <w:vAlign w:val="bottom"/>
            <w:gridSpan w:val="2"/>
          </w:tcPr>
          <w:p>
            <w:pPr>
              <w:ind w:left="40"/>
              <w:spacing w:after="0"/>
              <w:rPr>
                <w:sz w:val="20"/>
                <w:szCs w:val="20"/>
                <w:color w:val="auto"/>
              </w:rPr>
            </w:pPr>
            <w:r>
              <w:rPr>
                <w:rFonts w:ascii="Arial" w:cs="Arial" w:eastAsia="Arial" w:hAnsi="Arial"/>
                <w:sz w:val="18"/>
                <w:szCs w:val="18"/>
                <w:color w:val="auto"/>
              </w:rPr>
              <w:t>Michel C. Cadieux</w:t>
            </w:r>
          </w:p>
        </w:tc>
        <w:tc>
          <w:tcPr>
            <w:tcW w:w="840" w:type="dxa"/>
            <w:vAlign w:val="bottom"/>
          </w:tcPr>
          <w:p>
            <w:pPr>
              <w:jc w:val="right"/>
              <w:ind w:right="18"/>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24"/>
                <w:szCs w:val="24"/>
                <w:color w:val="auto"/>
              </w:rPr>
            </w:pPr>
          </w:p>
        </w:tc>
      </w:tr>
      <w:tr>
        <w:trPr>
          <w:trHeight w:val="64"/>
        </w:trPr>
        <w:tc>
          <w:tcPr>
            <w:tcW w:w="40" w:type="dxa"/>
            <w:vAlign w:val="bottom"/>
          </w:tcPr>
          <w:p>
            <w:pPr>
              <w:spacing w:after="0"/>
              <w:rPr>
                <w:sz w:val="5"/>
                <w:szCs w:val="5"/>
                <w:color w:val="auto"/>
              </w:rPr>
            </w:pPr>
          </w:p>
        </w:tc>
        <w:tc>
          <w:tcPr>
            <w:tcW w:w="7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r>
      <w:tr>
        <w:trPr>
          <w:trHeight w:val="310"/>
        </w:trPr>
        <w:tc>
          <w:tcPr>
            <w:tcW w:w="40" w:type="dxa"/>
            <w:vAlign w:val="bottom"/>
            <w:shd w:val="clear" w:color="auto" w:fill="B2B2B2"/>
          </w:tcPr>
          <w:p>
            <w:pPr>
              <w:spacing w:after="0"/>
              <w:rPr>
                <w:sz w:val="24"/>
                <w:szCs w:val="24"/>
                <w:color w:val="auto"/>
              </w:rPr>
            </w:pPr>
          </w:p>
        </w:tc>
        <w:tc>
          <w:tcPr>
            <w:tcW w:w="8220" w:type="dxa"/>
            <w:vAlign w:val="bottom"/>
            <w:gridSpan w:val="2"/>
            <w:shd w:val="clear" w:color="auto" w:fill="B2B2B2"/>
          </w:tcPr>
          <w:p>
            <w:pPr>
              <w:ind w:left="40"/>
              <w:spacing w:after="0"/>
              <w:rPr>
                <w:sz w:val="20"/>
                <w:szCs w:val="20"/>
                <w:color w:val="auto"/>
              </w:rPr>
            </w:pPr>
            <w:r>
              <w:rPr>
                <w:rFonts w:ascii="Arial" w:cs="Arial" w:eastAsia="Arial" w:hAnsi="Arial"/>
                <w:sz w:val="18"/>
                <w:szCs w:val="18"/>
                <w:color w:val="auto"/>
              </w:rPr>
              <w:t>Donald L. Reeves III</w:t>
            </w:r>
          </w:p>
        </w:tc>
        <w:tc>
          <w:tcPr>
            <w:tcW w:w="840" w:type="dxa"/>
            <w:vAlign w:val="bottom"/>
            <w:shd w:val="clear" w:color="auto" w:fill="B2B2B2"/>
          </w:tcPr>
          <w:p>
            <w:pPr>
              <w:jc w:val="right"/>
              <w:ind w:right="18"/>
              <w:spacing w:after="0"/>
              <w:rPr>
                <w:sz w:val="20"/>
                <w:szCs w:val="20"/>
                <w:color w:val="auto"/>
              </w:rPr>
            </w:pPr>
            <w:r>
              <w:rPr>
                <w:rFonts w:ascii="Arial" w:cs="Arial" w:eastAsia="Arial" w:hAnsi="Arial"/>
                <w:sz w:val="18"/>
                <w:szCs w:val="18"/>
                <w:color w:val="auto"/>
              </w:rPr>
              <w:t>60%</w:t>
            </w:r>
          </w:p>
        </w:tc>
        <w:tc>
          <w:tcPr>
            <w:tcW w:w="80" w:type="dxa"/>
            <w:vAlign w:val="bottom"/>
            <w:shd w:val="clear" w:color="auto" w:fill="B2B2B2"/>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5786120</wp:posOffset>
            </wp:positionH>
            <wp:positionV relativeFrom="paragraph">
              <wp:posOffset>-1130935</wp:posOffset>
            </wp:positionV>
            <wp:extent cx="431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4834890</wp:posOffset>
            </wp:positionH>
            <wp:positionV relativeFrom="paragraph">
              <wp:posOffset>-1130935</wp:posOffset>
            </wp:positionV>
            <wp:extent cx="4114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114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-1130935</wp:posOffset>
            </wp:positionV>
            <wp:extent cx="3429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00" w:lineRule="exact"/>
        <w:rPr>
          <w:sz w:val="20"/>
          <w:szCs w:val="20"/>
          <w:color w:val="auto"/>
        </w:rPr>
      </w:pPr>
    </w:p>
    <w:p>
      <w:pPr>
        <w:ind w:left="6"/>
        <w:spacing w:after="0"/>
        <w:rPr>
          <w:sz w:val="20"/>
          <w:szCs w:val="20"/>
          <w:color w:val="auto"/>
        </w:rPr>
      </w:pPr>
      <w:r>
        <w:rPr>
          <w:rFonts w:ascii="Arial" w:cs="Arial" w:eastAsia="Arial" w:hAnsi="Arial"/>
          <w:sz w:val="18"/>
          <w:szCs w:val="18"/>
          <w:i w:val="1"/>
          <w:iCs w:val="1"/>
          <w:color w:val="auto"/>
        </w:rPr>
        <w:t xml:space="preserve">2020 Financial Performance Objectives. </w:t>
      </w:r>
      <w:r>
        <w:rPr>
          <w:rFonts w:ascii="Arial" w:cs="Arial" w:eastAsia="Arial" w:hAnsi="Arial"/>
          <w:sz w:val="18"/>
          <w:szCs w:val="18"/>
          <w:color w:val="auto"/>
        </w:rPr>
        <w:t>An individual NEO’s EMIP award is based on a mix of financial objectives.</w:t>
      </w:r>
    </w:p>
    <w:p>
      <w:pPr>
        <w:spacing w:after="0" w:line="133" w:lineRule="exact"/>
        <w:rPr>
          <w:sz w:val="20"/>
          <w:szCs w:val="20"/>
          <w:color w:val="auto"/>
        </w:rPr>
      </w:pPr>
    </w:p>
    <w:tbl>
      <w:tblPr>
        <w:tblLayout w:type="fixed"/>
        <w:tblInd w:w="16" w:type="dxa"/>
        <w:tblCellMar>
          <w:top w:w="0" w:type="dxa"/>
          <w:left w:w="0" w:type="dxa"/>
          <w:bottom w:w="0" w:type="dxa"/>
          <w:right w:w="0" w:type="dxa"/>
        </w:tblCellMar>
      </w:tblPr>
      <w:tr>
        <w:trPr>
          <w:trHeight w:val="272"/>
        </w:trPr>
        <w:tc>
          <w:tcPr>
            <w:tcW w:w="1280" w:type="dxa"/>
            <w:vAlign w:val="bottom"/>
            <w:tcBorders>
              <w:top w:val="single" w:sz="8" w:color="auto"/>
              <w:left w:val="single" w:sz="8" w:color="auto"/>
            </w:tcBorders>
          </w:tcPr>
          <w:p>
            <w:pPr>
              <w:spacing w:after="0"/>
              <w:rPr>
                <w:sz w:val="23"/>
                <w:szCs w:val="23"/>
                <w:color w:val="auto"/>
              </w:rPr>
            </w:pPr>
          </w:p>
        </w:tc>
        <w:tc>
          <w:tcPr>
            <w:tcW w:w="1300" w:type="dxa"/>
            <w:vAlign w:val="bottom"/>
            <w:tcBorders>
              <w:top w:val="single" w:sz="8" w:color="auto"/>
              <w:right w:val="single" w:sz="8" w:color="auto"/>
            </w:tcBorders>
          </w:tcPr>
          <w:p>
            <w:pPr>
              <w:spacing w:after="0"/>
              <w:rPr>
                <w:sz w:val="23"/>
                <w:szCs w:val="23"/>
                <w:color w:val="auto"/>
              </w:rPr>
            </w:pPr>
          </w:p>
        </w:tc>
        <w:tc>
          <w:tcPr>
            <w:tcW w:w="4500" w:type="dxa"/>
            <w:vAlign w:val="bottom"/>
            <w:tcBorders>
              <w:top w:val="single" w:sz="8" w:color="auto"/>
              <w:right w:val="single" w:sz="8" w:color="auto"/>
            </w:tcBorders>
          </w:tcPr>
          <w:p>
            <w:pPr>
              <w:spacing w:after="0"/>
              <w:rPr>
                <w:sz w:val="23"/>
                <w:szCs w:val="23"/>
                <w:color w:val="auto"/>
              </w:rPr>
            </w:pPr>
          </w:p>
        </w:tc>
        <w:tc>
          <w:tcPr>
            <w:tcW w:w="2100" w:type="dxa"/>
            <w:vAlign w:val="bottom"/>
            <w:tcBorders>
              <w:top w:val="single" w:sz="8" w:color="auto"/>
              <w:right w:val="single" w:sz="8" w:color="auto"/>
            </w:tcBorders>
          </w:tcPr>
          <w:p>
            <w:pPr>
              <w:jc w:val="center"/>
              <w:ind w:left="90"/>
              <w:spacing w:after="0"/>
              <w:rPr>
                <w:sz w:val="20"/>
                <w:szCs w:val="20"/>
                <w:color w:val="auto"/>
              </w:rPr>
            </w:pPr>
            <w:r>
              <w:rPr>
                <w:rFonts w:ascii="Arial" w:cs="Arial" w:eastAsia="Arial" w:hAnsi="Arial"/>
                <w:sz w:val="18"/>
                <w:szCs w:val="18"/>
                <w:b w:val="1"/>
                <w:bCs w:val="1"/>
                <w:color w:val="auto"/>
                <w:w w:val="99"/>
              </w:rPr>
              <w:t>EMIP</w:t>
            </w:r>
          </w:p>
        </w:tc>
      </w:tr>
      <w:tr>
        <w:trPr>
          <w:trHeight w:val="253"/>
        </w:trPr>
        <w:tc>
          <w:tcPr>
            <w:tcW w:w="2580" w:type="dxa"/>
            <w:vAlign w:val="bottom"/>
            <w:tcBorders>
              <w:left w:val="single" w:sz="8" w:color="auto"/>
              <w:right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Performance Objectives</w:t>
            </w:r>
          </w:p>
        </w:tc>
        <w:tc>
          <w:tcPr>
            <w:tcW w:w="4500" w:type="dxa"/>
            <w:vAlign w:val="bottom"/>
            <w:tcBorders>
              <w:right w:val="single" w:sz="8" w:color="auto"/>
            </w:tcBorders>
          </w:tcPr>
          <w:p>
            <w:pPr>
              <w:ind w:left="760"/>
              <w:spacing w:after="0"/>
              <w:rPr>
                <w:sz w:val="20"/>
                <w:szCs w:val="20"/>
                <w:color w:val="auto"/>
              </w:rPr>
            </w:pPr>
            <w:r>
              <w:rPr>
                <w:rFonts w:ascii="Arial" w:cs="Arial" w:eastAsia="Arial" w:hAnsi="Arial"/>
                <w:sz w:val="18"/>
                <w:szCs w:val="18"/>
                <w:b w:val="1"/>
                <w:bCs w:val="1"/>
                <w:color w:val="auto"/>
              </w:rPr>
              <w:t>Performance Metrics &amp; Weightings</w:t>
            </w:r>
          </w:p>
        </w:tc>
        <w:tc>
          <w:tcPr>
            <w:tcW w:w="2100" w:type="dxa"/>
            <w:vAlign w:val="bottom"/>
            <w:tcBorders>
              <w:right w:val="single" w:sz="8" w:color="auto"/>
            </w:tcBorders>
          </w:tcPr>
          <w:p>
            <w:pPr>
              <w:jc w:val="center"/>
              <w:ind w:left="130"/>
              <w:spacing w:after="0"/>
              <w:rPr>
                <w:sz w:val="20"/>
                <w:szCs w:val="20"/>
                <w:color w:val="auto"/>
              </w:rPr>
            </w:pPr>
            <w:r>
              <w:rPr>
                <w:rFonts w:ascii="Arial" w:cs="Arial" w:eastAsia="Arial" w:hAnsi="Arial"/>
                <w:sz w:val="18"/>
                <w:szCs w:val="18"/>
                <w:b w:val="1"/>
                <w:bCs w:val="1"/>
                <w:color w:val="auto"/>
              </w:rPr>
              <w:t>Weighting</w:t>
            </w:r>
          </w:p>
        </w:tc>
      </w:tr>
      <w:tr>
        <w:trPr>
          <w:trHeight w:val="42"/>
        </w:trPr>
        <w:tc>
          <w:tcPr>
            <w:tcW w:w="1280" w:type="dxa"/>
            <w:vAlign w:val="bottom"/>
            <w:tcBorders>
              <w:left w:val="single" w:sz="8" w:color="auto"/>
              <w:bottom w:val="single" w:sz="8" w:color="auto"/>
            </w:tcBorders>
          </w:tcPr>
          <w:p>
            <w:pPr>
              <w:spacing w:after="0"/>
              <w:rPr>
                <w:sz w:val="3"/>
                <w:szCs w:val="3"/>
                <w:color w:val="auto"/>
              </w:rPr>
            </w:pPr>
          </w:p>
        </w:tc>
        <w:tc>
          <w:tcPr>
            <w:tcW w:w="1300" w:type="dxa"/>
            <w:vAlign w:val="bottom"/>
            <w:tcBorders>
              <w:bottom w:val="single" w:sz="8" w:color="auto"/>
              <w:right w:val="single" w:sz="8" w:color="auto"/>
            </w:tcBorders>
          </w:tcPr>
          <w:p>
            <w:pPr>
              <w:spacing w:after="0"/>
              <w:rPr>
                <w:sz w:val="3"/>
                <w:szCs w:val="3"/>
                <w:color w:val="auto"/>
              </w:rPr>
            </w:pPr>
          </w:p>
        </w:tc>
        <w:tc>
          <w:tcPr>
            <w:tcW w:w="4500" w:type="dxa"/>
            <w:vAlign w:val="bottom"/>
            <w:tcBorders>
              <w:bottom w:val="single" w:sz="8" w:color="auto"/>
              <w:right w:val="single" w:sz="8" w:color="auto"/>
            </w:tcBorders>
          </w:tcPr>
          <w:p>
            <w:pPr>
              <w:spacing w:after="0"/>
              <w:rPr>
                <w:sz w:val="3"/>
                <w:szCs w:val="3"/>
                <w:color w:val="auto"/>
              </w:rPr>
            </w:pPr>
          </w:p>
        </w:tc>
        <w:tc>
          <w:tcPr>
            <w:tcW w:w="2100" w:type="dxa"/>
            <w:vAlign w:val="bottom"/>
            <w:tcBorders>
              <w:bottom w:val="single" w:sz="8" w:color="auto"/>
              <w:right w:val="single" w:sz="8" w:color="auto"/>
            </w:tcBorders>
          </w:tcPr>
          <w:p>
            <w:pPr>
              <w:spacing w:after="0"/>
              <w:rPr>
                <w:sz w:val="3"/>
                <w:szCs w:val="3"/>
                <w:color w:val="auto"/>
              </w:rPr>
            </w:pPr>
          </w:p>
        </w:tc>
      </w:tr>
      <w:tr>
        <w:trPr>
          <w:trHeight w:val="281"/>
        </w:trPr>
        <w:tc>
          <w:tcPr>
            <w:tcW w:w="258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Financial (100%)</w:t>
            </w:r>
          </w:p>
        </w:tc>
        <w:tc>
          <w:tcPr>
            <w:tcW w:w="450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Adjusted EBITDA*</w:t>
            </w:r>
          </w:p>
        </w:tc>
        <w:tc>
          <w:tcPr>
            <w:tcW w:w="2100" w:type="dxa"/>
            <w:vAlign w:val="bottom"/>
            <w:tcBorders>
              <w:right w:val="single" w:sz="8" w:color="auto"/>
            </w:tcBorders>
          </w:tcPr>
          <w:p>
            <w:pPr>
              <w:jc w:val="center"/>
              <w:ind w:left="130"/>
              <w:spacing w:after="0"/>
              <w:rPr>
                <w:sz w:val="20"/>
                <w:szCs w:val="20"/>
                <w:color w:val="auto"/>
              </w:rPr>
            </w:pPr>
            <w:r>
              <w:rPr>
                <w:rFonts w:ascii="Arial" w:cs="Arial" w:eastAsia="Arial" w:hAnsi="Arial"/>
                <w:sz w:val="18"/>
                <w:szCs w:val="18"/>
                <w:color w:val="auto"/>
                <w:w w:val="99"/>
              </w:rPr>
              <w:t>45%</w:t>
            </w:r>
          </w:p>
        </w:tc>
      </w:tr>
      <w:tr>
        <w:trPr>
          <w:trHeight w:val="50"/>
        </w:trPr>
        <w:tc>
          <w:tcPr>
            <w:tcW w:w="1280" w:type="dxa"/>
            <w:vAlign w:val="bottom"/>
            <w:tcBorders>
              <w:left w:val="single" w:sz="8" w:color="auto"/>
            </w:tcBorders>
          </w:tcPr>
          <w:p>
            <w:pPr>
              <w:spacing w:after="0"/>
              <w:rPr>
                <w:sz w:val="4"/>
                <w:szCs w:val="4"/>
                <w:color w:val="auto"/>
              </w:rPr>
            </w:pPr>
          </w:p>
        </w:tc>
        <w:tc>
          <w:tcPr>
            <w:tcW w:w="1300" w:type="dxa"/>
            <w:vAlign w:val="bottom"/>
            <w:tcBorders>
              <w:right w:val="single" w:sz="8" w:color="auto"/>
            </w:tcBorders>
          </w:tcPr>
          <w:p>
            <w:pPr>
              <w:spacing w:after="0"/>
              <w:rPr>
                <w:sz w:val="4"/>
                <w:szCs w:val="4"/>
                <w:color w:val="auto"/>
              </w:rPr>
            </w:pPr>
          </w:p>
        </w:tc>
        <w:tc>
          <w:tcPr>
            <w:tcW w:w="4500" w:type="dxa"/>
            <w:vAlign w:val="bottom"/>
            <w:tcBorders>
              <w:bottom w:val="single" w:sz="8" w:color="auto"/>
              <w:right w:val="single" w:sz="8" w:color="auto"/>
            </w:tcBorders>
          </w:tcPr>
          <w:p>
            <w:pPr>
              <w:spacing w:after="0"/>
              <w:rPr>
                <w:sz w:val="4"/>
                <w:szCs w:val="4"/>
                <w:color w:val="auto"/>
              </w:rPr>
            </w:pPr>
          </w:p>
        </w:tc>
        <w:tc>
          <w:tcPr>
            <w:tcW w:w="2100" w:type="dxa"/>
            <w:vAlign w:val="bottom"/>
            <w:tcBorders>
              <w:bottom w:val="single" w:sz="8" w:color="auto"/>
              <w:right w:val="single" w:sz="8" w:color="auto"/>
            </w:tcBorders>
          </w:tcPr>
          <w:p>
            <w:pPr>
              <w:spacing w:after="0"/>
              <w:rPr>
                <w:sz w:val="4"/>
                <w:szCs w:val="4"/>
                <w:color w:val="auto"/>
              </w:rPr>
            </w:pPr>
          </w:p>
        </w:tc>
      </w:tr>
      <w:tr>
        <w:trPr>
          <w:trHeight w:val="281"/>
        </w:trPr>
        <w:tc>
          <w:tcPr>
            <w:tcW w:w="1280" w:type="dxa"/>
            <w:vAlign w:val="bottom"/>
            <w:tcBorders>
              <w:left w:val="single" w:sz="8" w:color="auto"/>
            </w:tcBorders>
          </w:tcPr>
          <w:p>
            <w:pPr>
              <w:spacing w:after="0"/>
              <w:rPr>
                <w:sz w:val="24"/>
                <w:szCs w:val="24"/>
                <w:color w:val="auto"/>
              </w:rPr>
            </w:pPr>
          </w:p>
        </w:tc>
        <w:tc>
          <w:tcPr>
            <w:tcW w:w="1300" w:type="dxa"/>
            <w:vAlign w:val="bottom"/>
            <w:tcBorders>
              <w:right w:val="single" w:sz="8" w:color="auto"/>
            </w:tcBorders>
          </w:tcPr>
          <w:p>
            <w:pPr>
              <w:spacing w:after="0"/>
              <w:rPr>
                <w:sz w:val="24"/>
                <w:szCs w:val="24"/>
                <w:color w:val="auto"/>
              </w:rPr>
            </w:pPr>
          </w:p>
        </w:tc>
        <w:tc>
          <w:tcPr>
            <w:tcW w:w="450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Revenue</w:t>
            </w:r>
          </w:p>
        </w:tc>
        <w:tc>
          <w:tcPr>
            <w:tcW w:w="2100" w:type="dxa"/>
            <w:vAlign w:val="bottom"/>
            <w:tcBorders>
              <w:right w:val="single" w:sz="8" w:color="auto"/>
            </w:tcBorders>
          </w:tcPr>
          <w:p>
            <w:pPr>
              <w:jc w:val="center"/>
              <w:ind w:left="130"/>
              <w:spacing w:after="0"/>
              <w:rPr>
                <w:sz w:val="20"/>
                <w:szCs w:val="20"/>
                <w:color w:val="auto"/>
              </w:rPr>
            </w:pPr>
            <w:r>
              <w:rPr>
                <w:rFonts w:ascii="Arial" w:cs="Arial" w:eastAsia="Arial" w:hAnsi="Arial"/>
                <w:sz w:val="18"/>
                <w:szCs w:val="18"/>
                <w:color w:val="auto"/>
                <w:w w:val="99"/>
              </w:rPr>
              <w:t>45%</w:t>
            </w:r>
          </w:p>
        </w:tc>
      </w:tr>
      <w:tr>
        <w:trPr>
          <w:trHeight w:val="50"/>
        </w:trPr>
        <w:tc>
          <w:tcPr>
            <w:tcW w:w="1280" w:type="dxa"/>
            <w:vAlign w:val="bottom"/>
            <w:tcBorders>
              <w:left w:val="single" w:sz="8" w:color="auto"/>
            </w:tcBorders>
          </w:tcPr>
          <w:p>
            <w:pPr>
              <w:spacing w:after="0"/>
              <w:rPr>
                <w:sz w:val="4"/>
                <w:szCs w:val="4"/>
                <w:color w:val="auto"/>
              </w:rPr>
            </w:pPr>
          </w:p>
        </w:tc>
        <w:tc>
          <w:tcPr>
            <w:tcW w:w="1300" w:type="dxa"/>
            <w:vAlign w:val="bottom"/>
            <w:tcBorders>
              <w:right w:val="single" w:sz="8" w:color="auto"/>
            </w:tcBorders>
          </w:tcPr>
          <w:p>
            <w:pPr>
              <w:spacing w:after="0"/>
              <w:rPr>
                <w:sz w:val="4"/>
                <w:szCs w:val="4"/>
                <w:color w:val="auto"/>
              </w:rPr>
            </w:pPr>
          </w:p>
        </w:tc>
        <w:tc>
          <w:tcPr>
            <w:tcW w:w="4500" w:type="dxa"/>
            <w:vAlign w:val="bottom"/>
            <w:tcBorders>
              <w:bottom w:val="single" w:sz="8" w:color="auto"/>
              <w:right w:val="single" w:sz="8" w:color="auto"/>
            </w:tcBorders>
          </w:tcPr>
          <w:p>
            <w:pPr>
              <w:spacing w:after="0"/>
              <w:rPr>
                <w:sz w:val="4"/>
                <w:szCs w:val="4"/>
                <w:color w:val="auto"/>
              </w:rPr>
            </w:pPr>
          </w:p>
        </w:tc>
        <w:tc>
          <w:tcPr>
            <w:tcW w:w="2100" w:type="dxa"/>
            <w:vAlign w:val="bottom"/>
            <w:tcBorders>
              <w:bottom w:val="single" w:sz="8" w:color="auto"/>
              <w:right w:val="single" w:sz="8" w:color="auto"/>
            </w:tcBorders>
          </w:tcPr>
          <w:p>
            <w:pPr>
              <w:spacing w:after="0"/>
              <w:rPr>
                <w:sz w:val="4"/>
                <w:szCs w:val="4"/>
                <w:color w:val="auto"/>
              </w:rPr>
            </w:pPr>
          </w:p>
        </w:tc>
      </w:tr>
      <w:tr>
        <w:trPr>
          <w:trHeight w:val="281"/>
        </w:trPr>
        <w:tc>
          <w:tcPr>
            <w:tcW w:w="1280" w:type="dxa"/>
            <w:vAlign w:val="bottom"/>
            <w:tcBorders>
              <w:left w:val="single" w:sz="8" w:color="auto"/>
            </w:tcBorders>
          </w:tcPr>
          <w:p>
            <w:pPr>
              <w:spacing w:after="0"/>
              <w:rPr>
                <w:sz w:val="24"/>
                <w:szCs w:val="24"/>
                <w:color w:val="auto"/>
              </w:rPr>
            </w:pPr>
          </w:p>
        </w:tc>
        <w:tc>
          <w:tcPr>
            <w:tcW w:w="1300" w:type="dxa"/>
            <w:vAlign w:val="bottom"/>
            <w:tcBorders>
              <w:right w:val="single" w:sz="8" w:color="auto"/>
            </w:tcBorders>
          </w:tcPr>
          <w:p>
            <w:pPr>
              <w:spacing w:after="0"/>
              <w:rPr>
                <w:sz w:val="24"/>
                <w:szCs w:val="24"/>
                <w:color w:val="auto"/>
              </w:rPr>
            </w:pPr>
          </w:p>
        </w:tc>
        <w:tc>
          <w:tcPr>
            <w:tcW w:w="450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Free Cash Flow</w:t>
            </w:r>
          </w:p>
        </w:tc>
        <w:tc>
          <w:tcPr>
            <w:tcW w:w="2100" w:type="dxa"/>
            <w:vAlign w:val="bottom"/>
            <w:tcBorders>
              <w:right w:val="single" w:sz="8" w:color="auto"/>
            </w:tcBorders>
          </w:tcPr>
          <w:p>
            <w:pPr>
              <w:jc w:val="center"/>
              <w:ind w:left="130"/>
              <w:spacing w:after="0"/>
              <w:rPr>
                <w:sz w:val="20"/>
                <w:szCs w:val="20"/>
                <w:color w:val="auto"/>
              </w:rPr>
            </w:pPr>
            <w:r>
              <w:rPr>
                <w:rFonts w:ascii="Arial" w:cs="Arial" w:eastAsia="Arial" w:hAnsi="Arial"/>
                <w:sz w:val="18"/>
                <w:szCs w:val="18"/>
                <w:color w:val="auto"/>
                <w:w w:val="99"/>
              </w:rPr>
              <w:t>10%</w:t>
            </w:r>
          </w:p>
        </w:tc>
      </w:tr>
      <w:tr>
        <w:trPr>
          <w:trHeight w:val="50"/>
        </w:trPr>
        <w:tc>
          <w:tcPr>
            <w:tcW w:w="1280" w:type="dxa"/>
            <w:vAlign w:val="bottom"/>
            <w:tcBorders>
              <w:left w:val="single" w:sz="8" w:color="auto"/>
              <w:bottom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4500" w:type="dxa"/>
            <w:vAlign w:val="bottom"/>
            <w:tcBorders>
              <w:bottom w:val="single" w:sz="8" w:color="auto"/>
              <w:right w:val="single" w:sz="8" w:color="auto"/>
            </w:tcBorders>
          </w:tcPr>
          <w:p>
            <w:pPr>
              <w:spacing w:after="0"/>
              <w:rPr>
                <w:sz w:val="4"/>
                <w:szCs w:val="4"/>
                <w:color w:val="auto"/>
              </w:rPr>
            </w:pPr>
          </w:p>
        </w:tc>
        <w:tc>
          <w:tcPr>
            <w:tcW w:w="2100" w:type="dxa"/>
            <w:vAlign w:val="bottom"/>
            <w:tcBorders>
              <w:bottom w:val="single" w:sz="8" w:color="auto"/>
              <w:right w:val="single" w:sz="8" w:color="auto"/>
            </w:tcBorders>
          </w:tcPr>
          <w:p>
            <w:pPr>
              <w:spacing w:after="0"/>
              <w:rPr>
                <w:sz w:val="4"/>
                <w:szCs w:val="4"/>
                <w:color w:val="auto"/>
              </w:rPr>
            </w:pPr>
          </w:p>
        </w:tc>
      </w:tr>
      <w:tr>
        <w:trPr>
          <w:trHeight w:val="286"/>
        </w:trPr>
        <w:tc>
          <w:tcPr>
            <w:tcW w:w="2580" w:type="dxa"/>
            <w:vAlign w:val="bottom"/>
            <w:tcBorders>
              <w:left w:val="single" w:sz="8" w:color="auto"/>
              <w:bottom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Total</w:t>
            </w:r>
          </w:p>
        </w:tc>
        <w:tc>
          <w:tcPr>
            <w:tcW w:w="4500" w:type="dxa"/>
            <w:vAlign w:val="bottom"/>
            <w:tcBorders>
              <w:bottom w:val="single" w:sz="8" w:color="auto"/>
              <w:right w:val="single" w:sz="8" w:color="auto"/>
            </w:tcBorders>
          </w:tcPr>
          <w:p>
            <w:pPr>
              <w:spacing w:after="0"/>
              <w:rPr>
                <w:sz w:val="24"/>
                <w:szCs w:val="24"/>
                <w:color w:val="auto"/>
              </w:rPr>
            </w:pPr>
          </w:p>
        </w:tc>
        <w:tc>
          <w:tcPr>
            <w:tcW w:w="2100" w:type="dxa"/>
            <w:vAlign w:val="bottom"/>
            <w:tcBorders>
              <w:bottom w:val="single" w:sz="8" w:color="auto"/>
              <w:right w:val="single" w:sz="8" w:color="auto"/>
            </w:tcBorders>
          </w:tcPr>
          <w:p>
            <w:pPr>
              <w:jc w:val="center"/>
              <w:ind w:left="150"/>
              <w:spacing w:after="0"/>
              <w:rPr>
                <w:sz w:val="20"/>
                <w:szCs w:val="20"/>
                <w:color w:val="auto"/>
              </w:rPr>
            </w:pPr>
            <w:r>
              <w:rPr>
                <w:rFonts w:ascii="Arial" w:cs="Arial" w:eastAsia="Arial" w:hAnsi="Arial"/>
                <w:sz w:val="18"/>
                <w:szCs w:val="18"/>
                <w:color w:val="auto"/>
                <w:w w:val="99"/>
              </w:rPr>
              <w:t>100%</w:t>
            </w:r>
          </w:p>
        </w:tc>
      </w:tr>
      <w:tr>
        <w:trPr>
          <w:trHeight w:val="187"/>
        </w:trPr>
        <w:tc>
          <w:tcPr>
            <w:tcW w:w="1280" w:type="dxa"/>
            <w:vAlign w:val="bottom"/>
            <w:tcBorders>
              <w:bottom w:val="single" w:sz="8" w:color="auto"/>
            </w:tcBorders>
          </w:tcPr>
          <w:p>
            <w:pPr>
              <w:spacing w:after="0"/>
              <w:rPr>
                <w:sz w:val="16"/>
                <w:szCs w:val="16"/>
                <w:color w:val="auto"/>
              </w:rPr>
            </w:pPr>
          </w:p>
        </w:tc>
        <w:tc>
          <w:tcPr>
            <w:tcW w:w="130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2100" w:type="dxa"/>
            <w:vAlign w:val="bottom"/>
          </w:tcPr>
          <w:p>
            <w:pPr>
              <w:spacing w:after="0"/>
              <w:rPr>
                <w:sz w:val="16"/>
                <w:szCs w:val="16"/>
                <w:color w:val="auto"/>
              </w:rPr>
            </w:pPr>
          </w:p>
        </w:tc>
      </w:tr>
    </w:tbl>
    <w:p>
      <w:pPr>
        <w:spacing w:after="0" w:line="95" w:lineRule="exact"/>
        <w:rPr>
          <w:sz w:val="20"/>
          <w:szCs w:val="20"/>
          <w:color w:val="auto"/>
        </w:rPr>
      </w:pPr>
    </w:p>
    <w:p>
      <w:pPr>
        <w:ind w:left="346" w:hanging="346"/>
        <w:spacing w:after="0"/>
        <w:tabs>
          <w:tab w:leader="none" w:pos="346" w:val="left"/>
        </w:tabs>
        <w:numPr>
          <w:ilvl w:val="0"/>
          <w:numId w:val="38"/>
        </w:numPr>
        <w:rPr>
          <w:rFonts w:ascii="Arial" w:cs="Arial" w:eastAsia="Arial" w:hAnsi="Arial"/>
          <w:sz w:val="14"/>
          <w:szCs w:val="14"/>
          <w:color w:val="auto"/>
        </w:rPr>
      </w:pPr>
      <w:r>
        <w:rPr>
          <w:rFonts w:ascii="Arial" w:cs="Arial" w:eastAsia="Arial" w:hAnsi="Arial"/>
          <w:sz w:val="14"/>
          <w:szCs w:val="14"/>
          <w:color w:val="auto"/>
        </w:rPr>
        <w:t>If the threshold Adjusted EBITDA goal shown on the table below is not achieved, no portion of the EMIP award will be paid.</w:t>
      </w:r>
    </w:p>
    <w:p>
      <w:pPr>
        <w:spacing w:after="0" w:line="180" w:lineRule="exact"/>
        <w:rPr>
          <w:sz w:val="20"/>
          <w:szCs w:val="20"/>
          <w:color w:val="auto"/>
        </w:rPr>
      </w:pPr>
    </w:p>
    <w:p>
      <w:pPr>
        <w:ind w:left="6" w:right="200"/>
        <w:spacing w:after="0" w:line="245" w:lineRule="auto"/>
        <w:rPr>
          <w:sz w:val="20"/>
          <w:szCs w:val="20"/>
          <w:color w:val="auto"/>
        </w:rPr>
      </w:pPr>
      <w:r>
        <w:rPr>
          <w:rFonts w:ascii="Arial" w:cs="Arial" w:eastAsia="Arial" w:hAnsi="Arial"/>
          <w:sz w:val="18"/>
          <w:szCs w:val="18"/>
          <w:color w:val="auto"/>
        </w:rPr>
        <w:t>In 2020, we used Adjusted EBITDA, Revenue and Free Cash Flow as the financial performance metrics in the EMIP to promote balance among focus on top line growth, profitability and cash generation. Adjusted EBITDA provides a more useful illustration of our financial performance and the ongoing operations of our business, since the adjustments exclude certain expenses that are not indicative of our recurring core operating results. This facilitates better comparisons to our historical performance and our competitors’ operating results.</w:t>
      </w:r>
    </w:p>
    <w:p>
      <w:pPr>
        <w:spacing w:after="0" w:line="280" w:lineRule="exact"/>
        <w:rPr>
          <w:sz w:val="20"/>
          <w:szCs w:val="20"/>
          <w:color w:val="auto"/>
        </w:rPr>
      </w:pPr>
    </w:p>
    <w:p>
      <w:pPr>
        <w:jc w:val="center"/>
        <w:ind w:right="-25"/>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157480</wp:posOffset>
            </wp:positionV>
            <wp:extent cx="699516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263" w:right="1359" w:bottom="1440" w:gutter="0" w:footer="0" w:header="0"/>
        </w:sectPr>
      </w:pPr>
    </w:p>
    <w:bookmarkStart w:id="33" w:name="page34"/>
    <w:bookmarkEnd w:id="33"/>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124"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Each year, the Committee reviews the financial performance and considers adjustments for items that are not reflective of normal operating performance for that year. These adjustments are items that the Committee believes are fair to both participants and shareholders, encourage appropriate actions that foster the long-term health of the business, and are consistent with the objectives underlying our predetermined performance goals. Such exclusions may consist of the costs and financial effects of restructuring, acquisitions and dispositions, selected legal costs and settlements, and the effects of foreign currency translation. No adjustments were made in 2020.</w:t>
      </w:r>
    </w:p>
    <w:p>
      <w:pPr>
        <w:spacing w:after="0" w:line="147" w:lineRule="exact"/>
        <w:rPr>
          <w:sz w:val="20"/>
          <w:szCs w:val="20"/>
          <w:color w:val="auto"/>
        </w:rPr>
      </w:pPr>
    </w:p>
    <w:p>
      <w:pPr>
        <w:jc w:val="both"/>
        <w:ind w:right="240"/>
        <w:spacing w:after="0" w:line="255" w:lineRule="auto"/>
        <w:rPr>
          <w:sz w:val="20"/>
          <w:szCs w:val="20"/>
          <w:color w:val="auto"/>
        </w:rPr>
      </w:pPr>
      <w:r>
        <w:rPr>
          <w:rFonts w:ascii="Arial" w:cs="Arial" w:eastAsia="Arial" w:hAnsi="Arial"/>
          <w:sz w:val="18"/>
          <w:szCs w:val="18"/>
          <w:i w:val="1"/>
          <w:iCs w:val="1"/>
          <w:color w:val="auto"/>
        </w:rPr>
        <w:t xml:space="preserve">2020 Financial Performance Levels &amp; Results. </w:t>
      </w:r>
      <w:r>
        <w:rPr>
          <w:rFonts w:ascii="Arial" w:cs="Arial" w:eastAsia="Arial" w:hAnsi="Arial"/>
          <w:sz w:val="18"/>
          <w:szCs w:val="18"/>
          <w:color w:val="auto"/>
        </w:rPr>
        <w:t>The following table shows the financial performance necessary to</w:t>
      </w:r>
      <w:r>
        <w:rPr>
          <w:rFonts w:ascii="Arial" w:cs="Arial" w:eastAsia="Arial" w:hAnsi="Arial"/>
          <w:sz w:val="18"/>
          <w:szCs w:val="18"/>
          <w:i w:val="1"/>
          <w:iCs w:val="1"/>
          <w:color w:val="auto"/>
        </w:rPr>
        <w:t xml:space="preserve"> </w:t>
      </w:r>
      <w:r>
        <w:rPr>
          <w:rFonts w:ascii="Arial" w:cs="Arial" w:eastAsia="Arial" w:hAnsi="Arial"/>
          <w:sz w:val="18"/>
          <w:szCs w:val="18"/>
          <w:color w:val="auto"/>
        </w:rPr>
        <w:t>achieve threshold (25% payout), target (100% payout), and maximum (150% payout) bonus amounts, along with actual results for 2020:</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Actual</w:t>
            </w:r>
          </w:p>
        </w:tc>
      </w:tr>
      <w:tr>
        <w:trPr>
          <w:trHeight w:val="162"/>
        </w:trPr>
        <w:tc>
          <w:tcPr>
            <w:tcW w:w="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Threshold</w:t>
            </w:r>
          </w:p>
        </w:tc>
        <w:tc>
          <w:tcPr>
            <w:tcW w:w="8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rPr>
              <w:t>Target</w:t>
            </w:r>
          </w:p>
        </w:tc>
        <w:tc>
          <w:tcPr>
            <w:tcW w:w="9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Maximum</w:t>
            </w:r>
          </w:p>
        </w:tc>
        <w:tc>
          <w:tcPr>
            <w:tcW w:w="920" w:type="dxa"/>
            <w:vAlign w:val="bottom"/>
            <w:gridSpan w:val="3"/>
          </w:tcPr>
          <w:p>
            <w:pPr>
              <w:ind w:left="180"/>
              <w:spacing w:after="0"/>
              <w:rPr>
                <w:sz w:val="20"/>
                <w:szCs w:val="20"/>
                <w:color w:val="auto"/>
              </w:rPr>
            </w:pPr>
            <w:r>
              <w:rPr>
                <w:rFonts w:ascii="Arial" w:cs="Arial" w:eastAsia="Arial" w:hAnsi="Arial"/>
                <w:sz w:val="14"/>
                <w:szCs w:val="14"/>
                <w:b w:val="1"/>
                <w:bCs w:val="1"/>
                <w:color w:val="auto"/>
              </w:rPr>
              <w:t>Results</w:t>
            </w:r>
          </w:p>
        </w:tc>
      </w:tr>
      <w:tr>
        <w:trPr>
          <w:trHeight w:val="202"/>
        </w:trPr>
        <w:tc>
          <w:tcPr>
            <w:tcW w:w="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7"/>
              </w:rPr>
              <w:t>($M)</w:t>
            </w:r>
          </w:p>
        </w:tc>
        <w:tc>
          <w:tcPr>
            <w:tcW w:w="100" w:type="dxa"/>
            <w:vAlign w:val="bottom"/>
          </w:tcPr>
          <w:p>
            <w:pPr>
              <w:spacing w:after="0"/>
              <w:rPr>
                <w:sz w:val="17"/>
                <w:szCs w:val="17"/>
                <w:color w:val="auto"/>
              </w:rPr>
            </w:pPr>
          </w:p>
        </w:tc>
        <w:tc>
          <w:tcPr>
            <w:tcW w:w="7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($M)</w:t>
            </w:r>
          </w:p>
        </w:tc>
        <w:tc>
          <w:tcPr>
            <w:tcW w:w="160" w:type="dxa"/>
            <w:vAlign w:val="bottom"/>
          </w:tcPr>
          <w:p>
            <w:pPr>
              <w:spacing w:after="0"/>
              <w:rPr>
                <w:sz w:val="17"/>
                <w:szCs w:val="17"/>
                <w:color w:val="auto"/>
              </w:rPr>
            </w:pPr>
          </w:p>
        </w:tc>
        <w:tc>
          <w:tcPr>
            <w:tcW w:w="7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7"/>
              </w:rPr>
              <w:t>($M)</w:t>
            </w:r>
          </w:p>
        </w:tc>
        <w:tc>
          <w:tcPr>
            <w:tcW w:w="260" w:type="dxa"/>
            <w:vAlign w:val="bottom"/>
          </w:tcPr>
          <w:p>
            <w:pPr>
              <w:spacing w:after="0"/>
              <w:rPr>
                <w:sz w:val="17"/>
                <w:szCs w:val="17"/>
                <w:color w:val="auto"/>
              </w:rPr>
            </w:pPr>
          </w:p>
        </w:tc>
        <w:tc>
          <w:tcPr>
            <w:tcW w:w="6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($M)</w:t>
            </w:r>
          </w:p>
        </w:tc>
      </w:tr>
      <w:tr>
        <w:trPr>
          <w:trHeight w:val="56"/>
        </w:trPr>
        <w:tc>
          <w:tcPr>
            <w:tcW w:w="60" w:type="dxa"/>
            <w:vAlign w:val="bottom"/>
            <w:tcBorders>
              <w:bottom w:val="single" w:sz="8" w:color="B2B2B2"/>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3960" w:type="dxa"/>
            <w:vAlign w:val="bottom"/>
            <w:tcBorders>
              <w:bottom w:val="single" w:sz="8" w:color="auto"/>
            </w:tcBorders>
          </w:tcPr>
          <w:p>
            <w:pPr>
              <w:spacing w:after="0"/>
              <w:rPr>
                <w:sz w:val="4"/>
                <w:szCs w:val="4"/>
                <w:color w:val="auto"/>
              </w:rPr>
            </w:pPr>
          </w:p>
        </w:tc>
        <w:tc>
          <w:tcPr>
            <w:tcW w:w="280" w:type="dxa"/>
            <w:vAlign w:val="bottom"/>
            <w:tcBorders>
              <w:bottom w:val="single" w:sz="8" w:color="B2B2B2"/>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60" w:type="dxa"/>
            <w:vAlign w:val="bottom"/>
            <w:tcBorders>
              <w:bottom w:val="single" w:sz="8" w:color="B2B2B2"/>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60" w:type="dxa"/>
            <w:vAlign w:val="bottom"/>
            <w:tcBorders>
              <w:bottom w:val="single" w:sz="8" w:color="B2B2B2"/>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60" w:type="dxa"/>
            <w:vAlign w:val="bottom"/>
            <w:tcBorders>
              <w:bottom w:val="single" w:sz="8" w:color="B2B2B2"/>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60" w:type="dxa"/>
            <w:vAlign w:val="bottom"/>
            <w:tcBorders>
              <w:bottom w:val="single" w:sz="8" w:color="B2B2B2"/>
            </w:tcBorders>
          </w:tcPr>
          <w:p>
            <w:pPr>
              <w:spacing w:after="0"/>
              <w:rPr>
                <w:sz w:val="4"/>
                <w:szCs w:val="4"/>
                <w:color w:val="auto"/>
              </w:rPr>
            </w:pPr>
          </w:p>
        </w:tc>
      </w:tr>
      <w:tr>
        <w:trPr>
          <w:trHeight w:val="295"/>
        </w:trPr>
        <w:tc>
          <w:tcPr>
            <w:tcW w:w="60" w:type="dxa"/>
            <w:vAlign w:val="bottom"/>
            <w:shd w:val="clear" w:color="auto" w:fill="B2B2B2"/>
          </w:tcPr>
          <w:p>
            <w:pPr>
              <w:spacing w:after="0"/>
              <w:rPr>
                <w:sz w:val="24"/>
                <w:szCs w:val="24"/>
                <w:color w:val="auto"/>
              </w:rPr>
            </w:pPr>
          </w:p>
        </w:tc>
        <w:tc>
          <w:tcPr>
            <w:tcW w:w="5460" w:type="dxa"/>
            <w:vAlign w:val="bottom"/>
            <w:gridSpan w:val="3"/>
            <w:shd w:val="clear" w:color="auto" w:fill="B2B2B2"/>
          </w:tcPr>
          <w:p>
            <w:pPr>
              <w:ind w:left="20"/>
              <w:spacing w:after="0"/>
              <w:rPr>
                <w:sz w:val="20"/>
                <w:szCs w:val="20"/>
                <w:color w:val="auto"/>
              </w:rPr>
            </w:pPr>
            <w:r>
              <w:rPr>
                <w:rFonts w:ascii="Arial" w:cs="Arial" w:eastAsia="Arial" w:hAnsi="Arial"/>
                <w:sz w:val="18"/>
                <w:szCs w:val="18"/>
                <w:color w:val="auto"/>
              </w:rPr>
              <w:t>Adjusted EBITDA</w:t>
            </w:r>
          </w:p>
        </w:tc>
        <w:tc>
          <w:tcPr>
            <w:tcW w:w="1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278</w:t>
            </w:r>
          </w:p>
        </w:tc>
        <w:tc>
          <w:tcPr>
            <w:tcW w:w="260" w:type="dxa"/>
            <w:vAlign w:val="bottom"/>
            <w:shd w:val="clear" w:color="auto" w:fill="B2B2B2"/>
          </w:tcPr>
          <w:p>
            <w:pPr>
              <w:spacing w:after="0"/>
              <w:rPr>
                <w:sz w:val="24"/>
                <w:szCs w:val="24"/>
                <w:color w:val="auto"/>
              </w:rPr>
            </w:pPr>
          </w:p>
        </w:tc>
        <w:tc>
          <w:tcPr>
            <w:tcW w:w="100" w:type="dxa"/>
            <w:vAlign w:val="bottom"/>
            <w:shd w:val="clear" w:color="auto" w:fill="B2B2B2"/>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317</w:t>
            </w:r>
          </w:p>
        </w:tc>
        <w:tc>
          <w:tcPr>
            <w:tcW w:w="260" w:type="dxa"/>
            <w:vAlign w:val="bottom"/>
            <w:shd w:val="clear" w:color="auto" w:fill="B2B2B2"/>
          </w:tcPr>
          <w:p>
            <w:pPr>
              <w:spacing w:after="0"/>
              <w:rPr>
                <w:sz w:val="24"/>
                <w:szCs w:val="24"/>
                <w:color w:val="auto"/>
              </w:rPr>
            </w:pPr>
          </w:p>
        </w:tc>
        <w:tc>
          <w:tcPr>
            <w:tcW w:w="1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349</w:t>
            </w:r>
          </w:p>
        </w:tc>
        <w:tc>
          <w:tcPr>
            <w:tcW w:w="260" w:type="dxa"/>
            <w:vAlign w:val="bottom"/>
            <w:shd w:val="clear" w:color="auto" w:fill="B2B2B2"/>
          </w:tcPr>
          <w:p>
            <w:pPr>
              <w:spacing w:after="0"/>
              <w:rPr>
                <w:sz w:val="24"/>
                <w:szCs w:val="24"/>
                <w:color w:val="auto"/>
              </w:rPr>
            </w:pPr>
          </w:p>
        </w:tc>
        <w:tc>
          <w:tcPr>
            <w:tcW w:w="260" w:type="dxa"/>
            <w:vAlign w:val="bottom"/>
            <w:shd w:val="clear" w:color="auto" w:fill="B2B2B2"/>
          </w:tcPr>
          <w:p>
            <w:pPr>
              <w:ind w:left="16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B2B2B2"/>
          </w:tcPr>
          <w:p>
            <w:pPr>
              <w:jc w:val="right"/>
              <w:ind w:right="55"/>
              <w:spacing w:after="0"/>
              <w:rPr>
                <w:sz w:val="20"/>
                <w:szCs w:val="20"/>
                <w:color w:val="auto"/>
              </w:rPr>
            </w:pPr>
            <w:r>
              <w:rPr>
                <w:rFonts w:ascii="Arial" w:cs="Arial" w:eastAsia="Arial" w:hAnsi="Arial"/>
                <w:sz w:val="18"/>
                <w:szCs w:val="18"/>
                <w:color w:val="auto"/>
              </w:rPr>
              <w:t>182</w:t>
            </w:r>
          </w:p>
        </w:tc>
        <w:tc>
          <w:tcPr>
            <w:tcW w:w="60" w:type="dxa"/>
            <w:vAlign w:val="bottom"/>
            <w:shd w:val="clear" w:color="auto" w:fill="B2B2B2"/>
          </w:tcPr>
          <w:p>
            <w:pPr>
              <w:spacing w:after="0"/>
              <w:rPr>
                <w:sz w:val="24"/>
                <w:szCs w:val="24"/>
                <w:color w:val="auto"/>
              </w:rPr>
            </w:pPr>
          </w:p>
        </w:tc>
      </w:tr>
      <w:tr>
        <w:trPr>
          <w:trHeight w:val="63"/>
        </w:trPr>
        <w:tc>
          <w:tcPr>
            <w:tcW w:w="60" w:type="dxa"/>
            <w:vAlign w:val="bottom"/>
            <w:shd w:val="clear" w:color="auto" w:fill="B2B2B2"/>
          </w:tcPr>
          <w:p>
            <w:pPr>
              <w:spacing w:after="0"/>
              <w:rPr>
                <w:sz w:val="5"/>
                <w:szCs w:val="5"/>
                <w:color w:val="auto"/>
              </w:rPr>
            </w:pPr>
          </w:p>
        </w:tc>
        <w:tc>
          <w:tcPr>
            <w:tcW w:w="1220" w:type="dxa"/>
            <w:vAlign w:val="bottom"/>
            <w:shd w:val="clear" w:color="auto" w:fill="B2B2B2"/>
          </w:tcPr>
          <w:p>
            <w:pPr>
              <w:spacing w:after="0"/>
              <w:rPr>
                <w:sz w:val="5"/>
                <w:szCs w:val="5"/>
                <w:color w:val="auto"/>
              </w:rPr>
            </w:pPr>
          </w:p>
        </w:tc>
        <w:tc>
          <w:tcPr>
            <w:tcW w:w="3960" w:type="dxa"/>
            <w:vAlign w:val="bottom"/>
            <w:shd w:val="clear" w:color="auto" w:fill="B2B2B2"/>
          </w:tcPr>
          <w:p>
            <w:pPr>
              <w:spacing w:after="0"/>
              <w:rPr>
                <w:sz w:val="5"/>
                <w:szCs w:val="5"/>
                <w:color w:val="auto"/>
              </w:rPr>
            </w:pPr>
          </w:p>
        </w:tc>
        <w:tc>
          <w:tcPr>
            <w:tcW w:w="280" w:type="dxa"/>
            <w:vAlign w:val="bottom"/>
            <w:shd w:val="clear" w:color="auto" w:fill="B2B2B2"/>
          </w:tcPr>
          <w:p>
            <w:pPr>
              <w:spacing w:after="0"/>
              <w:rPr>
                <w:sz w:val="5"/>
                <w:szCs w:val="5"/>
                <w:color w:val="auto"/>
              </w:rPr>
            </w:pPr>
          </w:p>
        </w:tc>
        <w:tc>
          <w:tcPr>
            <w:tcW w:w="180" w:type="dxa"/>
            <w:vAlign w:val="bottom"/>
            <w:shd w:val="clear" w:color="auto" w:fill="B2B2B2"/>
          </w:tcPr>
          <w:p>
            <w:pPr>
              <w:spacing w:after="0"/>
              <w:rPr>
                <w:sz w:val="5"/>
                <w:szCs w:val="5"/>
                <w:color w:val="auto"/>
              </w:rPr>
            </w:pPr>
          </w:p>
        </w:tc>
        <w:tc>
          <w:tcPr>
            <w:tcW w:w="540" w:type="dxa"/>
            <w:vAlign w:val="bottom"/>
            <w:shd w:val="clear" w:color="auto" w:fill="B2B2B2"/>
          </w:tcPr>
          <w:p>
            <w:pPr>
              <w:spacing w:after="0"/>
              <w:rPr>
                <w:sz w:val="5"/>
                <w:szCs w:val="5"/>
                <w:color w:val="auto"/>
              </w:rPr>
            </w:pPr>
          </w:p>
        </w:tc>
        <w:tc>
          <w:tcPr>
            <w:tcW w:w="260" w:type="dxa"/>
            <w:vAlign w:val="bottom"/>
            <w:shd w:val="clear" w:color="auto" w:fill="B2B2B2"/>
          </w:tcPr>
          <w:p>
            <w:pPr>
              <w:spacing w:after="0"/>
              <w:rPr>
                <w:sz w:val="5"/>
                <w:szCs w:val="5"/>
                <w:color w:val="auto"/>
              </w:rPr>
            </w:pPr>
          </w:p>
        </w:tc>
        <w:tc>
          <w:tcPr>
            <w:tcW w:w="100" w:type="dxa"/>
            <w:vAlign w:val="bottom"/>
            <w:shd w:val="clear" w:color="auto" w:fill="B2B2B2"/>
          </w:tcPr>
          <w:p>
            <w:pPr>
              <w:spacing w:after="0"/>
              <w:rPr>
                <w:sz w:val="5"/>
                <w:szCs w:val="5"/>
                <w:color w:val="auto"/>
              </w:rPr>
            </w:pPr>
          </w:p>
        </w:tc>
        <w:tc>
          <w:tcPr>
            <w:tcW w:w="460" w:type="dxa"/>
            <w:vAlign w:val="bottom"/>
            <w:shd w:val="clear" w:color="auto" w:fill="B2B2B2"/>
          </w:tcPr>
          <w:p>
            <w:pPr>
              <w:spacing w:after="0"/>
              <w:rPr>
                <w:sz w:val="5"/>
                <w:szCs w:val="5"/>
                <w:color w:val="auto"/>
              </w:rPr>
            </w:pPr>
          </w:p>
        </w:tc>
        <w:tc>
          <w:tcPr>
            <w:tcW w:w="260" w:type="dxa"/>
            <w:vAlign w:val="bottom"/>
            <w:shd w:val="clear" w:color="auto" w:fill="B2B2B2"/>
          </w:tcPr>
          <w:p>
            <w:pPr>
              <w:spacing w:after="0"/>
              <w:rPr>
                <w:sz w:val="5"/>
                <w:szCs w:val="5"/>
                <w:color w:val="auto"/>
              </w:rPr>
            </w:pPr>
          </w:p>
        </w:tc>
        <w:tc>
          <w:tcPr>
            <w:tcW w:w="160" w:type="dxa"/>
            <w:vAlign w:val="bottom"/>
            <w:shd w:val="clear" w:color="auto" w:fill="B2B2B2"/>
          </w:tcPr>
          <w:p>
            <w:pPr>
              <w:spacing w:after="0"/>
              <w:rPr>
                <w:sz w:val="5"/>
                <w:szCs w:val="5"/>
                <w:color w:val="auto"/>
              </w:rPr>
            </w:pPr>
          </w:p>
        </w:tc>
        <w:tc>
          <w:tcPr>
            <w:tcW w:w="520" w:type="dxa"/>
            <w:vAlign w:val="bottom"/>
            <w:shd w:val="clear" w:color="auto" w:fill="B2B2B2"/>
          </w:tcPr>
          <w:p>
            <w:pPr>
              <w:spacing w:after="0"/>
              <w:rPr>
                <w:sz w:val="5"/>
                <w:szCs w:val="5"/>
                <w:color w:val="auto"/>
              </w:rPr>
            </w:pPr>
          </w:p>
        </w:tc>
        <w:tc>
          <w:tcPr>
            <w:tcW w:w="260" w:type="dxa"/>
            <w:vAlign w:val="bottom"/>
            <w:shd w:val="clear" w:color="auto" w:fill="B2B2B2"/>
          </w:tcPr>
          <w:p>
            <w:pPr>
              <w:spacing w:after="0"/>
              <w:rPr>
                <w:sz w:val="5"/>
                <w:szCs w:val="5"/>
                <w:color w:val="auto"/>
              </w:rPr>
            </w:pPr>
          </w:p>
        </w:tc>
        <w:tc>
          <w:tcPr>
            <w:tcW w:w="260" w:type="dxa"/>
            <w:vAlign w:val="bottom"/>
            <w:shd w:val="clear" w:color="auto" w:fill="B2B2B2"/>
          </w:tcPr>
          <w:p>
            <w:pPr>
              <w:spacing w:after="0"/>
              <w:rPr>
                <w:sz w:val="5"/>
                <w:szCs w:val="5"/>
                <w:color w:val="auto"/>
              </w:rPr>
            </w:pPr>
          </w:p>
        </w:tc>
        <w:tc>
          <w:tcPr>
            <w:tcW w:w="600" w:type="dxa"/>
            <w:vAlign w:val="bottom"/>
            <w:shd w:val="clear" w:color="auto" w:fill="B2B2B2"/>
          </w:tcPr>
          <w:p>
            <w:pPr>
              <w:spacing w:after="0"/>
              <w:rPr>
                <w:sz w:val="5"/>
                <w:szCs w:val="5"/>
                <w:color w:val="auto"/>
              </w:rPr>
            </w:pPr>
          </w:p>
        </w:tc>
        <w:tc>
          <w:tcPr>
            <w:tcW w:w="60" w:type="dxa"/>
            <w:vAlign w:val="bottom"/>
            <w:shd w:val="clear" w:color="auto" w:fill="B2B2B2"/>
          </w:tcPr>
          <w:p>
            <w:pPr>
              <w:spacing w:after="0"/>
              <w:rPr>
                <w:sz w:val="5"/>
                <w:szCs w:val="5"/>
                <w:color w:val="auto"/>
              </w:rPr>
            </w:pPr>
          </w:p>
        </w:tc>
      </w:tr>
      <w:tr>
        <w:trPr>
          <w:trHeight w:val="301"/>
        </w:trPr>
        <w:tc>
          <w:tcPr>
            <w:tcW w:w="60" w:type="dxa"/>
            <w:vAlign w:val="bottom"/>
          </w:tcPr>
          <w:p>
            <w:pPr>
              <w:spacing w:after="0"/>
              <w:rPr>
                <w:sz w:val="24"/>
                <w:szCs w:val="24"/>
                <w:color w:val="auto"/>
              </w:rPr>
            </w:pPr>
          </w:p>
        </w:tc>
        <w:tc>
          <w:tcPr>
            <w:tcW w:w="5460" w:type="dxa"/>
            <w:vAlign w:val="bottom"/>
            <w:gridSpan w:val="3"/>
          </w:tcPr>
          <w:p>
            <w:pPr>
              <w:ind w:left="20"/>
              <w:spacing w:after="0"/>
              <w:rPr>
                <w:sz w:val="20"/>
                <w:szCs w:val="20"/>
                <w:color w:val="auto"/>
              </w:rPr>
            </w:pPr>
            <w:r>
              <w:rPr>
                <w:rFonts w:ascii="Arial" w:cs="Arial" w:eastAsia="Arial" w:hAnsi="Arial"/>
                <w:sz w:val="18"/>
                <w:szCs w:val="18"/>
                <w:color w:val="auto"/>
              </w:rPr>
              <w:t>Revenue</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7"/>
              </w:rPr>
              <w:t>2,398</w:t>
            </w:r>
          </w:p>
        </w:tc>
        <w:tc>
          <w:tcPr>
            <w:tcW w:w="2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2,525</w:t>
            </w:r>
          </w:p>
        </w:tc>
        <w:tc>
          <w:tcPr>
            <w:tcW w:w="2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2,651</w:t>
            </w:r>
          </w:p>
        </w:tc>
        <w:tc>
          <w:tcPr>
            <w:tcW w:w="260" w:type="dxa"/>
            <w:vAlign w:val="bottom"/>
          </w:tcPr>
          <w:p>
            <w:pPr>
              <w:spacing w:after="0"/>
              <w:rPr>
                <w:sz w:val="24"/>
                <w:szCs w:val="24"/>
                <w:color w:val="auto"/>
              </w:rPr>
            </w:pPr>
          </w:p>
        </w:tc>
        <w:tc>
          <w:tcPr>
            <w:tcW w:w="26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ind w:right="55"/>
              <w:spacing w:after="0"/>
              <w:rPr>
                <w:sz w:val="20"/>
                <w:szCs w:val="20"/>
                <w:color w:val="auto"/>
              </w:rPr>
            </w:pPr>
            <w:r>
              <w:rPr>
                <w:rFonts w:ascii="Arial" w:cs="Arial" w:eastAsia="Arial" w:hAnsi="Arial"/>
                <w:sz w:val="18"/>
                <w:szCs w:val="18"/>
                <w:color w:val="auto"/>
                <w:w w:val="97"/>
              </w:rPr>
              <w:t>2,173</w:t>
            </w:r>
          </w:p>
        </w:tc>
        <w:tc>
          <w:tcPr>
            <w:tcW w:w="60" w:type="dxa"/>
            <w:vAlign w:val="bottom"/>
          </w:tcPr>
          <w:p>
            <w:pPr>
              <w:spacing w:after="0"/>
              <w:rPr>
                <w:sz w:val="24"/>
                <w:szCs w:val="24"/>
                <w:color w:val="auto"/>
              </w:rPr>
            </w:pPr>
          </w:p>
        </w:tc>
      </w:tr>
      <w:tr>
        <w:trPr>
          <w:trHeight w:val="63"/>
        </w:trPr>
        <w:tc>
          <w:tcPr>
            <w:tcW w:w="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39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r>
      <w:tr>
        <w:trPr>
          <w:trHeight w:val="311"/>
        </w:trPr>
        <w:tc>
          <w:tcPr>
            <w:tcW w:w="60" w:type="dxa"/>
            <w:vAlign w:val="bottom"/>
            <w:shd w:val="clear" w:color="auto" w:fill="B2B2B2"/>
          </w:tcPr>
          <w:p>
            <w:pPr>
              <w:spacing w:after="0"/>
              <w:rPr>
                <w:sz w:val="24"/>
                <w:szCs w:val="24"/>
                <w:color w:val="auto"/>
              </w:rPr>
            </w:pPr>
          </w:p>
        </w:tc>
        <w:tc>
          <w:tcPr>
            <w:tcW w:w="5460" w:type="dxa"/>
            <w:vAlign w:val="bottom"/>
            <w:gridSpan w:val="3"/>
            <w:shd w:val="clear" w:color="auto" w:fill="B2B2B2"/>
          </w:tcPr>
          <w:p>
            <w:pPr>
              <w:ind w:left="20"/>
              <w:spacing w:after="0"/>
              <w:rPr>
                <w:sz w:val="20"/>
                <w:szCs w:val="20"/>
                <w:color w:val="auto"/>
              </w:rPr>
            </w:pPr>
            <w:r>
              <w:rPr>
                <w:rFonts w:ascii="Arial" w:cs="Arial" w:eastAsia="Arial" w:hAnsi="Arial"/>
                <w:sz w:val="18"/>
                <w:szCs w:val="18"/>
                <w:color w:val="auto"/>
              </w:rPr>
              <w:t>Free Cash Flow</w:t>
            </w:r>
          </w:p>
        </w:tc>
        <w:tc>
          <w:tcPr>
            <w:tcW w:w="1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138</w:t>
            </w:r>
          </w:p>
        </w:tc>
        <w:tc>
          <w:tcPr>
            <w:tcW w:w="260" w:type="dxa"/>
            <w:vAlign w:val="bottom"/>
            <w:shd w:val="clear" w:color="auto" w:fill="B2B2B2"/>
          </w:tcPr>
          <w:p>
            <w:pPr>
              <w:spacing w:after="0"/>
              <w:rPr>
                <w:sz w:val="24"/>
                <w:szCs w:val="24"/>
                <w:color w:val="auto"/>
              </w:rPr>
            </w:pPr>
          </w:p>
        </w:tc>
        <w:tc>
          <w:tcPr>
            <w:tcW w:w="100" w:type="dxa"/>
            <w:vAlign w:val="bottom"/>
            <w:shd w:val="clear" w:color="auto" w:fill="B2B2B2"/>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172</w:t>
            </w:r>
          </w:p>
        </w:tc>
        <w:tc>
          <w:tcPr>
            <w:tcW w:w="260" w:type="dxa"/>
            <w:vAlign w:val="bottom"/>
            <w:shd w:val="clear" w:color="auto" w:fill="B2B2B2"/>
          </w:tcPr>
          <w:p>
            <w:pPr>
              <w:spacing w:after="0"/>
              <w:rPr>
                <w:sz w:val="24"/>
                <w:szCs w:val="24"/>
                <w:color w:val="auto"/>
              </w:rPr>
            </w:pPr>
          </w:p>
        </w:tc>
        <w:tc>
          <w:tcPr>
            <w:tcW w:w="1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189</w:t>
            </w:r>
          </w:p>
        </w:tc>
        <w:tc>
          <w:tcPr>
            <w:tcW w:w="260" w:type="dxa"/>
            <w:vAlign w:val="bottom"/>
            <w:shd w:val="clear" w:color="auto" w:fill="B2B2B2"/>
          </w:tcPr>
          <w:p>
            <w:pPr>
              <w:spacing w:after="0"/>
              <w:rPr>
                <w:sz w:val="24"/>
                <w:szCs w:val="24"/>
                <w:color w:val="auto"/>
              </w:rPr>
            </w:pPr>
          </w:p>
        </w:tc>
        <w:tc>
          <w:tcPr>
            <w:tcW w:w="260" w:type="dxa"/>
            <w:vAlign w:val="bottom"/>
            <w:shd w:val="clear" w:color="auto" w:fill="B2B2B2"/>
          </w:tcPr>
          <w:p>
            <w:pPr>
              <w:ind w:left="16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B2B2B2"/>
          </w:tcPr>
          <w:p>
            <w:pPr>
              <w:jc w:val="right"/>
              <w:ind w:right="75"/>
              <w:spacing w:after="0"/>
              <w:rPr>
                <w:sz w:val="20"/>
                <w:szCs w:val="20"/>
                <w:color w:val="auto"/>
              </w:rPr>
            </w:pPr>
            <w:r>
              <w:rPr>
                <w:rFonts w:ascii="Arial" w:cs="Arial" w:eastAsia="Arial" w:hAnsi="Arial"/>
                <w:sz w:val="18"/>
                <w:szCs w:val="18"/>
                <w:color w:val="auto"/>
              </w:rPr>
              <w:t>63</w:t>
            </w:r>
          </w:p>
        </w:tc>
        <w:tc>
          <w:tcPr>
            <w:tcW w:w="60" w:type="dxa"/>
            <w:vAlign w:val="bottom"/>
            <w:shd w:val="clear" w:color="auto" w:fill="B2B2B2"/>
          </w:tcPr>
          <w:p>
            <w:pPr>
              <w:spacing w:after="0"/>
              <w:rPr>
                <w:sz w:val="24"/>
                <w:szCs w:val="24"/>
                <w:color w:val="auto"/>
              </w:rPr>
            </w:pPr>
          </w:p>
        </w:tc>
      </w:tr>
      <w:tr>
        <w:trPr>
          <w:trHeight w:val="189"/>
        </w:trPr>
        <w:tc>
          <w:tcPr>
            <w:tcW w:w="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3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-796925</wp:posOffset>
            </wp:positionV>
            <wp:extent cx="3429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5079365</wp:posOffset>
            </wp:positionH>
            <wp:positionV relativeFrom="paragraph">
              <wp:posOffset>-796925</wp:posOffset>
            </wp:positionV>
            <wp:extent cx="17145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4479290</wp:posOffset>
            </wp:positionH>
            <wp:positionV relativeFrom="paragraph">
              <wp:posOffset>-796925</wp:posOffset>
            </wp:positionV>
            <wp:extent cx="17145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-796925</wp:posOffset>
            </wp:positionV>
            <wp:extent cx="17145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-796925</wp:posOffset>
            </wp:positionV>
            <wp:extent cx="17970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-796925</wp:posOffset>
            </wp:positionV>
            <wp:extent cx="431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color w:val="auto"/>
        </w:rPr>
        <w:t>Note: Payouts are linearly interpolated for performance between threshold and maximum.</w:t>
      </w:r>
    </w:p>
    <w:p>
      <w:pPr>
        <w:spacing w:after="0" w:line="167"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Based on the above financial performance results, the funding of the EMIP was set at 0% of each NEO’s applicable target because the threshold Adjusted EBITDA goal was not achieved. The Committee retains discretion to further adjust the award upward or downward based on its assessment of individual performance, but did not make any adjustments for 2020 awards.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Incentives</w:t>
      </w:r>
    </w:p>
    <w:p>
      <w:pPr>
        <w:spacing w:after="0" w:line="17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NEOs are eligible for long-term incentives, all of which were issued under the terms of our Second A&amp;R 2010 Plan. The Committee considers a mix of equity vehicles when granting long-term incentives, and for 2020 approved target long-term incentives based on its historic mix of awards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204470</wp:posOffset>
            </wp:positionV>
            <wp:extent cx="4157345" cy="27343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157345" cy="2734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157480</wp:posOffset>
            </wp:positionV>
            <wp:extent cx="699516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263" w:right="1359" w:bottom="1440" w:gutter="0" w:footer="0" w:header="0"/>
        </w:sectPr>
      </w:pPr>
    </w:p>
    <w:bookmarkStart w:id="34" w:name="page35"/>
    <w:bookmarkEnd w:id="34"/>
    <w:p>
      <w:pPr>
        <w:ind w:left="6"/>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124" w:lineRule="exact"/>
        <w:rPr>
          <w:sz w:val="20"/>
          <w:szCs w:val="20"/>
          <w:color w:val="auto"/>
        </w:rPr>
      </w:pPr>
    </w:p>
    <w:p>
      <w:pPr>
        <w:ind w:left="6" w:right="500"/>
        <w:spacing w:after="0" w:line="276" w:lineRule="auto"/>
        <w:rPr>
          <w:sz w:val="20"/>
          <w:szCs w:val="20"/>
          <w:color w:val="auto"/>
        </w:rPr>
      </w:pPr>
      <w:r>
        <w:rPr>
          <w:rFonts w:ascii="Arial" w:cs="Arial" w:eastAsia="Arial" w:hAnsi="Arial"/>
          <w:sz w:val="18"/>
          <w:szCs w:val="18"/>
          <w:i w:val="1"/>
          <w:iCs w:val="1"/>
          <w:color w:val="auto"/>
        </w:rPr>
        <w:t xml:space="preserve">2020 Target Long-Term Incentive Award Grants. </w:t>
      </w:r>
      <w:r>
        <w:rPr>
          <w:rFonts w:ascii="Arial" w:cs="Arial" w:eastAsia="Arial" w:hAnsi="Arial"/>
          <w:sz w:val="18"/>
          <w:szCs w:val="18"/>
          <w:color w:val="auto"/>
        </w:rPr>
        <w:t>The table below shows the target annual long-term incentive</w:t>
      </w:r>
      <w:r>
        <w:rPr>
          <w:rFonts w:ascii="Arial" w:cs="Arial" w:eastAsia="Arial" w:hAnsi="Arial"/>
          <w:sz w:val="18"/>
          <w:szCs w:val="18"/>
          <w:i w:val="1"/>
          <w:iCs w:val="1"/>
          <w:color w:val="auto"/>
        </w:rPr>
        <w:t xml:space="preserve"> </w:t>
      </w:r>
      <w:r>
        <w:rPr>
          <w:rFonts w:ascii="Arial" w:cs="Arial" w:eastAsia="Arial" w:hAnsi="Arial"/>
          <w:sz w:val="18"/>
          <w:szCs w:val="18"/>
          <w:color w:val="auto"/>
        </w:rPr>
        <w:t>award values granted for fiscal 2020 for each of the NEOs:</w:t>
      </w:r>
    </w:p>
    <w:p>
      <w:pPr>
        <w:spacing w:after="0" w:line="72" w:lineRule="exact"/>
        <w:rPr>
          <w:sz w:val="20"/>
          <w:szCs w:val="20"/>
          <w:color w:val="auto"/>
        </w:rPr>
      </w:pPr>
    </w:p>
    <w:tbl>
      <w:tblPr>
        <w:tblLayout w:type="fixed"/>
        <w:tblInd w:w="6"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115"/>
              <w:spacing w:after="0"/>
              <w:rPr>
                <w:sz w:val="20"/>
                <w:szCs w:val="20"/>
                <w:color w:val="auto"/>
              </w:rPr>
            </w:pPr>
            <w:r>
              <w:rPr>
                <w:rFonts w:ascii="Arial" w:cs="Arial" w:eastAsia="Arial" w:hAnsi="Arial"/>
                <w:sz w:val="14"/>
                <w:szCs w:val="14"/>
                <w:b w:val="1"/>
                <w:bCs w:val="1"/>
                <w:color w:val="auto"/>
              </w:rPr>
              <w:t>PRSUs*</w:t>
            </w:r>
          </w:p>
        </w:tc>
        <w:tc>
          <w:tcPr>
            <w:tcW w:w="4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Stock</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02"/>
        </w:trPr>
        <w:tc>
          <w:tcPr>
            <w:tcW w:w="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120" w:type="dxa"/>
            <w:vAlign w:val="bottom"/>
            <w:gridSpan w:val="2"/>
          </w:tcPr>
          <w:p>
            <w:pPr>
              <w:ind w:left="560"/>
              <w:spacing w:after="0"/>
              <w:rPr>
                <w:sz w:val="20"/>
                <w:szCs w:val="20"/>
                <w:color w:val="auto"/>
              </w:rPr>
            </w:pPr>
            <w:r>
              <w:rPr>
                <w:rFonts w:ascii="Arial" w:cs="Arial" w:eastAsia="Arial" w:hAnsi="Arial"/>
                <w:sz w:val="14"/>
                <w:szCs w:val="14"/>
                <w:b w:val="1"/>
                <w:bCs w:val="1"/>
                <w:color w:val="auto"/>
              </w:rPr>
              <w:t>NEO</w:t>
            </w:r>
          </w:p>
        </w:tc>
        <w:tc>
          <w:tcPr>
            <w:tcW w:w="100" w:type="dxa"/>
            <w:vAlign w:val="bottom"/>
          </w:tcPr>
          <w:p>
            <w:pPr>
              <w:spacing w:after="0"/>
              <w:rPr>
                <w:sz w:val="17"/>
                <w:szCs w:val="17"/>
                <w:color w:val="auto"/>
              </w:rPr>
            </w:pPr>
          </w:p>
        </w:tc>
        <w:tc>
          <w:tcPr>
            <w:tcW w:w="800" w:type="dxa"/>
            <w:vAlign w:val="bottom"/>
          </w:tcPr>
          <w:p>
            <w:pPr>
              <w:jc w:val="right"/>
              <w:ind w:right="15"/>
              <w:spacing w:after="0"/>
              <w:rPr>
                <w:sz w:val="20"/>
                <w:szCs w:val="20"/>
                <w:color w:val="auto"/>
              </w:rPr>
            </w:pPr>
            <w:r>
              <w:rPr>
                <w:rFonts w:ascii="Arial" w:cs="Arial" w:eastAsia="Arial" w:hAnsi="Arial"/>
                <w:sz w:val="14"/>
                <w:szCs w:val="14"/>
                <w:b w:val="1"/>
                <w:bCs w:val="1"/>
                <w:color w:val="auto"/>
                <w:w w:val="99"/>
              </w:rPr>
              <w:t>(at Target)</w:t>
            </w:r>
          </w:p>
        </w:tc>
        <w:tc>
          <w:tcPr>
            <w:tcW w:w="46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Options**</w:t>
            </w:r>
          </w:p>
        </w:tc>
        <w:tc>
          <w:tcPr>
            <w:tcW w:w="460" w:type="dxa"/>
            <w:vAlign w:val="bottom"/>
          </w:tcPr>
          <w:p>
            <w:pPr>
              <w:spacing w:after="0"/>
              <w:rPr>
                <w:sz w:val="17"/>
                <w:szCs w:val="17"/>
                <w:color w:val="auto"/>
              </w:rPr>
            </w:pPr>
          </w:p>
        </w:tc>
        <w:tc>
          <w:tcPr>
            <w:tcW w:w="740" w:type="dxa"/>
            <w:vAlign w:val="bottom"/>
          </w:tcPr>
          <w:p>
            <w:pPr>
              <w:ind w:left="160"/>
              <w:spacing w:after="0"/>
              <w:rPr>
                <w:sz w:val="20"/>
                <w:szCs w:val="20"/>
                <w:color w:val="auto"/>
              </w:rPr>
            </w:pPr>
            <w:r>
              <w:rPr>
                <w:rFonts w:ascii="Arial" w:cs="Arial" w:eastAsia="Arial" w:hAnsi="Arial"/>
                <w:sz w:val="14"/>
                <w:szCs w:val="14"/>
                <w:b w:val="1"/>
                <w:bCs w:val="1"/>
                <w:color w:val="auto"/>
              </w:rPr>
              <w:t>RSUs*</w:t>
            </w:r>
          </w:p>
        </w:tc>
        <w:tc>
          <w:tcPr>
            <w:tcW w:w="460" w:type="dxa"/>
            <w:vAlign w:val="bottom"/>
          </w:tcPr>
          <w:p>
            <w:pPr>
              <w:spacing w:after="0"/>
              <w:rPr>
                <w:sz w:val="17"/>
                <w:szCs w:val="17"/>
                <w:color w:val="auto"/>
              </w:rPr>
            </w:pPr>
          </w:p>
        </w:tc>
        <w:tc>
          <w:tcPr>
            <w:tcW w:w="1000" w:type="dxa"/>
            <w:vAlign w:val="bottom"/>
            <w:gridSpan w:val="3"/>
          </w:tcPr>
          <w:p>
            <w:pPr>
              <w:ind w:left="100"/>
              <w:spacing w:after="0"/>
              <w:rPr>
                <w:sz w:val="20"/>
                <w:szCs w:val="20"/>
                <w:color w:val="auto"/>
              </w:rPr>
            </w:pPr>
            <w:r>
              <w:rPr>
                <w:rFonts w:ascii="Arial" w:cs="Arial" w:eastAsia="Arial" w:hAnsi="Arial"/>
                <w:sz w:val="14"/>
                <w:szCs w:val="14"/>
                <w:b w:val="1"/>
                <w:bCs w:val="1"/>
                <w:color w:val="auto"/>
              </w:rPr>
              <w:t>Total Value</w:t>
            </w:r>
          </w:p>
        </w:tc>
      </w:tr>
      <w:tr>
        <w:trPr>
          <w:trHeight w:val="56"/>
        </w:trPr>
        <w:tc>
          <w:tcPr>
            <w:tcW w:w="40" w:type="dxa"/>
            <w:vAlign w:val="bottom"/>
            <w:tcBorders>
              <w:bottom w:val="single" w:sz="8" w:color="B2B2B2"/>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2660" w:type="dxa"/>
            <w:vAlign w:val="bottom"/>
            <w:tcBorders>
              <w:bottom w:val="single" w:sz="8" w:color="auto"/>
            </w:tcBorders>
          </w:tcPr>
          <w:p>
            <w:pPr>
              <w:spacing w:after="0"/>
              <w:rPr>
                <w:sz w:val="4"/>
                <w:szCs w:val="4"/>
                <w:color w:val="auto"/>
              </w:rPr>
            </w:pPr>
          </w:p>
        </w:tc>
        <w:tc>
          <w:tcPr>
            <w:tcW w:w="460" w:type="dxa"/>
            <w:vAlign w:val="bottom"/>
            <w:tcBorders>
              <w:bottom w:val="single" w:sz="8" w:color="B2B2B2"/>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460" w:type="dxa"/>
            <w:vAlign w:val="bottom"/>
            <w:tcBorders>
              <w:bottom w:val="single" w:sz="8" w:color="B2B2B2"/>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460" w:type="dxa"/>
            <w:vAlign w:val="bottom"/>
            <w:tcBorders>
              <w:bottom w:val="single" w:sz="8" w:color="B2B2B2"/>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60" w:type="dxa"/>
            <w:vAlign w:val="bottom"/>
            <w:tcBorders>
              <w:bottom w:val="single" w:sz="8" w:color="B2B2B2"/>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tcBorders>
              <w:bottom w:val="single" w:sz="8" w:color="B2B2B2"/>
            </w:tcBorders>
          </w:tcPr>
          <w:p>
            <w:pPr>
              <w:spacing w:after="0"/>
              <w:rPr>
                <w:sz w:val="4"/>
                <w:szCs w:val="4"/>
                <w:color w:val="auto"/>
              </w:rPr>
            </w:pPr>
          </w:p>
        </w:tc>
      </w:tr>
      <w:tr>
        <w:trPr>
          <w:trHeight w:val="295"/>
        </w:trPr>
        <w:tc>
          <w:tcPr>
            <w:tcW w:w="40" w:type="dxa"/>
            <w:vAlign w:val="bottom"/>
            <w:shd w:val="clear" w:color="auto" w:fill="B2B2B2"/>
          </w:tcPr>
          <w:p>
            <w:pPr>
              <w:spacing w:after="0"/>
              <w:rPr>
                <w:sz w:val="24"/>
                <w:szCs w:val="24"/>
                <w:color w:val="auto"/>
              </w:rPr>
            </w:pPr>
          </w:p>
        </w:tc>
        <w:tc>
          <w:tcPr>
            <w:tcW w:w="4360" w:type="dxa"/>
            <w:vAlign w:val="bottom"/>
            <w:gridSpan w:val="3"/>
            <w:shd w:val="clear" w:color="auto" w:fill="B2B2B2"/>
          </w:tcPr>
          <w:p>
            <w:pPr>
              <w:ind w:left="40"/>
              <w:spacing w:after="0"/>
              <w:rPr>
                <w:sz w:val="20"/>
                <w:szCs w:val="20"/>
                <w:color w:val="auto"/>
              </w:rPr>
            </w:pPr>
            <w:r>
              <w:rPr>
                <w:rFonts w:ascii="Arial" w:cs="Arial" w:eastAsia="Arial" w:hAnsi="Arial"/>
                <w:sz w:val="18"/>
                <w:szCs w:val="18"/>
                <w:color w:val="auto"/>
              </w:rPr>
              <w:t>Thomas L. Deitrich</w:t>
            </w:r>
          </w:p>
        </w:tc>
        <w:tc>
          <w:tcPr>
            <w:tcW w:w="100" w:type="dxa"/>
            <w:vAlign w:val="bottom"/>
            <w:shd w:val="clear" w:color="auto" w:fill="B2B2B2"/>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B2B2B2"/>
          </w:tcPr>
          <w:p>
            <w:pPr>
              <w:jc w:val="right"/>
              <w:spacing w:after="0"/>
              <w:rPr>
                <w:sz w:val="20"/>
                <w:szCs w:val="20"/>
                <w:color w:val="auto"/>
              </w:rPr>
            </w:pPr>
            <w:r>
              <w:rPr>
                <w:rFonts w:ascii="Arial" w:cs="Arial" w:eastAsia="Arial" w:hAnsi="Arial"/>
                <w:sz w:val="18"/>
                <w:szCs w:val="18"/>
                <w:color w:val="auto"/>
                <w:w w:val="97"/>
              </w:rPr>
              <w:t>1,500,000</w:t>
            </w:r>
          </w:p>
        </w:tc>
        <w:tc>
          <w:tcPr>
            <w:tcW w:w="1220" w:type="dxa"/>
            <w:vAlign w:val="bottom"/>
            <w:gridSpan w:val="2"/>
            <w:shd w:val="clear" w:color="auto" w:fill="B2B2B2"/>
          </w:tcPr>
          <w:p>
            <w:pPr>
              <w:ind w:left="460"/>
              <w:spacing w:after="0"/>
              <w:rPr>
                <w:sz w:val="20"/>
                <w:szCs w:val="20"/>
                <w:color w:val="auto"/>
              </w:rPr>
            </w:pPr>
            <w:r>
              <w:rPr>
                <w:rFonts w:ascii="Arial" w:cs="Arial" w:eastAsia="Arial" w:hAnsi="Arial"/>
                <w:sz w:val="18"/>
                <w:szCs w:val="18"/>
                <w:color w:val="auto"/>
                <w:w w:val="98"/>
              </w:rPr>
              <w:t>$750,000</w:t>
            </w:r>
          </w:p>
        </w:tc>
        <w:tc>
          <w:tcPr>
            <w:tcW w:w="1200" w:type="dxa"/>
            <w:vAlign w:val="bottom"/>
            <w:gridSpan w:val="2"/>
            <w:shd w:val="clear" w:color="auto" w:fill="B2B2B2"/>
          </w:tcPr>
          <w:p>
            <w:pPr>
              <w:ind w:left="460"/>
              <w:spacing w:after="0"/>
              <w:rPr>
                <w:sz w:val="20"/>
                <w:szCs w:val="20"/>
                <w:color w:val="auto"/>
              </w:rPr>
            </w:pPr>
            <w:r>
              <w:rPr>
                <w:rFonts w:ascii="Arial" w:cs="Arial" w:eastAsia="Arial" w:hAnsi="Arial"/>
                <w:sz w:val="18"/>
                <w:szCs w:val="18"/>
                <w:color w:val="auto"/>
                <w:w w:val="95"/>
              </w:rPr>
              <w:t>$750,000</w:t>
            </w:r>
          </w:p>
        </w:tc>
        <w:tc>
          <w:tcPr>
            <w:tcW w:w="560" w:type="dxa"/>
            <w:vAlign w:val="bottom"/>
            <w:gridSpan w:val="2"/>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B2B2B2"/>
          </w:tcPr>
          <w:p>
            <w:pPr>
              <w:jc w:val="right"/>
              <w:spacing w:after="0"/>
              <w:rPr>
                <w:sz w:val="20"/>
                <w:szCs w:val="20"/>
                <w:color w:val="auto"/>
              </w:rPr>
            </w:pPr>
            <w:r>
              <w:rPr>
                <w:rFonts w:ascii="Arial" w:cs="Arial" w:eastAsia="Arial" w:hAnsi="Arial"/>
                <w:sz w:val="18"/>
                <w:szCs w:val="18"/>
                <w:color w:val="auto"/>
                <w:w w:val="97"/>
              </w:rPr>
              <w:t>3,000,000</w:t>
            </w:r>
          </w:p>
        </w:tc>
        <w:tc>
          <w:tcPr>
            <w:tcW w:w="80" w:type="dxa"/>
            <w:vAlign w:val="bottom"/>
            <w:shd w:val="clear" w:color="auto" w:fill="B2B2B2"/>
          </w:tcPr>
          <w:p>
            <w:pPr>
              <w:spacing w:after="0"/>
              <w:rPr>
                <w:sz w:val="24"/>
                <w:szCs w:val="24"/>
                <w:color w:val="auto"/>
              </w:rPr>
            </w:pPr>
          </w:p>
        </w:tc>
      </w:tr>
      <w:tr>
        <w:trPr>
          <w:trHeight w:val="63"/>
        </w:trPr>
        <w:tc>
          <w:tcPr>
            <w:tcW w:w="40" w:type="dxa"/>
            <w:vAlign w:val="bottom"/>
            <w:shd w:val="clear" w:color="auto" w:fill="B2B2B2"/>
          </w:tcPr>
          <w:p>
            <w:pPr>
              <w:spacing w:after="0"/>
              <w:rPr>
                <w:sz w:val="5"/>
                <w:szCs w:val="5"/>
                <w:color w:val="auto"/>
              </w:rPr>
            </w:pPr>
          </w:p>
        </w:tc>
        <w:tc>
          <w:tcPr>
            <w:tcW w:w="1240" w:type="dxa"/>
            <w:vAlign w:val="bottom"/>
            <w:shd w:val="clear" w:color="auto" w:fill="B2B2B2"/>
          </w:tcPr>
          <w:p>
            <w:pPr>
              <w:spacing w:after="0"/>
              <w:rPr>
                <w:sz w:val="5"/>
                <w:szCs w:val="5"/>
                <w:color w:val="auto"/>
              </w:rPr>
            </w:pPr>
          </w:p>
        </w:tc>
        <w:tc>
          <w:tcPr>
            <w:tcW w:w="2660" w:type="dxa"/>
            <w:vAlign w:val="bottom"/>
            <w:shd w:val="clear" w:color="auto" w:fill="B2B2B2"/>
          </w:tcPr>
          <w:p>
            <w:pPr>
              <w:spacing w:after="0"/>
              <w:rPr>
                <w:sz w:val="5"/>
                <w:szCs w:val="5"/>
                <w:color w:val="auto"/>
              </w:rPr>
            </w:pPr>
          </w:p>
        </w:tc>
        <w:tc>
          <w:tcPr>
            <w:tcW w:w="460" w:type="dxa"/>
            <w:vAlign w:val="bottom"/>
            <w:shd w:val="clear" w:color="auto" w:fill="B2B2B2"/>
          </w:tcPr>
          <w:p>
            <w:pPr>
              <w:spacing w:after="0"/>
              <w:rPr>
                <w:sz w:val="5"/>
                <w:szCs w:val="5"/>
                <w:color w:val="auto"/>
              </w:rPr>
            </w:pPr>
          </w:p>
        </w:tc>
        <w:tc>
          <w:tcPr>
            <w:tcW w:w="100" w:type="dxa"/>
            <w:vAlign w:val="bottom"/>
            <w:shd w:val="clear" w:color="auto" w:fill="B2B2B2"/>
          </w:tcPr>
          <w:p>
            <w:pPr>
              <w:spacing w:after="0"/>
              <w:rPr>
                <w:sz w:val="5"/>
                <w:szCs w:val="5"/>
                <w:color w:val="auto"/>
              </w:rPr>
            </w:pPr>
          </w:p>
        </w:tc>
        <w:tc>
          <w:tcPr>
            <w:tcW w:w="800" w:type="dxa"/>
            <w:vAlign w:val="bottom"/>
            <w:shd w:val="clear" w:color="auto" w:fill="B2B2B2"/>
          </w:tcPr>
          <w:p>
            <w:pPr>
              <w:spacing w:after="0"/>
              <w:rPr>
                <w:sz w:val="5"/>
                <w:szCs w:val="5"/>
                <w:color w:val="auto"/>
              </w:rPr>
            </w:pPr>
          </w:p>
        </w:tc>
        <w:tc>
          <w:tcPr>
            <w:tcW w:w="460" w:type="dxa"/>
            <w:vAlign w:val="bottom"/>
            <w:shd w:val="clear" w:color="auto" w:fill="B2B2B2"/>
          </w:tcPr>
          <w:p>
            <w:pPr>
              <w:spacing w:after="0"/>
              <w:rPr>
                <w:sz w:val="5"/>
                <w:szCs w:val="5"/>
                <w:color w:val="auto"/>
              </w:rPr>
            </w:pPr>
          </w:p>
        </w:tc>
        <w:tc>
          <w:tcPr>
            <w:tcW w:w="760" w:type="dxa"/>
            <w:vAlign w:val="bottom"/>
            <w:shd w:val="clear" w:color="auto" w:fill="B2B2B2"/>
          </w:tcPr>
          <w:p>
            <w:pPr>
              <w:spacing w:after="0"/>
              <w:rPr>
                <w:sz w:val="5"/>
                <w:szCs w:val="5"/>
                <w:color w:val="auto"/>
              </w:rPr>
            </w:pPr>
          </w:p>
        </w:tc>
        <w:tc>
          <w:tcPr>
            <w:tcW w:w="460" w:type="dxa"/>
            <w:vAlign w:val="bottom"/>
            <w:shd w:val="clear" w:color="auto" w:fill="B2B2B2"/>
          </w:tcPr>
          <w:p>
            <w:pPr>
              <w:spacing w:after="0"/>
              <w:rPr>
                <w:sz w:val="5"/>
                <w:szCs w:val="5"/>
                <w:color w:val="auto"/>
              </w:rPr>
            </w:pPr>
          </w:p>
        </w:tc>
        <w:tc>
          <w:tcPr>
            <w:tcW w:w="740" w:type="dxa"/>
            <w:vAlign w:val="bottom"/>
            <w:shd w:val="clear" w:color="auto" w:fill="B2B2B2"/>
          </w:tcPr>
          <w:p>
            <w:pPr>
              <w:spacing w:after="0"/>
              <w:rPr>
                <w:sz w:val="5"/>
                <w:szCs w:val="5"/>
                <w:color w:val="auto"/>
              </w:rPr>
            </w:pPr>
          </w:p>
        </w:tc>
        <w:tc>
          <w:tcPr>
            <w:tcW w:w="460" w:type="dxa"/>
            <w:vAlign w:val="bottom"/>
            <w:shd w:val="clear" w:color="auto" w:fill="B2B2B2"/>
          </w:tcPr>
          <w:p>
            <w:pPr>
              <w:spacing w:after="0"/>
              <w:rPr>
                <w:sz w:val="5"/>
                <w:szCs w:val="5"/>
                <w:color w:val="auto"/>
              </w:rPr>
            </w:pPr>
          </w:p>
        </w:tc>
        <w:tc>
          <w:tcPr>
            <w:tcW w:w="100" w:type="dxa"/>
            <w:vAlign w:val="bottom"/>
            <w:shd w:val="clear" w:color="auto" w:fill="B2B2B2"/>
          </w:tcPr>
          <w:p>
            <w:pPr>
              <w:spacing w:after="0"/>
              <w:rPr>
                <w:sz w:val="5"/>
                <w:szCs w:val="5"/>
                <w:color w:val="auto"/>
              </w:rPr>
            </w:pPr>
          </w:p>
        </w:tc>
        <w:tc>
          <w:tcPr>
            <w:tcW w:w="820" w:type="dxa"/>
            <w:vAlign w:val="bottom"/>
            <w:shd w:val="clear" w:color="auto" w:fill="B2B2B2"/>
          </w:tcPr>
          <w:p>
            <w:pPr>
              <w:spacing w:after="0"/>
              <w:rPr>
                <w:sz w:val="5"/>
                <w:szCs w:val="5"/>
                <w:color w:val="auto"/>
              </w:rPr>
            </w:pPr>
          </w:p>
        </w:tc>
        <w:tc>
          <w:tcPr>
            <w:tcW w:w="80" w:type="dxa"/>
            <w:vAlign w:val="bottom"/>
            <w:shd w:val="clear" w:color="auto" w:fill="B2B2B2"/>
          </w:tcPr>
          <w:p>
            <w:pPr>
              <w:spacing w:after="0"/>
              <w:rPr>
                <w:sz w:val="5"/>
                <w:szCs w:val="5"/>
                <w:color w:val="auto"/>
              </w:rPr>
            </w:pPr>
          </w:p>
        </w:tc>
      </w:tr>
      <w:tr>
        <w:trPr>
          <w:trHeight w:val="301"/>
        </w:trPr>
        <w:tc>
          <w:tcPr>
            <w:tcW w:w="40" w:type="dxa"/>
            <w:vAlign w:val="bottom"/>
          </w:tcPr>
          <w:p>
            <w:pPr>
              <w:spacing w:after="0"/>
              <w:rPr>
                <w:sz w:val="24"/>
                <w:szCs w:val="24"/>
                <w:color w:val="auto"/>
              </w:rPr>
            </w:pPr>
          </w:p>
        </w:tc>
        <w:tc>
          <w:tcPr>
            <w:tcW w:w="4360" w:type="dxa"/>
            <w:vAlign w:val="bottom"/>
            <w:gridSpan w:val="3"/>
          </w:tcPr>
          <w:p>
            <w:pPr>
              <w:ind w:left="40"/>
              <w:spacing w:after="0"/>
              <w:rPr>
                <w:sz w:val="20"/>
                <w:szCs w:val="20"/>
                <w:color w:val="auto"/>
              </w:rPr>
            </w:pPr>
            <w:r>
              <w:rPr>
                <w:rFonts w:ascii="Arial" w:cs="Arial" w:eastAsia="Arial" w:hAnsi="Arial"/>
                <w:sz w:val="18"/>
                <w:szCs w:val="18"/>
                <w:color w:val="auto"/>
              </w:rPr>
              <w:t>Joan S. Hooper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625,000</w:t>
            </w:r>
          </w:p>
        </w:tc>
        <w:tc>
          <w:tcPr>
            <w:tcW w:w="1220" w:type="dxa"/>
            <w:vAlign w:val="bottom"/>
            <w:gridSpan w:val="2"/>
          </w:tcPr>
          <w:p>
            <w:pPr>
              <w:ind w:left="460"/>
              <w:spacing w:after="0"/>
              <w:rPr>
                <w:sz w:val="20"/>
                <w:szCs w:val="20"/>
                <w:color w:val="auto"/>
              </w:rPr>
            </w:pPr>
            <w:r>
              <w:rPr>
                <w:rFonts w:ascii="Arial" w:cs="Arial" w:eastAsia="Arial" w:hAnsi="Arial"/>
                <w:sz w:val="18"/>
                <w:szCs w:val="18"/>
                <w:color w:val="auto"/>
                <w:w w:val="98"/>
              </w:rPr>
              <w:t>$312,500</w:t>
            </w:r>
          </w:p>
        </w:tc>
        <w:tc>
          <w:tcPr>
            <w:tcW w:w="1200" w:type="dxa"/>
            <w:vAlign w:val="bottom"/>
            <w:gridSpan w:val="2"/>
          </w:tcPr>
          <w:p>
            <w:pPr>
              <w:ind w:left="460"/>
              <w:spacing w:after="0"/>
              <w:rPr>
                <w:sz w:val="20"/>
                <w:szCs w:val="20"/>
                <w:color w:val="auto"/>
              </w:rPr>
            </w:pPr>
            <w:r>
              <w:rPr>
                <w:rFonts w:ascii="Arial" w:cs="Arial" w:eastAsia="Arial" w:hAnsi="Arial"/>
                <w:sz w:val="18"/>
                <w:szCs w:val="18"/>
                <w:color w:val="auto"/>
                <w:w w:val="95"/>
              </w:rPr>
              <w:t>$312,500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7"/>
              </w:rPr>
              <w:t>1,250,000</w:t>
            </w:r>
          </w:p>
        </w:tc>
        <w:tc>
          <w:tcPr>
            <w:tcW w:w="80" w:type="dxa"/>
            <w:vAlign w:val="bottom"/>
          </w:tcPr>
          <w:p>
            <w:pPr>
              <w:spacing w:after="0"/>
              <w:rPr>
                <w:sz w:val="24"/>
                <w:szCs w:val="24"/>
                <w:color w:val="auto"/>
              </w:rPr>
            </w:pPr>
          </w:p>
        </w:tc>
      </w:tr>
      <w:tr>
        <w:trPr>
          <w:trHeight w:val="63"/>
        </w:trPr>
        <w:tc>
          <w:tcPr>
            <w:tcW w:w="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6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r>
      <w:tr>
        <w:trPr>
          <w:trHeight w:val="301"/>
        </w:trPr>
        <w:tc>
          <w:tcPr>
            <w:tcW w:w="40" w:type="dxa"/>
            <w:vAlign w:val="bottom"/>
            <w:shd w:val="clear" w:color="auto" w:fill="B2B2B2"/>
          </w:tcPr>
          <w:p>
            <w:pPr>
              <w:spacing w:after="0"/>
              <w:rPr>
                <w:sz w:val="24"/>
                <w:szCs w:val="24"/>
                <w:color w:val="auto"/>
              </w:rPr>
            </w:pPr>
          </w:p>
        </w:tc>
        <w:tc>
          <w:tcPr>
            <w:tcW w:w="4360" w:type="dxa"/>
            <w:vAlign w:val="bottom"/>
            <w:gridSpan w:val="3"/>
            <w:shd w:val="clear" w:color="auto" w:fill="B2B2B2"/>
          </w:tcPr>
          <w:p>
            <w:pPr>
              <w:ind w:left="40"/>
              <w:spacing w:after="0"/>
              <w:rPr>
                <w:sz w:val="20"/>
                <w:szCs w:val="20"/>
                <w:color w:val="auto"/>
              </w:rPr>
            </w:pPr>
            <w:r>
              <w:rPr>
                <w:rFonts w:ascii="Arial" w:cs="Arial" w:eastAsia="Arial" w:hAnsi="Arial"/>
                <w:sz w:val="18"/>
                <w:szCs w:val="18"/>
                <w:color w:val="auto"/>
              </w:rPr>
              <w:t>Sarah E. Hlavinka</w:t>
            </w:r>
          </w:p>
        </w:tc>
        <w:tc>
          <w:tcPr>
            <w:tcW w:w="100" w:type="dxa"/>
            <w:vAlign w:val="bottom"/>
            <w:shd w:val="clear" w:color="auto" w:fill="B2B2B2"/>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350,000</w:t>
            </w:r>
          </w:p>
        </w:tc>
        <w:tc>
          <w:tcPr>
            <w:tcW w:w="1220" w:type="dxa"/>
            <w:vAlign w:val="bottom"/>
            <w:gridSpan w:val="2"/>
            <w:shd w:val="clear" w:color="auto" w:fill="B2B2B2"/>
          </w:tcPr>
          <w:p>
            <w:pPr>
              <w:ind w:left="460"/>
              <w:spacing w:after="0"/>
              <w:rPr>
                <w:sz w:val="20"/>
                <w:szCs w:val="20"/>
                <w:color w:val="auto"/>
              </w:rPr>
            </w:pPr>
            <w:r>
              <w:rPr>
                <w:rFonts w:ascii="Arial" w:cs="Arial" w:eastAsia="Arial" w:hAnsi="Arial"/>
                <w:sz w:val="18"/>
                <w:szCs w:val="18"/>
                <w:color w:val="auto"/>
                <w:w w:val="98"/>
              </w:rPr>
              <w:t>$175,000</w:t>
            </w:r>
          </w:p>
        </w:tc>
        <w:tc>
          <w:tcPr>
            <w:tcW w:w="1200" w:type="dxa"/>
            <w:vAlign w:val="bottom"/>
            <w:gridSpan w:val="2"/>
            <w:shd w:val="clear" w:color="auto" w:fill="B2B2B2"/>
          </w:tcPr>
          <w:p>
            <w:pPr>
              <w:ind w:left="460"/>
              <w:spacing w:after="0"/>
              <w:rPr>
                <w:sz w:val="20"/>
                <w:szCs w:val="20"/>
                <w:color w:val="auto"/>
              </w:rPr>
            </w:pPr>
            <w:r>
              <w:rPr>
                <w:rFonts w:ascii="Arial" w:cs="Arial" w:eastAsia="Arial" w:hAnsi="Arial"/>
                <w:sz w:val="18"/>
                <w:szCs w:val="18"/>
                <w:color w:val="auto"/>
                <w:w w:val="95"/>
              </w:rPr>
              <w:t>$175,000</w:t>
            </w:r>
          </w:p>
        </w:tc>
        <w:tc>
          <w:tcPr>
            <w:tcW w:w="560" w:type="dxa"/>
            <w:vAlign w:val="bottom"/>
            <w:gridSpan w:val="2"/>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700,000</w:t>
            </w:r>
          </w:p>
        </w:tc>
        <w:tc>
          <w:tcPr>
            <w:tcW w:w="80" w:type="dxa"/>
            <w:vAlign w:val="bottom"/>
            <w:shd w:val="clear" w:color="auto" w:fill="B2B2B2"/>
          </w:tcPr>
          <w:p>
            <w:pPr>
              <w:spacing w:after="0"/>
              <w:rPr>
                <w:sz w:val="24"/>
                <w:szCs w:val="24"/>
                <w:color w:val="auto"/>
              </w:rPr>
            </w:pPr>
          </w:p>
        </w:tc>
      </w:tr>
      <w:tr>
        <w:trPr>
          <w:trHeight w:val="63"/>
        </w:trPr>
        <w:tc>
          <w:tcPr>
            <w:tcW w:w="40" w:type="dxa"/>
            <w:vAlign w:val="bottom"/>
            <w:shd w:val="clear" w:color="auto" w:fill="B2B2B2"/>
          </w:tcPr>
          <w:p>
            <w:pPr>
              <w:spacing w:after="0"/>
              <w:rPr>
                <w:sz w:val="5"/>
                <w:szCs w:val="5"/>
                <w:color w:val="auto"/>
              </w:rPr>
            </w:pPr>
          </w:p>
        </w:tc>
        <w:tc>
          <w:tcPr>
            <w:tcW w:w="1240" w:type="dxa"/>
            <w:vAlign w:val="bottom"/>
            <w:shd w:val="clear" w:color="auto" w:fill="B2B2B2"/>
          </w:tcPr>
          <w:p>
            <w:pPr>
              <w:spacing w:after="0"/>
              <w:rPr>
                <w:sz w:val="5"/>
                <w:szCs w:val="5"/>
                <w:color w:val="auto"/>
              </w:rPr>
            </w:pPr>
          </w:p>
        </w:tc>
        <w:tc>
          <w:tcPr>
            <w:tcW w:w="2660" w:type="dxa"/>
            <w:vAlign w:val="bottom"/>
            <w:shd w:val="clear" w:color="auto" w:fill="B2B2B2"/>
          </w:tcPr>
          <w:p>
            <w:pPr>
              <w:spacing w:after="0"/>
              <w:rPr>
                <w:sz w:val="5"/>
                <w:szCs w:val="5"/>
                <w:color w:val="auto"/>
              </w:rPr>
            </w:pPr>
          </w:p>
        </w:tc>
        <w:tc>
          <w:tcPr>
            <w:tcW w:w="460" w:type="dxa"/>
            <w:vAlign w:val="bottom"/>
            <w:shd w:val="clear" w:color="auto" w:fill="B2B2B2"/>
          </w:tcPr>
          <w:p>
            <w:pPr>
              <w:spacing w:after="0"/>
              <w:rPr>
                <w:sz w:val="5"/>
                <w:szCs w:val="5"/>
                <w:color w:val="auto"/>
              </w:rPr>
            </w:pPr>
          </w:p>
        </w:tc>
        <w:tc>
          <w:tcPr>
            <w:tcW w:w="100" w:type="dxa"/>
            <w:vAlign w:val="bottom"/>
            <w:shd w:val="clear" w:color="auto" w:fill="B2B2B2"/>
          </w:tcPr>
          <w:p>
            <w:pPr>
              <w:spacing w:after="0"/>
              <w:rPr>
                <w:sz w:val="5"/>
                <w:szCs w:val="5"/>
                <w:color w:val="auto"/>
              </w:rPr>
            </w:pPr>
          </w:p>
        </w:tc>
        <w:tc>
          <w:tcPr>
            <w:tcW w:w="800" w:type="dxa"/>
            <w:vAlign w:val="bottom"/>
            <w:shd w:val="clear" w:color="auto" w:fill="B2B2B2"/>
          </w:tcPr>
          <w:p>
            <w:pPr>
              <w:spacing w:after="0"/>
              <w:rPr>
                <w:sz w:val="5"/>
                <w:szCs w:val="5"/>
                <w:color w:val="auto"/>
              </w:rPr>
            </w:pPr>
          </w:p>
        </w:tc>
        <w:tc>
          <w:tcPr>
            <w:tcW w:w="460" w:type="dxa"/>
            <w:vAlign w:val="bottom"/>
            <w:shd w:val="clear" w:color="auto" w:fill="B2B2B2"/>
          </w:tcPr>
          <w:p>
            <w:pPr>
              <w:spacing w:after="0"/>
              <w:rPr>
                <w:sz w:val="5"/>
                <w:szCs w:val="5"/>
                <w:color w:val="auto"/>
              </w:rPr>
            </w:pPr>
          </w:p>
        </w:tc>
        <w:tc>
          <w:tcPr>
            <w:tcW w:w="760" w:type="dxa"/>
            <w:vAlign w:val="bottom"/>
            <w:shd w:val="clear" w:color="auto" w:fill="B2B2B2"/>
          </w:tcPr>
          <w:p>
            <w:pPr>
              <w:spacing w:after="0"/>
              <w:rPr>
                <w:sz w:val="5"/>
                <w:szCs w:val="5"/>
                <w:color w:val="auto"/>
              </w:rPr>
            </w:pPr>
          </w:p>
        </w:tc>
        <w:tc>
          <w:tcPr>
            <w:tcW w:w="460" w:type="dxa"/>
            <w:vAlign w:val="bottom"/>
            <w:shd w:val="clear" w:color="auto" w:fill="B2B2B2"/>
          </w:tcPr>
          <w:p>
            <w:pPr>
              <w:spacing w:after="0"/>
              <w:rPr>
                <w:sz w:val="5"/>
                <w:szCs w:val="5"/>
                <w:color w:val="auto"/>
              </w:rPr>
            </w:pPr>
          </w:p>
        </w:tc>
        <w:tc>
          <w:tcPr>
            <w:tcW w:w="740" w:type="dxa"/>
            <w:vAlign w:val="bottom"/>
            <w:shd w:val="clear" w:color="auto" w:fill="B2B2B2"/>
          </w:tcPr>
          <w:p>
            <w:pPr>
              <w:spacing w:after="0"/>
              <w:rPr>
                <w:sz w:val="5"/>
                <w:szCs w:val="5"/>
                <w:color w:val="auto"/>
              </w:rPr>
            </w:pPr>
          </w:p>
        </w:tc>
        <w:tc>
          <w:tcPr>
            <w:tcW w:w="460" w:type="dxa"/>
            <w:vAlign w:val="bottom"/>
            <w:shd w:val="clear" w:color="auto" w:fill="B2B2B2"/>
          </w:tcPr>
          <w:p>
            <w:pPr>
              <w:spacing w:after="0"/>
              <w:rPr>
                <w:sz w:val="5"/>
                <w:szCs w:val="5"/>
                <w:color w:val="auto"/>
              </w:rPr>
            </w:pPr>
          </w:p>
        </w:tc>
        <w:tc>
          <w:tcPr>
            <w:tcW w:w="100" w:type="dxa"/>
            <w:vAlign w:val="bottom"/>
            <w:shd w:val="clear" w:color="auto" w:fill="B2B2B2"/>
          </w:tcPr>
          <w:p>
            <w:pPr>
              <w:spacing w:after="0"/>
              <w:rPr>
                <w:sz w:val="5"/>
                <w:szCs w:val="5"/>
                <w:color w:val="auto"/>
              </w:rPr>
            </w:pPr>
          </w:p>
        </w:tc>
        <w:tc>
          <w:tcPr>
            <w:tcW w:w="820" w:type="dxa"/>
            <w:vAlign w:val="bottom"/>
            <w:shd w:val="clear" w:color="auto" w:fill="B2B2B2"/>
          </w:tcPr>
          <w:p>
            <w:pPr>
              <w:spacing w:after="0"/>
              <w:rPr>
                <w:sz w:val="5"/>
                <w:szCs w:val="5"/>
                <w:color w:val="auto"/>
              </w:rPr>
            </w:pPr>
          </w:p>
        </w:tc>
        <w:tc>
          <w:tcPr>
            <w:tcW w:w="80" w:type="dxa"/>
            <w:vAlign w:val="bottom"/>
            <w:shd w:val="clear" w:color="auto" w:fill="B2B2B2"/>
          </w:tcPr>
          <w:p>
            <w:pPr>
              <w:spacing w:after="0"/>
              <w:rPr>
                <w:sz w:val="5"/>
                <w:szCs w:val="5"/>
                <w:color w:val="auto"/>
              </w:rPr>
            </w:pPr>
          </w:p>
        </w:tc>
      </w:tr>
      <w:tr>
        <w:trPr>
          <w:trHeight w:val="301"/>
        </w:trPr>
        <w:tc>
          <w:tcPr>
            <w:tcW w:w="40" w:type="dxa"/>
            <w:vAlign w:val="bottom"/>
          </w:tcPr>
          <w:p>
            <w:pPr>
              <w:spacing w:after="0"/>
              <w:rPr>
                <w:sz w:val="24"/>
                <w:szCs w:val="24"/>
                <w:color w:val="auto"/>
              </w:rPr>
            </w:pPr>
          </w:p>
        </w:tc>
        <w:tc>
          <w:tcPr>
            <w:tcW w:w="4360" w:type="dxa"/>
            <w:vAlign w:val="bottom"/>
            <w:gridSpan w:val="3"/>
          </w:tcPr>
          <w:p>
            <w:pPr>
              <w:ind w:left="40"/>
              <w:spacing w:after="0"/>
              <w:rPr>
                <w:sz w:val="20"/>
                <w:szCs w:val="20"/>
                <w:color w:val="auto"/>
              </w:rPr>
            </w:pPr>
            <w:r>
              <w:rPr>
                <w:rFonts w:ascii="Arial" w:cs="Arial" w:eastAsia="Arial" w:hAnsi="Arial"/>
                <w:sz w:val="18"/>
                <w:szCs w:val="18"/>
                <w:color w:val="auto"/>
              </w:rPr>
              <w:t>Michel C. Cadieux</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400,000</w:t>
            </w:r>
          </w:p>
        </w:tc>
        <w:tc>
          <w:tcPr>
            <w:tcW w:w="1220" w:type="dxa"/>
            <w:vAlign w:val="bottom"/>
            <w:gridSpan w:val="2"/>
          </w:tcPr>
          <w:p>
            <w:pPr>
              <w:ind w:left="460"/>
              <w:spacing w:after="0"/>
              <w:rPr>
                <w:sz w:val="20"/>
                <w:szCs w:val="20"/>
                <w:color w:val="auto"/>
              </w:rPr>
            </w:pPr>
            <w:r>
              <w:rPr>
                <w:rFonts w:ascii="Arial" w:cs="Arial" w:eastAsia="Arial" w:hAnsi="Arial"/>
                <w:sz w:val="18"/>
                <w:szCs w:val="18"/>
                <w:color w:val="auto"/>
                <w:w w:val="98"/>
              </w:rPr>
              <w:t>$200,000</w:t>
            </w:r>
          </w:p>
        </w:tc>
        <w:tc>
          <w:tcPr>
            <w:tcW w:w="1200" w:type="dxa"/>
            <w:vAlign w:val="bottom"/>
            <w:gridSpan w:val="2"/>
          </w:tcPr>
          <w:p>
            <w:pPr>
              <w:ind w:left="460"/>
              <w:spacing w:after="0"/>
              <w:rPr>
                <w:sz w:val="20"/>
                <w:szCs w:val="20"/>
                <w:color w:val="auto"/>
              </w:rPr>
            </w:pPr>
            <w:r>
              <w:rPr>
                <w:rFonts w:ascii="Arial" w:cs="Arial" w:eastAsia="Arial" w:hAnsi="Arial"/>
                <w:sz w:val="18"/>
                <w:szCs w:val="18"/>
                <w:color w:val="auto"/>
                <w:w w:val="95"/>
              </w:rPr>
              <w:t>$200,000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800,000</w:t>
            </w:r>
          </w:p>
        </w:tc>
        <w:tc>
          <w:tcPr>
            <w:tcW w:w="80" w:type="dxa"/>
            <w:vAlign w:val="bottom"/>
          </w:tcPr>
          <w:p>
            <w:pPr>
              <w:spacing w:after="0"/>
              <w:rPr>
                <w:sz w:val="24"/>
                <w:szCs w:val="24"/>
                <w:color w:val="auto"/>
              </w:rPr>
            </w:pPr>
          </w:p>
        </w:tc>
      </w:tr>
      <w:tr>
        <w:trPr>
          <w:trHeight w:val="63"/>
        </w:trPr>
        <w:tc>
          <w:tcPr>
            <w:tcW w:w="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6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r>
      <w:tr>
        <w:trPr>
          <w:trHeight w:val="311"/>
        </w:trPr>
        <w:tc>
          <w:tcPr>
            <w:tcW w:w="40" w:type="dxa"/>
            <w:vAlign w:val="bottom"/>
            <w:shd w:val="clear" w:color="auto" w:fill="B2B2B2"/>
          </w:tcPr>
          <w:p>
            <w:pPr>
              <w:spacing w:after="0"/>
              <w:rPr>
                <w:sz w:val="24"/>
                <w:szCs w:val="24"/>
                <w:color w:val="auto"/>
              </w:rPr>
            </w:pPr>
          </w:p>
        </w:tc>
        <w:tc>
          <w:tcPr>
            <w:tcW w:w="4360" w:type="dxa"/>
            <w:vAlign w:val="bottom"/>
            <w:gridSpan w:val="3"/>
            <w:shd w:val="clear" w:color="auto" w:fill="B2B2B2"/>
          </w:tcPr>
          <w:p>
            <w:pPr>
              <w:ind w:left="40"/>
              <w:spacing w:after="0"/>
              <w:rPr>
                <w:sz w:val="20"/>
                <w:szCs w:val="20"/>
                <w:color w:val="auto"/>
              </w:rPr>
            </w:pPr>
            <w:r>
              <w:rPr>
                <w:rFonts w:ascii="Arial" w:cs="Arial" w:eastAsia="Arial" w:hAnsi="Arial"/>
                <w:sz w:val="18"/>
                <w:szCs w:val="18"/>
                <w:color w:val="auto"/>
              </w:rPr>
              <w:t>Donald L. Reeves III</w:t>
            </w:r>
          </w:p>
        </w:tc>
        <w:tc>
          <w:tcPr>
            <w:tcW w:w="100" w:type="dxa"/>
            <w:vAlign w:val="bottom"/>
            <w:shd w:val="clear" w:color="auto" w:fill="B2B2B2"/>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225,000</w:t>
            </w:r>
          </w:p>
        </w:tc>
        <w:tc>
          <w:tcPr>
            <w:tcW w:w="1220" w:type="dxa"/>
            <w:vAlign w:val="bottom"/>
            <w:gridSpan w:val="2"/>
            <w:shd w:val="clear" w:color="auto" w:fill="B2B2B2"/>
          </w:tcPr>
          <w:p>
            <w:pPr>
              <w:ind w:left="460"/>
              <w:spacing w:after="0"/>
              <w:rPr>
                <w:sz w:val="20"/>
                <w:szCs w:val="20"/>
                <w:color w:val="auto"/>
              </w:rPr>
            </w:pPr>
            <w:r>
              <w:rPr>
                <w:rFonts w:ascii="Arial" w:cs="Arial" w:eastAsia="Arial" w:hAnsi="Arial"/>
                <w:sz w:val="18"/>
                <w:szCs w:val="18"/>
                <w:color w:val="auto"/>
                <w:w w:val="98"/>
              </w:rPr>
              <w:t>$112,500</w:t>
            </w:r>
          </w:p>
        </w:tc>
        <w:tc>
          <w:tcPr>
            <w:tcW w:w="1200" w:type="dxa"/>
            <w:vAlign w:val="bottom"/>
            <w:gridSpan w:val="2"/>
            <w:shd w:val="clear" w:color="auto" w:fill="B2B2B2"/>
          </w:tcPr>
          <w:p>
            <w:pPr>
              <w:ind w:left="460"/>
              <w:spacing w:after="0"/>
              <w:rPr>
                <w:sz w:val="20"/>
                <w:szCs w:val="20"/>
                <w:color w:val="auto"/>
              </w:rPr>
            </w:pPr>
            <w:r>
              <w:rPr>
                <w:rFonts w:ascii="Arial" w:cs="Arial" w:eastAsia="Arial" w:hAnsi="Arial"/>
                <w:sz w:val="18"/>
                <w:szCs w:val="18"/>
                <w:color w:val="auto"/>
                <w:w w:val="95"/>
              </w:rPr>
              <w:t>$112,500</w:t>
            </w:r>
          </w:p>
        </w:tc>
        <w:tc>
          <w:tcPr>
            <w:tcW w:w="560" w:type="dxa"/>
            <w:vAlign w:val="bottom"/>
            <w:gridSpan w:val="2"/>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450,000</w:t>
            </w:r>
          </w:p>
        </w:tc>
        <w:tc>
          <w:tcPr>
            <w:tcW w:w="80" w:type="dxa"/>
            <w:vAlign w:val="bottom"/>
            <w:shd w:val="clear" w:color="auto" w:fill="B2B2B2"/>
          </w:tcPr>
          <w:p>
            <w:pPr>
              <w:spacing w:after="0"/>
              <w:rPr>
                <w:sz w:val="24"/>
                <w:szCs w:val="24"/>
                <w:color w:val="auto"/>
              </w:rPr>
            </w:pPr>
          </w:p>
        </w:tc>
      </w:tr>
      <w:tr>
        <w:trPr>
          <w:trHeight w:val="189"/>
        </w:trPr>
        <w:tc>
          <w:tcPr>
            <w:tcW w:w="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2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5786120</wp:posOffset>
            </wp:positionH>
            <wp:positionV relativeFrom="paragraph">
              <wp:posOffset>-1259840</wp:posOffset>
            </wp:positionV>
            <wp:extent cx="431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4911725</wp:posOffset>
            </wp:positionH>
            <wp:positionV relativeFrom="paragraph">
              <wp:posOffset>-1259840</wp:posOffset>
            </wp:positionV>
            <wp:extent cx="29146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91465" cy="8890"/>
                    </a:xfrm>
                    <a:prstGeom prst="rect">
                      <a:avLst/>
                    </a:prstGeom>
                    <a:noFill/>
                  </pic:spPr>
                </pic:pic>
              </a:graphicData>
            </a:graphic>
          </wp:anchor>
        </w:drawing>
        <w:drawing>
          <wp:anchor simplePos="0" relativeHeight="251657728" behindDoc="1" locked="0" layoutInCell="0" allowOverlap="1">
            <wp:simplePos x="0" y="0"/>
            <wp:positionH relativeFrom="column">
              <wp:posOffset>4140200</wp:posOffset>
            </wp:positionH>
            <wp:positionV relativeFrom="paragraph">
              <wp:posOffset>-1259840</wp:posOffset>
            </wp:positionV>
            <wp:extent cx="29146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91465" cy="8890"/>
                    </a:xfrm>
                    <a:prstGeom prst="rect">
                      <a:avLst/>
                    </a:prstGeom>
                    <a:noFill/>
                  </pic:spPr>
                </pic:pic>
              </a:graphicData>
            </a:graphic>
          </wp:anchor>
        </w:drawing>
        <w:drawing>
          <wp:anchor simplePos="0" relativeHeight="251657728" behindDoc="1" locked="0" layoutInCell="0" allowOverlap="1">
            <wp:simplePos x="0" y="0"/>
            <wp:positionH relativeFrom="column">
              <wp:posOffset>3368675</wp:posOffset>
            </wp:positionH>
            <wp:positionV relativeFrom="paragraph">
              <wp:posOffset>-1259840</wp:posOffset>
            </wp:positionV>
            <wp:extent cx="29146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91465" cy="8890"/>
                    </a:xfrm>
                    <a:prstGeom prst="rect">
                      <a:avLst/>
                    </a:prstGeom>
                    <a:noFill/>
                  </pic:spPr>
                </pic:pic>
              </a:graphicData>
            </a:graphic>
          </wp:anchor>
        </w:drawing>
        <w:drawing>
          <wp:anchor simplePos="0" relativeHeight="251657728" behindDoc="1" locked="0" layoutInCell="0" allowOverlap="1">
            <wp:simplePos x="0" y="0"/>
            <wp:positionH relativeFrom="column">
              <wp:posOffset>2503170</wp:posOffset>
            </wp:positionH>
            <wp:positionV relativeFrom="paragraph">
              <wp:posOffset>-1259840</wp:posOffset>
            </wp:positionV>
            <wp:extent cx="29146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9146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-1259840</wp:posOffset>
            </wp:positionV>
            <wp:extent cx="3429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75" w:lineRule="exact"/>
        <w:rPr>
          <w:sz w:val="20"/>
          <w:szCs w:val="20"/>
          <w:color w:val="auto"/>
        </w:rPr>
      </w:pPr>
    </w:p>
    <w:p>
      <w:pPr>
        <w:ind w:left="346" w:right="740" w:hanging="346"/>
        <w:spacing w:after="0" w:line="291" w:lineRule="auto"/>
        <w:tabs>
          <w:tab w:leader="none" w:pos="346" w:val="left"/>
        </w:tabs>
        <w:numPr>
          <w:ilvl w:val="0"/>
          <w:numId w:val="39"/>
        </w:numPr>
        <w:rPr>
          <w:rFonts w:ascii="Arial" w:cs="Arial" w:eastAsia="Arial" w:hAnsi="Arial"/>
          <w:sz w:val="14"/>
          <w:szCs w:val="14"/>
          <w:color w:val="auto"/>
        </w:rPr>
      </w:pPr>
      <w:r>
        <w:rPr>
          <w:rFonts w:ascii="Arial" w:cs="Arial" w:eastAsia="Arial" w:hAnsi="Arial"/>
          <w:sz w:val="14"/>
          <w:szCs w:val="14"/>
          <w:color w:val="auto"/>
        </w:rPr>
        <w:t>Award amounts for PRSUs and RSUs were determined based on the closing price of our common stock on the date of grant on February 20, 2020, which was $87.27.</w:t>
      </w:r>
    </w:p>
    <w:p>
      <w:pPr>
        <w:spacing w:after="0" w:line="1" w:lineRule="exact"/>
        <w:rPr>
          <w:sz w:val="20"/>
          <w:szCs w:val="20"/>
          <w:color w:val="auto"/>
        </w:rPr>
      </w:pPr>
    </w:p>
    <w:p>
      <w:pPr>
        <w:ind w:left="346" w:hanging="346"/>
        <w:spacing w:after="0"/>
        <w:tabs>
          <w:tab w:leader="none" w:pos="346" w:val="left"/>
        </w:tabs>
        <w:numPr>
          <w:ilvl w:val="0"/>
          <w:numId w:val="40"/>
        </w:numPr>
        <w:rPr>
          <w:rFonts w:ascii="Arial" w:cs="Arial" w:eastAsia="Arial" w:hAnsi="Arial"/>
          <w:sz w:val="14"/>
          <w:szCs w:val="14"/>
          <w:color w:val="auto"/>
        </w:rPr>
      </w:pPr>
      <w:r>
        <w:rPr>
          <w:rFonts w:ascii="Arial" w:cs="Arial" w:eastAsia="Arial" w:hAnsi="Arial"/>
          <w:sz w:val="14"/>
          <w:szCs w:val="14"/>
          <w:color w:val="auto"/>
        </w:rPr>
        <w:t>Individual award amounts were calculated based on Black-Scholes values.</w:t>
      </w:r>
    </w:p>
    <w:p>
      <w:pPr>
        <w:spacing w:after="0" w:line="167" w:lineRule="exact"/>
        <w:rPr>
          <w:sz w:val="20"/>
          <w:szCs w:val="20"/>
          <w:color w:val="auto"/>
        </w:rPr>
      </w:pPr>
    </w:p>
    <w:p>
      <w:pPr>
        <w:ind w:left="6" w:right="60"/>
        <w:spacing w:after="0" w:line="243" w:lineRule="auto"/>
        <w:rPr>
          <w:sz w:val="20"/>
          <w:szCs w:val="20"/>
          <w:color w:val="auto"/>
        </w:rPr>
      </w:pPr>
      <w:r>
        <w:rPr>
          <w:rFonts w:ascii="Arial" w:cs="Arial" w:eastAsia="Arial" w:hAnsi="Arial"/>
          <w:sz w:val="18"/>
          <w:szCs w:val="18"/>
          <w:i w:val="1"/>
          <w:iCs w:val="1"/>
          <w:color w:val="auto"/>
        </w:rPr>
        <w:t xml:space="preserve">A Closer Look at Performance-Based Restricted Stock Units (PRSUs). </w:t>
      </w:r>
      <w:r>
        <w:rPr>
          <w:rFonts w:ascii="Arial" w:cs="Arial" w:eastAsia="Arial" w:hAnsi="Arial"/>
          <w:sz w:val="18"/>
          <w:szCs w:val="18"/>
          <w:color w:val="auto"/>
        </w:rPr>
        <w:t>The actual number of PRSUs that are</w:t>
      </w:r>
      <w:r>
        <w:rPr>
          <w:rFonts w:ascii="Arial" w:cs="Arial" w:eastAsia="Arial" w:hAnsi="Arial"/>
          <w:sz w:val="18"/>
          <w:szCs w:val="18"/>
          <w:i w:val="1"/>
          <w:iCs w:val="1"/>
          <w:color w:val="auto"/>
        </w:rPr>
        <w:t xml:space="preserve"> </w:t>
      </w:r>
      <w:r>
        <w:rPr>
          <w:rFonts w:ascii="Arial" w:cs="Arial" w:eastAsia="Arial" w:hAnsi="Arial"/>
          <w:sz w:val="18"/>
          <w:szCs w:val="18"/>
          <w:color w:val="auto"/>
        </w:rPr>
        <w:t>earned and vested are based on the achievement of specific financial performance goals and relative TSR results. Specifically, actual awards are linked to a three-year performance period that consists of three annual performance cycles. The performance result used to determine the actual award earned is calculated at the end of the three-year performance period by averaging the results of the three annual performance cycles, then is adjusted based on performance relative to TSR as compared to the Russell 3000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1423035</wp:posOffset>
            </wp:positionH>
            <wp:positionV relativeFrom="paragraph">
              <wp:posOffset>-12065</wp:posOffset>
            </wp:positionV>
            <wp:extent cx="2991485" cy="15341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991485" cy="1534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6" w:right="140"/>
        <w:spacing w:after="0" w:line="276" w:lineRule="auto"/>
        <w:rPr>
          <w:sz w:val="20"/>
          <w:szCs w:val="20"/>
          <w:color w:val="auto"/>
        </w:rPr>
      </w:pPr>
      <w:r>
        <w:rPr>
          <w:rFonts w:ascii="Arial" w:cs="Arial" w:eastAsia="Arial" w:hAnsi="Arial"/>
          <w:sz w:val="18"/>
          <w:szCs w:val="18"/>
          <w:i w:val="1"/>
          <w:iCs w:val="1"/>
          <w:color w:val="auto"/>
        </w:rPr>
        <w:t xml:space="preserve">2020 Performance Metrics: Non-GAAP EPS &amp; Relative TSR. </w:t>
      </w:r>
      <w:r>
        <w:rPr>
          <w:rFonts w:ascii="Arial" w:cs="Arial" w:eastAsia="Arial" w:hAnsi="Arial"/>
          <w:sz w:val="18"/>
          <w:szCs w:val="18"/>
          <w:color w:val="auto"/>
        </w:rPr>
        <w:t>PRSUs are driven by the achievement of non-GAAP</w:t>
      </w:r>
      <w:r>
        <w:rPr>
          <w:rFonts w:ascii="Arial" w:cs="Arial" w:eastAsia="Arial" w:hAnsi="Arial"/>
          <w:sz w:val="18"/>
          <w:szCs w:val="18"/>
          <w:i w:val="1"/>
          <w:iCs w:val="1"/>
          <w:color w:val="auto"/>
        </w:rPr>
        <w:t xml:space="preserve"> </w:t>
      </w:r>
      <w:r>
        <w:rPr>
          <w:rFonts w:ascii="Arial" w:cs="Arial" w:eastAsia="Arial" w:hAnsi="Arial"/>
          <w:sz w:val="18"/>
          <w:szCs w:val="18"/>
          <w:color w:val="auto"/>
        </w:rPr>
        <w:t>EPS and relative TSR performance targets.</w:t>
      </w:r>
    </w:p>
    <w:p>
      <w:pPr>
        <w:spacing w:after="0" w:line="102" w:lineRule="exact"/>
        <w:rPr>
          <w:sz w:val="20"/>
          <w:szCs w:val="20"/>
          <w:color w:val="auto"/>
        </w:rPr>
      </w:pPr>
    </w:p>
    <w:p>
      <w:pPr>
        <w:ind w:left="706" w:right="40" w:hanging="346"/>
        <w:spacing w:after="0" w:line="245" w:lineRule="auto"/>
        <w:tabs>
          <w:tab w:leader="none" w:pos="706"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 xml:space="preserve">Non-GAAP EPS: </w:t>
      </w:r>
      <w:r>
        <w:rPr>
          <w:rFonts w:ascii="Arial" w:cs="Arial" w:eastAsia="Arial" w:hAnsi="Arial"/>
          <w:sz w:val="18"/>
          <w:szCs w:val="18"/>
          <w:color w:val="auto"/>
        </w:rPr>
        <w:t>Non-GAAP EPS targets are set by the Committee at the beginning of each annual</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cycle. Payout levels can range from 50% to 160% of target for the performance cycle. No PSRUs are earned for performance below the threshold. The following table shows the thresholds, targets and maximums for non-GAAP EPS set by the Committee at the beginning of each annual performance cycle and our actual non-GAAP EPS results used for calculating PRSUs earned for 2018, 2019 and 2020:</w:t>
      </w:r>
    </w:p>
    <w:p>
      <w:pPr>
        <w:spacing w:after="0" w:line="168" w:lineRule="exact"/>
        <w:rPr>
          <w:sz w:val="20"/>
          <w:szCs w:val="20"/>
          <w:color w:val="auto"/>
        </w:rPr>
      </w:pPr>
    </w:p>
    <w:tbl>
      <w:tblPr>
        <w:tblLayout w:type="fixed"/>
        <w:tblInd w:w="6" w:type="dxa"/>
        <w:tblCellMar>
          <w:top w:w="0" w:type="dxa"/>
          <w:left w:w="0" w:type="dxa"/>
          <w:bottom w:w="0" w:type="dxa"/>
          <w:right w:w="0" w:type="dxa"/>
        </w:tblCellMar>
      </w:tblPr>
      <w:tr>
        <w:trPr>
          <w:trHeight w:val="162"/>
        </w:trPr>
        <w:tc>
          <w:tcPr>
            <w:tcW w:w="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4"/>
                <w:szCs w:val="14"/>
                <w:b w:val="1"/>
                <w:bCs w:val="1"/>
                <w:color w:val="auto"/>
                <w:w w:val="97"/>
              </w:rPr>
              <w:t>Threshold</w:t>
            </w:r>
          </w:p>
        </w:tc>
        <w:tc>
          <w:tcPr>
            <w:tcW w:w="280" w:type="dxa"/>
            <w:vAlign w:val="bottom"/>
          </w:tcPr>
          <w:p>
            <w:pPr>
              <w:spacing w:after="0"/>
              <w:rPr>
                <w:sz w:val="14"/>
                <w:szCs w:val="14"/>
                <w:color w:val="auto"/>
              </w:rPr>
            </w:pPr>
          </w:p>
        </w:tc>
        <w:tc>
          <w:tcPr>
            <w:tcW w:w="7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Target</w:t>
            </w: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Maximum</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2"/>
        </w:trPr>
        <w:tc>
          <w:tcPr>
            <w:tcW w:w="60" w:type="dxa"/>
            <w:vAlign w:val="bottom"/>
          </w:tcPr>
          <w:p>
            <w:pPr>
              <w:spacing w:after="0"/>
              <w:rPr>
                <w:sz w:val="17"/>
                <w:szCs w:val="17"/>
                <w:color w:val="auto"/>
              </w:rPr>
            </w:pPr>
          </w:p>
        </w:tc>
        <w:tc>
          <w:tcPr>
            <w:tcW w:w="5880" w:type="dxa"/>
            <w:vAlign w:val="bottom"/>
            <w:gridSpan w:val="3"/>
          </w:tcPr>
          <w:p>
            <w:pPr>
              <w:ind w:left="20"/>
              <w:spacing w:after="0"/>
              <w:rPr>
                <w:sz w:val="20"/>
                <w:szCs w:val="20"/>
                <w:color w:val="auto"/>
              </w:rPr>
            </w:pPr>
            <w:r>
              <w:rPr>
                <w:rFonts w:ascii="Arial" w:cs="Arial" w:eastAsia="Arial" w:hAnsi="Arial"/>
                <w:sz w:val="14"/>
                <w:szCs w:val="14"/>
                <w:b w:val="1"/>
                <w:bCs w:val="1"/>
                <w:color w:val="auto"/>
              </w:rPr>
              <w:t>Year</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9"/>
              </w:rPr>
              <w:t>50%</w:t>
            </w:r>
          </w:p>
        </w:tc>
        <w:tc>
          <w:tcPr>
            <w:tcW w:w="740" w:type="dxa"/>
            <w:vAlign w:val="bottom"/>
            <w:gridSpan w:val="2"/>
          </w:tcPr>
          <w:p>
            <w:pPr>
              <w:jc w:val="center"/>
              <w:ind w:left="195"/>
              <w:spacing w:after="0"/>
              <w:rPr>
                <w:sz w:val="20"/>
                <w:szCs w:val="20"/>
                <w:color w:val="auto"/>
              </w:rPr>
            </w:pPr>
            <w:r>
              <w:rPr>
                <w:rFonts w:ascii="Arial" w:cs="Arial" w:eastAsia="Arial" w:hAnsi="Arial"/>
                <w:sz w:val="14"/>
                <w:szCs w:val="14"/>
                <w:b w:val="1"/>
                <w:bCs w:val="1"/>
                <w:color w:val="auto"/>
              </w:rPr>
              <w:t>100%</w:t>
            </w:r>
          </w:p>
        </w:tc>
        <w:tc>
          <w:tcPr>
            <w:tcW w:w="26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rPr>
              <w:t>160%</w:t>
            </w:r>
          </w:p>
        </w:tc>
        <w:tc>
          <w:tcPr>
            <w:tcW w:w="280" w:type="dxa"/>
            <w:vAlign w:val="bottom"/>
          </w:tcPr>
          <w:p>
            <w:pPr>
              <w:spacing w:after="0"/>
              <w:rPr>
                <w:sz w:val="17"/>
                <w:szCs w:val="17"/>
                <w:color w:val="auto"/>
              </w:rPr>
            </w:pPr>
          </w:p>
        </w:tc>
        <w:tc>
          <w:tcPr>
            <w:tcW w:w="5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Results</w:t>
            </w:r>
          </w:p>
        </w:tc>
      </w:tr>
      <w:tr>
        <w:trPr>
          <w:trHeight w:val="56"/>
        </w:trPr>
        <w:tc>
          <w:tcPr>
            <w:tcW w:w="60" w:type="dxa"/>
            <w:vAlign w:val="bottom"/>
            <w:tcBorders>
              <w:bottom w:val="single" w:sz="8" w:color="B2B2B2"/>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4400" w:type="dxa"/>
            <w:vAlign w:val="bottom"/>
            <w:tcBorders>
              <w:bottom w:val="single" w:sz="8" w:color="auto"/>
            </w:tcBorders>
          </w:tcPr>
          <w:p>
            <w:pPr>
              <w:spacing w:after="0"/>
              <w:rPr>
                <w:sz w:val="4"/>
                <w:szCs w:val="4"/>
                <w:color w:val="auto"/>
              </w:rPr>
            </w:pPr>
          </w:p>
        </w:tc>
        <w:tc>
          <w:tcPr>
            <w:tcW w:w="260" w:type="dxa"/>
            <w:vAlign w:val="bottom"/>
            <w:tcBorders>
              <w:bottom w:val="single" w:sz="8" w:color="B2B2B2"/>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80" w:type="dxa"/>
            <w:vAlign w:val="bottom"/>
            <w:tcBorders>
              <w:bottom w:val="single" w:sz="8" w:color="B2B2B2"/>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60" w:type="dxa"/>
            <w:vAlign w:val="bottom"/>
            <w:tcBorders>
              <w:bottom w:val="single" w:sz="8" w:color="B2B2B2"/>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80" w:type="dxa"/>
            <w:vAlign w:val="bottom"/>
            <w:tcBorders>
              <w:bottom w:val="single" w:sz="8" w:color="B2B2B2"/>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60" w:type="dxa"/>
            <w:vAlign w:val="bottom"/>
            <w:tcBorders>
              <w:bottom w:val="single" w:sz="8" w:color="B2B2B2"/>
            </w:tcBorders>
          </w:tcPr>
          <w:p>
            <w:pPr>
              <w:spacing w:after="0"/>
              <w:rPr>
                <w:sz w:val="4"/>
                <w:szCs w:val="4"/>
                <w:color w:val="auto"/>
              </w:rPr>
            </w:pPr>
          </w:p>
        </w:tc>
      </w:tr>
      <w:tr>
        <w:trPr>
          <w:trHeight w:val="295"/>
        </w:trPr>
        <w:tc>
          <w:tcPr>
            <w:tcW w:w="1280" w:type="dxa"/>
            <w:vAlign w:val="bottom"/>
            <w:gridSpan w:val="2"/>
            <w:shd w:val="clear" w:color="auto" w:fill="B2B2B2"/>
          </w:tcPr>
          <w:p>
            <w:pPr>
              <w:ind w:left="80"/>
              <w:spacing w:after="0"/>
              <w:rPr>
                <w:sz w:val="20"/>
                <w:szCs w:val="20"/>
                <w:color w:val="auto"/>
              </w:rPr>
            </w:pPr>
            <w:r>
              <w:rPr>
                <w:rFonts w:ascii="Arial" w:cs="Arial" w:eastAsia="Arial" w:hAnsi="Arial"/>
                <w:sz w:val="18"/>
                <w:szCs w:val="18"/>
                <w:color w:val="auto"/>
              </w:rPr>
              <w:t>2018</w:t>
            </w:r>
          </w:p>
        </w:tc>
        <w:tc>
          <w:tcPr>
            <w:tcW w:w="4400" w:type="dxa"/>
            <w:vAlign w:val="bottom"/>
            <w:shd w:val="clear" w:color="auto" w:fill="B2B2B2"/>
          </w:tcPr>
          <w:p>
            <w:pPr>
              <w:spacing w:after="0"/>
              <w:rPr>
                <w:sz w:val="24"/>
                <w:szCs w:val="24"/>
                <w:color w:val="auto"/>
              </w:rPr>
            </w:pPr>
          </w:p>
        </w:tc>
        <w:tc>
          <w:tcPr>
            <w:tcW w:w="260" w:type="dxa"/>
            <w:vAlign w:val="bottom"/>
            <w:shd w:val="clear" w:color="auto" w:fill="B2B2B2"/>
          </w:tcPr>
          <w:p>
            <w:pPr>
              <w:spacing w:after="0"/>
              <w:rPr>
                <w:sz w:val="24"/>
                <w:szCs w:val="24"/>
                <w:color w:val="auto"/>
              </w:rPr>
            </w:pPr>
          </w:p>
        </w:tc>
        <w:tc>
          <w:tcPr>
            <w:tcW w:w="700" w:type="dxa"/>
            <w:vAlign w:val="bottom"/>
            <w:shd w:val="clear" w:color="auto" w:fill="B2B2B2"/>
          </w:tcPr>
          <w:p>
            <w:pPr>
              <w:jc w:val="center"/>
              <w:spacing w:after="0"/>
              <w:rPr>
                <w:sz w:val="20"/>
                <w:szCs w:val="20"/>
                <w:color w:val="auto"/>
              </w:rPr>
            </w:pPr>
            <w:r>
              <w:rPr>
                <w:rFonts w:ascii="Arial" w:cs="Arial" w:eastAsia="Arial" w:hAnsi="Arial"/>
                <w:sz w:val="18"/>
                <w:szCs w:val="18"/>
                <w:color w:val="auto"/>
                <w:w w:val="97"/>
              </w:rPr>
              <w:t>$2.86</w:t>
            </w:r>
          </w:p>
        </w:tc>
        <w:tc>
          <w:tcPr>
            <w:tcW w:w="740" w:type="dxa"/>
            <w:vAlign w:val="bottom"/>
            <w:gridSpan w:val="2"/>
            <w:shd w:val="clear" w:color="auto" w:fill="B2B2B2"/>
          </w:tcPr>
          <w:p>
            <w:pPr>
              <w:jc w:val="center"/>
              <w:ind w:left="175"/>
              <w:spacing w:after="0"/>
              <w:rPr>
                <w:sz w:val="20"/>
                <w:szCs w:val="20"/>
                <w:color w:val="auto"/>
              </w:rPr>
            </w:pPr>
            <w:r>
              <w:rPr>
                <w:rFonts w:ascii="Arial" w:cs="Arial" w:eastAsia="Arial" w:hAnsi="Arial"/>
                <w:sz w:val="18"/>
                <w:szCs w:val="18"/>
                <w:color w:val="auto"/>
                <w:w w:val="97"/>
              </w:rPr>
              <w:t>$3.33</w:t>
            </w:r>
          </w:p>
        </w:tc>
        <w:tc>
          <w:tcPr>
            <w:tcW w:w="260" w:type="dxa"/>
            <w:vAlign w:val="bottom"/>
            <w:shd w:val="clear" w:color="auto" w:fill="B2B2B2"/>
          </w:tcPr>
          <w:p>
            <w:pPr>
              <w:spacing w:after="0"/>
              <w:rPr>
                <w:sz w:val="24"/>
                <w:szCs w:val="24"/>
                <w:color w:val="auto"/>
              </w:rPr>
            </w:pPr>
          </w:p>
        </w:tc>
        <w:tc>
          <w:tcPr>
            <w:tcW w:w="680" w:type="dxa"/>
            <w:vAlign w:val="bottom"/>
            <w:shd w:val="clear" w:color="auto" w:fill="B2B2B2"/>
          </w:tcPr>
          <w:p>
            <w:pPr>
              <w:jc w:val="center"/>
              <w:spacing w:after="0"/>
              <w:rPr>
                <w:sz w:val="20"/>
                <w:szCs w:val="20"/>
                <w:color w:val="auto"/>
              </w:rPr>
            </w:pPr>
            <w:r>
              <w:rPr>
                <w:rFonts w:ascii="Arial" w:cs="Arial" w:eastAsia="Arial" w:hAnsi="Arial"/>
                <w:sz w:val="18"/>
                <w:szCs w:val="18"/>
                <w:color w:val="auto"/>
                <w:w w:val="97"/>
              </w:rPr>
              <w:t>$3.66</w:t>
            </w:r>
          </w:p>
        </w:tc>
        <w:tc>
          <w:tcPr>
            <w:tcW w:w="280" w:type="dxa"/>
            <w:vAlign w:val="bottom"/>
            <w:shd w:val="clear" w:color="auto" w:fill="B2B2B2"/>
          </w:tcPr>
          <w:p>
            <w:pPr>
              <w:spacing w:after="0"/>
              <w:rPr>
                <w:sz w:val="24"/>
                <w:szCs w:val="24"/>
                <w:color w:val="auto"/>
              </w:rPr>
            </w:pPr>
          </w:p>
        </w:tc>
        <w:tc>
          <w:tcPr>
            <w:tcW w:w="520" w:type="dxa"/>
            <w:vAlign w:val="bottom"/>
            <w:shd w:val="clear" w:color="auto" w:fill="B2B2B2"/>
          </w:tcPr>
          <w:p>
            <w:pPr>
              <w:jc w:val="center"/>
              <w:spacing w:after="0"/>
              <w:rPr>
                <w:sz w:val="20"/>
                <w:szCs w:val="20"/>
                <w:color w:val="auto"/>
              </w:rPr>
            </w:pPr>
            <w:r>
              <w:rPr>
                <w:rFonts w:ascii="Arial" w:cs="Arial" w:eastAsia="Arial" w:hAnsi="Arial"/>
                <w:sz w:val="18"/>
                <w:szCs w:val="18"/>
                <w:color w:val="auto"/>
              </w:rPr>
              <w:t>$2.65</w:t>
            </w:r>
          </w:p>
        </w:tc>
        <w:tc>
          <w:tcPr>
            <w:tcW w:w="60" w:type="dxa"/>
            <w:vAlign w:val="bottom"/>
            <w:shd w:val="clear" w:color="auto" w:fill="B2B2B2"/>
          </w:tcPr>
          <w:p>
            <w:pPr>
              <w:spacing w:after="0"/>
              <w:rPr>
                <w:sz w:val="24"/>
                <w:szCs w:val="24"/>
                <w:color w:val="auto"/>
              </w:rPr>
            </w:pPr>
          </w:p>
        </w:tc>
      </w:tr>
      <w:tr>
        <w:trPr>
          <w:trHeight w:val="63"/>
        </w:trPr>
        <w:tc>
          <w:tcPr>
            <w:tcW w:w="60" w:type="dxa"/>
            <w:vAlign w:val="bottom"/>
            <w:shd w:val="clear" w:color="auto" w:fill="B2B2B2"/>
          </w:tcPr>
          <w:p>
            <w:pPr>
              <w:spacing w:after="0"/>
              <w:rPr>
                <w:sz w:val="5"/>
                <w:szCs w:val="5"/>
                <w:color w:val="auto"/>
              </w:rPr>
            </w:pPr>
          </w:p>
        </w:tc>
        <w:tc>
          <w:tcPr>
            <w:tcW w:w="1220" w:type="dxa"/>
            <w:vAlign w:val="bottom"/>
            <w:shd w:val="clear" w:color="auto" w:fill="B2B2B2"/>
          </w:tcPr>
          <w:p>
            <w:pPr>
              <w:spacing w:after="0"/>
              <w:rPr>
                <w:sz w:val="5"/>
                <w:szCs w:val="5"/>
                <w:color w:val="auto"/>
              </w:rPr>
            </w:pPr>
          </w:p>
        </w:tc>
        <w:tc>
          <w:tcPr>
            <w:tcW w:w="4400" w:type="dxa"/>
            <w:vAlign w:val="bottom"/>
            <w:shd w:val="clear" w:color="auto" w:fill="B2B2B2"/>
          </w:tcPr>
          <w:p>
            <w:pPr>
              <w:spacing w:after="0"/>
              <w:rPr>
                <w:sz w:val="5"/>
                <w:szCs w:val="5"/>
                <w:color w:val="auto"/>
              </w:rPr>
            </w:pPr>
          </w:p>
        </w:tc>
        <w:tc>
          <w:tcPr>
            <w:tcW w:w="260" w:type="dxa"/>
            <w:vAlign w:val="bottom"/>
            <w:shd w:val="clear" w:color="auto" w:fill="B2B2B2"/>
          </w:tcPr>
          <w:p>
            <w:pPr>
              <w:spacing w:after="0"/>
              <w:rPr>
                <w:sz w:val="5"/>
                <w:szCs w:val="5"/>
                <w:color w:val="auto"/>
              </w:rPr>
            </w:pPr>
          </w:p>
        </w:tc>
        <w:tc>
          <w:tcPr>
            <w:tcW w:w="700" w:type="dxa"/>
            <w:vAlign w:val="bottom"/>
            <w:shd w:val="clear" w:color="auto" w:fill="B2B2B2"/>
          </w:tcPr>
          <w:p>
            <w:pPr>
              <w:spacing w:after="0"/>
              <w:rPr>
                <w:sz w:val="5"/>
                <w:szCs w:val="5"/>
                <w:color w:val="auto"/>
              </w:rPr>
            </w:pPr>
          </w:p>
        </w:tc>
        <w:tc>
          <w:tcPr>
            <w:tcW w:w="280" w:type="dxa"/>
            <w:vAlign w:val="bottom"/>
            <w:shd w:val="clear" w:color="auto" w:fill="B2B2B2"/>
          </w:tcPr>
          <w:p>
            <w:pPr>
              <w:spacing w:after="0"/>
              <w:rPr>
                <w:sz w:val="5"/>
                <w:szCs w:val="5"/>
                <w:color w:val="auto"/>
              </w:rPr>
            </w:pPr>
          </w:p>
        </w:tc>
        <w:tc>
          <w:tcPr>
            <w:tcW w:w="460" w:type="dxa"/>
            <w:vAlign w:val="bottom"/>
            <w:shd w:val="clear" w:color="auto" w:fill="B2B2B2"/>
          </w:tcPr>
          <w:p>
            <w:pPr>
              <w:spacing w:after="0"/>
              <w:rPr>
                <w:sz w:val="5"/>
                <w:szCs w:val="5"/>
                <w:color w:val="auto"/>
              </w:rPr>
            </w:pPr>
          </w:p>
        </w:tc>
        <w:tc>
          <w:tcPr>
            <w:tcW w:w="260" w:type="dxa"/>
            <w:vAlign w:val="bottom"/>
            <w:shd w:val="clear" w:color="auto" w:fill="B2B2B2"/>
          </w:tcPr>
          <w:p>
            <w:pPr>
              <w:spacing w:after="0"/>
              <w:rPr>
                <w:sz w:val="5"/>
                <w:szCs w:val="5"/>
                <w:color w:val="auto"/>
              </w:rPr>
            </w:pPr>
          </w:p>
        </w:tc>
        <w:tc>
          <w:tcPr>
            <w:tcW w:w="680" w:type="dxa"/>
            <w:vAlign w:val="bottom"/>
            <w:shd w:val="clear" w:color="auto" w:fill="B2B2B2"/>
          </w:tcPr>
          <w:p>
            <w:pPr>
              <w:spacing w:after="0"/>
              <w:rPr>
                <w:sz w:val="5"/>
                <w:szCs w:val="5"/>
                <w:color w:val="auto"/>
              </w:rPr>
            </w:pPr>
          </w:p>
        </w:tc>
        <w:tc>
          <w:tcPr>
            <w:tcW w:w="280" w:type="dxa"/>
            <w:vAlign w:val="bottom"/>
            <w:shd w:val="clear" w:color="auto" w:fill="B2B2B2"/>
          </w:tcPr>
          <w:p>
            <w:pPr>
              <w:spacing w:after="0"/>
              <w:rPr>
                <w:sz w:val="5"/>
                <w:szCs w:val="5"/>
                <w:color w:val="auto"/>
              </w:rPr>
            </w:pPr>
          </w:p>
        </w:tc>
        <w:tc>
          <w:tcPr>
            <w:tcW w:w="520" w:type="dxa"/>
            <w:vAlign w:val="bottom"/>
            <w:shd w:val="clear" w:color="auto" w:fill="B2B2B2"/>
          </w:tcPr>
          <w:p>
            <w:pPr>
              <w:spacing w:after="0"/>
              <w:rPr>
                <w:sz w:val="5"/>
                <w:szCs w:val="5"/>
                <w:color w:val="auto"/>
              </w:rPr>
            </w:pPr>
          </w:p>
        </w:tc>
        <w:tc>
          <w:tcPr>
            <w:tcW w:w="60" w:type="dxa"/>
            <w:vAlign w:val="bottom"/>
            <w:shd w:val="clear" w:color="auto" w:fill="B2B2B2"/>
          </w:tcPr>
          <w:p>
            <w:pPr>
              <w:spacing w:after="0"/>
              <w:rPr>
                <w:sz w:val="5"/>
                <w:szCs w:val="5"/>
                <w:color w:val="auto"/>
              </w:rPr>
            </w:pPr>
          </w:p>
        </w:tc>
      </w:tr>
      <w:tr>
        <w:trPr>
          <w:trHeight w:val="301"/>
        </w:trPr>
        <w:tc>
          <w:tcPr>
            <w:tcW w:w="1280" w:type="dxa"/>
            <w:vAlign w:val="bottom"/>
            <w:gridSpan w:val="2"/>
          </w:tcPr>
          <w:p>
            <w:pPr>
              <w:ind w:left="80"/>
              <w:spacing w:after="0"/>
              <w:rPr>
                <w:sz w:val="20"/>
                <w:szCs w:val="20"/>
                <w:color w:val="auto"/>
              </w:rPr>
            </w:pPr>
            <w:r>
              <w:rPr>
                <w:rFonts w:ascii="Arial" w:cs="Arial" w:eastAsia="Arial" w:hAnsi="Arial"/>
                <w:sz w:val="18"/>
                <w:szCs w:val="18"/>
                <w:color w:val="auto"/>
              </w:rPr>
              <w:t>2019</w:t>
            </w:r>
          </w:p>
        </w:tc>
        <w:tc>
          <w:tcPr>
            <w:tcW w:w="4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7"/>
              </w:rPr>
              <w:t>$2.46</w:t>
            </w:r>
          </w:p>
        </w:tc>
        <w:tc>
          <w:tcPr>
            <w:tcW w:w="740" w:type="dxa"/>
            <w:vAlign w:val="bottom"/>
            <w:gridSpan w:val="2"/>
          </w:tcPr>
          <w:p>
            <w:pPr>
              <w:jc w:val="center"/>
              <w:ind w:left="175"/>
              <w:spacing w:after="0"/>
              <w:rPr>
                <w:sz w:val="20"/>
                <w:szCs w:val="20"/>
                <w:color w:val="auto"/>
              </w:rPr>
            </w:pPr>
            <w:r>
              <w:rPr>
                <w:rFonts w:ascii="Arial" w:cs="Arial" w:eastAsia="Arial" w:hAnsi="Arial"/>
                <w:sz w:val="18"/>
                <w:szCs w:val="18"/>
                <w:color w:val="auto"/>
                <w:w w:val="97"/>
              </w:rPr>
              <w:t>$2.74</w:t>
            </w:r>
          </w:p>
        </w:tc>
        <w:tc>
          <w:tcPr>
            <w:tcW w:w="26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7"/>
              </w:rPr>
              <w:t>$3.58</w:t>
            </w:r>
          </w:p>
        </w:tc>
        <w:tc>
          <w:tcPr>
            <w:tcW w:w="28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rPr>
              <w:t>$3.32</w:t>
            </w:r>
          </w:p>
        </w:tc>
        <w:tc>
          <w:tcPr>
            <w:tcW w:w="60" w:type="dxa"/>
            <w:vAlign w:val="bottom"/>
          </w:tcPr>
          <w:p>
            <w:pPr>
              <w:spacing w:after="0"/>
              <w:rPr>
                <w:sz w:val="24"/>
                <w:szCs w:val="24"/>
                <w:color w:val="auto"/>
              </w:rPr>
            </w:pPr>
          </w:p>
        </w:tc>
      </w:tr>
      <w:tr>
        <w:trPr>
          <w:trHeight w:val="63"/>
        </w:trPr>
        <w:tc>
          <w:tcPr>
            <w:tcW w:w="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440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r>
      <w:tr>
        <w:trPr>
          <w:trHeight w:val="310"/>
        </w:trPr>
        <w:tc>
          <w:tcPr>
            <w:tcW w:w="1280" w:type="dxa"/>
            <w:vAlign w:val="bottom"/>
            <w:gridSpan w:val="2"/>
            <w:shd w:val="clear" w:color="auto" w:fill="B2B2B2"/>
          </w:tcPr>
          <w:p>
            <w:pPr>
              <w:ind w:left="80"/>
              <w:spacing w:after="0"/>
              <w:rPr>
                <w:sz w:val="20"/>
                <w:szCs w:val="20"/>
                <w:color w:val="auto"/>
              </w:rPr>
            </w:pPr>
            <w:r>
              <w:rPr>
                <w:rFonts w:ascii="Arial" w:cs="Arial" w:eastAsia="Arial" w:hAnsi="Arial"/>
                <w:sz w:val="18"/>
                <w:szCs w:val="18"/>
                <w:color w:val="auto"/>
              </w:rPr>
              <w:t>2020</w:t>
            </w:r>
          </w:p>
        </w:tc>
        <w:tc>
          <w:tcPr>
            <w:tcW w:w="4400" w:type="dxa"/>
            <w:vAlign w:val="bottom"/>
            <w:shd w:val="clear" w:color="auto" w:fill="B2B2B2"/>
          </w:tcPr>
          <w:p>
            <w:pPr>
              <w:spacing w:after="0"/>
              <w:rPr>
                <w:sz w:val="24"/>
                <w:szCs w:val="24"/>
                <w:color w:val="auto"/>
              </w:rPr>
            </w:pPr>
          </w:p>
        </w:tc>
        <w:tc>
          <w:tcPr>
            <w:tcW w:w="260" w:type="dxa"/>
            <w:vAlign w:val="bottom"/>
            <w:shd w:val="clear" w:color="auto" w:fill="B2B2B2"/>
          </w:tcPr>
          <w:p>
            <w:pPr>
              <w:spacing w:after="0"/>
              <w:rPr>
                <w:sz w:val="24"/>
                <w:szCs w:val="24"/>
                <w:color w:val="auto"/>
              </w:rPr>
            </w:pPr>
          </w:p>
        </w:tc>
        <w:tc>
          <w:tcPr>
            <w:tcW w:w="700" w:type="dxa"/>
            <w:vAlign w:val="bottom"/>
            <w:shd w:val="clear" w:color="auto" w:fill="B2B2B2"/>
          </w:tcPr>
          <w:p>
            <w:pPr>
              <w:jc w:val="center"/>
              <w:spacing w:after="0"/>
              <w:rPr>
                <w:sz w:val="20"/>
                <w:szCs w:val="20"/>
                <w:color w:val="auto"/>
              </w:rPr>
            </w:pPr>
            <w:r>
              <w:rPr>
                <w:rFonts w:ascii="Arial" w:cs="Arial" w:eastAsia="Arial" w:hAnsi="Arial"/>
                <w:sz w:val="18"/>
                <w:szCs w:val="18"/>
                <w:color w:val="auto"/>
                <w:w w:val="97"/>
              </w:rPr>
              <w:t>$3.33</w:t>
            </w:r>
          </w:p>
        </w:tc>
        <w:tc>
          <w:tcPr>
            <w:tcW w:w="740" w:type="dxa"/>
            <w:vAlign w:val="bottom"/>
            <w:gridSpan w:val="2"/>
            <w:shd w:val="clear" w:color="auto" w:fill="B2B2B2"/>
          </w:tcPr>
          <w:p>
            <w:pPr>
              <w:jc w:val="center"/>
              <w:ind w:left="175"/>
              <w:spacing w:after="0"/>
              <w:rPr>
                <w:sz w:val="20"/>
                <w:szCs w:val="20"/>
                <w:color w:val="auto"/>
              </w:rPr>
            </w:pPr>
            <w:r>
              <w:rPr>
                <w:rFonts w:ascii="Arial" w:cs="Arial" w:eastAsia="Arial" w:hAnsi="Arial"/>
                <w:sz w:val="18"/>
                <w:szCs w:val="18"/>
                <w:color w:val="auto"/>
                <w:w w:val="97"/>
              </w:rPr>
              <w:t>$4.00</w:t>
            </w:r>
          </w:p>
        </w:tc>
        <w:tc>
          <w:tcPr>
            <w:tcW w:w="260" w:type="dxa"/>
            <w:vAlign w:val="bottom"/>
            <w:shd w:val="clear" w:color="auto" w:fill="B2B2B2"/>
          </w:tcPr>
          <w:p>
            <w:pPr>
              <w:spacing w:after="0"/>
              <w:rPr>
                <w:sz w:val="24"/>
                <w:szCs w:val="24"/>
                <w:color w:val="auto"/>
              </w:rPr>
            </w:pPr>
          </w:p>
        </w:tc>
        <w:tc>
          <w:tcPr>
            <w:tcW w:w="680" w:type="dxa"/>
            <w:vAlign w:val="bottom"/>
            <w:shd w:val="clear" w:color="auto" w:fill="B2B2B2"/>
          </w:tcPr>
          <w:p>
            <w:pPr>
              <w:jc w:val="center"/>
              <w:spacing w:after="0"/>
              <w:rPr>
                <w:sz w:val="20"/>
                <w:szCs w:val="20"/>
                <w:color w:val="auto"/>
              </w:rPr>
            </w:pPr>
            <w:r>
              <w:rPr>
                <w:rFonts w:ascii="Arial" w:cs="Arial" w:eastAsia="Arial" w:hAnsi="Arial"/>
                <w:sz w:val="18"/>
                <w:szCs w:val="18"/>
                <w:color w:val="auto"/>
                <w:w w:val="97"/>
              </w:rPr>
              <w:t>$4.67</w:t>
            </w:r>
          </w:p>
        </w:tc>
        <w:tc>
          <w:tcPr>
            <w:tcW w:w="280" w:type="dxa"/>
            <w:vAlign w:val="bottom"/>
            <w:shd w:val="clear" w:color="auto" w:fill="B2B2B2"/>
          </w:tcPr>
          <w:p>
            <w:pPr>
              <w:spacing w:after="0"/>
              <w:rPr>
                <w:sz w:val="24"/>
                <w:szCs w:val="24"/>
                <w:color w:val="auto"/>
              </w:rPr>
            </w:pPr>
          </w:p>
        </w:tc>
        <w:tc>
          <w:tcPr>
            <w:tcW w:w="520" w:type="dxa"/>
            <w:vAlign w:val="bottom"/>
            <w:shd w:val="clear" w:color="auto" w:fill="B2B2B2"/>
          </w:tcPr>
          <w:p>
            <w:pPr>
              <w:jc w:val="center"/>
              <w:spacing w:after="0"/>
              <w:rPr>
                <w:sz w:val="20"/>
                <w:szCs w:val="20"/>
                <w:color w:val="auto"/>
              </w:rPr>
            </w:pPr>
            <w:r>
              <w:rPr>
                <w:rFonts w:ascii="Arial" w:cs="Arial" w:eastAsia="Arial" w:hAnsi="Arial"/>
                <w:sz w:val="18"/>
                <w:szCs w:val="18"/>
                <w:color w:val="auto"/>
              </w:rPr>
              <w:t>$1.93</w:t>
            </w:r>
          </w:p>
        </w:tc>
        <w:tc>
          <w:tcPr>
            <w:tcW w:w="60" w:type="dxa"/>
            <w:vAlign w:val="bottom"/>
            <w:shd w:val="clear" w:color="auto" w:fill="B2B2B2"/>
          </w:tcPr>
          <w:p>
            <w:pPr>
              <w:spacing w:after="0"/>
              <w:rPr>
                <w:sz w:val="24"/>
                <w:szCs w:val="24"/>
                <w:color w:val="auto"/>
              </w:rPr>
            </w:pPr>
          </w:p>
        </w:tc>
      </w:tr>
      <w:tr>
        <w:trPr>
          <w:trHeight w:val="189"/>
        </w:trPr>
        <w:tc>
          <w:tcPr>
            <w:tcW w:w="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4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5795010</wp:posOffset>
            </wp:positionH>
            <wp:positionV relativeFrom="paragraph">
              <wp:posOffset>-796290</wp:posOffset>
            </wp:positionV>
            <wp:extent cx="3429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5288915</wp:posOffset>
            </wp:positionH>
            <wp:positionV relativeFrom="paragraph">
              <wp:posOffset>-796290</wp:posOffset>
            </wp:positionV>
            <wp:extent cx="17145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4688840</wp:posOffset>
            </wp:positionH>
            <wp:positionV relativeFrom="paragraph">
              <wp:posOffset>-796290</wp:posOffset>
            </wp:positionV>
            <wp:extent cx="17145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4225925</wp:posOffset>
            </wp:positionH>
            <wp:positionV relativeFrom="paragraph">
              <wp:posOffset>-796290</wp:posOffset>
            </wp:positionV>
            <wp:extent cx="17145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3608705</wp:posOffset>
            </wp:positionH>
            <wp:positionV relativeFrom="paragraph">
              <wp:posOffset>-796290</wp:posOffset>
            </wp:positionV>
            <wp:extent cx="17145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-796290</wp:posOffset>
            </wp:positionV>
            <wp:extent cx="431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75" w:lineRule="exact"/>
        <w:rPr>
          <w:sz w:val="20"/>
          <w:szCs w:val="20"/>
          <w:color w:val="auto"/>
        </w:rPr>
      </w:pPr>
    </w:p>
    <w:p>
      <w:pPr>
        <w:jc w:val="both"/>
        <w:ind w:left="6" w:right="40"/>
        <w:spacing w:after="0" w:line="266" w:lineRule="auto"/>
        <w:rPr>
          <w:sz w:val="20"/>
          <w:szCs w:val="20"/>
          <w:color w:val="auto"/>
        </w:rPr>
      </w:pPr>
      <w:r>
        <w:rPr>
          <w:rFonts w:ascii="Arial" w:cs="Arial" w:eastAsia="Arial" w:hAnsi="Arial"/>
          <w:sz w:val="14"/>
          <w:szCs w:val="14"/>
          <w:color w:val="auto"/>
        </w:rPr>
        <w:t>Note: The non-GAAP EPS results shown are based on financial results as reported for 2018 (as reported in our Annual Report on Form 10-K for the year ended December 31, 2019), 2019, and 2020 (as reported in our Annual Report on Form 10-K for the year ended December 31, 2020). Performance for levels achieved between threshold, target, and maximum are linearly interpolated.</w:t>
      </w:r>
    </w:p>
    <w:p>
      <w:pPr>
        <w:spacing w:after="0" w:line="265" w:lineRule="exact"/>
        <w:rPr>
          <w:sz w:val="20"/>
          <w:szCs w:val="20"/>
          <w:color w:val="auto"/>
        </w:rPr>
      </w:pPr>
    </w:p>
    <w:p>
      <w:pPr>
        <w:jc w:val="center"/>
        <w:ind w:right="-25"/>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157480</wp:posOffset>
            </wp:positionV>
            <wp:extent cx="699516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263" w:right="1359" w:bottom="1440" w:gutter="0" w:footer="0" w:header="0"/>
        </w:sectPr>
      </w:pPr>
    </w:p>
    <w:bookmarkStart w:id="35" w:name="page36"/>
    <w:bookmarkEnd w:id="35"/>
    <w:p>
      <w:pPr>
        <w:ind w:left="6"/>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122" w:lineRule="exact"/>
        <w:rPr>
          <w:sz w:val="20"/>
          <w:szCs w:val="20"/>
          <w:color w:val="auto"/>
        </w:rPr>
      </w:pPr>
    </w:p>
    <w:p>
      <w:pPr>
        <w:ind w:left="706" w:right="60" w:hanging="346"/>
        <w:spacing w:after="0" w:line="249" w:lineRule="auto"/>
        <w:tabs>
          <w:tab w:leader="none" w:pos="706"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 xml:space="preserve">Relative TSR: </w:t>
      </w:r>
      <w:r>
        <w:rPr>
          <w:rFonts w:ascii="Arial" w:cs="Arial" w:eastAsia="Arial" w:hAnsi="Arial"/>
          <w:sz w:val="18"/>
          <w:szCs w:val="18"/>
          <w:color w:val="auto"/>
        </w:rPr>
        <w:t>At the end of the three-year performance period, the non-GAAP EPS attainment results for</w:t>
      </w:r>
      <w:r>
        <w:rPr>
          <w:rFonts w:ascii="Arial" w:cs="Arial" w:eastAsia="Arial" w:hAnsi="Arial"/>
          <w:sz w:val="18"/>
          <w:szCs w:val="18"/>
          <w:b w:val="1"/>
          <w:bCs w:val="1"/>
          <w:color w:val="auto"/>
        </w:rPr>
        <w:t xml:space="preserve"> </w:t>
      </w:r>
      <w:r>
        <w:rPr>
          <w:rFonts w:ascii="Arial" w:cs="Arial" w:eastAsia="Arial" w:hAnsi="Arial"/>
          <w:sz w:val="18"/>
          <w:szCs w:val="18"/>
          <w:color w:val="auto"/>
        </w:rPr>
        <w:t>each of the annual performance cycles are averaged. The average non-GAAP EPS is then adjusted based on the achievement by the Company of TSR relative to the Russell 3000 index for the same three-year performance cycle as follows:</w:t>
      </w:r>
    </w:p>
    <w:p>
      <w:pPr>
        <w:spacing w:after="0" w:line="104" w:lineRule="exact"/>
        <w:rPr>
          <w:sz w:val="20"/>
          <w:szCs w:val="20"/>
          <w:color w:val="auto"/>
        </w:rPr>
      </w:pPr>
    </w:p>
    <w:tbl>
      <w:tblPr>
        <w:tblLayout w:type="fixed"/>
        <w:tblInd w:w="86" w:type="dxa"/>
        <w:tblCellMar>
          <w:top w:w="0" w:type="dxa"/>
          <w:left w:w="0" w:type="dxa"/>
          <w:bottom w:w="0" w:type="dxa"/>
          <w:right w:w="0" w:type="dxa"/>
        </w:tblCellMar>
      </w:tblPr>
      <w:tr>
        <w:trPr>
          <w:trHeight w:val="241"/>
        </w:trPr>
        <w:tc>
          <w:tcPr>
            <w:tcW w:w="4620" w:type="dxa"/>
            <w:vAlign w:val="bottom"/>
            <w:gridSpan w:val="2"/>
          </w:tcPr>
          <w:p>
            <w:pPr>
              <w:ind w:left="40"/>
              <w:spacing w:after="0"/>
              <w:rPr>
                <w:sz w:val="20"/>
                <w:szCs w:val="20"/>
                <w:color w:val="auto"/>
              </w:rPr>
            </w:pPr>
            <w:r>
              <w:rPr>
                <w:rFonts w:ascii="Arial" w:cs="Arial" w:eastAsia="Arial" w:hAnsi="Arial"/>
                <w:sz w:val="18"/>
                <w:szCs w:val="18"/>
                <w:i w:val="1"/>
                <w:iCs w:val="1"/>
                <w:color w:val="auto"/>
              </w:rPr>
              <w:t>If relative TSR attainment is</w:t>
            </w:r>
          </w:p>
        </w:tc>
        <w:tc>
          <w:tcPr>
            <w:tcW w:w="4400" w:type="dxa"/>
            <w:vAlign w:val="bottom"/>
          </w:tcPr>
          <w:p>
            <w:pPr>
              <w:spacing w:after="0"/>
              <w:rPr>
                <w:sz w:val="20"/>
                <w:szCs w:val="20"/>
                <w:color w:val="auto"/>
              </w:rPr>
            </w:pPr>
            <w:r>
              <w:rPr>
                <w:rFonts w:ascii="Arial" w:cs="Arial" w:eastAsia="Arial" w:hAnsi="Arial"/>
                <w:sz w:val="18"/>
                <w:szCs w:val="18"/>
                <w:i w:val="1"/>
                <w:iCs w:val="1"/>
                <w:color w:val="auto"/>
              </w:rPr>
              <w:t>Then the average EPS attainment is</w:t>
            </w:r>
          </w:p>
        </w:tc>
      </w:tr>
      <w:tr>
        <w:trPr>
          <w:trHeight w:val="50"/>
        </w:trPr>
        <w:tc>
          <w:tcPr>
            <w:tcW w:w="44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4400" w:type="dxa"/>
            <w:vAlign w:val="bottom"/>
            <w:tcBorders>
              <w:bottom w:val="single" w:sz="8" w:color="auto"/>
            </w:tcBorders>
          </w:tcPr>
          <w:p>
            <w:pPr>
              <w:spacing w:after="0"/>
              <w:rPr>
                <w:sz w:val="4"/>
                <w:szCs w:val="4"/>
                <w:color w:val="auto"/>
              </w:rPr>
            </w:pPr>
          </w:p>
        </w:tc>
      </w:tr>
      <w:tr>
        <w:trPr>
          <w:trHeight w:val="366"/>
        </w:trPr>
        <w:tc>
          <w:tcPr>
            <w:tcW w:w="4620" w:type="dxa"/>
            <w:vAlign w:val="bottom"/>
            <w:gridSpan w:val="2"/>
          </w:tcPr>
          <w:p>
            <w:pPr>
              <w:ind w:left="40"/>
              <w:spacing w:after="0"/>
              <w:rPr>
                <w:sz w:val="20"/>
                <w:szCs w:val="20"/>
                <w:color w:val="auto"/>
              </w:rPr>
            </w:pPr>
            <w:r>
              <w:rPr>
                <w:rFonts w:ascii="Arial" w:cs="Arial" w:eastAsia="Arial" w:hAnsi="Arial"/>
                <w:sz w:val="18"/>
                <w:szCs w:val="18"/>
                <w:color w:val="auto"/>
              </w:rPr>
              <w:t>At or below the 25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percentile</w:t>
            </w:r>
          </w:p>
        </w:tc>
        <w:tc>
          <w:tcPr>
            <w:tcW w:w="4400" w:type="dxa"/>
            <w:vAlign w:val="bottom"/>
          </w:tcPr>
          <w:p>
            <w:pPr>
              <w:spacing w:after="0"/>
              <w:rPr>
                <w:sz w:val="20"/>
                <w:szCs w:val="20"/>
                <w:color w:val="auto"/>
              </w:rPr>
            </w:pPr>
            <w:r>
              <w:rPr>
                <w:rFonts w:ascii="Arial" w:cs="Arial" w:eastAsia="Arial" w:hAnsi="Arial"/>
                <w:sz w:val="18"/>
                <w:szCs w:val="18"/>
                <w:color w:val="auto"/>
              </w:rPr>
              <w:t>Adjusted down by 25%</w:t>
            </w:r>
          </w:p>
        </w:tc>
      </w:tr>
      <w:tr>
        <w:trPr>
          <w:trHeight w:val="338"/>
        </w:trPr>
        <w:tc>
          <w:tcPr>
            <w:tcW w:w="4620" w:type="dxa"/>
            <w:vAlign w:val="bottom"/>
            <w:gridSpan w:val="2"/>
          </w:tcPr>
          <w:p>
            <w:pPr>
              <w:ind w:left="40"/>
              <w:spacing w:after="0"/>
              <w:rPr>
                <w:sz w:val="20"/>
                <w:szCs w:val="20"/>
                <w:color w:val="auto"/>
              </w:rPr>
            </w:pPr>
            <w:r>
              <w:rPr>
                <w:rFonts w:ascii="Arial" w:cs="Arial" w:eastAsia="Arial" w:hAnsi="Arial"/>
                <w:sz w:val="18"/>
                <w:szCs w:val="18"/>
                <w:color w:val="auto"/>
              </w:rPr>
              <w:t>At 50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percentile</w:t>
            </w:r>
          </w:p>
        </w:tc>
        <w:tc>
          <w:tcPr>
            <w:tcW w:w="4400" w:type="dxa"/>
            <w:vAlign w:val="bottom"/>
          </w:tcPr>
          <w:p>
            <w:pPr>
              <w:spacing w:after="0"/>
              <w:rPr>
                <w:sz w:val="20"/>
                <w:szCs w:val="20"/>
                <w:color w:val="auto"/>
              </w:rPr>
            </w:pPr>
            <w:r>
              <w:rPr>
                <w:rFonts w:ascii="Arial" w:cs="Arial" w:eastAsia="Arial" w:hAnsi="Arial"/>
                <w:sz w:val="18"/>
                <w:szCs w:val="18"/>
                <w:color w:val="auto"/>
              </w:rPr>
              <w:t>No adjustment</w:t>
            </w:r>
          </w:p>
        </w:tc>
      </w:tr>
      <w:tr>
        <w:trPr>
          <w:trHeight w:val="405"/>
        </w:trPr>
        <w:tc>
          <w:tcPr>
            <w:tcW w:w="4620" w:type="dxa"/>
            <w:vAlign w:val="bottom"/>
            <w:gridSpan w:val="2"/>
          </w:tcPr>
          <w:p>
            <w:pPr>
              <w:ind w:left="40"/>
              <w:spacing w:after="0"/>
              <w:rPr>
                <w:sz w:val="20"/>
                <w:szCs w:val="20"/>
                <w:color w:val="auto"/>
              </w:rPr>
            </w:pPr>
            <w:r>
              <w:rPr>
                <w:rFonts w:ascii="Arial" w:cs="Arial" w:eastAsia="Arial" w:hAnsi="Arial"/>
                <w:sz w:val="18"/>
                <w:szCs w:val="18"/>
                <w:color w:val="auto"/>
              </w:rPr>
              <w:t>At or above the 75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Percentile</w:t>
            </w:r>
          </w:p>
        </w:tc>
        <w:tc>
          <w:tcPr>
            <w:tcW w:w="4400" w:type="dxa"/>
            <w:vAlign w:val="bottom"/>
          </w:tcPr>
          <w:p>
            <w:pPr>
              <w:spacing w:after="0"/>
              <w:rPr>
                <w:sz w:val="20"/>
                <w:szCs w:val="20"/>
                <w:color w:val="auto"/>
              </w:rPr>
            </w:pPr>
            <w:r>
              <w:rPr>
                <w:rFonts w:ascii="Arial" w:cs="Arial" w:eastAsia="Arial" w:hAnsi="Arial"/>
                <w:sz w:val="18"/>
                <w:szCs w:val="18"/>
                <w:color w:val="auto"/>
              </w:rPr>
              <w:t>Increased by 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28575</wp:posOffset>
            </wp:positionV>
            <wp:extent cx="82296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46" w:lineRule="exact"/>
        <w:rPr>
          <w:sz w:val="20"/>
          <w:szCs w:val="20"/>
          <w:color w:val="auto"/>
        </w:rPr>
      </w:pPr>
    </w:p>
    <w:p>
      <w:pPr>
        <w:ind w:left="6"/>
        <w:spacing w:after="0"/>
        <w:rPr>
          <w:sz w:val="20"/>
          <w:szCs w:val="20"/>
          <w:color w:val="auto"/>
        </w:rPr>
      </w:pPr>
      <w:r>
        <w:rPr>
          <w:rFonts w:ascii="Arial" w:cs="Arial" w:eastAsia="Arial" w:hAnsi="Arial"/>
          <w:sz w:val="14"/>
          <w:szCs w:val="14"/>
          <w:color w:val="auto"/>
        </w:rPr>
        <w:t>Note: Adjustments for levels achieved between the 25</w:t>
      </w:r>
      <w:r>
        <w:rPr>
          <w:rFonts w:ascii="Arial" w:cs="Arial" w:eastAsia="Arial" w:hAnsi="Arial"/>
          <w:sz w:val="23"/>
          <w:szCs w:val="23"/>
          <w:color w:val="auto"/>
          <w:vertAlign w:val="superscript"/>
        </w:rPr>
        <w:t>th</w:t>
      </w:r>
      <w:r>
        <w:rPr>
          <w:rFonts w:ascii="Arial" w:cs="Arial" w:eastAsia="Arial" w:hAnsi="Arial"/>
          <w:sz w:val="14"/>
          <w:szCs w:val="14"/>
          <w:color w:val="auto"/>
        </w:rPr>
        <w:t>, 50</w:t>
      </w:r>
      <w:r>
        <w:rPr>
          <w:rFonts w:ascii="Arial" w:cs="Arial" w:eastAsia="Arial" w:hAnsi="Arial"/>
          <w:sz w:val="23"/>
          <w:szCs w:val="23"/>
          <w:color w:val="auto"/>
          <w:vertAlign w:val="superscript"/>
        </w:rPr>
        <w:t>th</w:t>
      </w:r>
      <w:r>
        <w:rPr>
          <w:rFonts w:ascii="Arial" w:cs="Arial" w:eastAsia="Arial" w:hAnsi="Arial"/>
          <w:sz w:val="14"/>
          <w:szCs w:val="14"/>
          <w:color w:val="auto"/>
        </w:rPr>
        <w:t>, and 75</w:t>
      </w:r>
      <w:r>
        <w:rPr>
          <w:rFonts w:ascii="Arial" w:cs="Arial" w:eastAsia="Arial" w:hAnsi="Arial"/>
          <w:sz w:val="23"/>
          <w:szCs w:val="23"/>
          <w:color w:val="auto"/>
          <w:vertAlign w:val="superscript"/>
        </w:rPr>
        <w:t>th</w:t>
      </w:r>
      <w:r>
        <w:rPr>
          <w:rFonts w:ascii="Arial" w:cs="Arial" w:eastAsia="Arial" w:hAnsi="Arial"/>
          <w:sz w:val="14"/>
          <w:szCs w:val="14"/>
          <w:color w:val="auto"/>
        </w:rPr>
        <w:t xml:space="preserve"> percentiles are linearly interpolated.</w:t>
      </w:r>
    </w:p>
    <w:p>
      <w:pPr>
        <w:spacing w:after="0" w:line="78" w:lineRule="exact"/>
        <w:rPr>
          <w:sz w:val="20"/>
          <w:szCs w:val="20"/>
          <w:color w:val="auto"/>
        </w:rPr>
      </w:pPr>
    </w:p>
    <w:p>
      <w:pPr>
        <w:ind w:left="6" w:right="820"/>
        <w:spacing w:after="0" w:line="276" w:lineRule="auto"/>
        <w:rPr>
          <w:sz w:val="20"/>
          <w:szCs w:val="20"/>
          <w:color w:val="auto"/>
        </w:rPr>
      </w:pPr>
      <w:r>
        <w:rPr>
          <w:rFonts w:ascii="Arial" w:cs="Arial" w:eastAsia="Arial" w:hAnsi="Arial"/>
          <w:sz w:val="18"/>
          <w:szCs w:val="18"/>
          <w:color w:val="auto"/>
        </w:rPr>
        <w:t>For the 2020 PRSUs, the TSR targets and point multipliers were all established in December 2019 by the Compensation Committee and by the independent members of the full Board for the CEO.</w:t>
      </w:r>
    </w:p>
    <w:p>
      <w:pPr>
        <w:spacing w:after="0" w:line="104" w:lineRule="exact"/>
        <w:rPr>
          <w:sz w:val="20"/>
          <w:szCs w:val="20"/>
          <w:color w:val="auto"/>
        </w:rPr>
      </w:pPr>
    </w:p>
    <w:p>
      <w:pPr>
        <w:ind w:left="6" w:right="100"/>
        <w:spacing w:after="0" w:line="248" w:lineRule="auto"/>
        <w:rPr>
          <w:sz w:val="20"/>
          <w:szCs w:val="20"/>
          <w:color w:val="auto"/>
        </w:rPr>
      </w:pPr>
      <w:r>
        <w:rPr>
          <w:rFonts w:ascii="Arial" w:cs="Arial" w:eastAsia="Arial" w:hAnsi="Arial"/>
          <w:sz w:val="18"/>
          <w:szCs w:val="18"/>
          <w:i w:val="1"/>
          <w:iCs w:val="1"/>
          <w:color w:val="auto"/>
        </w:rPr>
        <w:t xml:space="preserve">PRSUs Earned and Vested In 2020 (1/1/2018 –12/31/2020). </w:t>
      </w:r>
      <w:r>
        <w:rPr>
          <w:rFonts w:ascii="Arial" w:cs="Arial" w:eastAsia="Arial" w:hAnsi="Arial"/>
          <w:sz w:val="18"/>
          <w:szCs w:val="18"/>
          <w:color w:val="auto"/>
        </w:rPr>
        <w:t>In 2018, the NEOs at that time were granted their</w:t>
      </w:r>
      <w:r>
        <w:rPr>
          <w:rFonts w:ascii="Arial" w:cs="Arial" w:eastAsia="Arial" w:hAnsi="Arial"/>
          <w:sz w:val="18"/>
          <w:szCs w:val="18"/>
          <w:i w:val="1"/>
          <w:iCs w:val="1"/>
          <w:color w:val="auto"/>
        </w:rPr>
        <w:t xml:space="preserve"> </w:t>
      </w:r>
      <w:r>
        <w:rPr>
          <w:rFonts w:ascii="Arial" w:cs="Arial" w:eastAsia="Arial" w:hAnsi="Arial"/>
          <w:sz w:val="18"/>
          <w:szCs w:val="18"/>
          <w:color w:val="auto"/>
        </w:rPr>
        <w:t>target PRSUs with vesting based on achievement of the non-GAAP EPS and relative TSR performance targets for 2018, 2019, and 2020 as outlined above. The actual award earned was calculated at the end of the three-year performance period by averaging the results of the three annual performance cycles:</w:t>
      </w:r>
    </w:p>
    <w:p>
      <w:pPr>
        <w:spacing w:after="0" w:line="165" w:lineRule="exact"/>
        <w:rPr>
          <w:sz w:val="20"/>
          <w:szCs w:val="20"/>
          <w:color w:val="auto"/>
        </w:rPr>
      </w:pPr>
    </w:p>
    <w:tbl>
      <w:tblPr>
        <w:tblLayout w:type="fixed"/>
        <w:tblInd w:w="6"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Percentage</w:t>
            </w:r>
          </w:p>
        </w:tc>
      </w:tr>
      <w:tr>
        <w:trPr>
          <w:trHeight w:val="162"/>
        </w:trPr>
        <w:tc>
          <w:tcPr>
            <w:tcW w:w="4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of</w:t>
            </w:r>
          </w:p>
        </w:tc>
      </w:tr>
      <w:tr>
        <w:trPr>
          <w:trHeight w:val="202"/>
        </w:trPr>
        <w:tc>
          <w:tcPr>
            <w:tcW w:w="40" w:type="dxa"/>
            <w:vAlign w:val="bottom"/>
          </w:tcPr>
          <w:p>
            <w:pPr>
              <w:spacing w:after="0"/>
              <w:rPr>
                <w:sz w:val="17"/>
                <w:szCs w:val="17"/>
                <w:color w:val="auto"/>
              </w:rPr>
            </w:pPr>
          </w:p>
        </w:tc>
        <w:tc>
          <w:tcPr>
            <w:tcW w:w="8280" w:type="dxa"/>
            <w:vAlign w:val="bottom"/>
            <w:gridSpan w:val="2"/>
          </w:tcPr>
          <w:p>
            <w:pPr>
              <w:ind w:left="40"/>
              <w:spacing w:after="0"/>
              <w:rPr>
                <w:sz w:val="20"/>
                <w:szCs w:val="20"/>
                <w:color w:val="auto"/>
              </w:rPr>
            </w:pPr>
            <w:r>
              <w:rPr>
                <w:rFonts w:ascii="Arial" w:cs="Arial" w:eastAsia="Arial" w:hAnsi="Arial"/>
                <w:sz w:val="14"/>
                <w:szCs w:val="14"/>
                <w:b w:val="1"/>
                <w:bCs w:val="1"/>
                <w:color w:val="auto"/>
              </w:rPr>
              <w:t>Year</w:t>
            </w:r>
          </w:p>
        </w:tc>
        <w:tc>
          <w:tcPr>
            <w:tcW w:w="8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Attainment</w:t>
            </w:r>
          </w:p>
        </w:tc>
      </w:tr>
      <w:tr>
        <w:trPr>
          <w:trHeight w:val="56"/>
        </w:trPr>
        <w:tc>
          <w:tcPr>
            <w:tcW w:w="40" w:type="dxa"/>
            <w:vAlign w:val="bottom"/>
            <w:tcBorders>
              <w:bottom w:val="single" w:sz="8" w:color="B2B2B2"/>
            </w:tcBorders>
          </w:tcPr>
          <w:p>
            <w:pPr>
              <w:spacing w:after="0"/>
              <w:rPr>
                <w:sz w:val="4"/>
                <w:szCs w:val="4"/>
                <w:color w:val="auto"/>
              </w:rPr>
            </w:pPr>
          </w:p>
        </w:tc>
        <w:tc>
          <w:tcPr>
            <w:tcW w:w="7560" w:type="dxa"/>
            <w:vAlign w:val="bottom"/>
            <w:tcBorders>
              <w:bottom w:val="single" w:sz="8" w:color="auto"/>
            </w:tcBorders>
          </w:tcPr>
          <w:p>
            <w:pPr>
              <w:spacing w:after="0"/>
              <w:rPr>
                <w:sz w:val="4"/>
                <w:szCs w:val="4"/>
                <w:color w:val="auto"/>
              </w:rPr>
            </w:pPr>
          </w:p>
        </w:tc>
        <w:tc>
          <w:tcPr>
            <w:tcW w:w="720" w:type="dxa"/>
            <w:vAlign w:val="bottom"/>
            <w:tcBorders>
              <w:bottom w:val="single" w:sz="8" w:color="B2B2B2"/>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0" w:type="dxa"/>
            <w:vAlign w:val="bottom"/>
            <w:tcBorders>
              <w:bottom w:val="single" w:sz="8" w:color="B2B2B2"/>
            </w:tcBorders>
          </w:tcPr>
          <w:p>
            <w:pPr>
              <w:spacing w:after="0"/>
              <w:rPr>
                <w:sz w:val="4"/>
                <w:szCs w:val="4"/>
                <w:color w:val="auto"/>
              </w:rPr>
            </w:pPr>
          </w:p>
        </w:tc>
      </w:tr>
      <w:tr>
        <w:trPr>
          <w:trHeight w:val="295"/>
        </w:trPr>
        <w:tc>
          <w:tcPr>
            <w:tcW w:w="7600" w:type="dxa"/>
            <w:vAlign w:val="bottom"/>
            <w:gridSpan w:val="2"/>
            <w:shd w:val="clear" w:color="auto" w:fill="B2B2B2"/>
          </w:tcPr>
          <w:p>
            <w:pPr>
              <w:ind w:left="80"/>
              <w:spacing w:after="0"/>
              <w:rPr>
                <w:sz w:val="20"/>
                <w:szCs w:val="20"/>
                <w:color w:val="auto"/>
              </w:rPr>
            </w:pPr>
            <w:r>
              <w:rPr>
                <w:rFonts w:ascii="Arial" w:cs="Arial" w:eastAsia="Arial" w:hAnsi="Arial"/>
                <w:sz w:val="18"/>
                <w:szCs w:val="18"/>
                <w:color w:val="auto"/>
              </w:rPr>
              <w:t>2018</w:t>
            </w:r>
          </w:p>
        </w:tc>
        <w:tc>
          <w:tcPr>
            <w:tcW w:w="720" w:type="dxa"/>
            <w:vAlign w:val="bottom"/>
            <w:shd w:val="clear" w:color="auto" w:fill="B2B2B2"/>
          </w:tcPr>
          <w:p>
            <w:pPr>
              <w:spacing w:after="0"/>
              <w:rPr>
                <w:sz w:val="24"/>
                <w:szCs w:val="24"/>
                <w:color w:val="auto"/>
              </w:rPr>
            </w:pPr>
          </w:p>
        </w:tc>
        <w:tc>
          <w:tcPr>
            <w:tcW w:w="7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B2B2B2"/>
          </w:tcPr>
          <w:p>
            <w:pPr>
              <w:spacing w:after="0"/>
              <w:rPr>
                <w:sz w:val="24"/>
                <w:szCs w:val="24"/>
                <w:color w:val="auto"/>
              </w:rPr>
            </w:pPr>
          </w:p>
        </w:tc>
      </w:tr>
      <w:tr>
        <w:trPr>
          <w:trHeight w:val="63"/>
        </w:trPr>
        <w:tc>
          <w:tcPr>
            <w:tcW w:w="40" w:type="dxa"/>
            <w:vAlign w:val="bottom"/>
            <w:shd w:val="clear" w:color="auto" w:fill="B2B2B2"/>
          </w:tcPr>
          <w:p>
            <w:pPr>
              <w:spacing w:after="0"/>
              <w:rPr>
                <w:sz w:val="5"/>
                <w:szCs w:val="5"/>
                <w:color w:val="auto"/>
              </w:rPr>
            </w:pPr>
          </w:p>
        </w:tc>
        <w:tc>
          <w:tcPr>
            <w:tcW w:w="7560" w:type="dxa"/>
            <w:vAlign w:val="bottom"/>
            <w:shd w:val="clear" w:color="auto" w:fill="B2B2B2"/>
          </w:tcPr>
          <w:p>
            <w:pPr>
              <w:spacing w:after="0"/>
              <w:rPr>
                <w:sz w:val="5"/>
                <w:szCs w:val="5"/>
                <w:color w:val="auto"/>
              </w:rPr>
            </w:pPr>
          </w:p>
        </w:tc>
        <w:tc>
          <w:tcPr>
            <w:tcW w:w="720" w:type="dxa"/>
            <w:vAlign w:val="bottom"/>
            <w:shd w:val="clear" w:color="auto" w:fill="B2B2B2"/>
          </w:tcPr>
          <w:p>
            <w:pPr>
              <w:spacing w:after="0"/>
              <w:rPr>
                <w:sz w:val="5"/>
                <w:szCs w:val="5"/>
                <w:color w:val="auto"/>
              </w:rPr>
            </w:pPr>
          </w:p>
        </w:tc>
        <w:tc>
          <w:tcPr>
            <w:tcW w:w="780" w:type="dxa"/>
            <w:vAlign w:val="bottom"/>
            <w:shd w:val="clear" w:color="auto" w:fill="B2B2B2"/>
          </w:tcPr>
          <w:p>
            <w:pPr>
              <w:spacing w:after="0"/>
              <w:rPr>
                <w:sz w:val="5"/>
                <w:szCs w:val="5"/>
                <w:color w:val="auto"/>
              </w:rPr>
            </w:pPr>
          </w:p>
        </w:tc>
        <w:tc>
          <w:tcPr>
            <w:tcW w:w="80" w:type="dxa"/>
            <w:vAlign w:val="bottom"/>
            <w:shd w:val="clear" w:color="auto" w:fill="B2B2B2"/>
          </w:tcPr>
          <w:p>
            <w:pPr>
              <w:spacing w:after="0"/>
              <w:rPr>
                <w:sz w:val="5"/>
                <w:szCs w:val="5"/>
                <w:color w:val="auto"/>
              </w:rPr>
            </w:pPr>
          </w:p>
        </w:tc>
      </w:tr>
      <w:tr>
        <w:trPr>
          <w:trHeight w:val="301"/>
        </w:trPr>
        <w:tc>
          <w:tcPr>
            <w:tcW w:w="7600" w:type="dxa"/>
            <w:vAlign w:val="bottom"/>
            <w:gridSpan w:val="2"/>
          </w:tcPr>
          <w:p>
            <w:pPr>
              <w:ind w:left="80"/>
              <w:spacing w:after="0"/>
              <w:rPr>
                <w:sz w:val="20"/>
                <w:szCs w:val="20"/>
                <w:color w:val="auto"/>
              </w:rPr>
            </w:pPr>
            <w:r>
              <w:rPr>
                <w:rFonts w:ascii="Arial" w:cs="Arial" w:eastAsia="Arial" w:hAnsi="Arial"/>
                <w:sz w:val="18"/>
                <w:szCs w:val="18"/>
                <w:color w:val="auto"/>
              </w:rPr>
              <w:t>2019</w:t>
            </w:r>
          </w:p>
        </w:tc>
        <w:tc>
          <w:tcPr>
            <w:tcW w:w="7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141%</w:t>
            </w:r>
          </w:p>
        </w:tc>
        <w:tc>
          <w:tcPr>
            <w:tcW w:w="80" w:type="dxa"/>
            <w:vAlign w:val="bottom"/>
          </w:tcPr>
          <w:p>
            <w:pPr>
              <w:spacing w:after="0"/>
              <w:rPr>
                <w:sz w:val="24"/>
                <w:szCs w:val="24"/>
                <w:color w:val="auto"/>
              </w:rPr>
            </w:pPr>
          </w:p>
        </w:tc>
      </w:tr>
      <w:tr>
        <w:trPr>
          <w:trHeight w:val="63"/>
        </w:trPr>
        <w:tc>
          <w:tcPr>
            <w:tcW w:w="40" w:type="dxa"/>
            <w:vAlign w:val="bottom"/>
          </w:tcPr>
          <w:p>
            <w:pPr>
              <w:spacing w:after="0"/>
              <w:rPr>
                <w:sz w:val="5"/>
                <w:szCs w:val="5"/>
                <w:color w:val="auto"/>
              </w:rPr>
            </w:pPr>
          </w:p>
        </w:tc>
        <w:tc>
          <w:tcPr>
            <w:tcW w:w="7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r>
      <w:tr>
        <w:trPr>
          <w:trHeight w:val="301"/>
        </w:trPr>
        <w:tc>
          <w:tcPr>
            <w:tcW w:w="7600" w:type="dxa"/>
            <w:vAlign w:val="bottom"/>
            <w:gridSpan w:val="2"/>
            <w:shd w:val="clear" w:color="auto" w:fill="B2B2B2"/>
          </w:tcPr>
          <w:p>
            <w:pPr>
              <w:ind w:left="80"/>
              <w:spacing w:after="0"/>
              <w:rPr>
                <w:sz w:val="20"/>
                <w:szCs w:val="20"/>
                <w:color w:val="auto"/>
              </w:rPr>
            </w:pPr>
            <w:r>
              <w:rPr>
                <w:rFonts w:ascii="Arial" w:cs="Arial" w:eastAsia="Arial" w:hAnsi="Arial"/>
                <w:sz w:val="18"/>
                <w:szCs w:val="18"/>
                <w:color w:val="auto"/>
              </w:rPr>
              <w:t>2020</w:t>
            </w:r>
          </w:p>
        </w:tc>
        <w:tc>
          <w:tcPr>
            <w:tcW w:w="720" w:type="dxa"/>
            <w:vAlign w:val="bottom"/>
            <w:shd w:val="clear" w:color="auto" w:fill="B2B2B2"/>
          </w:tcPr>
          <w:p>
            <w:pPr>
              <w:spacing w:after="0"/>
              <w:rPr>
                <w:sz w:val="24"/>
                <w:szCs w:val="24"/>
                <w:color w:val="auto"/>
              </w:rPr>
            </w:pPr>
          </w:p>
        </w:tc>
        <w:tc>
          <w:tcPr>
            <w:tcW w:w="7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B2B2B2"/>
          </w:tcPr>
          <w:p>
            <w:pPr>
              <w:spacing w:after="0"/>
              <w:rPr>
                <w:sz w:val="24"/>
                <w:szCs w:val="24"/>
                <w:color w:val="auto"/>
              </w:rPr>
            </w:pPr>
          </w:p>
        </w:tc>
      </w:tr>
      <w:tr>
        <w:trPr>
          <w:trHeight w:val="63"/>
        </w:trPr>
        <w:tc>
          <w:tcPr>
            <w:tcW w:w="40" w:type="dxa"/>
            <w:vAlign w:val="bottom"/>
            <w:shd w:val="clear" w:color="auto" w:fill="B2B2B2"/>
          </w:tcPr>
          <w:p>
            <w:pPr>
              <w:spacing w:after="0"/>
              <w:rPr>
                <w:sz w:val="5"/>
                <w:szCs w:val="5"/>
                <w:color w:val="auto"/>
              </w:rPr>
            </w:pPr>
          </w:p>
        </w:tc>
        <w:tc>
          <w:tcPr>
            <w:tcW w:w="7560" w:type="dxa"/>
            <w:vAlign w:val="bottom"/>
            <w:shd w:val="clear" w:color="auto" w:fill="B2B2B2"/>
          </w:tcPr>
          <w:p>
            <w:pPr>
              <w:spacing w:after="0"/>
              <w:rPr>
                <w:sz w:val="5"/>
                <w:szCs w:val="5"/>
                <w:color w:val="auto"/>
              </w:rPr>
            </w:pPr>
          </w:p>
        </w:tc>
        <w:tc>
          <w:tcPr>
            <w:tcW w:w="720" w:type="dxa"/>
            <w:vAlign w:val="bottom"/>
            <w:shd w:val="clear" w:color="auto" w:fill="B2B2B2"/>
          </w:tcPr>
          <w:p>
            <w:pPr>
              <w:spacing w:after="0"/>
              <w:rPr>
                <w:sz w:val="5"/>
                <w:szCs w:val="5"/>
                <w:color w:val="auto"/>
              </w:rPr>
            </w:pPr>
          </w:p>
        </w:tc>
        <w:tc>
          <w:tcPr>
            <w:tcW w:w="780" w:type="dxa"/>
            <w:vAlign w:val="bottom"/>
            <w:shd w:val="clear" w:color="auto" w:fill="B2B2B2"/>
          </w:tcPr>
          <w:p>
            <w:pPr>
              <w:spacing w:after="0"/>
              <w:rPr>
                <w:sz w:val="5"/>
                <w:szCs w:val="5"/>
                <w:color w:val="auto"/>
              </w:rPr>
            </w:pPr>
          </w:p>
        </w:tc>
        <w:tc>
          <w:tcPr>
            <w:tcW w:w="80" w:type="dxa"/>
            <w:vAlign w:val="bottom"/>
            <w:shd w:val="clear" w:color="auto" w:fill="B2B2B2"/>
          </w:tcPr>
          <w:p>
            <w:pPr>
              <w:spacing w:after="0"/>
              <w:rPr>
                <w:sz w:val="5"/>
                <w:szCs w:val="5"/>
                <w:color w:val="auto"/>
              </w:rPr>
            </w:pPr>
          </w:p>
        </w:tc>
      </w:tr>
      <w:tr>
        <w:trPr>
          <w:trHeight w:val="301"/>
        </w:trPr>
        <w:tc>
          <w:tcPr>
            <w:tcW w:w="40" w:type="dxa"/>
            <w:vAlign w:val="bottom"/>
          </w:tcPr>
          <w:p>
            <w:pPr>
              <w:spacing w:after="0"/>
              <w:rPr>
                <w:sz w:val="24"/>
                <w:szCs w:val="24"/>
                <w:color w:val="auto"/>
              </w:rPr>
            </w:pPr>
          </w:p>
        </w:tc>
        <w:tc>
          <w:tcPr>
            <w:tcW w:w="8280" w:type="dxa"/>
            <w:vAlign w:val="bottom"/>
            <w:gridSpan w:val="2"/>
          </w:tcPr>
          <w:p>
            <w:pPr>
              <w:ind w:left="40"/>
              <w:spacing w:after="0"/>
              <w:rPr>
                <w:sz w:val="20"/>
                <w:szCs w:val="20"/>
                <w:color w:val="auto"/>
              </w:rPr>
            </w:pPr>
            <w:r>
              <w:rPr>
                <w:rFonts w:ascii="Arial" w:cs="Arial" w:eastAsia="Arial" w:hAnsi="Arial"/>
                <w:sz w:val="18"/>
                <w:szCs w:val="18"/>
                <w:color w:val="auto"/>
              </w:rPr>
              <w:t>2018-2020 Average</w:t>
            </w:r>
          </w:p>
        </w:tc>
        <w:tc>
          <w:tcPr>
            <w:tcW w:w="780" w:type="dxa"/>
            <w:vAlign w:val="bottom"/>
          </w:tcPr>
          <w:p>
            <w:pPr>
              <w:jc w:val="right"/>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5786120</wp:posOffset>
            </wp:positionH>
            <wp:positionV relativeFrom="paragraph">
              <wp:posOffset>-893445</wp:posOffset>
            </wp:positionV>
            <wp:extent cx="431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4826000</wp:posOffset>
            </wp:positionH>
            <wp:positionV relativeFrom="paragraph">
              <wp:posOffset>-893445</wp:posOffset>
            </wp:positionV>
            <wp:extent cx="46291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6291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-893445</wp:posOffset>
            </wp:positionV>
            <wp:extent cx="3429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96" w:lineRule="exact"/>
        <w:rPr>
          <w:sz w:val="20"/>
          <w:szCs w:val="20"/>
          <w:color w:val="auto"/>
        </w:rPr>
      </w:pPr>
    </w:p>
    <w:p>
      <w:pPr>
        <w:ind w:left="6" w:right="40"/>
        <w:spacing w:after="0" w:line="213" w:lineRule="auto"/>
        <w:rPr>
          <w:sz w:val="20"/>
          <w:szCs w:val="20"/>
          <w:color w:val="auto"/>
        </w:rPr>
      </w:pPr>
      <w:r>
        <w:rPr>
          <w:rFonts w:ascii="Arial" w:cs="Arial" w:eastAsia="Arial" w:hAnsi="Arial"/>
          <w:sz w:val="18"/>
          <w:szCs w:val="18"/>
          <w:color w:val="auto"/>
        </w:rPr>
        <w:t>Consistent with the terms of the LTIP, the average performance attainment for the 2018-2020 PRSUs was then adjusted upward by a factor of 1.15 since our TSR was at the 65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percentile of the Russell 3000 index. As a result, the NEOs (other than those who were not granted PRSUs in 2018) earned 54.2% of their target PRSUs for the 2018-2020 performance cycle, as follows:</w:t>
      </w:r>
    </w:p>
    <w:p>
      <w:pPr>
        <w:spacing w:after="0" w:line="173" w:lineRule="exact"/>
        <w:rPr>
          <w:sz w:val="20"/>
          <w:szCs w:val="20"/>
          <w:color w:val="auto"/>
        </w:rPr>
      </w:pPr>
    </w:p>
    <w:tbl>
      <w:tblPr>
        <w:tblLayout w:type="fixed"/>
        <w:tblInd w:w="6" w:type="dxa"/>
        <w:tblCellMar>
          <w:top w:w="0" w:type="dxa"/>
          <w:left w:w="0" w:type="dxa"/>
          <w:bottom w:w="0" w:type="dxa"/>
          <w:right w:w="0" w:type="dxa"/>
        </w:tblCellMar>
      </w:tblPr>
      <w:tr>
        <w:trPr>
          <w:trHeight w:val="162"/>
        </w:trPr>
        <w:tc>
          <w:tcPr>
            <w:tcW w:w="6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Target</w:t>
            </w:r>
          </w:p>
        </w:tc>
        <w:tc>
          <w:tcPr>
            <w:tcW w:w="560" w:type="dxa"/>
            <w:vAlign w:val="bottom"/>
            <w:gridSpan w:val="2"/>
          </w:tcPr>
          <w:p>
            <w:pPr>
              <w:ind w:left="20"/>
              <w:spacing w:after="0"/>
              <w:rPr>
                <w:sz w:val="20"/>
                <w:szCs w:val="20"/>
                <w:color w:val="auto"/>
              </w:rPr>
            </w:pPr>
            <w:r>
              <w:rPr>
                <w:rFonts w:ascii="Arial" w:cs="Arial" w:eastAsia="Arial" w:hAnsi="Arial"/>
                <w:sz w:val="14"/>
                <w:szCs w:val="14"/>
                <w:b w:val="1"/>
                <w:bCs w:val="1"/>
                <w:color w:val="auto"/>
              </w:rPr>
              <w:t>Actual</w:t>
            </w:r>
          </w:p>
        </w:tc>
      </w:tr>
      <w:tr>
        <w:trPr>
          <w:trHeight w:val="162"/>
        </w:trPr>
        <w:tc>
          <w:tcPr>
            <w:tcW w:w="6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PRSUs</w:t>
            </w:r>
          </w:p>
        </w:tc>
        <w:tc>
          <w:tcPr>
            <w:tcW w:w="560" w:type="dxa"/>
            <w:vAlign w:val="bottom"/>
            <w:gridSpan w:val="2"/>
          </w:tcPr>
          <w:p>
            <w:pPr>
              <w:ind w:left="20"/>
              <w:spacing w:after="0"/>
              <w:rPr>
                <w:sz w:val="20"/>
                <w:szCs w:val="20"/>
                <w:color w:val="auto"/>
              </w:rPr>
            </w:pPr>
            <w:r>
              <w:rPr>
                <w:rFonts w:ascii="Arial" w:cs="Arial" w:eastAsia="Arial" w:hAnsi="Arial"/>
                <w:sz w:val="14"/>
                <w:szCs w:val="14"/>
                <w:b w:val="1"/>
                <w:bCs w:val="1"/>
                <w:color w:val="auto"/>
              </w:rPr>
              <w:t>PRSUs</w:t>
            </w:r>
          </w:p>
        </w:tc>
      </w:tr>
      <w:tr>
        <w:trPr>
          <w:trHeight w:val="202"/>
        </w:trPr>
        <w:tc>
          <w:tcPr>
            <w:tcW w:w="60" w:type="dxa"/>
            <w:vAlign w:val="bottom"/>
          </w:tcPr>
          <w:p>
            <w:pPr>
              <w:spacing w:after="0"/>
              <w:rPr>
                <w:sz w:val="17"/>
                <w:szCs w:val="17"/>
                <w:color w:val="auto"/>
              </w:rPr>
            </w:pPr>
          </w:p>
        </w:tc>
        <w:tc>
          <w:tcPr>
            <w:tcW w:w="7460" w:type="dxa"/>
            <w:vAlign w:val="bottom"/>
            <w:gridSpan w:val="2"/>
          </w:tcPr>
          <w:p>
            <w:pPr>
              <w:ind w:left="20"/>
              <w:spacing w:after="0"/>
              <w:rPr>
                <w:sz w:val="20"/>
                <w:szCs w:val="20"/>
                <w:color w:val="auto"/>
              </w:rPr>
            </w:pPr>
            <w:r>
              <w:rPr>
                <w:rFonts w:ascii="Arial" w:cs="Arial" w:eastAsia="Arial" w:hAnsi="Arial"/>
                <w:sz w:val="14"/>
                <w:szCs w:val="14"/>
                <w:b w:val="1"/>
                <w:bCs w:val="1"/>
                <w:color w:val="auto"/>
              </w:rPr>
              <w:t>NEO</w:t>
            </w:r>
          </w:p>
        </w:tc>
        <w:tc>
          <w:tcPr>
            <w:tcW w:w="11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Granted</w:t>
            </w:r>
          </w:p>
        </w:tc>
        <w:tc>
          <w:tcPr>
            <w:tcW w:w="560" w:type="dxa"/>
            <w:vAlign w:val="bottom"/>
            <w:gridSpan w:val="2"/>
          </w:tcPr>
          <w:p>
            <w:pPr>
              <w:spacing w:after="0"/>
              <w:rPr>
                <w:sz w:val="20"/>
                <w:szCs w:val="20"/>
                <w:color w:val="auto"/>
              </w:rPr>
            </w:pPr>
            <w:r>
              <w:rPr>
                <w:rFonts w:ascii="Arial" w:cs="Arial" w:eastAsia="Arial" w:hAnsi="Arial"/>
                <w:sz w:val="14"/>
                <w:szCs w:val="14"/>
                <w:b w:val="1"/>
                <w:bCs w:val="1"/>
                <w:color w:val="auto"/>
              </w:rPr>
              <w:t>Earned</w:t>
            </w:r>
          </w:p>
        </w:tc>
      </w:tr>
      <w:tr>
        <w:trPr>
          <w:trHeight w:val="56"/>
        </w:trPr>
        <w:tc>
          <w:tcPr>
            <w:tcW w:w="60" w:type="dxa"/>
            <w:vAlign w:val="bottom"/>
            <w:tcBorders>
              <w:bottom w:val="single" w:sz="8" w:color="B2B2B2"/>
            </w:tcBorders>
          </w:tcPr>
          <w:p>
            <w:pPr>
              <w:spacing w:after="0"/>
              <w:rPr>
                <w:sz w:val="4"/>
                <w:szCs w:val="4"/>
                <w:color w:val="auto"/>
              </w:rPr>
            </w:pPr>
          </w:p>
        </w:tc>
        <w:tc>
          <w:tcPr>
            <w:tcW w:w="6920" w:type="dxa"/>
            <w:vAlign w:val="bottom"/>
            <w:tcBorders>
              <w:bottom w:val="single" w:sz="8" w:color="auto"/>
            </w:tcBorders>
          </w:tcPr>
          <w:p>
            <w:pPr>
              <w:spacing w:after="0"/>
              <w:rPr>
                <w:sz w:val="4"/>
                <w:szCs w:val="4"/>
                <w:color w:val="auto"/>
              </w:rPr>
            </w:pPr>
          </w:p>
        </w:tc>
        <w:tc>
          <w:tcPr>
            <w:tcW w:w="540" w:type="dxa"/>
            <w:vAlign w:val="bottom"/>
            <w:tcBorders>
              <w:bottom w:val="single" w:sz="8" w:color="B2B2B2"/>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540" w:type="dxa"/>
            <w:vAlign w:val="bottom"/>
            <w:tcBorders>
              <w:bottom w:val="single" w:sz="8" w:color="B2B2B2"/>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60" w:type="dxa"/>
            <w:vAlign w:val="bottom"/>
            <w:tcBorders>
              <w:bottom w:val="single" w:sz="8" w:color="B2B2B2"/>
            </w:tcBorders>
          </w:tcPr>
          <w:p>
            <w:pPr>
              <w:spacing w:after="0"/>
              <w:rPr>
                <w:sz w:val="4"/>
                <w:szCs w:val="4"/>
                <w:color w:val="auto"/>
              </w:rPr>
            </w:pPr>
          </w:p>
        </w:tc>
      </w:tr>
      <w:tr>
        <w:trPr>
          <w:trHeight w:val="294"/>
        </w:trPr>
        <w:tc>
          <w:tcPr>
            <w:tcW w:w="60" w:type="dxa"/>
            <w:vAlign w:val="bottom"/>
            <w:shd w:val="clear" w:color="auto" w:fill="B2B2B2"/>
          </w:tcPr>
          <w:p>
            <w:pPr>
              <w:spacing w:after="0"/>
              <w:rPr>
                <w:sz w:val="24"/>
                <w:szCs w:val="24"/>
                <w:color w:val="auto"/>
              </w:rPr>
            </w:pPr>
          </w:p>
        </w:tc>
        <w:tc>
          <w:tcPr>
            <w:tcW w:w="7460" w:type="dxa"/>
            <w:vAlign w:val="bottom"/>
            <w:gridSpan w:val="2"/>
            <w:shd w:val="clear" w:color="auto" w:fill="B2B2B2"/>
          </w:tcPr>
          <w:p>
            <w:pPr>
              <w:ind w:left="20"/>
              <w:spacing w:after="0"/>
              <w:rPr>
                <w:sz w:val="20"/>
                <w:szCs w:val="20"/>
                <w:color w:val="auto"/>
              </w:rPr>
            </w:pPr>
            <w:r>
              <w:rPr>
                <w:rFonts w:ascii="Arial" w:cs="Arial" w:eastAsia="Arial" w:hAnsi="Arial"/>
                <w:sz w:val="18"/>
                <w:szCs w:val="18"/>
                <w:color w:val="auto"/>
              </w:rPr>
              <w:t>Thomas L. Deitrich</w:t>
            </w:r>
          </w:p>
        </w:tc>
        <w:tc>
          <w:tcPr>
            <w:tcW w:w="560" w:type="dxa"/>
            <w:vAlign w:val="bottom"/>
            <w:shd w:val="clear" w:color="auto" w:fill="B2B2B2"/>
          </w:tcPr>
          <w:p>
            <w:pPr>
              <w:jc w:val="right"/>
              <w:spacing w:after="0"/>
              <w:rPr>
                <w:sz w:val="20"/>
                <w:szCs w:val="20"/>
                <w:color w:val="auto"/>
              </w:rPr>
            </w:pPr>
            <w:r>
              <w:rPr>
                <w:rFonts w:ascii="Arial" w:cs="Arial" w:eastAsia="Arial" w:hAnsi="Arial"/>
                <w:sz w:val="18"/>
                <w:szCs w:val="18"/>
                <w:color w:val="auto"/>
                <w:w w:val="98"/>
              </w:rPr>
              <w:t>14,430</w:t>
            </w:r>
          </w:p>
        </w:tc>
        <w:tc>
          <w:tcPr>
            <w:tcW w:w="540" w:type="dxa"/>
            <w:vAlign w:val="bottom"/>
            <w:shd w:val="clear" w:color="auto" w:fill="B2B2B2"/>
          </w:tcPr>
          <w:p>
            <w:pPr>
              <w:spacing w:after="0"/>
              <w:rPr>
                <w:sz w:val="24"/>
                <w:szCs w:val="24"/>
                <w:color w:val="auto"/>
              </w:rPr>
            </w:pPr>
          </w:p>
        </w:tc>
        <w:tc>
          <w:tcPr>
            <w:tcW w:w="500" w:type="dxa"/>
            <w:vAlign w:val="bottom"/>
            <w:shd w:val="clear" w:color="auto" w:fill="B2B2B2"/>
          </w:tcPr>
          <w:p>
            <w:pPr>
              <w:ind w:left="20"/>
              <w:spacing w:after="0"/>
              <w:rPr>
                <w:sz w:val="20"/>
                <w:szCs w:val="20"/>
                <w:color w:val="auto"/>
              </w:rPr>
            </w:pPr>
            <w:r>
              <w:rPr>
                <w:rFonts w:ascii="Arial" w:cs="Arial" w:eastAsia="Arial" w:hAnsi="Arial"/>
                <w:sz w:val="18"/>
                <w:szCs w:val="18"/>
                <w:color w:val="auto"/>
              </w:rPr>
              <w:t>7,823</w:t>
            </w:r>
          </w:p>
        </w:tc>
        <w:tc>
          <w:tcPr>
            <w:tcW w:w="60" w:type="dxa"/>
            <w:vAlign w:val="bottom"/>
            <w:shd w:val="clear" w:color="auto" w:fill="B2B2B2"/>
          </w:tcPr>
          <w:p>
            <w:pPr>
              <w:spacing w:after="0"/>
              <w:rPr>
                <w:sz w:val="24"/>
                <w:szCs w:val="24"/>
                <w:color w:val="auto"/>
              </w:rPr>
            </w:pPr>
          </w:p>
        </w:tc>
      </w:tr>
      <w:tr>
        <w:trPr>
          <w:trHeight w:val="64"/>
        </w:trPr>
        <w:tc>
          <w:tcPr>
            <w:tcW w:w="60" w:type="dxa"/>
            <w:vAlign w:val="bottom"/>
            <w:shd w:val="clear" w:color="auto" w:fill="B2B2B2"/>
          </w:tcPr>
          <w:p>
            <w:pPr>
              <w:spacing w:after="0"/>
              <w:rPr>
                <w:sz w:val="5"/>
                <w:szCs w:val="5"/>
                <w:color w:val="auto"/>
              </w:rPr>
            </w:pPr>
          </w:p>
        </w:tc>
        <w:tc>
          <w:tcPr>
            <w:tcW w:w="6920" w:type="dxa"/>
            <w:vAlign w:val="bottom"/>
            <w:shd w:val="clear" w:color="auto" w:fill="B2B2B2"/>
          </w:tcPr>
          <w:p>
            <w:pPr>
              <w:spacing w:after="0"/>
              <w:rPr>
                <w:sz w:val="5"/>
                <w:szCs w:val="5"/>
                <w:color w:val="auto"/>
              </w:rPr>
            </w:pPr>
          </w:p>
        </w:tc>
        <w:tc>
          <w:tcPr>
            <w:tcW w:w="540" w:type="dxa"/>
            <w:vAlign w:val="bottom"/>
            <w:shd w:val="clear" w:color="auto" w:fill="B2B2B2"/>
          </w:tcPr>
          <w:p>
            <w:pPr>
              <w:spacing w:after="0"/>
              <w:rPr>
                <w:sz w:val="5"/>
                <w:szCs w:val="5"/>
                <w:color w:val="auto"/>
              </w:rPr>
            </w:pPr>
          </w:p>
        </w:tc>
        <w:tc>
          <w:tcPr>
            <w:tcW w:w="560" w:type="dxa"/>
            <w:vAlign w:val="bottom"/>
            <w:shd w:val="clear" w:color="auto" w:fill="B2B2B2"/>
          </w:tcPr>
          <w:p>
            <w:pPr>
              <w:spacing w:after="0"/>
              <w:rPr>
                <w:sz w:val="5"/>
                <w:szCs w:val="5"/>
                <w:color w:val="auto"/>
              </w:rPr>
            </w:pPr>
          </w:p>
        </w:tc>
        <w:tc>
          <w:tcPr>
            <w:tcW w:w="540" w:type="dxa"/>
            <w:vAlign w:val="bottom"/>
            <w:shd w:val="clear" w:color="auto" w:fill="B2B2B2"/>
          </w:tcPr>
          <w:p>
            <w:pPr>
              <w:spacing w:after="0"/>
              <w:rPr>
                <w:sz w:val="5"/>
                <w:szCs w:val="5"/>
                <w:color w:val="auto"/>
              </w:rPr>
            </w:pPr>
          </w:p>
        </w:tc>
        <w:tc>
          <w:tcPr>
            <w:tcW w:w="500" w:type="dxa"/>
            <w:vAlign w:val="bottom"/>
            <w:shd w:val="clear" w:color="auto" w:fill="B2B2B2"/>
          </w:tcPr>
          <w:p>
            <w:pPr>
              <w:spacing w:after="0"/>
              <w:rPr>
                <w:sz w:val="5"/>
                <w:szCs w:val="5"/>
                <w:color w:val="auto"/>
              </w:rPr>
            </w:pPr>
          </w:p>
        </w:tc>
        <w:tc>
          <w:tcPr>
            <w:tcW w:w="60" w:type="dxa"/>
            <w:vAlign w:val="bottom"/>
            <w:shd w:val="clear" w:color="auto" w:fill="B2B2B2"/>
          </w:tcPr>
          <w:p>
            <w:pPr>
              <w:spacing w:after="0"/>
              <w:rPr>
                <w:sz w:val="5"/>
                <w:szCs w:val="5"/>
                <w:color w:val="auto"/>
              </w:rPr>
            </w:pPr>
          </w:p>
        </w:tc>
      </w:tr>
      <w:tr>
        <w:trPr>
          <w:trHeight w:val="301"/>
        </w:trPr>
        <w:tc>
          <w:tcPr>
            <w:tcW w:w="60" w:type="dxa"/>
            <w:vAlign w:val="bottom"/>
          </w:tcPr>
          <w:p>
            <w:pPr>
              <w:spacing w:after="0"/>
              <w:rPr>
                <w:sz w:val="24"/>
                <w:szCs w:val="24"/>
                <w:color w:val="auto"/>
              </w:rPr>
            </w:pPr>
          </w:p>
        </w:tc>
        <w:tc>
          <w:tcPr>
            <w:tcW w:w="7460" w:type="dxa"/>
            <w:vAlign w:val="bottom"/>
            <w:gridSpan w:val="2"/>
          </w:tcPr>
          <w:p>
            <w:pPr>
              <w:ind w:left="20"/>
              <w:spacing w:after="0"/>
              <w:rPr>
                <w:sz w:val="20"/>
                <w:szCs w:val="20"/>
                <w:color w:val="auto"/>
              </w:rPr>
            </w:pPr>
            <w:r>
              <w:rPr>
                <w:rFonts w:ascii="Arial" w:cs="Arial" w:eastAsia="Arial" w:hAnsi="Arial"/>
                <w:sz w:val="18"/>
                <w:szCs w:val="18"/>
                <w:color w:val="auto"/>
              </w:rPr>
              <w:t>Joan S. Hooper</w:t>
            </w:r>
          </w:p>
        </w:tc>
        <w:tc>
          <w:tcPr>
            <w:tcW w:w="560" w:type="dxa"/>
            <w:vAlign w:val="bottom"/>
          </w:tcPr>
          <w:p>
            <w:pPr>
              <w:jc w:val="right"/>
              <w:spacing w:after="0"/>
              <w:rPr>
                <w:sz w:val="20"/>
                <w:szCs w:val="20"/>
                <w:color w:val="auto"/>
              </w:rPr>
            </w:pPr>
            <w:r>
              <w:rPr>
                <w:rFonts w:ascii="Arial" w:cs="Arial" w:eastAsia="Arial" w:hAnsi="Arial"/>
                <w:sz w:val="18"/>
                <w:szCs w:val="18"/>
                <w:color w:val="auto"/>
              </w:rPr>
              <w:t>7,215</w:t>
            </w:r>
          </w:p>
        </w:tc>
        <w:tc>
          <w:tcPr>
            <w:tcW w:w="540" w:type="dxa"/>
            <w:vAlign w:val="bottom"/>
          </w:tcPr>
          <w:p>
            <w:pPr>
              <w:spacing w:after="0"/>
              <w:rPr>
                <w:sz w:val="24"/>
                <w:szCs w:val="24"/>
                <w:color w:val="auto"/>
              </w:rPr>
            </w:pPr>
          </w:p>
        </w:tc>
        <w:tc>
          <w:tcPr>
            <w:tcW w:w="500" w:type="dxa"/>
            <w:vAlign w:val="bottom"/>
          </w:tcPr>
          <w:p>
            <w:pPr>
              <w:ind w:left="20"/>
              <w:spacing w:after="0"/>
              <w:rPr>
                <w:sz w:val="20"/>
                <w:szCs w:val="20"/>
                <w:color w:val="auto"/>
              </w:rPr>
            </w:pPr>
            <w:r>
              <w:rPr>
                <w:rFonts w:ascii="Arial" w:cs="Arial" w:eastAsia="Arial" w:hAnsi="Arial"/>
                <w:sz w:val="18"/>
                <w:szCs w:val="18"/>
                <w:color w:val="auto"/>
              </w:rPr>
              <w:t>3,911</w:t>
            </w:r>
          </w:p>
        </w:tc>
        <w:tc>
          <w:tcPr>
            <w:tcW w:w="60" w:type="dxa"/>
            <w:vAlign w:val="bottom"/>
          </w:tcPr>
          <w:p>
            <w:pPr>
              <w:spacing w:after="0"/>
              <w:rPr>
                <w:sz w:val="24"/>
                <w:szCs w:val="24"/>
                <w:color w:val="auto"/>
              </w:rPr>
            </w:pPr>
          </w:p>
        </w:tc>
      </w:tr>
      <w:tr>
        <w:trPr>
          <w:trHeight w:val="64"/>
        </w:trPr>
        <w:tc>
          <w:tcPr>
            <w:tcW w:w="60" w:type="dxa"/>
            <w:vAlign w:val="bottom"/>
          </w:tcPr>
          <w:p>
            <w:pPr>
              <w:spacing w:after="0"/>
              <w:rPr>
                <w:sz w:val="5"/>
                <w:szCs w:val="5"/>
                <w:color w:val="auto"/>
              </w:rPr>
            </w:pPr>
          </w:p>
        </w:tc>
        <w:tc>
          <w:tcPr>
            <w:tcW w:w="6920" w:type="dxa"/>
            <w:vAlign w:val="bottom"/>
          </w:tcPr>
          <w:p>
            <w:pPr>
              <w:spacing w:after="0"/>
              <w:rPr>
                <w:sz w:val="5"/>
                <w:szCs w:val="5"/>
                <w:color w:val="auto"/>
              </w:rPr>
            </w:pPr>
          </w:p>
        </w:tc>
        <w:tc>
          <w:tcPr>
            <w:tcW w:w="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r>
      <w:tr>
        <w:trPr>
          <w:trHeight w:val="301"/>
        </w:trPr>
        <w:tc>
          <w:tcPr>
            <w:tcW w:w="60" w:type="dxa"/>
            <w:vAlign w:val="bottom"/>
            <w:shd w:val="clear" w:color="auto" w:fill="B2B2B2"/>
          </w:tcPr>
          <w:p>
            <w:pPr>
              <w:spacing w:after="0"/>
              <w:rPr>
                <w:sz w:val="24"/>
                <w:szCs w:val="24"/>
                <w:color w:val="auto"/>
              </w:rPr>
            </w:pPr>
          </w:p>
        </w:tc>
        <w:tc>
          <w:tcPr>
            <w:tcW w:w="7460" w:type="dxa"/>
            <w:vAlign w:val="bottom"/>
            <w:gridSpan w:val="2"/>
            <w:shd w:val="clear" w:color="auto" w:fill="B2B2B2"/>
          </w:tcPr>
          <w:p>
            <w:pPr>
              <w:ind w:left="20"/>
              <w:spacing w:after="0"/>
              <w:rPr>
                <w:sz w:val="20"/>
                <w:szCs w:val="20"/>
                <w:color w:val="auto"/>
              </w:rPr>
            </w:pPr>
            <w:r>
              <w:rPr>
                <w:rFonts w:ascii="Arial" w:cs="Arial" w:eastAsia="Arial" w:hAnsi="Arial"/>
                <w:sz w:val="18"/>
                <w:szCs w:val="18"/>
                <w:color w:val="auto"/>
              </w:rPr>
              <w:t>Sarah E. Hlavinka</w:t>
            </w:r>
          </w:p>
        </w:tc>
        <w:tc>
          <w:tcPr>
            <w:tcW w:w="5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6,033</w:t>
            </w:r>
          </w:p>
        </w:tc>
        <w:tc>
          <w:tcPr>
            <w:tcW w:w="540" w:type="dxa"/>
            <w:vAlign w:val="bottom"/>
            <w:shd w:val="clear" w:color="auto" w:fill="B2B2B2"/>
          </w:tcPr>
          <w:p>
            <w:pPr>
              <w:spacing w:after="0"/>
              <w:rPr>
                <w:sz w:val="24"/>
                <w:szCs w:val="24"/>
                <w:color w:val="auto"/>
              </w:rPr>
            </w:pPr>
          </w:p>
        </w:tc>
        <w:tc>
          <w:tcPr>
            <w:tcW w:w="500" w:type="dxa"/>
            <w:vAlign w:val="bottom"/>
            <w:shd w:val="clear" w:color="auto" w:fill="B2B2B2"/>
          </w:tcPr>
          <w:p>
            <w:pPr>
              <w:ind w:left="20"/>
              <w:spacing w:after="0"/>
              <w:rPr>
                <w:sz w:val="20"/>
                <w:szCs w:val="20"/>
                <w:color w:val="auto"/>
              </w:rPr>
            </w:pPr>
            <w:r>
              <w:rPr>
                <w:rFonts w:ascii="Arial" w:cs="Arial" w:eastAsia="Arial" w:hAnsi="Arial"/>
                <w:sz w:val="18"/>
                <w:szCs w:val="18"/>
                <w:color w:val="auto"/>
              </w:rPr>
              <w:t>3,270</w:t>
            </w:r>
          </w:p>
        </w:tc>
        <w:tc>
          <w:tcPr>
            <w:tcW w:w="60" w:type="dxa"/>
            <w:vAlign w:val="bottom"/>
            <w:shd w:val="clear" w:color="auto" w:fill="B2B2B2"/>
          </w:tcPr>
          <w:p>
            <w:pPr>
              <w:spacing w:after="0"/>
              <w:rPr>
                <w:sz w:val="24"/>
                <w:szCs w:val="24"/>
                <w:color w:val="auto"/>
              </w:rPr>
            </w:pPr>
          </w:p>
        </w:tc>
      </w:tr>
      <w:tr>
        <w:trPr>
          <w:trHeight w:val="63"/>
        </w:trPr>
        <w:tc>
          <w:tcPr>
            <w:tcW w:w="60" w:type="dxa"/>
            <w:vAlign w:val="bottom"/>
            <w:shd w:val="clear" w:color="auto" w:fill="B2B2B2"/>
          </w:tcPr>
          <w:p>
            <w:pPr>
              <w:spacing w:after="0"/>
              <w:rPr>
                <w:sz w:val="5"/>
                <w:szCs w:val="5"/>
                <w:color w:val="auto"/>
              </w:rPr>
            </w:pPr>
          </w:p>
        </w:tc>
        <w:tc>
          <w:tcPr>
            <w:tcW w:w="6920" w:type="dxa"/>
            <w:vAlign w:val="bottom"/>
            <w:shd w:val="clear" w:color="auto" w:fill="B2B2B2"/>
          </w:tcPr>
          <w:p>
            <w:pPr>
              <w:spacing w:after="0"/>
              <w:rPr>
                <w:sz w:val="5"/>
                <w:szCs w:val="5"/>
                <w:color w:val="auto"/>
              </w:rPr>
            </w:pPr>
          </w:p>
        </w:tc>
        <w:tc>
          <w:tcPr>
            <w:tcW w:w="540" w:type="dxa"/>
            <w:vAlign w:val="bottom"/>
            <w:shd w:val="clear" w:color="auto" w:fill="B2B2B2"/>
          </w:tcPr>
          <w:p>
            <w:pPr>
              <w:spacing w:after="0"/>
              <w:rPr>
                <w:sz w:val="5"/>
                <w:szCs w:val="5"/>
                <w:color w:val="auto"/>
              </w:rPr>
            </w:pPr>
          </w:p>
        </w:tc>
        <w:tc>
          <w:tcPr>
            <w:tcW w:w="560" w:type="dxa"/>
            <w:vAlign w:val="bottom"/>
            <w:shd w:val="clear" w:color="auto" w:fill="B2B2B2"/>
          </w:tcPr>
          <w:p>
            <w:pPr>
              <w:spacing w:after="0"/>
              <w:rPr>
                <w:sz w:val="5"/>
                <w:szCs w:val="5"/>
                <w:color w:val="auto"/>
              </w:rPr>
            </w:pPr>
          </w:p>
        </w:tc>
        <w:tc>
          <w:tcPr>
            <w:tcW w:w="540" w:type="dxa"/>
            <w:vAlign w:val="bottom"/>
            <w:shd w:val="clear" w:color="auto" w:fill="B2B2B2"/>
          </w:tcPr>
          <w:p>
            <w:pPr>
              <w:spacing w:after="0"/>
              <w:rPr>
                <w:sz w:val="5"/>
                <w:szCs w:val="5"/>
                <w:color w:val="auto"/>
              </w:rPr>
            </w:pPr>
          </w:p>
        </w:tc>
        <w:tc>
          <w:tcPr>
            <w:tcW w:w="500" w:type="dxa"/>
            <w:vAlign w:val="bottom"/>
            <w:shd w:val="clear" w:color="auto" w:fill="B2B2B2"/>
          </w:tcPr>
          <w:p>
            <w:pPr>
              <w:spacing w:after="0"/>
              <w:rPr>
                <w:sz w:val="5"/>
                <w:szCs w:val="5"/>
                <w:color w:val="auto"/>
              </w:rPr>
            </w:pPr>
          </w:p>
        </w:tc>
        <w:tc>
          <w:tcPr>
            <w:tcW w:w="60" w:type="dxa"/>
            <w:vAlign w:val="bottom"/>
            <w:shd w:val="clear" w:color="auto" w:fill="B2B2B2"/>
          </w:tcPr>
          <w:p>
            <w:pPr>
              <w:spacing w:after="0"/>
              <w:rPr>
                <w:sz w:val="5"/>
                <w:szCs w:val="5"/>
                <w:color w:val="auto"/>
              </w:rPr>
            </w:pPr>
          </w:p>
        </w:tc>
      </w:tr>
      <w:tr>
        <w:trPr>
          <w:trHeight w:val="301"/>
        </w:trPr>
        <w:tc>
          <w:tcPr>
            <w:tcW w:w="60" w:type="dxa"/>
            <w:vAlign w:val="bottom"/>
          </w:tcPr>
          <w:p>
            <w:pPr>
              <w:spacing w:after="0"/>
              <w:rPr>
                <w:sz w:val="24"/>
                <w:szCs w:val="24"/>
                <w:color w:val="auto"/>
              </w:rPr>
            </w:pPr>
          </w:p>
        </w:tc>
        <w:tc>
          <w:tcPr>
            <w:tcW w:w="7460" w:type="dxa"/>
            <w:vAlign w:val="bottom"/>
            <w:gridSpan w:val="2"/>
          </w:tcPr>
          <w:p>
            <w:pPr>
              <w:ind w:left="20"/>
              <w:spacing w:after="0"/>
              <w:rPr>
                <w:sz w:val="20"/>
                <w:szCs w:val="20"/>
                <w:color w:val="auto"/>
              </w:rPr>
            </w:pPr>
            <w:r>
              <w:rPr>
                <w:rFonts w:ascii="Arial" w:cs="Arial" w:eastAsia="Arial" w:hAnsi="Arial"/>
                <w:sz w:val="18"/>
                <w:szCs w:val="18"/>
                <w:color w:val="auto"/>
              </w:rPr>
              <w:t>Michel C. Cadieux</w:t>
            </w:r>
          </w:p>
        </w:tc>
        <w:tc>
          <w:tcPr>
            <w:tcW w:w="560" w:type="dxa"/>
            <w:vAlign w:val="bottom"/>
          </w:tcPr>
          <w:p>
            <w:pPr>
              <w:jc w:val="right"/>
              <w:spacing w:after="0"/>
              <w:rPr>
                <w:sz w:val="20"/>
                <w:szCs w:val="20"/>
                <w:color w:val="auto"/>
              </w:rPr>
            </w:pPr>
            <w:r>
              <w:rPr>
                <w:rFonts w:ascii="Arial" w:cs="Arial" w:eastAsia="Arial" w:hAnsi="Arial"/>
                <w:sz w:val="18"/>
                <w:szCs w:val="18"/>
                <w:color w:val="auto"/>
              </w:rPr>
              <w:t>5,772</w:t>
            </w:r>
          </w:p>
        </w:tc>
        <w:tc>
          <w:tcPr>
            <w:tcW w:w="540" w:type="dxa"/>
            <w:vAlign w:val="bottom"/>
          </w:tcPr>
          <w:p>
            <w:pPr>
              <w:spacing w:after="0"/>
              <w:rPr>
                <w:sz w:val="24"/>
                <w:szCs w:val="24"/>
                <w:color w:val="auto"/>
              </w:rPr>
            </w:pPr>
          </w:p>
        </w:tc>
        <w:tc>
          <w:tcPr>
            <w:tcW w:w="500" w:type="dxa"/>
            <w:vAlign w:val="bottom"/>
          </w:tcPr>
          <w:p>
            <w:pPr>
              <w:ind w:left="20"/>
              <w:spacing w:after="0"/>
              <w:rPr>
                <w:sz w:val="20"/>
                <w:szCs w:val="20"/>
                <w:color w:val="auto"/>
              </w:rPr>
            </w:pPr>
            <w:r>
              <w:rPr>
                <w:rFonts w:ascii="Arial" w:cs="Arial" w:eastAsia="Arial" w:hAnsi="Arial"/>
                <w:sz w:val="18"/>
                <w:szCs w:val="18"/>
                <w:color w:val="auto"/>
              </w:rPr>
              <w:t>3,129</w:t>
            </w:r>
          </w:p>
        </w:tc>
        <w:tc>
          <w:tcPr>
            <w:tcW w:w="60" w:type="dxa"/>
            <w:vAlign w:val="bottom"/>
          </w:tcPr>
          <w:p>
            <w:pPr>
              <w:spacing w:after="0"/>
              <w:rPr>
                <w:sz w:val="24"/>
                <w:szCs w:val="24"/>
                <w:color w:val="auto"/>
              </w:rPr>
            </w:pPr>
          </w:p>
        </w:tc>
      </w:tr>
      <w:tr>
        <w:trPr>
          <w:trHeight w:val="63"/>
        </w:trPr>
        <w:tc>
          <w:tcPr>
            <w:tcW w:w="60" w:type="dxa"/>
            <w:vAlign w:val="bottom"/>
          </w:tcPr>
          <w:p>
            <w:pPr>
              <w:spacing w:after="0"/>
              <w:rPr>
                <w:sz w:val="5"/>
                <w:szCs w:val="5"/>
                <w:color w:val="auto"/>
              </w:rPr>
            </w:pPr>
          </w:p>
        </w:tc>
        <w:tc>
          <w:tcPr>
            <w:tcW w:w="6920" w:type="dxa"/>
            <w:vAlign w:val="bottom"/>
          </w:tcPr>
          <w:p>
            <w:pPr>
              <w:spacing w:after="0"/>
              <w:rPr>
                <w:sz w:val="5"/>
                <w:szCs w:val="5"/>
                <w:color w:val="auto"/>
              </w:rPr>
            </w:pPr>
          </w:p>
        </w:tc>
        <w:tc>
          <w:tcPr>
            <w:tcW w:w="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r>
      <w:tr>
        <w:trPr>
          <w:trHeight w:val="310"/>
        </w:trPr>
        <w:tc>
          <w:tcPr>
            <w:tcW w:w="60" w:type="dxa"/>
            <w:vAlign w:val="bottom"/>
            <w:shd w:val="clear" w:color="auto" w:fill="B2B2B2"/>
          </w:tcPr>
          <w:p>
            <w:pPr>
              <w:spacing w:after="0"/>
              <w:rPr>
                <w:sz w:val="24"/>
                <w:szCs w:val="24"/>
                <w:color w:val="auto"/>
              </w:rPr>
            </w:pPr>
          </w:p>
        </w:tc>
        <w:tc>
          <w:tcPr>
            <w:tcW w:w="7460" w:type="dxa"/>
            <w:vAlign w:val="bottom"/>
            <w:gridSpan w:val="2"/>
            <w:shd w:val="clear" w:color="auto" w:fill="B2B2B2"/>
          </w:tcPr>
          <w:p>
            <w:pPr>
              <w:ind w:left="20"/>
              <w:spacing w:after="0"/>
              <w:rPr>
                <w:sz w:val="20"/>
                <w:szCs w:val="20"/>
                <w:color w:val="auto"/>
              </w:rPr>
            </w:pPr>
            <w:r>
              <w:rPr>
                <w:rFonts w:ascii="Arial" w:cs="Arial" w:eastAsia="Arial" w:hAnsi="Arial"/>
                <w:sz w:val="18"/>
                <w:szCs w:val="18"/>
                <w:color w:val="auto"/>
              </w:rPr>
              <w:t>Donald L. Reeves</w:t>
            </w:r>
          </w:p>
        </w:tc>
        <w:tc>
          <w:tcPr>
            <w:tcW w:w="5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2,262</w:t>
            </w:r>
          </w:p>
        </w:tc>
        <w:tc>
          <w:tcPr>
            <w:tcW w:w="540" w:type="dxa"/>
            <w:vAlign w:val="bottom"/>
            <w:shd w:val="clear" w:color="auto" w:fill="B2B2B2"/>
          </w:tcPr>
          <w:p>
            <w:pPr>
              <w:spacing w:after="0"/>
              <w:rPr>
                <w:sz w:val="24"/>
                <w:szCs w:val="24"/>
                <w:color w:val="auto"/>
              </w:rPr>
            </w:pPr>
          </w:p>
        </w:tc>
        <w:tc>
          <w:tcPr>
            <w:tcW w:w="500" w:type="dxa"/>
            <w:vAlign w:val="bottom"/>
            <w:shd w:val="clear" w:color="auto" w:fill="B2B2B2"/>
          </w:tcPr>
          <w:p>
            <w:pPr>
              <w:ind w:left="20"/>
              <w:spacing w:after="0"/>
              <w:rPr>
                <w:sz w:val="20"/>
                <w:szCs w:val="20"/>
                <w:color w:val="auto"/>
              </w:rPr>
            </w:pPr>
            <w:r>
              <w:rPr>
                <w:rFonts w:ascii="Arial" w:cs="Arial" w:eastAsia="Arial" w:hAnsi="Arial"/>
                <w:sz w:val="18"/>
                <w:szCs w:val="18"/>
                <w:color w:val="auto"/>
              </w:rPr>
              <w:t>1,226</w:t>
            </w:r>
          </w:p>
        </w:tc>
        <w:tc>
          <w:tcPr>
            <w:tcW w:w="60" w:type="dxa"/>
            <w:vAlign w:val="bottom"/>
            <w:shd w:val="clear" w:color="auto" w:fill="B2B2B2"/>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5795010</wp:posOffset>
            </wp:positionH>
            <wp:positionV relativeFrom="paragraph">
              <wp:posOffset>-1130935</wp:posOffset>
            </wp:positionV>
            <wp:extent cx="3429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5134610</wp:posOffset>
            </wp:positionH>
            <wp:positionV relativeFrom="paragraph">
              <wp:posOffset>-1130935</wp:posOffset>
            </wp:positionV>
            <wp:extent cx="34290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2900" cy="8255"/>
                    </a:xfrm>
                    <a:prstGeom prst="rect">
                      <a:avLst/>
                    </a:prstGeom>
                    <a:noFill/>
                  </pic:spPr>
                </pic:pic>
              </a:graphicData>
            </a:graphic>
          </wp:anchor>
        </w:drawing>
        <w:drawing>
          <wp:anchor simplePos="0" relativeHeight="251657728" behindDoc="1" locked="0" layoutInCell="0" allowOverlap="1">
            <wp:simplePos x="0" y="0"/>
            <wp:positionH relativeFrom="column">
              <wp:posOffset>4440555</wp:posOffset>
            </wp:positionH>
            <wp:positionV relativeFrom="paragraph">
              <wp:posOffset>-1130935</wp:posOffset>
            </wp:positionV>
            <wp:extent cx="34290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29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-1130935</wp:posOffset>
            </wp:positionV>
            <wp:extent cx="431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39" w:lineRule="exact"/>
        <w:rPr>
          <w:sz w:val="20"/>
          <w:szCs w:val="20"/>
          <w:color w:val="auto"/>
        </w:rPr>
      </w:pPr>
    </w:p>
    <w:p>
      <w:pPr>
        <w:ind w:left="6"/>
        <w:spacing w:after="0"/>
        <w:rPr>
          <w:sz w:val="20"/>
          <w:szCs w:val="20"/>
          <w:color w:val="auto"/>
        </w:rPr>
      </w:pPr>
      <w:r>
        <w:rPr>
          <w:rFonts w:ascii="Arial" w:cs="Arial" w:eastAsia="Arial" w:hAnsi="Arial"/>
          <w:sz w:val="18"/>
          <w:szCs w:val="18"/>
          <w:b w:val="1"/>
          <w:bCs w:val="1"/>
          <w:u w:val="single" w:color="auto"/>
          <w:color w:val="auto"/>
        </w:rPr>
        <w:t>Program Changes for 2021</w:t>
      </w:r>
    </w:p>
    <w:p>
      <w:pPr>
        <w:spacing w:after="0" w:line="187" w:lineRule="exact"/>
        <w:rPr>
          <w:sz w:val="20"/>
          <w:szCs w:val="20"/>
          <w:color w:val="auto"/>
        </w:rPr>
      </w:pPr>
    </w:p>
    <w:p>
      <w:pPr>
        <w:ind w:left="6" w:right="40"/>
        <w:spacing w:after="0" w:line="276" w:lineRule="auto"/>
        <w:rPr>
          <w:sz w:val="20"/>
          <w:szCs w:val="20"/>
          <w:color w:val="auto"/>
        </w:rPr>
      </w:pPr>
      <w:r>
        <w:rPr>
          <w:rFonts w:ascii="Arial" w:cs="Arial" w:eastAsia="Arial" w:hAnsi="Arial"/>
          <w:sz w:val="18"/>
          <w:szCs w:val="18"/>
          <w:color w:val="auto"/>
        </w:rPr>
        <w:t>EMIP: For fiscal 2021, to prioritize profitability over revenue growth, the Compensation Committee has returned the mix of metrics under the EMIP to again place a heavier emphasis on Adjusted EBITDA as follows:</w:t>
      </w:r>
    </w:p>
    <w:p>
      <w:pPr>
        <w:spacing w:after="0" w:line="67" w:lineRule="exact"/>
        <w:rPr>
          <w:sz w:val="20"/>
          <w:szCs w:val="20"/>
          <w:color w:val="auto"/>
        </w:rPr>
      </w:pPr>
    </w:p>
    <w:tbl>
      <w:tblPr>
        <w:tblLayout w:type="fixed"/>
        <w:tblInd w:w="16" w:type="dxa"/>
        <w:tblCellMar>
          <w:top w:w="0" w:type="dxa"/>
          <w:left w:w="0" w:type="dxa"/>
          <w:bottom w:w="0" w:type="dxa"/>
          <w:right w:w="0" w:type="dxa"/>
        </w:tblCellMar>
      </w:tblPr>
      <w:tr>
        <w:trPr>
          <w:trHeight w:val="323"/>
        </w:trPr>
        <w:tc>
          <w:tcPr>
            <w:tcW w:w="2580" w:type="dxa"/>
            <w:vAlign w:val="bottom"/>
            <w:tcBorders>
              <w:top w:val="single" w:sz="8" w:color="auto"/>
              <w:left w:val="single" w:sz="8" w:color="auto"/>
              <w:right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Performance Objectives</w:t>
            </w:r>
          </w:p>
        </w:tc>
        <w:tc>
          <w:tcPr>
            <w:tcW w:w="4500" w:type="dxa"/>
            <w:vAlign w:val="bottom"/>
            <w:tcBorders>
              <w:top w:val="single" w:sz="8" w:color="auto"/>
              <w:right w:val="single" w:sz="8" w:color="auto"/>
            </w:tcBorders>
          </w:tcPr>
          <w:p>
            <w:pPr>
              <w:ind w:left="760"/>
              <w:spacing w:after="0"/>
              <w:rPr>
                <w:sz w:val="20"/>
                <w:szCs w:val="20"/>
                <w:color w:val="auto"/>
              </w:rPr>
            </w:pPr>
            <w:r>
              <w:rPr>
                <w:rFonts w:ascii="Arial" w:cs="Arial" w:eastAsia="Arial" w:hAnsi="Arial"/>
                <w:sz w:val="18"/>
                <w:szCs w:val="18"/>
                <w:b w:val="1"/>
                <w:bCs w:val="1"/>
                <w:color w:val="auto"/>
              </w:rPr>
              <w:t>Performance Metrics &amp; Weightings</w:t>
            </w:r>
          </w:p>
        </w:tc>
        <w:tc>
          <w:tcPr>
            <w:tcW w:w="2100" w:type="dxa"/>
            <w:vAlign w:val="bottom"/>
            <w:tcBorders>
              <w:top w:val="single" w:sz="8" w:color="auto"/>
              <w:right w:val="single" w:sz="8" w:color="auto"/>
            </w:tcBorders>
          </w:tcPr>
          <w:p>
            <w:pPr>
              <w:ind w:left="480"/>
              <w:spacing w:after="0"/>
              <w:rPr>
                <w:sz w:val="20"/>
                <w:szCs w:val="20"/>
                <w:color w:val="auto"/>
              </w:rPr>
            </w:pPr>
            <w:r>
              <w:rPr>
                <w:rFonts w:ascii="Arial" w:cs="Arial" w:eastAsia="Arial" w:hAnsi="Arial"/>
                <w:sz w:val="18"/>
                <w:szCs w:val="18"/>
                <w:b w:val="1"/>
                <w:bCs w:val="1"/>
                <w:color w:val="auto"/>
              </w:rPr>
              <w:t>EMIP Weighting</w:t>
            </w:r>
          </w:p>
        </w:tc>
      </w:tr>
      <w:tr>
        <w:trPr>
          <w:trHeight w:val="42"/>
        </w:trPr>
        <w:tc>
          <w:tcPr>
            <w:tcW w:w="1280" w:type="dxa"/>
            <w:vAlign w:val="bottom"/>
            <w:tcBorders>
              <w:left w:val="single" w:sz="8" w:color="auto"/>
              <w:bottom w:val="single" w:sz="8" w:color="auto"/>
            </w:tcBorders>
          </w:tcPr>
          <w:p>
            <w:pPr>
              <w:spacing w:after="0"/>
              <w:rPr>
                <w:sz w:val="3"/>
                <w:szCs w:val="3"/>
                <w:color w:val="auto"/>
              </w:rPr>
            </w:pPr>
          </w:p>
        </w:tc>
        <w:tc>
          <w:tcPr>
            <w:tcW w:w="1300" w:type="dxa"/>
            <w:vAlign w:val="bottom"/>
            <w:tcBorders>
              <w:bottom w:val="single" w:sz="8" w:color="auto"/>
              <w:right w:val="single" w:sz="8" w:color="auto"/>
            </w:tcBorders>
          </w:tcPr>
          <w:p>
            <w:pPr>
              <w:spacing w:after="0"/>
              <w:rPr>
                <w:sz w:val="3"/>
                <w:szCs w:val="3"/>
                <w:color w:val="auto"/>
              </w:rPr>
            </w:pPr>
          </w:p>
        </w:tc>
        <w:tc>
          <w:tcPr>
            <w:tcW w:w="4500" w:type="dxa"/>
            <w:vAlign w:val="bottom"/>
            <w:tcBorders>
              <w:bottom w:val="single" w:sz="8" w:color="auto"/>
              <w:right w:val="single" w:sz="8" w:color="auto"/>
            </w:tcBorders>
          </w:tcPr>
          <w:p>
            <w:pPr>
              <w:spacing w:after="0"/>
              <w:rPr>
                <w:sz w:val="3"/>
                <w:szCs w:val="3"/>
                <w:color w:val="auto"/>
              </w:rPr>
            </w:pPr>
          </w:p>
        </w:tc>
        <w:tc>
          <w:tcPr>
            <w:tcW w:w="2100" w:type="dxa"/>
            <w:vAlign w:val="bottom"/>
            <w:tcBorders>
              <w:bottom w:val="single" w:sz="8" w:color="auto"/>
              <w:right w:val="single" w:sz="8" w:color="auto"/>
            </w:tcBorders>
          </w:tcPr>
          <w:p>
            <w:pPr>
              <w:spacing w:after="0"/>
              <w:rPr>
                <w:sz w:val="3"/>
                <w:szCs w:val="3"/>
                <w:color w:val="auto"/>
              </w:rPr>
            </w:pPr>
          </w:p>
        </w:tc>
      </w:tr>
      <w:tr>
        <w:trPr>
          <w:trHeight w:val="281"/>
        </w:trPr>
        <w:tc>
          <w:tcPr>
            <w:tcW w:w="258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Financial (100%)</w:t>
            </w:r>
          </w:p>
        </w:tc>
        <w:tc>
          <w:tcPr>
            <w:tcW w:w="450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Adjusted EBITDA*</w:t>
            </w:r>
          </w:p>
        </w:tc>
        <w:tc>
          <w:tcPr>
            <w:tcW w:w="2100" w:type="dxa"/>
            <w:vAlign w:val="bottom"/>
            <w:tcBorders>
              <w:right w:val="single" w:sz="8" w:color="auto"/>
            </w:tcBorders>
          </w:tcPr>
          <w:p>
            <w:pPr>
              <w:jc w:val="center"/>
              <w:ind w:left="130"/>
              <w:spacing w:after="0"/>
              <w:rPr>
                <w:sz w:val="20"/>
                <w:szCs w:val="20"/>
                <w:color w:val="auto"/>
              </w:rPr>
            </w:pPr>
            <w:r>
              <w:rPr>
                <w:rFonts w:ascii="Arial" w:cs="Arial" w:eastAsia="Arial" w:hAnsi="Arial"/>
                <w:sz w:val="18"/>
                <w:szCs w:val="18"/>
                <w:color w:val="auto"/>
                <w:w w:val="99"/>
              </w:rPr>
              <w:t>60%</w:t>
            </w:r>
          </w:p>
        </w:tc>
      </w:tr>
      <w:tr>
        <w:trPr>
          <w:trHeight w:val="50"/>
        </w:trPr>
        <w:tc>
          <w:tcPr>
            <w:tcW w:w="1280" w:type="dxa"/>
            <w:vAlign w:val="bottom"/>
            <w:tcBorders>
              <w:left w:val="single" w:sz="8" w:color="auto"/>
            </w:tcBorders>
          </w:tcPr>
          <w:p>
            <w:pPr>
              <w:spacing w:after="0"/>
              <w:rPr>
                <w:sz w:val="4"/>
                <w:szCs w:val="4"/>
                <w:color w:val="auto"/>
              </w:rPr>
            </w:pPr>
          </w:p>
        </w:tc>
        <w:tc>
          <w:tcPr>
            <w:tcW w:w="1300" w:type="dxa"/>
            <w:vAlign w:val="bottom"/>
            <w:tcBorders>
              <w:right w:val="single" w:sz="8" w:color="auto"/>
            </w:tcBorders>
          </w:tcPr>
          <w:p>
            <w:pPr>
              <w:spacing w:after="0"/>
              <w:rPr>
                <w:sz w:val="4"/>
                <w:szCs w:val="4"/>
                <w:color w:val="auto"/>
              </w:rPr>
            </w:pPr>
          </w:p>
        </w:tc>
        <w:tc>
          <w:tcPr>
            <w:tcW w:w="4500" w:type="dxa"/>
            <w:vAlign w:val="bottom"/>
            <w:tcBorders>
              <w:bottom w:val="single" w:sz="8" w:color="auto"/>
              <w:right w:val="single" w:sz="8" w:color="auto"/>
            </w:tcBorders>
          </w:tcPr>
          <w:p>
            <w:pPr>
              <w:spacing w:after="0"/>
              <w:rPr>
                <w:sz w:val="4"/>
                <w:szCs w:val="4"/>
                <w:color w:val="auto"/>
              </w:rPr>
            </w:pPr>
          </w:p>
        </w:tc>
        <w:tc>
          <w:tcPr>
            <w:tcW w:w="2100" w:type="dxa"/>
            <w:vAlign w:val="bottom"/>
            <w:tcBorders>
              <w:bottom w:val="single" w:sz="8" w:color="auto"/>
              <w:right w:val="single" w:sz="8" w:color="auto"/>
            </w:tcBorders>
          </w:tcPr>
          <w:p>
            <w:pPr>
              <w:spacing w:after="0"/>
              <w:rPr>
                <w:sz w:val="4"/>
                <w:szCs w:val="4"/>
                <w:color w:val="auto"/>
              </w:rPr>
            </w:pPr>
          </w:p>
        </w:tc>
      </w:tr>
      <w:tr>
        <w:trPr>
          <w:trHeight w:val="281"/>
        </w:trPr>
        <w:tc>
          <w:tcPr>
            <w:tcW w:w="1280" w:type="dxa"/>
            <w:vAlign w:val="bottom"/>
            <w:tcBorders>
              <w:left w:val="single" w:sz="8" w:color="auto"/>
            </w:tcBorders>
          </w:tcPr>
          <w:p>
            <w:pPr>
              <w:spacing w:after="0"/>
              <w:rPr>
                <w:sz w:val="24"/>
                <w:szCs w:val="24"/>
                <w:color w:val="auto"/>
              </w:rPr>
            </w:pPr>
          </w:p>
        </w:tc>
        <w:tc>
          <w:tcPr>
            <w:tcW w:w="1300" w:type="dxa"/>
            <w:vAlign w:val="bottom"/>
            <w:tcBorders>
              <w:right w:val="single" w:sz="8" w:color="auto"/>
            </w:tcBorders>
          </w:tcPr>
          <w:p>
            <w:pPr>
              <w:spacing w:after="0"/>
              <w:rPr>
                <w:sz w:val="24"/>
                <w:szCs w:val="24"/>
                <w:color w:val="auto"/>
              </w:rPr>
            </w:pPr>
          </w:p>
        </w:tc>
        <w:tc>
          <w:tcPr>
            <w:tcW w:w="450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Revenue</w:t>
            </w:r>
          </w:p>
        </w:tc>
        <w:tc>
          <w:tcPr>
            <w:tcW w:w="2100" w:type="dxa"/>
            <w:vAlign w:val="bottom"/>
            <w:tcBorders>
              <w:right w:val="single" w:sz="8" w:color="auto"/>
            </w:tcBorders>
          </w:tcPr>
          <w:p>
            <w:pPr>
              <w:jc w:val="center"/>
              <w:ind w:left="130"/>
              <w:spacing w:after="0"/>
              <w:rPr>
                <w:sz w:val="20"/>
                <w:szCs w:val="20"/>
                <w:color w:val="auto"/>
              </w:rPr>
            </w:pPr>
            <w:r>
              <w:rPr>
                <w:rFonts w:ascii="Arial" w:cs="Arial" w:eastAsia="Arial" w:hAnsi="Arial"/>
                <w:sz w:val="18"/>
                <w:szCs w:val="18"/>
                <w:color w:val="auto"/>
                <w:w w:val="99"/>
              </w:rPr>
              <w:t>30%</w:t>
            </w:r>
          </w:p>
        </w:tc>
      </w:tr>
      <w:tr>
        <w:trPr>
          <w:trHeight w:val="50"/>
        </w:trPr>
        <w:tc>
          <w:tcPr>
            <w:tcW w:w="1280" w:type="dxa"/>
            <w:vAlign w:val="bottom"/>
            <w:tcBorders>
              <w:left w:val="single" w:sz="8" w:color="auto"/>
            </w:tcBorders>
          </w:tcPr>
          <w:p>
            <w:pPr>
              <w:spacing w:after="0"/>
              <w:rPr>
                <w:sz w:val="4"/>
                <w:szCs w:val="4"/>
                <w:color w:val="auto"/>
              </w:rPr>
            </w:pPr>
          </w:p>
        </w:tc>
        <w:tc>
          <w:tcPr>
            <w:tcW w:w="1300" w:type="dxa"/>
            <w:vAlign w:val="bottom"/>
            <w:tcBorders>
              <w:right w:val="single" w:sz="8" w:color="auto"/>
            </w:tcBorders>
          </w:tcPr>
          <w:p>
            <w:pPr>
              <w:spacing w:after="0"/>
              <w:rPr>
                <w:sz w:val="4"/>
                <w:szCs w:val="4"/>
                <w:color w:val="auto"/>
              </w:rPr>
            </w:pPr>
          </w:p>
        </w:tc>
        <w:tc>
          <w:tcPr>
            <w:tcW w:w="4500" w:type="dxa"/>
            <w:vAlign w:val="bottom"/>
            <w:tcBorders>
              <w:bottom w:val="single" w:sz="8" w:color="auto"/>
              <w:right w:val="single" w:sz="8" w:color="auto"/>
            </w:tcBorders>
          </w:tcPr>
          <w:p>
            <w:pPr>
              <w:spacing w:after="0"/>
              <w:rPr>
                <w:sz w:val="4"/>
                <w:szCs w:val="4"/>
                <w:color w:val="auto"/>
              </w:rPr>
            </w:pPr>
          </w:p>
        </w:tc>
        <w:tc>
          <w:tcPr>
            <w:tcW w:w="2100" w:type="dxa"/>
            <w:vAlign w:val="bottom"/>
            <w:tcBorders>
              <w:bottom w:val="single" w:sz="8" w:color="auto"/>
              <w:right w:val="single" w:sz="8" w:color="auto"/>
            </w:tcBorders>
          </w:tcPr>
          <w:p>
            <w:pPr>
              <w:spacing w:after="0"/>
              <w:rPr>
                <w:sz w:val="4"/>
                <w:szCs w:val="4"/>
                <w:color w:val="auto"/>
              </w:rPr>
            </w:pPr>
          </w:p>
        </w:tc>
      </w:tr>
      <w:tr>
        <w:trPr>
          <w:trHeight w:val="281"/>
        </w:trPr>
        <w:tc>
          <w:tcPr>
            <w:tcW w:w="1280" w:type="dxa"/>
            <w:vAlign w:val="bottom"/>
            <w:tcBorders>
              <w:left w:val="single" w:sz="8" w:color="auto"/>
            </w:tcBorders>
          </w:tcPr>
          <w:p>
            <w:pPr>
              <w:spacing w:after="0"/>
              <w:rPr>
                <w:sz w:val="24"/>
                <w:szCs w:val="24"/>
                <w:color w:val="auto"/>
              </w:rPr>
            </w:pPr>
          </w:p>
        </w:tc>
        <w:tc>
          <w:tcPr>
            <w:tcW w:w="1300" w:type="dxa"/>
            <w:vAlign w:val="bottom"/>
            <w:tcBorders>
              <w:right w:val="single" w:sz="8" w:color="auto"/>
            </w:tcBorders>
          </w:tcPr>
          <w:p>
            <w:pPr>
              <w:spacing w:after="0"/>
              <w:rPr>
                <w:sz w:val="24"/>
                <w:szCs w:val="24"/>
                <w:color w:val="auto"/>
              </w:rPr>
            </w:pPr>
          </w:p>
        </w:tc>
        <w:tc>
          <w:tcPr>
            <w:tcW w:w="450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Free Cash Flow</w:t>
            </w:r>
          </w:p>
        </w:tc>
        <w:tc>
          <w:tcPr>
            <w:tcW w:w="2100" w:type="dxa"/>
            <w:vAlign w:val="bottom"/>
            <w:tcBorders>
              <w:right w:val="single" w:sz="8" w:color="auto"/>
            </w:tcBorders>
          </w:tcPr>
          <w:p>
            <w:pPr>
              <w:jc w:val="center"/>
              <w:ind w:left="130"/>
              <w:spacing w:after="0"/>
              <w:rPr>
                <w:sz w:val="20"/>
                <w:szCs w:val="20"/>
                <w:color w:val="auto"/>
              </w:rPr>
            </w:pPr>
            <w:r>
              <w:rPr>
                <w:rFonts w:ascii="Arial" w:cs="Arial" w:eastAsia="Arial" w:hAnsi="Arial"/>
                <w:sz w:val="18"/>
                <w:szCs w:val="18"/>
                <w:color w:val="auto"/>
                <w:w w:val="99"/>
              </w:rPr>
              <w:t>10%</w:t>
            </w:r>
          </w:p>
        </w:tc>
      </w:tr>
      <w:tr>
        <w:trPr>
          <w:trHeight w:val="50"/>
        </w:trPr>
        <w:tc>
          <w:tcPr>
            <w:tcW w:w="1280" w:type="dxa"/>
            <w:vAlign w:val="bottom"/>
            <w:tcBorders>
              <w:left w:val="single" w:sz="8" w:color="auto"/>
              <w:bottom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4500" w:type="dxa"/>
            <w:vAlign w:val="bottom"/>
            <w:tcBorders>
              <w:bottom w:val="single" w:sz="8" w:color="auto"/>
              <w:right w:val="single" w:sz="8" w:color="auto"/>
            </w:tcBorders>
          </w:tcPr>
          <w:p>
            <w:pPr>
              <w:spacing w:after="0"/>
              <w:rPr>
                <w:sz w:val="4"/>
                <w:szCs w:val="4"/>
                <w:color w:val="auto"/>
              </w:rPr>
            </w:pPr>
          </w:p>
        </w:tc>
        <w:tc>
          <w:tcPr>
            <w:tcW w:w="2100" w:type="dxa"/>
            <w:vAlign w:val="bottom"/>
            <w:tcBorders>
              <w:bottom w:val="single" w:sz="8" w:color="auto"/>
              <w:right w:val="single" w:sz="8" w:color="auto"/>
            </w:tcBorders>
          </w:tcPr>
          <w:p>
            <w:pPr>
              <w:spacing w:after="0"/>
              <w:rPr>
                <w:sz w:val="4"/>
                <w:szCs w:val="4"/>
                <w:color w:val="auto"/>
              </w:rPr>
            </w:pPr>
          </w:p>
        </w:tc>
      </w:tr>
      <w:tr>
        <w:trPr>
          <w:trHeight w:val="286"/>
        </w:trPr>
        <w:tc>
          <w:tcPr>
            <w:tcW w:w="2580" w:type="dxa"/>
            <w:vAlign w:val="bottom"/>
            <w:tcBorders>
              <w:left w:val="single" w:sz="8" w:color="auto"/>
              <w:bottom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Total</w:t>
            </w:r>
          </w:p>
        </w:tc>
        <w:tc>
          <w:tcPr>
            <w:tcW w:w="4500" w:type="dxa"/>
            <w:vAlign w:val="bottom"/>
            <w:tcBorders>
              <w:bottom w:val="single" w:sz="8" w:color="auto"/>
              <w:right w:val="single" w:sz="8" w:color="auto"/>
            </w:tcBorders>
          </w:tcPr>
          <w:p>
            <w:pPr>
              <w:spacing w:after="0"/>
              <w:rPr>
                <w:sz w:val="24"/>
                <w:szCs w:val="24"/>
                <w:color w:val="auto"/>
              </w:rPr>
            </w:pPr>
          </w:p>
        </w:tc>
        <w:tc>
          <w:tcPr>
            <w:tcW w:w="2100" w:type="dxa"/>
            <w:vAlign w:val="bottom"/>
            <w:tcBorders>
              <w:bottom w:val="single" w:sz="8" w:color="auto"/>
              <w:right w:val="single" w:sz="8" w:color="auto"/>
            </w:tcBorders>
          </w:tcPr>
          <w:p>
            <w:pPr>
              <w:jc w:val="center"/>
              <w:ind w:left="150"/>
              <w:spacing w:after="0"/>
              <w:rPr>
                <w:sz w:val="20"/>
                <w:szCs w:val="20"/>
                <w:color w:val="auto"/>
              </w:rPr>
            </w:pPr>
            <w:r>
              <w:rPr>
                <w:rFonts w:ascii="Arial" w:cs="Arial" w:eastAsia="Arial" w:hAnsi="Arial"/>
                <w:sz w:val="18"/>
                <w:szCs w:val="18"/>
                <w:color w:val="auto"/>
                <w:w w:val="99"/>
              </w:rPr>
              <w:t>100%</w:t>
            </w:r>
          </w:p>
        </w:tc>
      </w:tr>
      <w:tr>
        <w:trPr>
          <w:trHeight w:val="187"/>
        </w:trPr>
        <w:tc>
          <w:tcPr>
            <w:tcW w:w="1280" w:type="dxa"/>
            <w:vAlign w:val="bottom"/>
            <w:tcBorders>
              <w:bottom w:val="single" w:sz="8" w:color="auto"/>
            </w:tcBorders>
          </w:tcPr>
          <w:p>
            <w:pPr>
              <w:spacing w:after="0"/>
              <w:rPr>
                <w:sz w:val="16"/>
                <w:szCs w:val="16"/>
                <w:color w:val="auto"/>
              </w:rPr>
            </w:pPr>
          </w:p>
        </w:tc>
        <w:tc>
          <w:tcPr>
            <w:tcW w:w="130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2100" w:type="dxa"/>
            <w:vAlign w:val="bottom"/>
          </w:tcPr>
          <w:p>
            <w:pPr>
              <w:spacing w:after="0"/>
              <w:rPr>
                <w:sz w:val="16"/>
                <w:szCs w:val="16"/>
                <w:color w:val="auto"/>
              </w:rPr>
            </w:pPr>
          </w:p>
        </w:tc>
      </w:tr>
    </w:tbl>
    <w:p>
      <w:pPr>
        <w:spacing w:after="0" w:line="95" w:lineRule="exact"/>
        <w:rPr>
          <w:sz w:val="20"/>
          <w:szCs w:val="20"/>
          <w:color w:val="auto"/>
        </w:rPr>
      </w:pPr>
    </w:p>
    <w:p>
      <w:pPr>
        <w:ind w:left="346" w:hanging="346"/>
        <w:spacing w:after="0"/>
        <w:tabs>
          <w:tab w:leader="none" w:pos="346" w:val="left"/>
        </w:tabs>
        <w:numPr>
          <w:ilvl w:val="0"/>
          <w:numId w:val="43"/>
        </w:numPr>
        <w:rPr>
          <w:rFonts w:ascii="Arial" w:cs="Arial" w:eastAsia="Arial" w:hAnsi="Arial"/>
          <w:sz w:val="14"/>
          <w:szCs w:val="14"/>
          <w:color w:val="auto"/>
        </w:rPr>
      </w:pPr>
      <w:r>
        <w:rPr>
          <w:rFonts w:ascii="Arial" w:cs="Arial" w:eastAsia="Arial" w:hAnsi="Arial"/>
          <w:sz w:val="14"/>
          <w:szCs w:val="14"/>
          <w:color w:val="auto"/>
        </w:rPr>
        <w:t>If the threshold Adjusted EBITDA goal is not achieved, no portion of the EMIP award will be paid.</w:t>
      </w:r>
    </w:p>
    <w:p>
      <w:pPr>
        <w:sectPr>
          <w:pgSz w:w="11900" w:h="16838" w:orient="portrait"/>
          <w:cols w:equalWidth="0" w:num="1">
            <w:col w:w="9186"/>
          </w:cols>
          <w:pgMar w:left="1354" w:top="263" w:right="1359" w:bottom="1440" w:gutter="0" w:footer="0" w:header="0"/>
        </w:sectPr>
      </w:pPr>
    </w:p>
    <w:p>
      <w:pPr>
        <w:spacing w:after="0" w:line="315" w:lineRule="exact"/>
        <w:rPr>
          <w:sz w:val="20"/>
          <w:szCs w:val="20"/>
          <w:color w:val="auto"/>
        </w:rPr>
      </w:pPr>
    </w:p>
    <w:p>
      <w:pPr>
        <w:jc w:val="center"/>
        <w:ind w:right="-25"/>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164465</wp:posOffset>
            </wp:positionV>
            <wp:extent cx="699516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263" w:right="1359" w:bottom="1440" w:gutter="0" w:footer="0" w:header="0"/>
          <w:type w:val="continuous"/>
        </w:sectPr>
      </w:pPr>
    </w:p>
    <w:bookmarkStart w:id="36" w:name="page37"/>
    <w:bookmarkEnd w:id="36"/>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124" w:lineRule="exact"/>
        <w:rPr>
          <w:sz w:val="20"/>
          <w:szCs w:val="20"/>
          <w:color w:val="auto"/>
        </w:rPr>
      </w:pPr>
    </w:p>
    <w:p>
      <w:pPr>
        <w:ind w:right="180"/>
        <w:spacing w:after="0" w:line="276" w:lineRule="auto"/>
        <w:rPr>
          <w:sz w:val="20"/>
          <w:szCs w:val="20"/>
          <w:color w:val="auto"/>
        </w:rPr>
      </w:pPr>
      <w:r>
        <w:rPr>
          <w:rFonts w:ascii="Arial" w:cs="Arial" w:eastAsia="Arial" w:hAnsi="Arial"/>
          <w:sz w:val="18"/>
          <w:szCs w:val="18"/>
          <w:color w:val="auto"/>
        </w:rPr>
        <w:t>LTIP: For fiscal 2021, the Compensation Committee did not grant stock options as part of the annual LTIP awards and instead used a mix of 50% PRSUs and 50% RSUs.</w:t>
      </w:r>
    </w:p>
    <w:p>
      <w:pPr>
        <w:spacing w:after="0" w:line="118"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One-Time Equity Grant: In February 2021, the Compensation Committee approved a one-time grant of time-based RSUs to certain of our NEOs, which vest in equal installments over three years. Ms. Hooper received a grant of 3,490 RSUs, Mr. Cadieux received a grant of 498 RSUs, and Mr. Reeves received a grant of 498 RSUs. These grants were to support retention.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Practices, Policies and Guidelines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 Guidelines</w:t>
      </w:r>
    </w:p>
    <w:p>
      <w:pPr>
        <w:spacing w:after="0" w:line="18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believe that when our NEOs hold an equity interest in the Company, they will be less inclined to take excessive business risks. We maintain stock ownership guidelines to encourage our NEOs to own stock at least equal in value to:</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Multiple of</w:t>
            </w:r>
          </w:p>
        </w:tc>
      </w:tr>
      <w:tr>
        <w:trPr>
          <w:trHeight w:val="162"/>
        </w:trPr>
        <w:tc>
          <w:tcPr>
            <w:tcW w:w="4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Base</w:t>
            </w:r>
          </w:p>
        </w:tc>
      </w:tr>
      <w:tr>
        <w:trPr>
          <w:trHeight w:val="202"/>
        </w:trPr>
        <w:tc>
          <w:tcPr>
            <w:tcW w:w="40" w:type="dxa"/>
            <w:vAlign w:val="bottom"/>
          </w:tcPr>
          <w:p>
            <w:pPr>
              <w:spacing w:after="0"/>
              <w:rPr>
                <w:sz w:val="17"/>
                <w:szCs w:val="17"/>
                <w:color w:val="auto"/>
              </w:rPr>
            </w:pPr>
          </w:p>
        </w:tc>
        <w:tc>
          <w:tcPr>
            <w:tcW w:w="8260" w:type="dxa"/>
            <w:vAlign w:val="bottom"/>
            <w:gridSpan w:val="2"/>
          </w:tcPr>
          <w:p>
            <w:pPr>
              <w:ind w:left="40"/>
              <w:spacing w:after="0"/>
              <w:rPr>
                <w:sz w:val="20"/>
                <w:szCs w:val="20"/>
                <w:color w:val="auto"/>
              </w:rPr>
            </w:pPr>
            <w:r>
              <w:rPr>
                <w:rFonts w:ascii="Arial" w:cs="Arial" w:eastAsia="Arial" w:hAnsi="Arial"/>
                <w:sz w:val="14"/>
                <w:szCs w:val="14"/>
                <w:b w:val="1"/>
                <w:bCs w:val="1"/>
                <w:color w:val="auto"/>
              </w:rPr>
              <w:t>Title</w:t>
            </w:r>
          </w:p>
        </w:tc>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Salary</w:t>
            </w:r>
          </w:p>
        </w:tc>
      </w:tr>
      <w:tr>
        <w:trPr>
          <w:trHeight w:val="56"/>
        </w:trPr>
        <w:tc>
          <w:tcPr>
            <w:tcW w:w="40" w:type="dxa"/>
            <w:vAlign w:val="bottom"/>
            <w:tcBorders>
              <w:bottom w:val="single" w:sz="8" w:color="B2B2B2"/>
            </w:tcBorders>
          </w:tcPr>
          <w:p>
            <w:pPr>
              <w:spacing w:after="0"/>
              <w:rPr>
                <w:sz w:val="4"/>
                <w:szCs w:val="4"/>
                <w:color w:val="auto"/>
              </w:rPr>
            </w:pPr>
          </w:p>
        </w:tc>
        <w:tc>
          <w:tcPr>
            <w:tcW w:w="7800" w:type="dxa"/>
            <w:vAlign w:val="bottom"/>
            <w:tcBorders>
              <w:bottom w:val="single" w:sz="8" w:color="auto"/>
            </w:tcBorders>
          </w:tcPr>
          <w:p>
            <w:pPr>
              <w:spacing w:after="0"/>
              <w:rPr>
                <w:sz w:val="4"/>
                <w:szCs w:val="4"/>
                <w:color w:val="auto"/>
              </w:rPr>
            </w:pPr>
          </w:p>
        </w:tc>
        <w:tc>
          <w:tcPr>
            <w:tcW w:w="460" w:type="dxa"/>
            <w:vAlign w:val="bottom"/>
            <w:tcBorders>
              <w:bottom w:val="single" w:sz="8" w:color="B2B2B2"/>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 w:type="dxa"/>
            <w:vAlign w:val="bottom"/>
            <w:tcBorders>
              <w:bottom w:val="single" w:sz="8" w:color="B2B2B2"/>
            </w:tcBorders>
          </w:tcPr>
          <w:p>
            <w:pPr>
              <w:spacing w:after="0"/>
              <w:rPr>
                <w:sz w:val="4"/>
                <w:szCs w:val="4"/>
                <w:color w:val="auto"/>
              </w:rPr>
            </w:pPr>
          </w:p>
        </w:tc>
      </w:tr>
      <w:tr>
        <w:trPr>
          <w:trHeight w:val="295"/>
        </w:trPr>
        <w:tc>
          <w:tcPr>
            <w:tcW w:w="40" w:type="dxa"/>
            <w:vAlign w:val="bottom"/>
            <w:shd w:val="clear" w:color="auto" w:fill="B2B2B2"/>
          </w:tcPr>
          <w:p>
            <w:pPr>
              <w:spacing w:after="0"/>
              <w:rPr>
                <w:sz w:val="24"/>
                <w:szCs w:val="24"/>
                <w:color w:val="auto"/>
              </w:rPr>
            </w:pPr>
          </w:p>
        </w:tc>
        <w:tc>
          <w:tcPr>
            <w:tcW w:w="8260" w:type="dxa"/>
            <w:vAlign w:val="bottom"/>
            <w:gridSpan w:val="2"/>
            <w:shd w:val="clear" w:color="auto" w:fill="B2B2B2"/>
          </w:tcPr>
          <w:p>
            <w:pPr>
              <w:ind w:left="40"/>
              <w:spacing w:after="0"/>
              <w:rPr>
                <w:sz w:val="20"/>
                <w:szCs w:val="20"/>
                <w:color w:val="auto"/>
              </w:rPr>
            </w:pPr>
            <w:r>
              <w:rPr>
                <w:rFonts w:ascii="Arial" w:cs="Arial" w:eastAsia="Arial" w:hAnsi="Arial"/>
                <w:sz w:val="18"/>
                <w:szCs w:val="18"/>
                <w:color w:val="auto"/>
              </w:rPr>
              <w:t>CEO</w:t>
            </w:r>
          </w:p>
        </w:tc>
        <w:tc>
          <w:tcPr>
            <w:tcW w:w="880" w:type="dxa"/>
            <w:vAlign w:val="bottom"/>
            <w:gridSpan w:val="2"/>
            <w:shd w:val="clear" w:color="auto" w:fill="B2B2B2"/>
          </w:tcPr>
          <w:p>
            <w:pPr>
              <w:jc w:val="center"/>
              <w:ind w:right="60"/>
              <w:spacing w:after="0"/>
              <w:rPr>
                <w:sz w:val="20"/>
                <w:szCs w:val="20"/>
                <w:color w:val="auto"/>
              </w:rPr>
            </w:pPr>
            <w:r>
              <w:rPr>
                <w:rFonts w:ascii="Arial" w:cs="Arial" w:eastAsia="Arial" w:hAnsi="Arial"/>
                <w:sz w:val="18"/>
                <w:szCs w:val="18"/>
                <w:color w:val="auto"/>
                <w:w w:val="99"/>
              </w:rPr>
              <w:t>6.0x</w:t>
            </w:r>
          </w:p>
        </w:tc>
      </w:tr>
      <w:tr>
        <w:trPr>
          <w:trHeight w:val="63"/>
        </w:trPr>
        <w:tc>
          <w:tcPr>
            <w:tcW w:w="40" w:type="dxa"/>
            <w:vAlign w:val="bottom"/>
            <w:shd w:val="clear" w:color="auto" w:fill="B2B2B2"/>
          </w:tcPr>
          <w:p>
            <w:pPr>
              <w:spacing w:after="0"/>
              <w:rPr>
                <w:sz w:val="5"/>
                <w:szCs w:val="5"/>
                <w:color w:val="auto"/>
              </w:rPr>
            </w:pPr>
          </w:p>
        </w:tc>
        <w:tc>
          <w:tcPr>
            <w:tcW w:w="7800" w:type="dxa"/>
            <w:vAlign w:val="bottom"/>
            <w:shd w:val="clear" w:color="auto" w:fill="B2B2B2"/>
          </w:tcPr>
          <w:p>
            <w:pPr>
              <w:spacing w:after="0"/>
              <w:rPr>
                <w:sz w:val="5"/>
                <w:szCs w:val="5"/>
                <w:color w:val="auto"/>
              </w:rPr>
            </w:pPr>
          </w:p>
        </w:tc>
        <w:tc>
          <w:tcPr>
            <w:tcW w:w="460" w:type="dxa"/>
            <w:vAlign w:val="bottom"/>
            <w:shd w:val="clear" w:color="auto" w:fill="B2B2B2"/>
          </w:tcPr>
          <w:p>
            <w:pPr>
              <w:spacing w:after="0"/>
              <w:rPr>
                <w:sz w:val="5"/>
                <w:szCs w:val="5"/>
                <w:color w:val="auto"/>
              </w:rPr>
            </w:pPr>
          </w:p>
        </w:tc>
        <w:tc>
          <w:tcPr>
            <w:tcW w:w="800" w:type="dxa"/>
            <w:vAlign w:val="bottom"/>
            <w:shd w:val="clear" w:color="auto" w:fill="B2B2B2"/>
          </w:tcPr>
          <w:p>
            <w:pPr>
              <w:spacing w:after="0"/>
              <w:rPr>
                <w:sz w:val="5"/>
                <w:szCs w:val="5"/>
                <w:color w:val="auto"/>
              </w:rPr>
            </w:pPr>
          </w:p>
        </w:tc>
        <w:tc>
          <w:tcPr>
            <w:tcW w:w="80" w:type="dxa"/>
            <w:vAlign w:val="bottom"/>
            <w:shd w:val="clear" w:color="auto" w:fill="B2B2B2"/>
          </w:tcPr>
          <w:p>
            <w:pPr>
              <w:spacing w:after="0"/>
              <w:rPr>
                <w:sz w:val="5"/>
                <w:szCs w:val="5"/>
                <w:color w:val="auto"/>
              </w:rPr>
            </w:pPr>
          </w:p>
        </w:tc>
      </w:tr>
      <w:tr>
        <w:trPr>
          <w:trHeight w:val="301"/>
        </w:trPr>
        <w:tc>
          <w:tcPr>
            <w:tcW w:w="40" w:type="dxa"/>
            <w:vAlign w:val="bottom"/>
          </w:tcPr>
          <w:p>
            <w:pPr>
              <w:spacing w:after="0"/>
              <w:rPr>
                <w:sz w:val="24"/>
                <w:szCs w:val="24"/>
                <w:color w:val="auto"/>
              </w:rPr>
            </w:pPr>
          </w:p>
        </w:tc>
        <w:tc>
          <w:tcPr>
            <w:tcW w:w="8260" w:type="dxa"/>
            <w:vAlign w:val="bottom"/>
            <w:gridSpan w:val="2"/>
          </w:tcPr>
          <w:p>
            <w:pPr>
              <w:ind w:left="40"/>
              <w:spacing w:after="0"/>
              <w:rPr>
                <w:sz w:val="20"/>
                <w:szCs w:val="20"/>
                <w:color w:val="auto"/>
              </w:rPr>
            </w:pPr>
            <w:r>
              <w:rPr>
                <w:rFonts w:ascii="Arial" w:cs="Arial" w:eastAsia="Arial" w:hAnsi="Arial"/>
                <w:sz w:val="18"/>
                <w:szCs w:val="18"/>
                <w:color w:val="auto"/>
              </w:rPr>
              <w:t>CFO</w:t>
            </w:r>
          </w:p>
        </w:tc>
        <w:tc>
          <w:tcPr>
            <w:tcW w:w="88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3.0x</w:t>
            </w:r>
          </w:p>
        </w:tc>
      </w:tr>
      <w:tr>
        <w:trPr>
          <w:trHeight w:val="63"/>
        </w:trPr>
        <w:tc>
          <w:tcPr>
            <w:tcW w:w="40" w:type="dxa"/>
            <w:vAlign w:val="bottom"/>
          </w:tcPr>
          <w:p>
            <w:pPr>
              <w:spacing w:after="0"/>
              <w:rPr>
                <w:sz w:val="5"/>
                <w:szCs w:val="5"/>
                <w:color w:val="auto"/>
              </w:rPr>
            </w:pPr>
          </w:p>
        </w:tc>
        <w:tc>
          <w:tcPr>
            <w:tcW w:w="780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r>
      <w:tr>
        <w:trPr>
          <w:trHeight w:val="311"/>
        </w:trPr>
        <w:tc>
          <w:tcPr>
            <w:tcW w:w="40" w:type="dxa"/>
            <w:vAlign w:val="bottom"/>
            <w:shd w:val="clear" w:color="auto" w:fill="B2B2B2"/>
          </w:tcPr>
          <w:p>
            <w:pPr>
              <w:spacing w:after="0"/>
              <w:rPr>
                <w:sz w:val="24"/>
                <w:szCs w:val="24"/>
                <w:color w:val="auto"/>
              </w:rPr>
            </w:pPr>
          </w:p>
        </w:tc>
        <w:tc>
          <w:tcPr>
            <w:tcW w:w="8260" w:type="dxa"/>
            <w:vAlign w:val="bottom"/>
            <w:gridSpan w:val="2"/>
            <w:shd w:val="clear" w:color="auto" w:fill="B2B2B2"/>
          </w:tcPr>
          <w:p>
            <w:pPr>
              <w:ind w:left="40"/>
              <w:spacing w:after="0"/>
              <w:rPr>
                <w:sz w:val="20"/>
                <w:szCs w:val="20"/>
                <w:color w:val="auto"/>
              </w:rPr>
            </w:pPr>
            <w:r>
              <w:rPr>
                <w:rFonts w:ascii="Arial" w:cs="Arial" w:eastAsia="Arial" w:hAnsi="Arial"/>
                <w:sz w:val="18"/>
                <w:szCs w:val="18"/>
                <w:color w:val="auto"/>
              </w:rPr>
              <w:t>Senior Vice Presidents who are Named Executive Officers</w:t>
            </w:r>
          </w:p>
        </w:tc>
        <w:tc>
          <w:tcPr>
            <w:tcW w:w="880" w:type="dxa"/>
            <w:vAlign w:val="bottom"/>
            <w:gridSpan w:val="2"/>
            <w:shd w:val="clear" w:color="auto" w:fill="B2B2B2"/>
          </w:tcPr>
          <w:p>
            <w:pPr>
              <w:jc w:val="center"/>
              <w:ind w:right="60"/>
              <w:spacing w:after="0"/>
              <w:rPr>
                <w:sz w:val="20"/>
                <w:szCs w:val="20"/>
                <w:color w:val="auto"/>
              </w:rPr>
            </w:pPr>
            <w:r>
              <w:rPr>
                <w:rFonts w:ascii="Arial" w:cs="Arial" w:eastAsia="Arial" w:hAnsi="Arial"/>
                <w:sz w:val="18"/>
                <w:szCs w:val="18"/>
                <w:color w:val="auto"/>
                <w:w w:val="99"/>
              </w:rPr>
              <w:t>2.0x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5782310</wp:posOffset>
            </wp:positionH>
            <wp:positionV relativeFrom="paragraph">
              <wp:posOffset>-668020</wp:posOffset>
            </wp:positionV>
            <wp:extent cx="431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4976495</wp:posOffset>
            </wp:positionH>
            <wp:positionV relativeFrom="paragraph">
              <wp:posOffset>-668020</wp:posOffset>
            </wp:positionV>
            <wp:extent cx="29146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9146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-668020</wp:posOffset>
            </wp:positionV>
            <wp:extent cx="3429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0" w:lineRule="exact"/>
        <w:rPr>
          <w:sz w:val="20"/>
          <w:szCs w:val="20"/>
          <w:color w:val="auto"/>
        </w:rPr>
      </w:pPr>
    </w:p>
    <w:p>
      <w:pPr>
        <w:ind w:right="60"/>
        <w:spacing w:after="0"/>
        <w:rPr>
          <w:sz w:val="20"/>
          <w:szCs w:val="20"/>
          <w:color w:val="auto"/>
        </w:rPr>
      </w:pPr>
      <w:r>
        <w:rPr>
          <w:rFonts w:ascii="Arial" w:cs="Arial" w:eastAsia="Arial" w:hAnsi="Arial"/>
          <w:sz w:val="18"/>
          <w:szCs w:val="18"/>
          <w:color w:val="auto"/>
        </w:rPr>
        <w:t>Common stock, vested and unvested restricted shares, the net after-tax value of unexercised vested and unvested stock options, and stock held in the deferred compensation, 401(k) and the Employee Stock Purchase plans all count towards satisfaction of the guidelines. Additionally, participants are required to retain 50% of net profit shares from all stock acquired upon exercise or vesting unless the guideline level is achieved. Net profit shares are defined as the number of shares of stock acquired after payment of (i) in the case of options, any exercise price and tax withholding upon exercise, or (ii) in the case of restricted stock or restricted stock units, tax withholding upon vesting. We annually review the levels of stock ownership of our NEOs, and, based on a rolling 12-month average of our stock price as of the end of 2020, all of our NEOs have met the guidelines. We also have stock ownership guidelines for the members of our Board.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Anti-Hedging Policy</w:t>
      </w:r>
    </w:p>
    <w:p>
      <w:pPr>
        <w:spacing w:after="0" w:line="187"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We prohibit the NEOs, other executive officers, directors and employees from engaging in transactions designed to insulate them from changes in the Company’s stock price. Therefore, the Company has an Anti-Hedging Policy that prohibits entering into transactions that include (without limitation) equity swaps or short sales of our securities, margin accounts or pledges of our securities, and hedges or monetization transactions involving our securities that are designed to hedge or offset any decrease in the market value of Itron securities. In addition, the purchase or sale of puts, calls, options, or other derivative securities based on the Company’s securities is prohibited under this policy, and borrowing against any account in which our securities are held is prohibited.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Change-in-Control Agreements</w:t>
      </w:r>
    </w:p>
    <w:p>
      <w:pPr>
        <w:spacing w:after="0" w:line="173" w:lineRule="exact"/>
        <w:rPr>
          <w:sz w:val="20"/>
          <w:szCs w:val="20"/>
          <w:color w:val="auto"/>
        </w:rPr>
      </w:pPr>
    </w:p>
    <w:p>
      <w:pPr>
        <w:ind w:right="180"/>
        <w:spacing w:after="0" w:line="243" w:lineRule="auto"/>
        <w:rPr>
          <w:sz w:val="20"/>
          <w:szCs w:val="20"/>
          <w:color w:val="auto"/>
        </w:rPr>
      </w:pPr>
      <w:r>
        <w:rPr>
          <w:rFonts w:ascii="Arial" w:cs="Arial" w:eastAsia="Arial" w:hAnsi="Arial"/>
          <w:sz w:val="18"/>
          <w:szCs w:val="18"/>
          <w:color w:val="auto"/>
        </w:rPr>
        <w:t>We have entered into change-in-control agreements with certain of our executive officers to encourage their full attention and dedication to the Company in the event of a change-in-control of the Company, and to provide them with reasonable compensation and benefits in the event of a change-in-control and a subsequent loss of employment. All equity awards granted have “double trigger” requirements before vesting upon a change-in-control. See “</w:t>
      </w:r>
      <w:r>
        <w:rPr>
          <w:rFonts w:ascii="Arial" w:cs="Arial" w:eastAsia="Arial" w:hAnsi="Arial"/>
          <w:sz w:val="18"/>
          <w:szCs w:val="18"/>
          <w:i w:val="1"/>
          <w:iCs w:val="1"/>
          <w:color w:val="auto"/>
        </w:rPr>
        <w:t>EXECUTIVE COMPENSATION TABLES – Potential Payments upon Change-in-Control</w:t>
      </w:r>
      <w:r>
        <w:rPr>
          <w:rFonts w:ascii="Arial" w:cs="Arial" w:eastAsia="Arial" w:hAnsi="Arial"/>
          <w:sz w:val="18"/>
          <w:szCs w:val="18"/>
          <w:color w:val="auto"/>
        </w:rPr>
        <w:t>” for descriptions of the benefits provided under the change-in-control agreements.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 Severance Policy</w:t>
      </w:r>
    </w:p>
    <w:p>
      <w:pPr>
        <w:spacing w:after="0" w:line="173" w:lineRule="exact"/>
        <w:rPr>
          <w:sz w:val="20"/>
          <w:szCs w:val="20"/>
          <w:color w:val="auto"/>
        </w:rPr>
      </w:pPr>
    </w:p>
    <w:p>
      <w:pPr>
        <w:ind w:right="120"/>
        <w:spacing w:after="0" w:line="245" w:lineRule="auto"/>
        <w:rPr>
          <w:sz w:val="20"/>
          <w:szCs w:val="20"/>
          <w:color w:val="auto"/>
        </w:rPr>
      </w:pPr>
      <w:r>
        <w:rPr>
          <w:rFonts w:ascii="Arial" w:cs="Arial" w:eastAsia="Arial" w:hAnsi="Arial"/>
          <w:sz w:val="18"/>
          <w:szCs w:val="18"/>
          <w:color w:val="auto"/>
        </w:rPr>
        <w:t>We do not have formal employment agreements with our executive officers. However, we do have an Executive Severance Policy for our executive officers that provides severance pay equal to one year’s base salary, employer benefit premium payments or reimbursements for one year, and outplacement assistance provided there is a release of claims, non-disparagement, and confidentiality agreement with the executive officer. In addition, the executive officer must enter into a one-year non-compete agreement, where enforceable.</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165735</wp:posOffset>
            </wp:positionV>
            <wp:extent cx="699516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263" w:right="1359" w:bottom="1440" w:gutter="0" w:footer="0" w:header="0"/>
        </w:sectPr>
      </w:pPr>
    </w:p>
    <w:bookmarkStart w:id="37" w:name="page38"/>
    <w:bookmarkEnd w:id="37"/>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Incentive Repayment (Clawback) Policy</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Under our Incentive Repayment (Clawback) Policy, in the event of a restatement of the Company’s financial results, the Compensation Committee, as designated by the Board, may review all cash or equity incentive awards that were based in whole or in part on the achievement of certain financial results.</w:t>
      </w:r>
    </w:p>
    <w:p>
      <w:pPr>
        <w:spacing w:after="0" w:line="123"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Where award(s) were predicated, in part or in whole, upon the achievement of certain financial results that were subsequently the subject of a material financial restatement and, as determined by the Compensation Committee, the executive(s) engaged in fraud that caused or partially caused the need for the restatement, the Compensation Committee will seek forfeiture or reimbursement to the Company of the award(s) from the executive officer(s) engaged in fraud in full, net of tax. If a material financial restatement was not due to fraud, the Compensation Committee may review the circumstances and, in its discretion to the extent practicable and allowable under applicable laws, determine to require forfeiture or reimbursement to the Company of the amount of the award(s) that exceeded the lower amount, payment or value that would have been made based on the restated financial results, net of tax.</w:t>
      </w:r>
    </w:p>
    <w:p>
      <w:pPr>
        <w:spacing w:after="0" w:line="135"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Any recoupment under this policy may be in addition to, and shall not otherwise limit, any other remedies that may be available to the Company under applicable law, including disciplinary actions up to and including termination of employment.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Deferred Compensation</w:t>
      </w:r>
    </w:p>
    <w:p>
      <w:pPr>
        <w:spacing w:after="0" w:line="187" w:lineRule="exact"/>
        <w:rPr>
          <w:sz w:val="20"/>
          <w:szCs w:val="20"/>
          <w:color w:val="auto"/>
        </w:rPr>
      </w:pPr>
    </w:p>
    <w:p>
      <w:pPr>
        <w:ind w:right="160"/>
        <w:spacing w:after="0" w:line="248" w:lineRule="auto"/>
        <w:rPr>
          <w:sz w:val="20"/>
          <w:szCs w:val="20"/>
          <w:color w:val="auto"/>
        </w:rPr>
      </w:pPr>
      <w:r>
        <w:rPr>
          <w:rFonts w:ascii="Arial" w:cs="Arial" w:eastAsia="Arial" w:hAnsi="Arial"/>
          <w:sz w:val="18"/>
          <w:szCs w:val="18"/>
          <w:color w:val="auto"/>
        </w:rPr>
        <w:t>Executive officers located in the U.S. are eligible to participate in our Executive Deferred Compensation Plan (EDCP). We offer the EDCP to our highly-compensated employees to give them the benefit of being able to defer some of their taxable income, which also encourages their retention with the Company. Participants may defer up to 50% of their base salary and up to 50% of their annual cash incentive into a nonqualified account.</w:t>
      </w:r>
    </w:p>
    <w:p>
      <w:pPr>
        <w:spacing w:after="0" w:line="130"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 xml:space="preserve">Executive officers are also permitted to elect to defer an additional portion of their base salary under the EDCP equal to the amount of any contributions returned to them during the year from the Company’s 401(k) Plan. In 2020, the Company made matching contributions to the account of each participating executive at the rate of 75% of the first 6% of base salary and annual incentive deferred by the executive officer during that year, which is the same matching formula as the Company’s 401(k) Plan. The employer match into the EDCP starts </w:t>
      </w:r>
      <w:r>
        <w:rPr>
          <w:rFonts w:ascii="Arial" w:cs="Arial" w:eastAsia="Arial" w:hAnsi="Arial"/>
          <w:sz w:val="18"/>
          <w:szCs w:val="18"/>
          <w:i w:val="1"/>
          <w:iCs w:val="1"/>
          <w:color w:val="auto"/>
        </w:rPr>
        <w:t>after</w:t>
      </w:r>
      <w:r>
        <w:rPr>
          <w:rFonts w:ascii="Arial" w:cs="Arial" w:eastAsia="Arial" w:hAnsi="Arial"/>
          <w:sz w:val="18"/>
          <w:szCs w:val="18"/>
          <w:color w:val="auto"/>
        </w:rPr>
        <w:t xml:space="preserve"> the employee reaches IRS limits on the 401(k) Plan and is no longer eligible for the 401(k) match. The executive officers’ account balances are adjusted for hypothetical investment earnings or losses according to the returns of the specified “measurement funds” selected by the executives. The measurement funds correspond to the mutual funds available for investment under the 401(k) Plan (but currently do not include a Company stock fund).</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See </w:t>
      </w:r>
      <w:r>
        <w:rPr>
          <w:rFonts w:ascii="Arial" w:cs="Arial" w:eastAsia="Arial" w:hAnsi="Arial"/>
          <w:sz w:val="17"/>
          <w:szCs w:val="17"/>
          <w:color w:val="auto"/>
        </w:rPr>
        <w:t>“</w:t>
      </w:r>
      <w:r>
        <w:rPr>
          <w:rFonts w:ascii="Arial" w:cs="Arial" w:eastAsia="Arial" w:hAnsi="Arial"/>
          <w:sz w:val="17"/>
          <w:szCs w:val="17"/>
          <w:i w:val="1"/>
          <w:iCs w:val="1"/>
          <w:color w:val="auto"/>
        </w:rPr>
        <w:t>EXECUTIVE COMPENSATION TABLES – 2020 Nonqualified Deferred Compensation Table</w:t>
      </w:r>
      <w:r>
        <w:rPr>
          <w:rFonts w:ascii="Arial" w:cs="Arial" w:eastAsia="Arial" w:hAnsi="Arial"/>
          <w:sz w:val="17"/>
          <w:szCs w:val="17"/>
          <w:color w:val="auto"/>
        </w:rPr>
        <w:t>” for more details.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Benefits and Perquisites</w:t>
      </w:r>
    </w:p>
    <w:p>
      <w:pPr>
        <w:spacing w:after="0" w:line="173"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Our NEOs receive the same benefits as our U.S. based salaried employees generally, including medical and dental benefits, group term life insurance, and short- and long-term disability protection. Itron also has relocation policies and benefits in place that may be applicable if an employee is required to move or has long-term extended business travel to a new location.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401(k) Plan and Employee Stock Purchase Plan</w:t>
      </w:r>
    </w:p>
    <w:p>
      <w:pPr>
        <w:spacing w:after="0" w:line="187"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Executive officers located in the U.S. are eligible to participate in our 401(k) Plan which provides our employees, including the NEOs, with a 75% Company match on the first 6% of compensation deferred, subject to qualified plan limits. Similarly, executive officers located in the U.S. may participate in the Company’s Employee Stock Purchase Plan, along with our other U.S. employees.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do not maintain any defined benefit or supplemental retirement programs for our NEOs.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Risk Assessment</w:t>
      </w:r>
    </w:p>
    <w:p>
      <w:pPr>
        <w:spacing w:after="0" w:line="173" w:lineRule="exact"/>
        <w:rPr>
          <w:sz w:val="20"/>
          <w:szCs w:val="20"/>
          <w:color w:val="auto"/>
        </w:rPr>
      </w:pPr>
    </w:p>
    <w:p>
      <w:pPr>
        <w:jc w:val="both"/>
        <w:ind w:right="80"/>
        <w:spacing w:after="0" w:line="277" w:lineRule="auto"/>
        <w:rPr>
          <w:sz w:val="20"/>
          <w:szCs w:val="20"/>
          <w:color w:val="auto"/>
        </w:rPr>
      </w:pPr>
      <w:r>
        <w:rPr>
          <w:rFonts w:ascii="Arial" w:cs="Arial" w:eastAsia="Arial" w:hAnsi="Arial"/>
          <w:sz w:val="17"/>
          <w:szCs w:val="17"/>
          <w:color w:val="auto"/>
        </w:rPr>
        <w:t>It is our belief that a majority of an NEO’s total compensation should be variable “at risk” compensation, meaning it is tied to the Company’s financial performance. However, because performance-based incentives play a large role in our compensation program, we strive to ensure that incentives do not result in actions that may conflict with the</w:t>
      </w: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157480</wp:posOffset>
            </wp:positionV>
            <wp:extent cx="699516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60"/>
          </w:cols>
          <w:pgMar w:left="1360" w:top="263" w:right="1379" w:bottom="1440" w:gutter="0" w:footer="0" w:header="0"/>
        </w:sectPr>
      </w:pPr>
    </w:p>
    <w:bookmarkStart w:id="38" w:name="page39"/>
    <w:bookmarkEnd w:id="38"/>
    <w:p>
      <w:pPr>
        <w:ind w:left="6"/>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124" w:lineRule="exact"/>
        <w:rPr>
          <w:sz w:val="20"/>
          <w:szCs w:val="20"/>
          <w:color w:val="auto"/>
        </w:rPr>
      </w:pPr>
    </w:p>
    <w:p>
      <w:pPr>
        <w:ind w:left="6" w:right="40"/>
        <w:spacing w:after="0" w:line="251" w:lineRule="auto"/>
        <w:rPr>
          <w:sz w:val="20"/>
          <w:szCs w:val="20"/>
          <w:color w:val="auto"/>
        </w:rPr>
      </w:pPr>
      <w:r>
        <w:rPr>
          <w:rFonts w:ascii="Arial" w:cs="Arial" w:eastAsia="Arial" w:hAnsi="Arial"/>
          <w:sz w:val="17"/>
          <w:szCs w:val="17"/>
          <w:color w:val="auto"/>
        </w:rPr>
        <w:t>long-term best interests of the Company and our shareholders. Therefore, the Committee evaluated all of our plans and policies (applicable to executive officers and employees below the executive level) in December 2020 for attributes that could cause excessive risk-taking. We concluded that our programs and policies do not encourage excessive risk-taking because: (a) the salary component of our program is a fixed amount; (b) the majority of the average compensation paid to our executive officers is delivered in the form of equity ownership, which aligns the interest of our executive officers with those of our shareholders; (c) NEOs are subject to our stock ownership guidelines; and (d) the annual cash-based incentive plan and long-term incentive plans are designed with risk-mitigating characteristics such as (i) maximum award payouts based on the attainment of various and continually evolving Company financial objectives which diversify risks associated with a single indicator of performance,</w:t>
      </w:r>
    </w:p>
    <w:p>
      <w:pPr>
        <w:spacing w:after="0" w:line="5" w:lineRule="exact"/>
        <w:rPr>
          <w:sz w:val="20"/>
          <w:szCs w:val="20"/>
          <w:color w:val="auto"/>
        </w:rPr>
      </w:pPr>
    </w:p>
    <w:p>
      <w:pPr>
        <w:ind w:left="6" w:hanging="6"/>
        <w:spacing w:after="0" w:line="239" w:lineRule="auto"/>
        <w:tabs>
          <w:tab w:leader="none" w:pos="256"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equity-based incentives encourage a longer-term focus through multi-year performance periods, (iii) our risk-mitigating policies in place such as insider trading and hedging prohibitions and clawbacks, and (iv) review and approval of final awards by our Committee (and the independent members of the full Board in the case of the CEO), which is composed entirely of independent directors who have discretion under our plans to approve, modify, or eliminate any award earned.</w:t>
      </w:r>
    </w:p>
    <w:p>
      <w:pPr>
        <w:spacing w:after="0" w:line="295"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CEO Pay Ratio</w:t>
      </w:r>
    </w:p>
    <w:p>
      <w:pPr>
        <w:spacing w:after="0" w:line="173" w:lineRule="exact"/>
        <w:rPr>
          <w:sz w:val="20"/>
          <w:szCs w:val="20"/>
          <w:color w:val="auto"/>
        </w:rPr>
      </w:pPr>
    </w:p>
    <w:p>
      <w:pPr>
        <w:ind w:left="6" w:right="900"/>
        <w:spacing w:after="0" w:line="276" w:lineRule="auto"/>
        <w:rPr>
          <w:sz w:val="20"/>
          <w:szCs w:val="20"/>
          <w:color w:val="auto"/>
        </w:rPr>
      </w:pPr>
      <w:r>
        <w:rPr>
          <w:rFonts w:ascii="Arial" w:cs="Arial" w:eastAsia="Arial" w:hAnsi="Arial"/>
          <w:sz w:val="18"/>
          <w:szCs w:val="18"/>
          <w:color w:val="auto"/>
        </w:rPr>
        <w:t>We are providing the following information about the relationship of the annual total compensation of our employees and the annual total compensation of our CEO:</w:t>
      </w:r>
    </w:p>
    <w:p>
      <w:pPr>
        <w:spacing w:after="0" w:line="158" w:lineRule="exact"/>
        <w:rPr>
          <w:sz w:val="20"/>
          <w:szCs w:val="20"/>
          <w:color w:val="auto"/>
        </w:rPr>
      </w:pPr>
    </w:p>
    <w:p>
      <w:pPr>
        <w:ind w:left="6"/>
        <w:spacing w:after="0"/>
        <w:rPr>
          <w:sz w:val="20"/>
          <w:szCs w:val="20"/>
          <w:color w:val="auto"/>
        </w:rPr>
      </w:pPr>
      <w:r>
        <w:rPr>
          <w:rFonts w:ascii="Arial" w:cs="Arial" w:eastAsia="Arial" w:hAnsi="Arial"/>
          <w:sz w:val="18"/>
          <w:szCs w:val="18"/>
          <w:color w:val="auto"/>
        </w:rPr>
        <w:t>For 2020, our last completed fiscal year:</w:t>
      </w:r>
    </w:p>
    <w:p>
      <w:pPr>
        <w:spacing w:after="0" w:line="171" w:lineRule="exact"/>
        <w:rPr>
          <w:sz w:val="20"/>
          <w:szCs w:val="20"/>
          <w:color w:val="auto"/>
        </w:rPr>
      </w:pPr>
    </w:p>
    <w:p>
      <w:pPr>
        <w:ind w:left="706" w:right="200" w:hanging="346"/>
        <w:spacing w:after="0" w:line="276" w:lineRule="auto"/>
        <w:tabs>
          <w:tab w:leader="none" w:pos="706"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median of the annual total compensation of all employees of our company (other than our CEO) was $62,289; and</w:t>
      </w:r>
    </w:p>
    <w:p>
      <w:pPr>
        <w:spacing w:after="0" w:line="117" w:lineRule="exact"/>
        <w:rPr>
          <w:rFonts w:ascii="Arial" w:cs="Arial" w:eastAsia="Arial" w:hAnsi="Arial"/>
          <w:sz w:val="18"/>
          <w:szCs w:val="18"/>
          <w:color w:val="auto"/>
        </w:rPr>
      </w:pPr>
    </w:p>
    <w:p>
      <w:pPr>
        <w:ind w:left="706" w:right="540" w:hanging="346"/>
        <w:spacing w:after="0" w:line="306" w:lineRule="auto"/>
        <w:tabs>
          <w:tab w:leader="none" w:pos="706"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aggregated annual total compensation of our current and former CEOs, based on compensation provided to each individual for the time he served as our CEO during 2020, was $3,638,204.</w:t>
      </w:r>
    </w:p>
    <w:p>
      <w:pPr>
        <w:spacing w:after="0" w:line="82" w:lineRule="exact"/>
        <w:rPr>
          <w:sz w:val="20"/>
          <w:szCs w:val="20"/>
          <w:color w:val="auto"/>
        </w:rPr>
      </w:pPr>
    </w:p>
    <w:p>
      <w:pPr>
        <w:ind w:left="6" w:right="20"/>
        <w:spacing w:after="0" w:line="243" w:lineRule="auto"/>
        <w:rPr>
          <w:sz w:val="20"/>
          <w:szCs w:val="20"/>
          <w:color w:val="auto"/>
        </w:rPr>
      </w:pPr>
      <w:r>
        <w:rPr>
          <w:rFonts w:ascii="Arial" w:cs="Arial" w:eastAsia="Arial" w:hAnsi="Arial"/>
          <w:sz w:val="18"/>
          <w:szCs w:val="18"/>
          <w:color w:val="auto"/>
        </w:rPr>
        <w:t>For 2020, the annual total compensation of our CEO was 58 times that of the median of the annual total compensation of all employees. This calculation is based on our employee population of 6,134, as of December 31, 2020. The median employee was identified using base pay, overtime pay, short-term incentives, and long-term incentive grant date fair values, for the twelve months ended December 31, 2020. Our median employee is located in Portugal. For purposes of this disclosure, we applied a Euro to U.S. dollars exchange rate of $1.2242 using a period-end rate of twelve months as of December 2020.</w:t>
      </w:r>
    </w:p>
    <w:p>
      <w:pPr>
        <w:spacing w:after="0" w:line="133" w:lineRule="exact"/>
        <w:rPr>
          <w:sz w:val="20"/>
          <w:szCs w:val="20"/>
          <w:color w:val="auto"/>
        </w:rPr>
      </w:pPr>
    </w:p>
    <w:p>
      <w:pPr>
        <w:ind w:left="6" w:right="40"/>
        <w:spacing w:after="0"/>
        <w:rPr>
          <w:sz w:val="20"/>
          <w:szCs w:val="20"/>
          <w:color w:val="auto"/>
        </w:rPr>
      </w:pPr>
      <w:r>
        <w:rPr>
          <w:rFonts w:ascii="Arial" w:cs="Arial" w:eastAsia="Arial" w:hAnsi="Arial"/>
          <w:sz w:val="18"/>
          <w:szCs w:val="18"/>
          <w:color w:val="auto"/>
        </w:rPr>
        <w:t>Annual total compensation for the CEO and the median employee was calculated in accordance with Item 402(c) (2)(x) of Regulation S-K. This pay ratio is a reasonable estimate calculated in a manner consistent with SEC rules based on our payroll and employment records and the methodology described above.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compensation practices. As such, the pay ratio reported by other companies may not be comparable to the pay ratio reported above, as other companies may have different employment and compensation practices and may utilize different methodologies, exclusions, estimates and assumptions in calculating their own pay ratios.</w:t>
      </w:r>
    </w:p>
    <w:p>
      <w:pPr>
        <w:spacing w:after="0" w:line="187"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Impact of Tax and Accounting</w:t>
      </w:r>
    </w:p>
    <w:p>
      <w:pPr>
        <w:spacing w:after="0" w:line="173" w:lineRule="exact"/>
        <w:rPr>
          <w:sz w:val="20"/>
          <w:szCs w:val="20"/>
          <w:color w:val="auto"/>
        </w:rPr>
      </w:pPr>
    </w:p>
    <w:p>
      <w:pPr>
        <w:ind w:left="6" w:right="240"/>
        <w:spacing w:after="0" w:line="255" w:lineRule="auto"/>
        <w:rPr>
          <w:sz w:val="20"/>
          <w:szCs w:val="20"/>
          <w:color w:val="auto"/>
        </w:rPr>
      </w:pPr>
      <w:r>
        <w:rPr>
          <w:rFonts w:ascii="Arial" w:cs="Arial" w:eastAsia="Arial" w:hAnsi="Arial"/>
          <w:sz w:val="18"/>
          <w:szCs w:val="18"/>
          <w:color w:val="auto"/>
        </w:rPr>
        <w:t>We regularly consider the various tax and accounting implications of our compensation plans. When determining the amount of long-term incentives and equity grants to executives and employees, the compensation costs associated with the grants are reviewed, as required by FASB ASC Topic 718.</w:t>
      </w:r>
    </w:p>
    <w:p>
      <w:pPr>
        <w:spacing w:after="0" w:line="272" w:lineRule="exact"/>
        <w:rPr>
          <w:sz w:val="20"/>
          <w:szCs w:val="20"/>
          <w:color w:val="auto"/>
        </w:rPr>
      </w:pPr>
    </w:p>
    <w:p>
      <w:pPr>
        <w:jc w:val="center"/>
        <w:ind w:right="-25"/>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165735</wp:posOffset>
            </wp:positionV>
            <wp:extent cx="699516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263" w:right="1359" w:bottom="1440" w:gutter="0" w:footer="0" w:header="0"/>
        </w:sectPr>
      </w:pPr>
    </w:p>
    <w:bookmarkStart w:id="39" w:name="page40"/>
    <w:bookmarkEnd w:id="39"/>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Compensation Committee Report</w:t>
      </w:r>
    </w:p>
    <w:p>
      <w:pPr>
        <w:spacing w:after="0" w:line="187"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The Compensation Committee has reviewed and discussed the Compensation Discussion and Analysis with Itron’s management and the board’s outside compensation consultant. Based on the review and discussions, the Compensation Committee has recommended to the Board of Directors that the Compensation Discussion and Analysis be included in the Company’s 2020 Annual Report on Form 10-K and the Company’s 2021 proxy statement.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Diana D. Tremblay, Chair</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Daniel S. Pelino</w:t>
      </w:r>
    </w:p>
    <w:p>
      <w:pPr>
        <w:spacing w:after="0"/>
        <w:rPr>
          <w:sz w:val="20"/>
          <w:szCs w:val="20"/>
          <w:color w:val="auto"/>
        </w:rPr>
      </w:pPr>
      <w:r>
        <w:rPr>
          <w:rFonts w:ascii="Arial" w:cs="Arial" w:eastAsia="Arial" w:hAnsi="Arial"/>
          <w:sz w:val="18"/>
          <w:szCs w:val="18"/>
          <w:color w:val="auto"/>
        </w:rPr>
        <w:t>Frank M. Jaehnert</w:t>
      </w: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157480</wp:posOffset>
            </wp:positionV>
            <wp:extent cx="699516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60"/>
          </w:cols>
          <w:pgMar w:left="1360" w:top="263" w:right="1379" w:bottom="1440" w:gutter="0" w:footer="0" w:header="0"/>
        </w:sectPr>
      </w:pPr>
    </w:p>
    <w:bookmarkStart w:id="40" w:name="page41"/>
    <w:bookmarkEnd w:id="40"/>
    <w:p>
      <w:pPr>
        <w:ind w:left="6"/>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122"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EXECUTIVE COMPENSATION TABLES</w:t>
      </w:r>
    </w:p>
    <w:p>
      <w:pPr>
        <w:spacing w:after="0" w:line="131"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Summary Compensation Table</w:t>
      </w:r>
    </w:p>
    <w:p>
      <w:pPr>
        <w:spacing w:after="0" w:line="173" w:lineRule="exact"/>
        <w:rPr>
          <w:sz w:val="20"/>
          <w:szCs w:val="20"/>
          <w:color w:val="auto"/>
        </w:rPr>
      </w:pPr>
    </w:p>
    <w:p>
      <w:pPr>
        <w:ind w:left="6" w:right="280"/>
        <w:spacing w:after="0" w:line="276" w:lineRule="auto"/>
        <w:rPr>
          <w:sz w:val="20"/>
          <w:szCs w:val="20"/>
          <w:color w:val="auto"/>
        </w:rPr>
      </w:pPr>
      <w:r>
        <w:rPr>
          <w:rFonts w:ascii="Arial" w:cs="Arial" w:eastAsia="Arial" w:hAnsi="Arial"/>
          <w:sz w:val="18"/>
          <w:szCs w:val="18"/>
          <w:color w:val="auto"/>
        </w:rPr>
        <w:t>The following table provides information regarding compensation of the Company’s NEOs. The amounts shown include amounts deferred at the executives’ election. All numbers are rounded to the nearest dollar.</w:t>
      </w:r>
    </w:p>
    <w:p>
      <w:pPr>
        <w:spacing w:after="0" w:line="58" w:lineRule="exact"/>
        <w:rPr>
          <w:sz w:val="20"/>
          <w:szCs w:val="20"/>
          <w:color w:val="auto"/>
        </w:rPr>
      </w:pPr>
    </w:p>
    <w:p>
      <w:pPr>
        <w:jc w:val="center"/>
        <w:ind w:right="-45"/>
        <w:spacing w:after="0"/>
        <w:rPr>
          <w:sz w:val="20"/>
          <w:szCs w:val="20"/>
          <w:color w:val="auto"/>
        </w:rPr>
      </w:pPr>
      <w:r>
        <w:rPr>
          <w:rFonts w:ascii="Arial" w:cs="Arial" w:eastAsia="Arial" w:hAnsi="Arial"/>
          <w:sz w:val="14"/>
          <w:szCs w:val="14"/>
          <w:b w:val="1"/>
          <w:bCs w:val="1"/>
          <w:color w:val="auto"/>
        </w:rPr>
        <w:t>ITRON,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61595</wp:posOffset>
            </wp:positionV>
            <wp:extent cx="57607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157" w:lineRule="exact"/>
        <w:rPr>
          <w:sz w:val="20"/>
          <w:szCs w:val="20"/>
          <w:color w:val="auto"/>
        </w:rPr>
      </w:pPr>
    </w:p>
    <w:p>
      <w:pPr>
        <w:jc w:val="center"/>
        <w:ind w:right="-45"/>
        <w:spacing w:after="0"/>
        <w:rPr>
          <w:sz w:val="20"/>
          <w:szCs w:val="20"/>
          <w:color w:val="auto"/>
        </w:rPr>
      </w:pPr>
      <w:r>
        <w:rPr>
          <w:rFonts w:ascii="Arial" w:cs="Arial" w:eastAsia="Arial" w:hAnsi="Arial"/>
          <w:sz w:val="14"/>
          <w:szCs w:val="14"/>
          <w:b w:val="1"/>
          <w:bCs w:val="1"/>
          <w:color w:val="auto"/>
        </w:rPr>
        <w:t>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61595</wp:posOffset>
            </wp:positionV>
            <wp:extent cx="57607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157" w:lineRule="exact"/>
        <w:rPr>
          <w:sz w:val="20"/>
          <w:szCs w:val="20"/>
          <w:color w:val="auto"/>
        </w:rPr>
      </w:pPr>
    </w:p>
    <w:tbl>
      <w:tblPr>
        <w:tblLayout w:type="fixed"/>
        <w:tblInd w:w="46" w:type="dxa"/>
        <w:tblCellMar>
          <w:top w:w="0" w:type="dxa"/>
          <w:left w:w="0" w:type="dxa"/>
          <w:bottom w:w="0" w:type="dxa"/>
          <w:right w:w="0" w:type="dxa"/>
        </w:tblCellMar>
      </w:tblPr>
      <w:tr>
        <w:trPr>
          <w:trHeight w:val="162"/>
        </w:trPr>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Non-Equity</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40" w:type="dxa"/>
            <w:vAlign w:val="bottom"/>
            <w:gridSpan w:val="2"/>
          </w:tcPr>
          <w:p>
            <w:pPr>
              <w:ind w:left="40"/>
              <w:spacing w:after="0"/>
              <w:rPr>
                <w:sz w:val="20"/>
                <w:szCs w:val="20"/>
                <w:color w:val="auto"/>
              </w:rPr>
            </w:pPr>
            <w:r>
              <w:rPr>
                <w:rFonts w:ascii="Arial" w:cs="Arial" w:eastAsia="Arial" w:hAnsi="Arial"/>
                <w:sz w:val="14"/>
                <w:szCs w:val="14"/>
                <w:b w:val="1"/>
                <w:bCs w:val="1"/>
                <w:color w:val="auto"/>
              </w:rPr>
              <w:t>Name and</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Stock</w:t>
            </w: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Option</w:t>
            </w:r>
          </w:p>
        </w:tc>
        <w:tc>
          <w:tcPr>
            <w:tcW w:w="11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Incentive Plan</w:t>
            </w:r>
          </w:p>
        </w:tc>
        <w:tc>
          <w:tcPr>
            <w:tcW w:w="11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All Other</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140" w:type="dxa"/>
            <w:vAlign w:val="bottom"/>
            <w:gridSpan w:val="2"/>
          </w:tcPr>
          <w:p>
            <w:pPr>
              <w:ind w:left="40"/>
              <w:spacing w:after="0" w:line="150" w:lineRule="exact"/>
              <w:rPr>
                <w:sz w:val="20"/>
                <w:szCs w:val="20"/>
                <w:color w:val="auto"/>
              </w:rPr>
            </w:pPr>
            <w:r>
              <w:rPr>
                <w:rFonts w:ascii="Arial" w:cs="Arial" w:eastAsia="Arial" w:hAnsi="Arial"/>
                <w:sz w:val="14"/>
                <w:szCs w:val="14"/>
                <w:b w:val="1"/>
                <w:bCs w:val="1"/>
                <w:color w:val="auto"/>
              </w:rPr>
              <w:t>Principal</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ind w:left="100"/>
              <w:spacing w:after="0" w:line="150" w:lineRule="exact"/>
              <w:rPr>
                <w:sz w:val="20"/>
                <w:szCs w:val="20"/>
                <w:color w:val="auto"/>
              </w:rPr>
            </w:pPr>
            <w:r>
              <w:rPr>
                <w:rFonts w:ascii="Arial" w:cs="Arial" w:eastAsia="Arial" w:hAnsi="Arial"/>
                <w:sz w:val="14"/>
                <w:szCs w:val="14"/>
                <w:b w:val="1"/>
                <w:bCs w:val="1"/>
                <w:color w:val="auto"/>
              </w:rPr>
              <w:t>Salary</w:t>
            </w:r>
          </w:p>
        </w:tc>
        <w:tc>
          <w:tcPr>
            <w:tcW w:w="100" w:type="dxa"/>
            <w:vAlign w:val="bottom"/>
          </w:tcPr>
          <w:p>
            <w:pPr>
              <w:spacing w:after="0"/>
              <w:rPr>
                <w:sz w:val="13"/>
                <w:szCs w:val="13"/>
                <w:color w:val="auto"/>
              </w:rPr>
            </w:pPr>
          </w:p>
        </w:tc>
        <w:tc>
          <w:tcPr>
            <w:tcW w:w="780" w:type="dxa"/>
            <w:vAlign w:val="bottom"/>
            <w:gridSpan w:val="2"/>
          </w:tcPr>
          <w:p>
            <w:pPr>
              <w:ind w:left="120"/>
              <w:spacing w:after="0" w:line="150" w:lineRule="exact"/>
              <w:rPr>
                <w:sz w:val="20"/>
                <w:szCs w:val="20"/>
                <w:color w:val="auto"/>
              </w:rPr>
            </w:pPr>
            <w:r>
              <w:rPr>
                <w:rFonts w:ascii="Arial" w:cs="Arial" w:eastAsia="Arial" w:hAnsi="Arial"/>
                <w:sz w:val="14"/>
                <w:szCs w:val="14"/>
                <w:b w:val="1"/>
                <w:bCs w:val="1"/>
                <w:color w:val="auto"/>
              </w:rPr>
              <w:t>Bonus</w:t>
            </w:r>
          </w:p>
        </w:tc>
        <w:tc>
          <w:tcPr>
            <w:tcW w:w="920" w:type="dxa"/>
            <w:vAlign w:val="bottom"/>
            <w:gridSpan w:val="2"/>
          </w:tcPr>
          <w:p>
            <w:pPr>
              <w:jc w:val="center"/>
              <w:ind w:right="160"/>
              <w:spacing w:after="0" w:line="150" w:lineRule="exact"/>
              <w:rPr>
                <w:sz w:val="20"/>
                <w:szCs w:val="20"/>
                <w:color w:val="auto"/>
              </w:rPr>
            </w:pPr>
            <w:r>
              <w:rPr>
                <w:rFonts w:ascii="Arial" w:cs="Arial" w:eastAsia="Arial" w:hAnsi="Arial"/>
                <w:sz w:val="14"/>
                <w:szCs w:val="14"/>
                <w:b w:val="1"/>
                <w:bCs w:val="1"/>
                <w:color w:val="auto"/>
              </w:rPr>
              <w:t>Awards</w:t>
            </w:r>
          </w:p>
        </w:tc>
        <w:tc>
          <w:tcPr>
            <w:tcW w:w="900" w:type="dxa"/>
            <w:vAlign w:val="bottom"/>
            <w:gridSpan w:val="2"/>
          </w:tcPr>
          <w:p>
            <w:pPr>
              <w:jc w:val="center"/>
              <w:ind w:right="140"/>
              <w:spacing w:after="0" w:line="150" w:lineRule="exact"/>
              <w:rPr>
                <w:sz w:val="20"/>
                <w:szCs w:val="20"/>
                <w:color w:val="auto"/>
              </w:rPr>
            </w:pPr>
            <w:r>
              <w:rPr>
                <w:rFonts w:ascii="Arial" w:cs="Arial" w:eastAsia="Arial" w:hAnsi="Arial"/>
                <w:sz w:val="14"/>
                <w:szCs w:val="14"/>
                <w:b w:val="1"/>
                <w:bCs w:val="1"/>
                <w:color w:val="auto"/>
              </w:rPr>
              <w:t>Awards</w:t>
            </w:r>
          </w:p>
        </w:tc>
        <w:tc>
          <w:tcPr>
            <w:tcW w:w="1120" w:type="dxa"/>
            <w:vAlign w:val="bottom"/>
            <w:gridSpan w:val="2"/>
          </w:tcPr>
          <w:p>
            <w:pPr>
              <w:jc w:val="center"/>
              <w:ind w:right="80"/>
              <w:spacing w:after="0" w:line="150" w:lineRule="exact"/>
              <w:rPr>
                <w:sz w:val="20"/>
                <w:szCs w:val="20"/>
                <w:color w:val="auto"/>
              </w:rPr>
            </w:pPr>
            <w:r>
              <w:rPr>
                <w:rFonts w:ascii="Arial" w:cs="Arial" w:eastAsia="Arial" w:hAnsi="Arial"/>
                <w:sz w:val="14"/>
                <w:szCs w:val="14"/>
                <w:b w:val="1"/>
                <w:bCs w:val="1"/>
                <w:color w:val="auto"/>
              </w:rPr>
              <w:t>Compensation</w:t>
            </w:r>
          </w:p>
        </w:tc>
        <w:tc>
          <w:tcPr>
            <w:tcW w:w="1120" w:type="dxa"/>
            <w:vAlign w:val="bottom"/>
            <w:gridSpan w:val="2"/>
          </w:tcPr>
          <w:p>
            <w:pPr>
              <w:jc w:val="center"/>
              <w:ind w:right="80"/>
              <w:spacing w:after="0" w:line="150" w:lineRule="exact"/>
              <w:rPr>
                <w:sz w:val="20"/>
                <w:szCs w:val="20"/>
                <w:color w:val="auto"/>
              </w:rPr>
            </w:pPr>
            <w:r>
              <w:rPr>
                <w:rFonts w:ascii="Arial" w:cs="Arial" w:eastAsia="Arial" w:hAnsi="Arial"/>
                <w:sz w:val="14"/>
                <w:szCs w:val="14"/>
                <w:b w:val="1"/>
                <w:bCs w:val="1"/>
                <w:color w:val="auto"/>
              </w:rPr>
              <w:t>Compensation</w:t>
            </w:r>
          </w:p>
        </w:tc>
        <w:tc>
          <w:tcPr>
            <w:tcW w:w="820" w:type="dxa"/>
            <w:vAlign w:val="bottom"/>
          </w:tcPr>
          <w:p>
            <w:pPr>
              <w:jc w:val="right"/>
              <w:ind w:right="172"/>
              <w:spacing w:after="0" w:line="150"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70"/>
        </w:trPr>
        <w:tc>
          <w:tcPr>
            <w:tcW w:w="2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Position</w:t>
            </w:r>
          </w:p>
        </w:tc>
        <w:tc>
          <w:tcPr>
            <w:tcW w:w="100" w:type="dxa"/>
            <w:vAlign w:val="bottom"/>
          </w:tcPr>
          <w:p>
            <w:pPr>
              <w:spacing w:after="0"/>
              <w:rPr>
                <w:sz w:val="23"/>
                <w:szCs w:val="23"/>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Year</w:t>
            </w:r>
          </w:p>
        </w:tc>
        <w:tc>
          <w:tcPr>
            <w:tcW w:w="120" w:type="dxa"/>
            <w:vAlign w:val="bottom"/>
          </w:tcPr>
          <w:p>
            <w:pPr>
              <w:spacing w:after="0"/>
              <w:rPr>
                <w:sz w:val="23"/>
                <w:szCs w:val="23"/>
                <w:color w:val="auto"/>
              </w:rPr>
            </w:pPr>
          </w:p>
        </w:tc>
        <w:tc>
          <w:tcPr>
            <w:tcW w:w="66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3"/>
                <w:szCs w:val="23"/>
                <w:color w:val="auto"/>
              </w:rPr>
            </w:pPr>
          </w:p>
        </w:tc>
        <w:tc>
          <w:tcPr>
            <w:tcW w:w="6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3"/>
                <w:szCs w:val="23"/>
                <w:color w:val="auto"/>
              </w:rPr>
            </w:pPr>
          </w:p>
        </w:tc>
        <w:tc>
          <w:tcPr>
            <w:tcW w:w="800" w:type="dxa"/>
            <w:vAlign w:val="bottom"/>
            <w:tcBorders>
              <w:bottom w:val="single" w:sz="8" w:color="auto"/>
            </w:tcBorders>
          </w:tcPr>
          <w:p>
            <w:pPr>
              <w:jc w:val="center"/>
              <w:spacing w:after="0" w:line="270" w:lineRule="exact"/>
              <w:rPr>
                <w:sz w:val="20"/>
                <w:szCs w:val="20"/>
                <w:color w:val="auto"/>
              </w:rPr>
            </w:pPr>
            <w:r>
              <w:rPr>
                <w:rFonts w:ascii="Arial" w:cs="Arial" w:eastAsia="Arial" w:hAnsi="Arial"/>
                <w:sz w:val="28"/>
                <w:szCs w:val="28"/>
                <w:b w:val="1"/>
                <w:bCs w:val="1"/>
                <w:color w:val="auto"/>
                <w:w w:val="91"/>
                <w:vertAlign w:val="subscript"/>
              </w:rPr>
              <w:t>($)</w:t>
            </w:r>
            <w:r>
              <w:rPr>
                <w:rFonts w:ascii="Arial" w:cs="Arial" w:eastAsia="Arial" w:hAnsi="Arial"/>
                <w:sz w:val="12"/>
                <w:szCs w:val="12"/>
                <w:b w:val="1"/>
                <w:bCs w:val="1"/>
                <w:color w:val="auto"/>
                <w:w w:val="91"/>
              </w:rPr>
              <w:t>(1)(2)</w:t>
            </w:r>
          </w:p>
        </w:tc>
        <w:tc>
          <w:tcPr>
            <w:tcW w:w="120" w:type="dxa"/>
            <w:vAlign w:val="bottom"/>
          </w:tcPr>
          <w:p>
            <w:pPr>
              <w:spacing w:after="0"/>
              <w:rPr>
                <w:sz w:val="23"/>
                <w:szCs w:val="23"/>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w:t>
            </w:r>
            <w:r>
              <w:rPr>
                <w:rFonts w:ascii="Arial" w:cs="Arial" w:eastAsia="Arial" w:hAnsi="Arial"/>
                <w:sz w:val="23"/>
                <w:szCs w:val="23"/>
                <w:b w:val="1"/>
                <w:bCs w:val="1"/>
                <w:color w:val="auto"/>
                <w:w w:val="89"/>
                <w:vertAlign w:val="superscript"/>
              </w:rPr>
              <w:t>(1)</w:t>
            </w:r>
          </w:p>
        </w:tc>
        <w:tc>
          <w:tcPr>
            <w:tcW w:w="100" w:type="dxa"/>
            <w:vAlign w:val="bottom"/>
          </w:tcPr>
          <w:p>
            <w:pPr>
              <w:spacing w:after="0"/>
              <w:rPr>
                <w:sz w:val="23"/>
                <w:szCs w:val="23"/>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w:t>
            </w:r>
            <w:r>
              <w:rPr>
                <w:rFonts w:ascii="Arial" w:cs="Arial" w:eastAsia="Arial" w:hAnsi="Arial"/>
                <w:sz w:val="23"/>
                <w:szCs w:val="23"/>
                <w:b w:val="1"/>
                <w:bCs w:val="1"/>
                <w:color w:val="auto"/>
                <w:w w:val="89"/>
                <w:vertAlign w:val="superscript"/>
              </w:rPr>
              <w:t>(3)</w:t>
            </w:r>
          </w:p>
        </w:tc>
        <w:tc>
          <w:tcPr>
            <w:tcW w:w="100" w:type="dxa"/>
            <w:vAlign w:val="bottom"/>
          </w:tcPr>
          <w:p>
            <w:pPr>
              <w:spacing w:after="0"/>
              <w:rPr>
                <w:sz w:val="23"/>
                <w:szCs w:val="23"/>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3"/>
                <w:szCs w:val="23"/>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4"/>
        </w:trPr>
        <w:tc>
          <w:tcPr>
            <w:tcW w:w="2140" w:type="dxa"/>
            <w:vAlign w:val="bottom"/>
            <w:gridSpan w:val="2"/>
          </w:tcPr>
          <w:p>
            <w:pPr>
              <w:ind w:left="40"/>
              <w:spacing w:after="0"/>
              <w:rPr>
                <w:sz w:val="20"/>
                <w:szCs w:val="20"/>
                <w:color w:val="auto"/>
              </w:rPr>
            </w:pPr>
            <w:r>
              <w:rPr>
                <w:rFonts w:ascii="Arial" w:cs="Arial" w:eastAsia="Arial" w:hAnsi="Arial"/>
                <w:sz w:val="18"/>
                <w:szCs w:val="18"/>
                <w:color w:val="auto"/>
              </w:rPr>
              <w:t>Thomas Deitrich</w:t>
            </w:r>
          </w:p>
        </w:tc>
        <w:tc>
          <w:tcPr>
            <w:tcW w:w="400" w:type="dxa"/>
            <w:vAlign w:val="bottom"/>
          </w:tcPr>
          <w:p>
            <w:pPr>
              <w:jc w:val="center"/>
              <w:spacing w:after="0"/>
              <w:rPr>
                <w:sz w:val="20"/>
                <w:szCs w:val="20"/>
                <w:color w:val="auto"/>
              </w:rPr>
            </w:pPr>
            <w:r>
              <w:rPr>
                <w:rFonts w:ascii="Arial" w:cs="Arial" w:eastAsia="Arial" w:hAnsi="Arial"/>
                <w:sz w:val="18"/>
                <w:szCs w:val="18"/>
                <w:color w:val="auto"/>
                <w:w w:val="99"/>
              </w:rPr>
              <w:t>2020</w:t>
            </w:r>
          </w:p>
        </w:tc>
        <w:tc>
          <w:tcPr>
            <w:tcW w:w="120" w:type="dxa"/>
            <w:vAlign w:val="bottom"/>
          </w:tcPr>
          <w:p>
            <w:pPr>
              <w:spacing w:after="0"/>
              <w:rPr>
                <w:sz w:val="22"/>
                <w:szCs w:val="22"/>
                <w:color w:val="auto"/>
              </w:rPr>
            </w:pPr>
          </w:p>
        </w:tc>
        <w:tc>
          <w:tcPr>
            <w:tcW w:w="660" w:type="dxa"/>
            <w:vAlign w:val="bottom"/>
          </w:tcPr>
          <w:p>
            <w:pPr>
              <w:spacing w:after="0"/>
              <w:rPr>
                <w:sz w:val="20"/>
                <w:szCs w:val="20"/>
                <w:color w:val="auto"/>
              </w:rPr>
            </w:pPr>
            <w:r>
              <w:rPr>
                <w:rFonts w:ascii="Arial" w:cs="Arial" w:eastAsia="Arial" w:hAnsi="Arial"/>
                <w:sz w:val="18"/>
                <w:szCs w:val="18"/>
                <w:color w:val="auto"/>
                <w:w w:val="98"/>
              </w:rPr>
              <w:t>800,000</w:t>
            </w:r>
          </w:p>
        </w:tc>
        <w:tc>
          <w:tcPr>
            <w:tcW w:w="100" w:type="dxa"/>
            <w:vAlign w:val="bottom"/>
          </w:tcPr>
          <w:p>
            <w:pPr>
              <w:spacing w:after="0"/>
              <w:rPr>
                <w:sz w:val="22"/>
                <w:szCs w:val="22"/>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2,075,403</w:t>
            </w:r>
          </w:p>
        </w:tc>
        <w:tc>
          <w:tcPr>
            <w:tcW w:w="1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749,976</w:t>
            </w:r>
          </w:p>
        </w:tc>
        <w:tc>
          <w:tcPr>
            <w:tcW w:w="100" w:type="dxa"/>
            <w:vAlign w:val="bottom"/>
          </w:tcPr>
          <w:p>
            <w:pPr>
              <w:spacing w:after="0"/>
              <w:rPr>
                <w:sz w:val="22"/>
                <w:szCs w:val="22"/>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53" w:lineRule="exact"/>
              <w:rPr>
                <w:sz w:val="20"/>
                <w:szCs w:val="20"/>
                <w:color w:val="auto"/>
              </w:rPr>
            </w:pPr>
            <w:r>
              <w:rPr>
                <w:rFonts w:ascii="Arial" w:cs="Arial" w:eastAsia="Arial" w:hAnsi="Arial"/>
                <w:sz w:val="18"/>
                <w:szCs w:val="18"/>
                <w:color w:val="auto"/>
              </w:rPr>
              <w:t>12,825</w:t>
            </w:r>
            <w:r>
              <w:rPr>
                <w:rFonts w:ascii="Arial" w:cs="Arial" w:eastAsia="Arial" w:hAnsi="Arial"/>
                <w:sz w:val="29"/>
                <w:szCs w:val="29"/>
                <w:color w:val="auto"/>
                <w:vertAlign w:val="superscript"/>
              </w:rPr>
              <w:t>(4)</w:t>
            </w: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3,638,204</w:t>
            </w:r>
          </w:p>
        </w:tc>
        <w:tc>
          <w:tcPr>
            <w:tcW w:w="0" w:type="dxa"/>
            <w:vAlign w:val="bottom"/>
          </w:tcPr>
          <w:p>
            <w:pPr>
              <w:spacing w:after="0"/>
              <w:rPr>
                <w:sz w:val="1"/>
                <w:szCs w:val="1"/>
                <w:color w:val="auto"/>
              </w:rPr>
            </w:pPr>
          </w:p>
        </w:tc>
      </w:tr>
      <w:tr>
        <w:trPr>
          <w:trHeight w:val="243"/>
        </w:trPr>
        <w:tc>
          <w:tcPr>
            <w:tcW w:w="2140" w:type="dxa"/>
            <w:vAlign w:val="bottom"/>
            <w:gridSpan w:val="2"/>
          </w:tcPr>
          <w:p>
            <w:pPr>
              <w:ind w:left="220"/>
              <w:spacing w:after="0"/>
              <w:rPr>
                <w:sz w:val="20"/>
                <w:szCs w:val="20"/>
                <w:color w:val="auto"/>
              </w:rPr>
            </w:pPr>
            <w:r>
              <w:rPr>
                <w:rFonts w:ascii="Arial" w:cs="Arial" w:eastAsia="Arial" w:hAnsi="Arial"/>
                <w:sz w:val="18"/>
                <w:szCs w:val="18"/>
                <w:color w:val="auto"/>
              </w:rPr>
              <w:t>President and CEO</w:t>
            </w:r>
          </w:p>
        </w:tc>
        <w:tc>
          <w:tcPr>
            <w:tcW w:w="400" w:type="dxa"/>
            <w:vAlign w:val="bottom"/>
            <w:vMerge w:val="restart"/>
          </w:tcPr>
          <w:p>
            <w:pPr>
              <w:jc w:val="center"/>
              <w:spacing w:after="0"/>
              <w:rPr>
                <w:sz w:val="20"/>
                <w:szCs w:val="20"/>
                <w:color w:val="auto"/>
              </w:rPr>
            </w:pPr>
            <w:r>
              <w:rPr>
                <w:rFonts w:ascii="Arial" w:cs="Arial" w:eastAsia="Arial" w:hAnsi="Arial"/>
                <w:sz w:val="18"/>
                <w:szCs w:val="18"/>
                <w:color w:val="auto"/>
                <w:w w:val="99"/>
              </w:rPr>
              <w:t>2019</w:t>
            </w:r>
          </w:p>
        </w:tc>
        <w:tc>
          <w:tcPr>
            <w:tcW w:w="120" w:type="dxa"/>
            <w:vAlign w:val="bottom"/>
          </w:tcPr>
          <w:p>
            <w:pPr>
              <w:spacing w:after="0"/>
              <w:rPr>
                <w:sz w:val="21"/>
                <w:szCs w:val="21"/>
                <w:color w:val="auto"/>
              </w:rPr>
            </w:pPr>
          </w:p>
        </w:tc>
        <w:tc>
          <w:tcPr>
            <w:tcW w:w="660" w:type="dxa"/>
            <w:vAlign w:val="bottom"/>
            <w:vMerge w:val="restart"/>
          </w:tcPr>
          <w:p>
            <w:pPr>
              <w:spacing w:after="0"/>
              <w:rPr>
                <w:sz w:val="20"/>
                <w:szCs w:val="20"/>
                <w:color w:val="auto"/>
              </w:rPr>
            </w:pPr>
            <w:r>
              <w:rPr>
                <w:rFonts w:ascii="Arial" w:cs="Arial" w:eastAsia="Arial" w:hAnsi="Arial"/>
                <w:sz w:val="18"/>
                <w:szCs w:val="18"/>
                <w:color w:val="auto"/>
                <w:w w:val="98"/>
              </w:rPr>
              <w:t>650,000</w:t>
            </w:r>
          </w:p>
        </w:tc>
        <w:tc>
          <w:tcPr>
            <w:tcW w:w="100" w:type="dxa"/>
            <w:vAlign w:val="bottom"/>
          </w:tcPr>
          <w:p>
            <w:pPr>
              <w:spacing w:after="0"/>
              <w:rPr>
                <w:sz w:val="21"/>
                <w:szCs w:val="21"/>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w w:val="97"/>
              </w:rPr>
              <w:t>3,333,990</w:t>
            </w:r>
          </w:p>
        </w:tc>
        <w:tc>
          <w:tcPr>
            <w:tcW w:w="120" w:type="dxa"/>
            <w:vAlign w:val="bottom"/>
          </w:tcPr>
          <w:p>
            <w:pPr>
              <w:spacing w:after="0"/>
              <w:rPr>
                <w:sz w:val="21"/>
                <w:szCs w:val="21"/>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w w:val="97"/>
              </w:rPr>
              <w:t>1,999,984</w:t>
            </w:r>
          </w:p>
        </w:tc>
        <w:tc>
          <w:tcPr>
            <w:tcW w:w="100" w:type="dxa"/>
            <w:vAlign w:val="bottom"/>
          </w:tcPr>
          <w:p>
            <w:pPr>
              <w:spacing w:after="0"/>
              <w:rPr>
                <w:sz w:val="21"/>
                <w:szCs w:val="21"/>
                <w:color w:val="auto"/>
              </w:rPr>
            </w:pPr>
          </w:p>
        </w:tc>
        <w:tc>
          <w:tcPr>
            <w:tcW w:w="1020" w:type="dxa"/>
            <w:vAlign w:val="bottom"/>
            <w:vMerge w:val="restart"/>
          </w:tcPr>
          <w:p>
            <w:pPr>
              <w:jc w:val="right"/>
              <w:ind w:right="94"/>
              <w:spacing w:after="0"/>
              <w:rPr>
                <w:sz w:val="20"/>
                <w:szCs w:val="20"/>
                <w:color w:val="auto"/>
              </w:rPr>
            </w:pPr>
            <w:r>
              <w:rPr>
                <w:rFonts w:ascii="Arial" w:cs="Arial" w:eastAsia="Arial" w:hAnsi="Arial"/>
                <w:sz w:val="18"/>
                <w:szCs w:val="18"/>
                <w:color w:val="auto"/>
              </w:rPr>
              <w:t>567,668</w:t>
            </w:r>
          </w:p>
        </w:tc>
        <w:tc>
          <w:tcPr>
            <w:tcW w:w="100" w:type="dxa"/>
            <w:vAlign w:val="bottom"/>
          </w:tcPr>
          <w:p>
            <w:pPr>
              <w:spacing w:after="0"/>
              <w:rPr>
                <w:sz w:val="21"/>
                <w:szCs w:val="21"/>
                <w:color w:val="auto"/>
              </w:rPr>
            </w:pPr>
          </w:p>
        </w:tc>
        <w:tc>
          <w:tcPr>
            <w:tcW w:w="1020" w:type="dxa"/>
            <w:vAlign w:val="bottom"/>
            <w:vMerge w:val="restart"/>
          </w:tcPr>
          <w:p>
            <w:pPr>
              <w:jc w:val="right"/>
              <w:ind w:right="113"/>
              <w:spacing w:after="0"/>
              <w:rPr>
                <w:sz w:val="20"/>
                <w:szCs w:val="20"/>
                <w:color w:val="auto"/>
              </w:rPr>
            </w:pPr>
            <w:r>
              <w:rPr>
                <w:rFonts w:ascii="Arial" w:cs="Arial" w:eastAsia="Arial" w:hAnsi="Arial"/>
                <w:sz w:val="18"/>
                <w:szCs w:val="18"/>
                <w:color w:val="auto"/>
              </w:rPr>
              <w:t>12,600</w:t>
            </w:r>
          </w:p>
        </w:tc>
        <w:tc>
          <w:tcPr>
            <w:tcW w:w="100" w:type="dxa"/>
            <w:vAlign w:val="bottom"/>
          </w:tcPr>
          <w:p>
            <w:pPr>
              <w:spacing w:after="0"/>
              <w:rPr>
                <w:sz w:val="21"/>
                <w:szCs w:val="21"/>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w w:val="99"/>
              </w:rPr>
              <w:t>6,564,242</w:t>
            </w:r>
          </w:p>
        </w:tc>
        <w:tc>
          <w:tcPr>
            <w:tcW w:w="0" w:type="dxa"/>
            <w:vAlign w:val="bottom"/>
          </w:tcPr>
          <w:p>
            <w:pPr>
              <w:spacing w:after="0"/>
              <w:rPr>
                <w:sz w:val="1"/>
                <w:szCs w:val="1"/>
                <w:color w:val="auto"/>
              </w:rPr>
            </w:pPr>
          </w:p>
        </w:tc>
      </w:tr>
      <w:tr>
        <w:trPr>
          <w:trHeight w:val="162"/>
        </w:trPr>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64"/>
        </w:trPr>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99"/>
              </w:rPr>
              <w:t>2018</w:t>
            </w:r>
          </w:p>
        </w:tc>
        <w:tc>
          <w:tcPr>
            <w:tcW w:w="12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8"/>
                <w:szCs w:val="18"/>
                <w:color w:val="auto"/>
                <w:w w:val="98"/>
              </w:rPr>
              <w:t>550,000</w:t>
            </w:r>
          </w:p>
        </w:tc>
        <w:tc>
          <w:tcPr>
            <w:tcW w:w="10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1,867,771</w:t>
            </w: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499,518</w:t>
            </w:r>
          </w:p>
        </w:tc>
        <w:tc>
          <w:tcPr>
            <w:tcW w:w="100" w:type="dxa"/>
            <w:vAlign w:val="bottom"/>
          </w:tcPr>
          <w:p>
            <w:pPr>
              <w:spacing w:after="0"/>
              <w:rPr>
                <w:sz w:val="24"/>
                <w:szCs w:val="24"/>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3"/>
              <w:spacing w:after="0"/>
              <w:rPr>
                <w:sz w:val="20"/>
                <w:szCs w:val="20"/>
                <w:color w:val="auto"/>
              </w:rPr>
            </w:pPr>
            <w:r>
              <w:rPr>
                <w:rFonts w:ascii="Arial" w:cs="Arial" w:eastAsia="Arial" w:hAnsi="Arial"/>
                <w:sz w:val="18"/>
                <w:szCs w:val="18"/>
                <w:color w:val="auto"/>
              </w:rPr>
              <w:t>12,375</w:t>
            </w: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2,929,664</w:t>
            </w:r>
          </w:p>
        </w:tc>
        <w:tc>
          <w:tcPr>
            <w:tcW w:w="0" w:type="dxa"/>
            <w:vAlign w:val="bottom"/>
          </w:tcPr>
          <w:p>
            <w:pPr>
              <w:spacing w:after="0"/>
              <w:rPr>
                <w:sz w:val="1"/>
                <w:szCs w:val="1"/>
                <w:color w:val="auto"/>
              </w:rPr>
            </w:pPr>
          </w:p>
        </w:tc>
      </w:tr>
      <w:tr>
        <w:trPr>
          <w:trHeight w:val="324"/>
        </w:trPr>
        <w:tc>
          <w:tcPr>
            <w:tcW w:w="2140" w:type="dxa"/>
            <w:vAlign w:val="bottom"/>
            <w:gridSpan w:val="2"/>
          </w:tcPr>
          <w:p>
            <w:pPr>
              <w:ind w:left="40"/>
              <w:spacing w:after="0"/>
              <w:rPr>
                <w:sz w:val="20"/>
                <w:szCs w:val="20"/>
                <w:color w:val="auto"/>
              </w:rPr>
            </w:pPr>
            <w:r>
              <w:rPr>
                <w:rFonts w:ascii="Arial" w:cs="Arial" w:eastAsia="Arial" w:hAnsi="Arial"/>
                <w:sz w:val="18"/>
                <w:szCs w:val="18"/>
                <w:color w:val="auto"/>
              </w:rPr>
              <w:t>Joan Hooper</w:t>
            </w:r>
          </w:p>
        </w:tc>
        <w:tc>
          <w:tcPr>
            <w:tcW w:w="400" w:type="dxa"/>
            <w:vAlign w:val="bottom"/>
          </w:tcPr>
          <w:p>
            <w:pPr>
              <w:jc w:val="center"/>
              <w:spacing w:after="0"/>
              <w:rPr>
                <w:sz w:val="20"/>
                <w:szCs w:val="20"/>
                <w:color w:val="auto"/>
              </w:rPr>
            </w:pPr>
            <w:r>
              <w:rPr>
                <w:rFonts w:ascii="Arial" w:cs="Arial" w:eastAsia="Arial" w:hAnsi="Arial"/>
                <w:sz w:val="18"/>
                <w:szCs w:val="18"/>
                <w:color w:val="auto"/>
                <w:w w:val="99"/>
              </w:rPr>
              <w:t>2020</w:t>
            </w:r>
          </w:p>
        </w:tc>
        <w:tc>
          <w:tcPr>
            <w:tcW w:w="12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8"/>
                <w:szCs w:val="18"/>
                <w:color w:val="auto"/>
                <w:w w:val="98"/>
              </w:rPr>
              <w:t>511,298</w:t>
            </w:r>
          </w:p>
        </w:tc>
        <w:tc>
          <w:tcPr>
            <w:tcW w:w="10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949,389</w:t>
            </w: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312,479</w:t>
            </w:r>
          </w:p>
        </w:tc>
        <w:tc>
          <w:tcPr>
            <w:tcW w:w="100" w:type="dxa"/>
            <w:vAlign w:val="bottom"/>
          </w:tcPr>
          <w:p>
            <w:pPr>
              <w:spacing w:after="0"/>
              <w:rPr>
                <w:sz w:val="24"/>
                <w:szCs w:val="24"/>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324" w:lineRule="exact"/>
              <w:rPr>
                <w:sz w:val="20"/>
                <w:szCs w:val="20"/>
                <w:color w:val="auto"/>
              </w:rPr>
            </w:pPr>
            <w:r>
              <w:rPr>
                <w:rFonts w:ascii="Arial" w:cs="Arial" w:eastAsia="Arial" w:hAnsi="Arial"/>
                <w:sz w:val="18"/>
                <w:szCs w:val="18"/>
                <w:color w:val="auto"/>
              </w:rPr>
              <w:t>39,138</w:t>
            </w:r>
            <w:r>
              <w:rPr>
                <w:rFonts w:ascii="Arial" w:cs="Arial" w:eastAsia="Arial" w:hAnsi="Arial"/>
                <w:sz w:val="29"/>
                <w:szCs w:val="29"/>
                <w:color w:val="auto"/>
                <w:vertAlign w:val="superscript"/>
              </w:rPr>
              <w:t>(4)</w:t>
            </w: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1,812,304</w:t>
            </w:r>
          </w:p>
        </w:tc>
        <w:tc>
          <w:tcPr>
            <w:tcW w:w="0" w:type="dxa"/>
            <w:vAlign w:val="bottom"/>
          </w:tcPr>
          <w:p>
            <w:pPr>
              <w:spacing w:after="0"/>
              <w:rPr>
                <w:sz w:val="1"/>
                <w:szCs w:val="1"/>
                <w:color w:val="auto"/>
              </w:rPr>
            </w:pPr>
          </w:p>
        </w:tc>
      </w:tr>
      <w:tr>
        <w:trPr>
          <w:trHeight w:val="203"/>
        </w:trPr>
        <w:tc>
          <w:tcPr>
            <w:tcW w:w="214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Senior Vice President</w:t>
            </w:r>
          </w:p>
        </w:tc>
        <w:tc>
          <w:tcPr>
            <w:tcW w:w="400" w:type="dxa"/>
            <w:vAlign w:val="bottom"/>
            <w:vMerge w:val="restart"/>
          </w:tcPr>
          <w:p>
            <w:pPr>
              <w:jc w:val="center"/>
              <w:spacing w:after="0"/>
              <w:rPr>
                <w:sz w:val="20"/>
                <w:szCs w:val="20"/>
                <w:color w:val="auto"/>
              </w:rPr>
            </w:pPr>
            <w:r>
              <w:rPr>
                <w:rFonts w:ascii="Arial" w:cs="Arial" w:eastAsia="Arial" w:hAnsi="Arial"/>
                <w:sz w:val="18"/>
                <w:szCs w:val="18"/>
                <w:color w:val="auto"/>
                <w:w w:val="99"/>
              </w:rPr>
              <w:t>2019</w:t>
            </w:r>
          </w:p>
        </w:tc>
        <w:tc>
          <w:tcPr>
            <w:tcW w:w="120" w:type="dxa"/>
            <w:vAlign w:val="bottom"/>
          </w:tcPr>
          <w:p>
            <w:pPr>
              <w:spacing w:after="0"/>
              <w:rPr>
                <w:sz w:val="17"/>
                <w:szCs w:val="17"/>
                <w:color w:val="auto"/>
              </w:rPr>
            </w:pPr>
          </w:p>
        </w:tc>
        <w:tc>
          <w:tcPr>
            <w:tcW w:w="660" w:type="dxa"/>
            <w:vAlign w:val="bottom"/>
            <w:vMerge w:val="restart"/>
          </w:tcPr>
          <w:p>
            <w:pPr>
              <w:spacing w:after="0"/>
              <w:rPr>
                <w:sz w:val="20"/>
                <w:szCs w:val="20"/>
                <w:color w:val="auto"/>
              </w:rPr>
            </w:pPr>
            <w:r>
              <w:rPr>
                <w:rFonts w:ascii="Arial" w:cs="Arial" w:eastAsia="Arial" w:hAnsi="Arial"/>
                <w:sz w:val="18"/>
                <w:szCs w:val="18"/>
                <w:color w:val="auto"/>
                <w:w w:val="98"/>
              </w:rPr>
              <w:t>485,000</w:t>
            </w:r>
          </w:p>
        </w:tc>
        <w:tc>
          <w:tcPr>
            <w:tcW w:w="100" w:type="dxa"/>
            <w:vAlign w:val="bottom"/>
          </w:tcPr>
          <w:p>
            <w:pPr>
              <w:spacing w:after="0"/>
              <w:rPr>
                <w:sz w:val="17"/>
                <w:szCs w:val="17"/>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w w:val="97"/>
              </w:rPr>
              <w:t>1,314,265</w:t>
            </w:r>
          </w:p>
        </w:tc>
        <w:tc>
          <w:tcPr>
            <w:tcW w:w="120" w:type="dxa"/>
            <w:vAlign w:val="bottom"/>
          </w:tcPr>
          <w:p>
            <w:pPr>
              <w:spacing w:after="0"/>
              <w:rPr>
                <w:sz w:val="17"/>
                <w:szCs w:val="17"/>
                <w:color w:val="auto"/>
              </w:rPr>
            </w:pPr>
          </w:p>
        </w:tc>
        <w:tc>
          <w:tcPr>
            <w:tcW w:w="900" w:type="dxa"/>
            <w:vAlign w:val="bottom"/>
            <w:gridSpan w:val="2"/>
            <w:vMerge w:val="restart"/>
          </w:tcPr>
          <w:p>
            <w:pPr>
              <w:ind w:left="600"/>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ind w:right="94"/>
              <w:spacing w:after="0"/>
              <w:rPr>
                <w:sz w:val="20"/>
                <w:szCs w:val="20"/>
                <w:color w:val="auto"/>
              </w:rPr>
            </w:pPr>
            <w:r>
              <w:rPr>
                <w:rFonts w:ascii="Arial" w:cs="Arial" w:eastAsia="Arial" w:hAnsi="Arial"/>
                <w:sz w:val="18"/>
                <w:szCs w:val="18"/>
                <w:color w:val="auto"/>
              </w:rPr>
              <w:t>310,097</w:t>
            </w:r>
          </w:p>
        </w:tc>
        <w:tc>
          <w:tcPr>
            <w:tcW w:w="100" w:type="dxa"/>
            <w:vAlign w:val="bottom"/>
          </w:tcPr>
          <w:p>
            <w:pPr>
              <w:spacing w:after="0"/>
              <w:rPr>
                <w:sz w:val="17"/>
                <w:szCs w:val="17"/>
                <w:color w:val="auto"/>
              </w:rPr>
            </w:pPr>
          </w:p>
        </w:tc>
        <w:tc>
          <w:tcPr>
            <w:tcW w:w="1020" w:type="dxa"/>
            <w:vAlign w:val="bottom"/>
            <w:vMerge w:val="restart"/>
          </w:tcPr>
          <w:p>
            <w:pPr>
              <w:jc w:val="right"/>
              <w:ind w:right="113"/>
              <w:spacing w:after="0"/>
              <w:rPr>
                <w:sz w:val="20"/>
                <w:szCs w:val="20"/>
                <w:color w:val="auto"/>
              </w:rPr>
            </w:pPr>
            <w:r>
              <w:rPr>
                <w:rFonts w:ascii="Arial" w:cs="Arial" w:eastAsia="Arial" w:hAnsi="Arial"/>
                <w:sz w:val="18"/>
                <w:szCs w:val="18"/>
                <w:color w:val="auto"/>
              </w:rPr>
              <w:t>19,634</w:t>
            </w:r>
          </w:p>
        </w:tc>
        <w:tc>
          <w:tcPr>
            <w:tcW w:w="10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w w:val="99"/>
              </w:rPr>
              <w:t>2,128,996</w:t>
            </w:r>
          </w:p>
        </w:tc>
        <w:tc>
          <w:tcPr>
            <w:tcW w:w="0" w:type="dxa"/>
            <w:vAlign w:val="bottom"/>
          </w:tcPr>
          <w:p>
            <w:pPr>
              <w:spacing w:after="0"/>
              <w:rPr>
                <w:sz w:val="1"/>
                <w:szCs w:val="1"/>
                <w:color w:val="auto"/>
              </w:rPr>
            </w:pPr>
          </w:p>
        </w:tc>
      </w:tr>
      <w:tr>
        <w:trPr>
          <w:trHeight w:val="243"/>
        </w:trPr>
        <w:tc>
          <w:tcPr>
            <w:tcW w:w="2140" w:type="dxa"/>
            <w:vAlign w:val="bottom"/>
            <w:gridSpan w:val="2"/>
          </w:tcPr>
          <w:p>
            <w:pPr>
              <w:ind w:left="220"/>
              <w:spacing w:after="0"/>
              <w:rPr>
                <w:sz w:val="20"/>
                <w:szCs w:val="20"/>
                <w:color w:val="auto"/>
              </w:rPr>
            </w:pPr>
            <w:r>
              <w:rPr>
                <w:rFonts w:ascii="Arial" w:cs="Arial" w:eastAsia="Arial" w:hAnsi="Arial"/>
                <w:sz w:val="18"/>
                <w:szCs w:val="18"/>
                <w:color w:val="auto"/>
              </w:rPr>
              <w:t>and CFO</w:t>
            </w:r>
          </w:p>
        </w:tc>
        <w:tc>
          <w:tcPr>
            <w:tcW w:w="4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2"/>
            <w:vMerge w:val="continue"/>
          </w:tcPr>
          <w:p>
            <w:pPr>
              <w:spacing w:after="0"/>
              <w:rPr>
                <w:sz w:val="21"/>
                <w:szCs w:val="21"/>
                <w:color w:val="auto"/>
              </w:rPr>
            </w:pPr>
          </w:p>
        </w:tc>
        <w:tc>
          <w:tcPr>
            <w:tcW w:w="8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vMerge w:val="continue"/>
          </w:tcPr>
          <w:p>
            <w:pPr>
              <w:spacing w:after="0"/>
              <w:rPr>
                <w:sz w:val="21"/>
                <w:szCs w:val="21"/>
                <w:color w:val="auto"/>
              </w:rPr>
            </w:pPr>
          </w:p>
        </w:tc>
        <w:tc>
          <w:tcPr>
            <w:tcW w:w="10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99"/>
              </w:rPr>
              <w:t>2018</w:t>
            </w:r>
          </w:p>
        </w:tc>
        <w:tc>
          <w:tcPr>
            <w:tcW w:w="12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8"/>
                <w:szCs w:val="18"/>
                <w:color w:val="auto"/>
                <w:w w:val="98"/>
              </w:rPr>
              <w:t>485,000</w:t>
            </w:r>
          </w:p>
        </w:tc>
        <w:tc>
          <w:tcPr>
            <w:tcW w:w="10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887,873</w:t>
            </w: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249,759</w:t>
            </w:r>
          </w:p>
        </w:tc>
        <w:tc>
          <w:tcPr>
            <w:tcW w:w="100" w:type="dxa"/>
            <w:vAlign w:val="bottom"/>
          </w:tcPr>
          <w:p>
            <w:pPr>
              <w:spacing w:after="0"/>
              <w:rPr>
                <w:sz w:val="24"/>
                <w:szCs w:val="24"/>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3"/>
              <w:spacing w:after="0"/>
              <w:rPr>
                <w:sz w:val="20"/>
                <w:szCs w:val="20"/>
                <w:color w:val="auto"/>
              </w:rPr>
            </w:pPr>
            <w:r>
              <w:rPr>
                <w:rFonts w:ascii="Arial" w:cs="Arial" w:eastAsia="Arial" w:hAnsi="Arial"/>
                <w:sz w:val="18"/>
                <w:szCs w:val="18"/>
                <w:color w:val="auto"/>
              </w:rPr>
              <w:t>29,041</w:t>
            </w: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1,651,674</w:t>
            </w:r>
          </w:p>
        </w:tc>
        <w:tc>
          <w:tcPr>
            <w:tcW w:w="0" w:type="dxa"/>
            <w:vAlign w:val="bottom"/>
          </w:tcPr>
          <w:p>
            <w:pPr>
              <w:spacing w:after="0"/>
              <w:rPr>
                <w:sz w:val="1"/>
                <w:szCs w:val="1"/>
                <w:color w:val="auto"/>
              </w:rPr>
            </w:pPr>
          </w:p>
        </w:tc>
      </w:tr>
      <w:tr>
        <w:trPr>
          <w:trHeight w:val="324"/>
        </w:trPr>
        <w:tc>
          <w:tcPr>
            <w:tcW w:w="2140" w:type="dxa"/>
            <w:vAlign w:val="bottom"/>
            <w:gridSpan w:val="2"/>
          </w:tcPr>
          <w:p>
            <w:pPr>
              <w:ind w:left="40"/>
              <w:spacing w:after="0"/>
              <w:rPr>
                <w:sz w:val="20"/>
                <w:szCs w:val="20"/>
                <w:color w:val="auto"/>
              </w:rPr>
            </w:pPr>
            <w:r>
              <w:rPr>
                <w:rFonts w:ascii="Arial" w:cs="Arial" w:eastAsia="Arial" w:hAnsi="Arial"/>
                <w:sz w:val="18"/>
                <w:szCs w:val="18"/>
                <w:color w:val="auto"/>
              </w:rPr>
              <w:t>Sarah Hlavinka</w:t>
            </w:r>
          </w:p>
        </w:tc>
        <w:tc>
          <w:tcPr>
            <w:tcW w:w="400" w:type="dxa"/>
            <w:vAlign w:val="bottom"/>
          </w:tcPr>
          <w:p>
            <w:pPr>
              <w:jc w:val="center"/>
              <w:spacing w:after="0"/>
              <w:rPr>
                <w:sz w:val="20"/>
                <w:szCs w:val="20"/>
                <w:color w:val="auto"/>
              </w:rPr>
            </w:pPr>
            <w:r>
              <w:rPr>
                <w:rFonts w:ascii="Arial" w:cs="Arial" w:eastAsia="Arial" w:hAnsi="Arial"/>
                <w:sz w:val="18"/>
                <w:szCs w:val="18"/>
                <w:color w:val="auto"/>
                <w:w w:val="99"/>
              </w:rPr>
              <w:t>2020</w:t>
            </w:r>
          </w:p>
        </w:tc>
        <w:tc>
          <w:tcPr>
            <w:tcW w:w="12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8"/>
                <w:szCs w:val="18"/>
                <w:color w:val="auto"/>
                <w:w w:val="98"/>
              </w:rPr>
              <w:t>475,000</w:t>
            </w:r>
          </w:p>
        </w:tc>
        <w:tc>
          <w:tcPr>
            <w:tcW w:w="10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601,480</w:t>
            </w: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174,983</w:t>
            </w:r>
          </w:p>
        </w:tc>
        <w:tc>
          <w:tcPr>
            <w:tcW w:w="100" w:type="dxa"/>
            <w:vAlign w:val="bottom"/>
          </w:tcPr>
          <w:p>
            <w:pPr>
              <w:spacing w:after="0"/>
              <w:rPr>
                <w:sz w:val="24"/>
                <w:szCs w:val="24"/>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324" w:lineRule="exact"/>
              <w:rPr>
                <w:sz w:val="20"/>
                <w:szCs w:val="20"/>
                <w:color w:val="auto"/>
              </w:rPr>
            </w:pPr>
            <w:r>
              <w:rPr>
                <w:rFonts w:ascii="Arial" w:cs="Arial" w:eastAsia="Arial" w:hAnsi="Arial"/>
                <w:sz w:val="18"/>
                <w:szCs w:val="18"/>
                <w:color w:val="auto"/>
              </w:rPr>
              <w:t>40,931</w:t>
            </w:r>
            <w:r>
              <w:rPr>
                <w:rFonts w:ascii="Arial" w:cs="Arial" w:eastAsia="Arial" w:hAnsi="Arial"/>
                <w:sz w:val="29"/>
                <w:szCs w:val="29"/>
                <w:color w:val="auto"/>
                <w:vertAlign w:val="superscript"/>
              </w:rPr>
              <w:t>(4)</w:t>
            </w: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1,292,393</w:t>
            </w:r>
          </w:p>
        </w:tc>
        <w:tc>
          <w:tcPr>
            <w:tcW w:w="0" w:type="dxa"/>
            <w:vAlign w:val="bottom"/>
          </w:tcPr>
          <w:p>
            <w:pPr>
              <w:spacing w:after="0"/>
              <w:rPr>
                <w:sz w:val="1"/>
                <w:szCs w:val="1"/>
                <w:color w:val="auto"/>
              </w:rPr>
            </w:pPr>
          </w:p>
        </w:tc>
      </w:tr>
      <w:tr>
        <w:trPr>
          <w:trHeight w:val="203"/>
        </w:trPr>
        <w:tc>
          <w:tcPr>
            <w:tcW w:w="214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Senior Vice President,</w:t>
            </w:r>
          </w:p>
        </w:tc>
        <w:tc>
          <w:tcPr>
            <w:tcW w:w="400" w:type="dxa"/>
            <w:vAlign w:val="bottom"/>
            <w:vMerge w:val="restart"/>
          </w:tcPr>
          <w:p>
            <w:pPr>
              <w:jc w:val="center"/>
              <w:spacing w:after="0"/>
              <w:rPr>
                <w:sz w:val="20"/>
                <w:szCs w:val="20"/>
                <w:color w:val="auto"/>
              </w:rPr>
            </w:pPr>
            <w:r>
              <w:rPr>
                <w:rFonts w:ascii="Arial" w:cs="Arial" w:eastAsia="Arial" w:hAnsi="Arial"/>
                <w:sz w:val="18"/>
                <w:szCs w:val="18"/>
                <w:color w:val="auto"/>
                <w:w w:val="99"/>
              </w:rPr>
              <w:t>2019</w:t>
            </w:r>
          </w:p>
        </w:tc>
        <w:tc>
          <w:tcPr>
            <w:tcW w:w="120" w:type="dxa"/>
            <w:vAlign w:val="bottom"/>
          </w:tcPr>
          <w:p>
            <w:pPr>
              <w:spacing w:after="0"/>
              <w:rPr>
                <w:sz w:val="17"/>
                <w:szCs w:val="17"/>
                <w:color w:val="auto"/>
              </w:rPr>
            </w:pPr>
          </w:p>
        </w:tc>
        <w:tc>
          <w:tcPr>
            <w:tcW w:w="660" w:type="dxa"/>
            <w:vAlign w:val="bottom"/>
            <w:vMerge w:val="restart"/>
          </w:tcPr>
          <w:p>
            <w:pPr>
              <w:spacing w:after="0"/>
              <w:rPr>
                <w:sz w:val="20"/>
                <w:szCs w:val="20"/>
                <w:color w:val="auto"/>
              </w:rPr>
            </w:pPr>
            <w:r>
              <w:rPr>
                <w:rFonts w:ascii="Arial" w:cs="Arial" w:eastAsia="Arial" w:hAnsi="Arial"/>
                <w:sz w:val="18"/>
                <w:szCs w:val="18"/>
                <w:color w:val="auto"/>
                <w:w w:val="98"/>
              </w:rPr>
              <w:t>475,000</w:t>
            </w:r>
          </w:p>
        </w:tc>
        <w:tc>
          <w:tcPr>
            <w:tcW w:w="100" w:type="dxa"/>
            <w:vAlign w:val="bottom"/>
          </w:tcPr>
          <w:p>
            <w:pPr>
              <w:spacing w:after="0"/>
              <w:rPr>
                <w:sz w:val="17"/>
                <w:szCs w:val="17"/>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614,992</w:t>
            </w:r>
          </w:p>
        </w:tc>
        <w:tc>
          <w:tcPr>
            <w:tcW w:w="120" w:type="dxa"/>
            <w:vAlign w:val="bottom"/>
          </w:tcPr>
          <w:p>
            <w:pPr>
              <w:spacing w:after="0"/>
              <w:rPr>
                <w:sz w:val="17"/>
                <w:szCs w:val="17"/>
                <w:color w:val="auto"/>
              </w:rPr>
            </w:pPr>
          </w:p>
        </w:tc>
        <w:tc>
          <w:tcPr>
            <w:tcW w:w="900" w:type="dxa"/>
            <w:vAlign w:val="bottom"/>
            <w:gridSpan w:val="2"/>
            <w:vMerge w:val="restart"/>
          </w:tcPr>
          <w:p>
            <w:pPr>
              <w:ind w:left="600"/>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ind w:right="94"/>
              <w:spacing w:after="0"/>
              <w:rPr>
                <w:sz w:val="20"/>
                <w:szCs w:val="20"/>
                <w:color w:val="auto"/>
              </w:rPr>
            </w:pPr>
            <w:r>
              <w:rPr>
                <w:rFonts w:ascii="Arial" w:cs="Arial" w:eastAsia="Arial" w:hAnsi="Arial"/>
                <w:sz w:val="18"/>
                <w:szCs w:val="18"/>
                <w:color w:val="auto"/>
              </w:rPr>
              <w:t>248,484</w:t>
            </w:r>
          </w:p>
        </w:tc>
        <w:tc>
          <w:tcPr>
            <w:tcW w:w="100" w:type="dxa"/>
            <w:vAlign w:val="bottom"/>
          </w:tcPr>
          <w:p>
            <w:pPr>
              <w:spacing w:after="0"/>
              <w:rPr>
                <w:sz w:val="17"/>
                <w:szCs w:val="17"/>
                <w:color w:val="auto"/>
              </w:rPr>
            </w:pPr>
          </w:p>
        </w:tc>
        <w:tc>
          <w:tcPr>
            <w:tcW w:w="1020" w:type="dxa"/>
            <w:vAlign w:val="bottom"/>
            <w:vMerge w:val="restart"/>
          </w:tcPr>
          <w:p>
            <w:pPr>
              <w:jc w:val="right"/>
              <w:ind w:right="113"/>
              <w:spacing w:after="0"/>
              <w:rPr>
                <w:sz w:val="20"/>
                <w:szCs w:val="20"/>
                <w:color w:val="auto"/>
              </w:rPr>
            </w:pPr>
            <w:r>
              <w:rPr>
                <w:rFonts w:ascii="Arial" w:cs="Arial" w:eastAsia="Arial" w:hAnsi="Arial"/>
                <w:sz w:val="18"/>
                <w:szCs w:val="18"/>
                <w:color w:val="auto"/>
              </w:rPr>
              <w:t>23,809</w:t>
            </w:r>
          </w:p>
        </w:tc>
        <w:tc>
          <w:tcPr>
            <w:tcW w:w="10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w w:val="99"/>
              </w:rPr>
              <w:t>1,362,284</w:t>
            </w:r>
          </w:p>
        </w:tc>
        <w:tc>
          <w:tcPr>
            <w:tcW w:w="0" w:type="dxa"/>
            <w:vAlign w:val="bottom"/>
          </w:tcPr>
          <w:p>
            <w:pPr>
              <w:spacing w:after="0"/>
              <w:rPr>
                <w:sz w:val="1"/>
                <w:szCs w:val="1"/>
                <w:color w:val="auto"/>
              </w:rPr>
            </w:pPr>
          </w:p>
        </w:tc>
      </w:tr>
      <w:tr>
        <w:trPr>
          <w:trHeight w:val="203"/>
        </w:trPr>
        <w:tc>
          <w:tcPr>
            <w:tcW w:w="214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General Counsel and</w:t>
            </w:r>
          </w:p>
        </w:tc>
        <w:tc>
          <w:tcPr>
            <w:tcW w:w="4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140" w:type="dxa"/>
            <w:vAlign w:val="bottom"/>
            <w:gridSpan w:val="2"/>
          </w:tcPr>
          <w:p>
            <w:pPr>
              <w:ind w:left="220"/>
              <w:spacing w:after="0"/>
              <w:rPr>
                <w:sz w:val="20"/>
                <w:szCs w:val="20"/>
                <w:color w:val="auto"/>
              </w:rPr>
            </w:pPr>
            <w:r>
              <w:rPr>
                <w:rFonts w:ascii="Arial" w:cs="Arial" w:eastAsia="Arial" w:hAnsi="Arial"/>
                <w:sz w:val="18"/>
                <w:szCs w:val="18"/>
                <w:color w:val="auto"/>
              </w:rPr>
              <w:t>Corporate Secretary</w:t>
            </w:r>
          </w:p>
        </w:tc>
        <w:tc>
          <w:tcPr>
            <w:tcW w:w="400" w:type="dxa"/>
            <w:vAlign w:val="bottom"/>
            <w:vMerge w:val="restart"/>
          </w:tcPr>
          <w:p>
            <w:pPr>
              <w:jc w:val="center"/>
              <w:spacing w:after="0"/>
              <w:rPr>
                <w:sz w:val="20"/>
                <w:szCs w:val="20"/>
                <w:color w:val="auto"/>
              </w:rPr>
            </w:pPr>
            <w:r>
              <w:rPr>
                <w:rFonts w:ascii="Arial" w:cs="Arial" w:eastAsia="Arial" w:hAnsi="Arial"/>
                <w:sz w:val="18"/>
                <w:szCs w:val="18"/>
                <w:color w:val="auto"/>
                <w:w w:val="99"/>
              </w:rPr>
              <w:t>2018</w:t>
            </w:r>
          </w:p>
        </w:tc>
        <w:tc>
          <w:tcPr>
            <w:tcW w:w="120" w:type="dxa"/>
            <w:vAlign w:val="bottom"/>
          </w:tcPr>
          <w:p>
            <w:pPr>
              <w:spacing w:after="0"/>
              <w:rPr>
                <w:sz w:val="21"/>
                <w:szCs w:val="21"/>
                <w:color w:val="auto"/>
              </w:rPr>
            </w:pPr>
          </w:p>
        </w:tc>
        <w:tc>
          <w:tcPr>
            <w:tcW w:w="660" w:type="dxa"/>
            <w:vAlign w:val="bottom"/>
            <w:vMerge w:val="restart"/>
          </w:tcPr>
          <w:p>
            <w:pPr>
              <w:spacing w:after="0"/>
              <w:rPr>
                <w:sz w:val="20"/>
                <w:szCs w:val="20"/>
                <w:color w:val="auto"/>
              </w:rPr>
            </w:pPr>
            <w:r>
              <w:rPr>
                <w:rFonts w:ascii="Arial" w:cs="Arial" w:eastAsia="Arial" w:hAnsi="Arial"/>
                <w:sz w:val="18"/>
                <w:szCs w:val="18"/>
                <w:color w:val="auto"/>
                <w:w w:val="98"/>
              </w:rPr>
              <w:t>190,865</w:t>
            </w:r>
          </w:p>
        </w:tc>
        <w:tc>
          <w:tcPr>
            <w:tcW w:w="760" w:type="dxa"/>
            <w:vAlign w:val="bottom"/>
            <w:gridSpan w:val="2"/>
            <w:vMerge w:val="restart"/>
          </w:tcPr>
          <w:p>
            <w:pPr>
              <w:jc w:val="right"/>
              <w:spacing w:after="0"/>
              <w:rPr>
                <w:sz w:val="20"/>
                <w:szCs w:val="20"/>
                <w:color w:val="auto"/>
              </w:rPr>
            </w:pPr>
            <w:r>
              <w:rPr>
                <w:rFonts w:ascii="Arial" w:cs="Arial" w:eastAsia="Arial" w:hAnsi="Arial"/>
                <w:sz w:val="18"/>
                <w:szCs w:val="18"/>
                <w:color w:val="auto"/>
              </w:rPr>
              <w:t>650,000</w:t>
            </w:r>
          </w:p>
        </w:tc>
        <w:tc>
          <w:tcPr>
            <w:tcW w:w="120" w:type="dxa"/>
            <w:vAlign w:val="bottom"/>
          </w:tcPr>
          <w:p>
            <w:pPr>
              <w:spacing w:after="0"/>
              <w:rPr>
                <w:sz w:val="21"/>
                <w:szCs w:val="21"/>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875,335</w:t>
            </w:r>
          </w:p>
        </w:tc>
        <w:tc>
          <w:tcPr>
            <w:tcW w:w="120" w:type="dxa"/>
            <w:vAlign w:val="bottom"/>
          </w:tcPr>
          <w:p>
            <w:pPr>
              <w:spacing w:after="0"/>
              <w:rPr>
                <w:sz w:val="21"/>
                <w:szCs w:val="21"/>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199,994</w:t>
            </w:r>
          </w:p>
        </w:tc>
        <w:tc>
          <w:tcPr>
            <w:tcW w:w="100" w:type="dxa"/>
            <w:vAlign w:val="bottom"/>
          </w:tcPr>
          <w:p>
            <w:pPr>
              <w:spacing w:after="0"/>
              <w:rPr>
                <w:sz w:val="21"/>
                <w:szCs w:val="21"/>
                <w:color w:val="auto"/>
              </w:rPr>
            </w:pPr>
          </w:p>
        </w:tc>
        <w:tc>
          <w:tcPr>
            <w:tcW w:w="112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ind w:right="93"/>
              <w:spacing w:after="0"/>
              <w:rPr>
                <w:sz w:val="20"/>
                <w:szCs w:val="20"/>
                <w:color w:val="auto"/>
              </w:rPr>
            </w:pPr>
            <w:r>
              <w:rPr>
                <w:rFonts w:ascii="Arial" w:cs="Arial" w:eastAsia="Arial" w:hAnsi="Arial"/>
                <w:sz w:val="18"/>
                <w:szCs w:val="18"/>
                <w:color w:val="auto"/>
              </w:rPr>
              <w:t>241,796</w:t>
            </w:r>
          </w:p>
        </w:tc>
        <w:tc>
          <w:tcPr>
            <w:tcW w:w="100" w:type="dxa"/>
            <w:vAlign w:val="bottom"/>
          </w:tcPr>
          <w:p>
            <w:pPr>
              <w:spacing w:after="0"/>
              <w:rPr>
                <w:sz w:val="21"/>
                <w:szCs w:val="21"/>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w w:val="99"/>
              </w:rPr>
              <w:t>2,157,990</w:t>
            </w:r>
          </w:p>
        </w:tc>
        <w:tc>
          <w:tcPr>
            <w:tcW w:w="0" w:type="dxa"/>
            <w:vAlign w:val="bottom"/>
          </w:tcPr>
          <w:p>
            <w:pPr>
              <w:spacing w:after="0"/>
              <w:rPr>
                <w:sz w:val="1"/>
                <w:szCs w:val="1"/>
                <w:color w:val="auto"/>
              </w:rPr>
            </w:pPr>
          </w:p>
        </w:tc>
      </w:tr>
      <w:tr>
        <w:trPr>
          <w:trHeight w:val="121"/>
        </w:trPr>
        <w:tc>
          <w:tcPr>
            <w:tcW w:w="2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24"/>
        </w:trPr>
        <w:tc>
          <w:tcPr>
            <w:tcW w:w="2140" w:type="dxa"/>
            <w:vAlign w:val="bottom"/>
            <w:gridSpan w:val="2"/>
          </w:tcPr>
          <w:p>
            <w:pPr>
              <w:ind w:left="40"/>
              <w:spacing w:after="0"/>
              <w:rPr>
                <w:sz w:val="20"/>
                <w:szCs w:val="20"/>
                <w:color w:val="auto"/>
              </w:rPr>
            </w:pPr>
            <w:r>
              <w:rPr>
                <w:rFonts w:ascii="Arial" w:cs="Arial" w:eastAsia="Arial" w:hAnsi="Arial"/>
                <w:sz w:val="18"/>
                <w:szCs w:val="18"/>
                <w:color w:val="auto"/>
              </w:rPr>
              <w:t>Michel Cadieux</w:t>
            </w:r>
          </w:p>
        </w:tc>
        <w:tc>
          <w:tcPr>
            <w:tcW w:w="400" w:type="dxa"/>
            <w:vAlign w:val="bottom"/>
          </w:tcPr>
          <w:p>
            <w:pPr>
              <w:jc w:val="center"/>
              <w:spacing w:after="0"/>
              <w:rPr>
                <w:sz w:val="20"/>
                <w:szCs w:val="20"/>
                <w:color w:val="auto"/>
              </w:rPr>
            </w:pPr>
            <w:r>
              <w:rPr>
                <w:rFonts w:ascii="Arial" w:cs="Arial" w:eastAsia="Arial" w:hAnsi="Arial"/>
                <w:sz w:val="18"/>
                <w:szCs w:val="18"/>
                <w:color w:val="auto"/>
                <w:w w:val="99"/>
              </w:rPr>
              <w:t>2020</w:t>
            </w:r>
          </w:p>
        </w:tc>
        <w:tc>
          <w:tcPr>
            <w:tcW w:w="12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8"/>
                <w:szCs w:val="18"/>
                <w:color w:val="auto"/>
                <w:w w:val="98"/>
              </w:rPr>
              <w:t>407,514</w:t>
            </w:r>
          </w:p>
        </w:tc>
        <w:tc>
          <w:tcPr>
            <w:tcW w:w="10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641,079</w:t>
            </w: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199,992</w:t>
            </w:r>
          </w:p>
        </w:tc>
        <w:tc>
          <w:tcPr>
            <w:tcW w:w="100" w:type="dxa"/>
            <w:vAlign w:val="bottom"/>
          </w:tcPr>
          <w:p>
            <w:pPr>
              <w:spacing w:after="0"/>
              <w:rPr>
                <w:sz w:val="24"/>
                <w:szCs w:val="24"/>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324" w:lineRule="exact"/>
              <w:rPr>
                <w:sz w:val="20"/>
                <w:szCs w:val="20"/>
                <w:color w:val="auto"/>
              </w:rPr>
            </w:pPr>
            <w:r>
              <w:rPr>
                <w:rFonts w:ascii="Arial" w:cs="Arial" w:eastAsia="Arial" w:hAnsi="Arial"/>
                <w:sz w:val="18"/>
                <w:szCs w:val="18"/>
                <w:color w:val="auto"/>
              </w:rPr>
              <w:t>16,425</w:t>
            </w:r>
            <w:r>
              <w:rPr>
                <w:rFonts w:ascii="Arial" w:cs="Arial" w:eastAsia="Arial" w:hAnsi="Arial"/>
                <w:sz w:val="29"/>
                <w:szCs w:val="29"/>
                <w:color w:val="auto"/>
                <w:vertAlign w:val="superscript"/>
              </w:rPr>
              <w:t>(4)</w:t>
            </w: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1,265,009</w:t>
            </w:r>
          </w:p>
        </w:tc>
        <w:tc>
          <w:tcPr>
            <w:tcW w:w="0" w:type="dxa"/>
            <w:vAlign w:val="bottom"/>
          </w:tcPr>
          <w:p>
            <w:pPr>
              <w:spacing w:after="0"/>
              <w:rPr>
                <w:sz w:val="1"/>
                <w:szCs w:val="1"/>
                <w:color w:val="auto"/>
              </w:rPr>
            </w:pPr>
          </w:p>
        </w:tc>
      </w:tr>
      <w:tr>
        <w:trPr>
          <w:trHeight w:val="203"/>
        </w:trPr>
        <w:tc>
          <w:tcPr>
            <w:tcW w:w="214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Senior Vice President,</w:t>
            </w:r>
          </w:p>
        </w:tc>
        <w:tc>
          <w:tcPr>
            <w:tcW w:w="400" w:type="dxa"/>
            <w:vAlign w:val="bottom"/>
            <w:vMerge w:val="restart"/>
          </w:tcPr>
          <w:p>
            <w:pPr>
              <w:jc w:val="center"/>
              <w:spacing w:after="0"/>
              <w:rPr>
                <w:sz w:val="20"/>
                <w:szCs w:val="20"/>
                <w:color w:val="auto"/>
              </w:rPr>
            </w:pPr>
            <w:r>
              <w:rPr>
                <w:rFonts w:ascii="Arial" w:cs="Arial" w:eastAsia="Arial" w:hAnsi="Arial"/>
                <w:sz w:val="18"/>
                <w:szCs w:val="18"/>
                <w:color w:val="auto"/>
                <w:w w:val="99"/>
              </w:rPr>
              <w:t>2019</w:t>
            </w:r>
          </w:p>
        </w:tc>
        <w:tc>
          <w:tcPr>
            <w:tcW w:w="120" w:type="dxa"/>
            <w:vAlign w:val="bottom"/>
          </w:tcPr>
          <w:p>
            <w:pPr>
              <w:spacing w:after="0"/>
              <w:rPr>
                <w:sz w:val="17"/>
                <w:szCs w:val="17"/>
                <w:color w:val="auto"/>
              </w:rPr>
            </w:pPr>
          </w:p>
        </w:tc>
        <w:tc>
          <w:tcPr>
            <w:tcW w:w="660" w:type="dxa"/>
            <w:vAlign w:val="bottom"/>
            <w:vMerge w:val="restart"/>
          </w:tcPr>
          <w:p>
            <w:pPr>
              <w:spacing w:after="0"/>
              <w:rPr>
                <w:sz w:val="20"/>
                <w:szCs w:val="20"/>
                <w:color w:val="auto"/>
              </w:rPr>
            </w:pPr>
            <w:r>
              <w:rPr>
                <w:rFonts w:ascii="Arial" w:cs="Arial" w:eastAsia="Arial" w:hAnsi="Arial"/>
                <w:sz w:val="18"/>
                <w:szCs w:val="18"/>
                <w:color w:val="auto"/>
                <w:w w:val="98"/>
              </w:rPr>
              <w:t>400,000</w:t>
            </w:r>
          </w:p>
        </w:tc>
        <w:tc>
          <w:tcPr>
            <w:tcW w:w="100" w:type="dxa"/>
            <w:vAlign w:val="bottom"/>
          </w:tcPr>
          <w:p>
            <w:pPr>
              <w:spacing w:after="0"/>
              <w:rPr>
                <w:sz w:val="17"/>
                <w:szCs w:val="17"/>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733,583</w:t>
            </w:r>
          </w:p>
        </w:tc>
        <w:tc>
          <w:tcPr>
            <w:tcW w:w="120" w:type="dxa"/>
            <w:vAlign w:val="bottom"/>
          </w:tcPr>
          <w:p>
            <w:pPr>
              <w:spacing w:after="0"/>
              <w:rPr>
                <w:sz w:val="17"/>
                <w:szCs w:val="17"/>
                <w:color w:val="auto"/>
              </w:rPr>
            </w:pPr>
          </w:p>
        </w:tc>
        <w:tc>
          <w:tcPr>
            <w:tcW w:w="900" w:type="dxa"/>
            <w:vAlign w:val="bottom"/>
            <w:gridSpan w:val="2"/>
            <w:vMerge w:val="restart"/>
          </w:tcPr>
          <w:p>
            <w:pPr>
              <w:ind w:left="600"/>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ind w:right="94"/>
              <w:spacing w:after="0"/>
              <w:rPr>
                <w:sz w:val="20"/>
                <w:szCs w:val="20"/>
                <w:color w:val="auto"/>
              </w:rPr>
            </w:pPr>
            <w:r>
              <w:rPr>
                <w:rFonts w:ascii="Arial" w:cs="Arial" w:eastAsia="Arial" w:hAnsi="Arial"/>
                <w:sz w:val="18"/>
                <w:szCs w:val="18"/>
                <w:color w:val="auto"/>
              </w:rPr>
              <w:t>232,500</w:t>
            </w:r>
          </w:p>
        </w:tc>
        <w:tc>
          <w:tcPr>
            <w:tcW w:w="100" w:type="dxa"/>
            <w:vAlign w:val="bottom"/>
          </w:tcPr>
          <w:p>
            <w:pPr>
              <w:spacing w:after="0"/>
              <w:rPr>
                <w:sz w:val="17"/>
                <w:szCs w:val="17"/>
                <w:color w:val="auto"/>
              </w:rPr>
            </w:pPr>
          </w:p>
        </w:tc>
        <w:tc>
          <w:tcPr>
            <w:tcW w:w="1020" w:type="dxa"/>
            <w:vAlign w:val="bottom"/>
            <w:vMerge w:val="restart"/>
          </w:tcPr>
          <w:p>
            <w:pPr>
              <w:jc w:val="right"/>
              <w:ind w:right="113"/>
              <w:spacing w:after="0"/>
              <w:rPr>
                <w:sz w:val="20"/>
                <w:szCs w:val="20"/>
                <w:color w:val="auto"/>
              </w:rPr>
            </w:pPr>
            <w:r>
              <w:rPr>
                <w:rFonts w:ascii="Arial" w:cs="Arial" w:eastAsia="Arial" w:hAnsi="Arial"/>
                <w:sz w:val="18"/>
                <w:szCs w:val="18"/>
                <w:color w:val="auto"/>
              </w:rPr>
              <w:t>9,000</w:t>
            </w:r>
          </w:p>
        </w:tc>
        <w:tc>
          <w:tcPr>
            <w:tcW w:w="10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w w:val="99"/>
              </w:rPr>
              <w:t>1,375,083</w:t>
            </w:r>
          </w:p>
        </w:tc>
        <w:tc>
          <w:tcPr>
            <w:tcW w:w="0" w:type="dxa"/>
            <w:vAlign w:val="bottom"/>
          </w:tcPr>
          <w:p>
            <w:pPr>
              <w:spacing w:after="0"/>
              <w:rPr>
                <w:sz w:val="1"/>
                <w:szCs w:val="1"/>
                <w:color w:val="auto"/>
              </w:rPr>
            </w:pPr>
          </w:p>
        </w:tc>
      </w:tr>
      <w:tr>
        <w:trPr>
          <w:trHeight w:val="243"/>
        </w:trPr>
        <w:tc>
          <w:tcPr>
            <w:tcW w:w="2140" w:type="dxa"/>
            <w:vAlign w:val="bottom"/>
            <w:gridSpan w:val="2"/>
          </w:tcPr>
          <w:p>
            <w:pPr>
              <w:ind w:left="220"/>
              <w:spacing w:after="0"/>
              <w:rPr>
                <w:sz w:val="20"/>
                <w:szCs w:val="20"/>
                <w:color w:val="auto"/>
              </w:rPr>
            </w:pPr>
            <w:r>
              <w:rPr>
                <w:rFonts w:ascii="Arial" w:cs="Arial" w:eastAsia="Arial" w:hAnsi="Arial"/>
                <w:sz w:val="18"/>
                <w:szCs w:val="18"/>
                <w:color w:val="auto"/>
              </w:rPr>
              <w:t>Human Resources</w:t>
            </w:r>
          </w:p>
        </w:tc>
        <w:tc>
          <w:tcPr>
            <w:tcW w:w="4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2"/>
            <w:vMerge w:val="continue"/>
          </w:tcPr>
          <w:p>
            <w:pPr>
              <w:spacing w:after="0"/>
              <w:rPr>
                <w:sz w:val="21"/>
                <w:szCs w:val="21"/>
                <w:color w:val="auto"/>
              </w:rPr>
            </w:pPr>
          </w:p>
        </w:tc>
        <w:tc>
          <w:tcPr>
            <w:tcW w:w="8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vMerge w:val="continue"/>
          </w:tcPr>
          <w:p>
            <w:pPr>
              <w:spacing w:after="0"/>
              <w:rPr>
                <w:sz w:val="21"/>
                <w:szCs w:val="21"/>
                <w:color w:val="auto"/>
              </w:rPr>
            </w:pPr>
          </w:p>
        </w:tc>
        <w:tc>
          <w:tcPr>
            <w:tcW w:w="10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99"/>
              </w:rPr>
              <w:t>2018</w:t>
            </w:r>
          </w:p>
        </w:tc>
        <w:tc>
          <w:tcPr>
            <w:tcW w:w="12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8"/>
                <w:szCs w:val="18"/>
                <w:color w:val="auto"/>
                <w:w w:val="98"/>
              </w:rPr>
              <w:t>400,000</w:t>
            </w:r>
          </w:p>
        </w:tc>
        <w:tc>
          <w:tcPr>
            <w:tcW w:w="10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747,067</w:t>
            </w: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199,797</w:t>
            </w:r>
          </w:p>
        </w:tc>
        <w:tc>
          <w:tcPr>
            <w:tcW w:w="100" w:type="dxa"/>
            <w:vAlign w:val="bottom"/>
          </w:tcPr>
          <w:p>
            <w:pPr>
              <w:spacing w:after="0"/>
              <w:rPr>
                <w:sz w:val="24"/>
                <w:szCs w:val="24"/>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3"/>
              <w:spacing w:after="0"/>
              <w:rPr>
                <w:sz w:val="20"/>
                <w:szCs w:val="20"/>
                <w:color w:val="auto"/>
              </w:rPr>
            </w:pPr>
            <w:r>
              <w:rPr>
                <w:rFonts w:ascii="Arial" w:cs="Arial" w:eastAsia="Arial" w:hAnsi="Arial"/>
                <w:sz w:val="18"/>
                <w:szCs w:val="18"/>
                <w:color w:val="auto"/>
              </w:rPr>
              <w:t>12,375</w:t>
            </w: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1,359,239</w:t>
            </w:r>
          </w:p>
        </w:tc>
        <w:tc>
          <w:tcPr>
            <w:tcW w:w="0" w:type="dxa"/>
            <w:vAlign w:val="bottom"/>
          </w:tcPr>
          <w:p>
            <w:pPr>
              <w:spacing w:after="0"/>
              <w:rPr>
                <w:sz w:val="1"/>
                <w:szCs w:val="1"/>
                <w:color w:val="auto"/>
              </w:rPr>
            </w:pPr>
          </w:p>
        </w:tc>
      </w:tr>
      <w:tr>
        <w:trPr>
          <w:trHeight w:val="324"/>
        </w:trPr>
        <w:tc>
          <w:tcPr>
            <w:tcW w:w="2140" w:type="dxa"/>
            <w:vAlign w:val="bottom"/>
            <w:gridSpan w:val="2"/>
          </w:tcPr>
          <w:p>
            <w:pPr>
              <w:ind w:left="40"/>
              <w:spacing w:after="0"/>
              <w:rPr>
                <w:sz w:val="20"/>
                <w:szCs w:val="20"/>
                <w:color w:val="auto"/>
              </w:rPr>
            </w:pPr>
            <w:r>
              <w:rPr>
                <w:rFonts w:ascii="Arial" w:cs="Arial" w:eastAsia="Arial" w:hAnsi="Arial"/>
                <w:sz w:val="18"/>
                <w:szCs w:val="18"/>
                <w:color w:val="auto"/>
              </w:rPr>
              <w:t>Donald Reeves</w:t>
            </w:r>
          </w:p>
        </w:tc>
        <w:tc>
          <w:tcPr>
            <w:tcW w:w="400" w:type="dxa"/>
            <w:vAlign w:val="bottom"/>
          </w:tcPr>
          <w:p>
            <w:pPr>
              <w:jc w:val="center"/>
              <w:spacing w:after="0"/>
              <w:rPr>
                <w:sz w:val="20"/>
                <w:szCs w:val="20"/>
                <w:color w:val="auto"/>
              </w:rPr>
            </w:pPr>
            <w:r>
              <w:rPr>
                <w:rFonts w:ascii="Arial" w:cs="Arial" w:eastAsia="Arial" w:hAnsi="Arial"/>
                <w:sz w:val="18"/>
                <w:szCs w:val="18"/>
                <w:color w:val="auto"/>
                <w:w w:val="99"/>
              </w:rPr>
              <w:t>2020</w:t>
            </w:r>
          </w:p>
        </w:tc>
        <w:tc>
          <w:tcPr>
            <w:tcW w:w="12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8"/>
                <w:szCs w:val="18"/>
                <w:color w:val="auto"/>
                <w:w w:val="98"/>
              </w:rPr>
              <w:t>425,000</w:t>
            </w:r>
          </w:p>
        </w:tc>
        <w:tc>
          <w:tcPr>
            <w:tcW w:w="10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326,812</w:t>
            </w: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112,487</w:t>
            </w:r>
          </w:p>
        </w:tc>
        <w:tc>
          <w:tcPr>
            <w:tcW w:w="100" w:type="dxa"/>
            <w:vAlign w:val="bottom"/>
          </w:tcPr>
          <w:p>
            <w:pPr>
              <w:spacing w:after="0"/>
              <w:rPr>
                <w:sz w:val="24"/>
                <w:szCs w:val="24"/>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324" w:lineRule="exact"/>
              <w:rPr>
                <w:sz w:val="20"/>
                <w:szCs w:val="20"/>
                <w:color w:val="auto"/>
              </w:rPr>
            </w:pPr>
            <w:r>
              <w:rPr>
                <w:rFonts w:ascii="Arial" w:cs="Arial" w:eastAsia="Arial" w:hAnsi="Arial"/>
                <w:sz w:val="18"/>
                <w:szCs w:val="18"/>
                <w:color w:val="auto"/>
              </w:rPr>
              <w:t>13,070</w:t>
            </w:r>
            <w:r>
              <w:rPr>
                <w:rFonts w:ascii="Arial" w:cs="Arial" w:eastAsia="Arial" w:hAnsi="Arial"/>
                <w:sz w:val="29"/>
                <w:szCs w:val="29"/>
                <w:color w:val="auto"/>
                <w:vertAlign w:val="superscript"/>
              </w:rPr>
              <w:t>(4)</w:t>
            </w: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877,369</w:t>
            </w:r>
          </w:p>
        </w:tc>
        <w:tc>
          <w:tcPr>
            <w:tcW w:w="0" w:type="dxa"/>
            <w:vAlign w:val="bottom"/>
          </w:tcPr>
          <w:p>
            <w:pPr>
              <w:spacing w:after="0"/>
              <w:rPr>
                <w:sz w:val="1"/>
                <w:szCs w:val="1"/>
                <w:color w:val="auto"/>
              </w:rPr>
            </w:pPr>
          </w:p>
        </w:tc>
      </w:tr>
      <w:tr>
        <w:trPr>
          <w:trHeight w:val="203"/>
        </w:trPr>
        <w:tc>
          <w:tcPr>
            <w:tcW w:w="214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Senior Vice President,</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140" w:type="dxa"/>
            <w:vAlign w:val="bottom"/>
            <w:gridSpan w:val="2"/>
          </w:tcPr>
          <w:p>
            <w:pPr>
              <w:ind w:left="220"/>
              <w:spacing w:after="0"/>
              <w:rPr>
                <w:sz w:val="20"/>
                <w:szCs w:val="20"/>
                <w:color w:val="auto"/>
              </w:rPr>
            </w:pPr>
            <w:r>
              <w:rPr>
                <w:rFonts w:ascii="Arial" w:cs="Arial" w:eastAsia="Arial" w:hAnsi="Arial"/>
                <w:sz w:val="18"/>
                <w:szCs w:val="18"/>
                <w:color w:val="auto"/>
              </w:rPr>
              <w:t>Outcomes</w:t>
            </w:r>
          </w:p>
        </w:tc>
        <w:tc>
          <w:tcPr>
            <w:tcW w:w="400" w:type="dxa"/>
            <w:vAlign w:val="bottom"/>
          </w:tcPr>
          <w:p>
            <w:pPr>
              <w:jc w:val="center"/>
              <w:spacing w:after="0"/>
              <w:rPr>
                <w:sz w:val="20"/>
                <w:szCs w:val="20"/>
                <w:color w:val="auto"/>
              </w:rPr>
            </w:pPr>
            <w:r>
              <w:rPr>
                <w:rFonts w:ascii="Arial" w:cs="Arial" w:eastAsia="Arial" w:hAnsi="Arial"/>
                <w:sz w:val="18"/>
                <w:szCs w:val="18"/>
                <w:color w:val="auto"/>
                <w:w w:val="99"/>
              </w:rPr>
              <w:t>2019</w:t>
            </w:r>
          </w:p>
        </w:tc>
        <w:tc>
          <w:tcPr>
            <w:tcW w:w="120" w:type="dxa"/>
            <w:vAlign w:val="bottom"/>
          </w:tcPr>
          <w:p>
            <w:pPr>
              <w:spacing w:after="0"/>
              <w:rPr>
                <w:sz w:val="21"/>
                <w:szCs w:val="21"/>
                <w:color w:val="auto"/>
              </w:rPr>
            </w:pPr>
          </w:p>
        </w:tc>
        <w:tc>
          <w:tcPr>
            <w:tcW w:w="660" w:type="dxa"/>
            <w:vAlign w:val="bottom"/>
          </w:tcPr>
          <w:p>
            <w:pPr>
              <w:spacing w:after="0"/>
              <w:rPr>
                <w:sz w:val="20"/>
                <w:szCs w:val="20"/>
                <w:color w:val="auto"/>
              </w:rPr>
            </w:pPr>
            <w:r>
              <w:rPr>
                <w:rFonts w:ascii="Arial" w:cs="Arial" w:eastAsia="Arial" w:hAnsi="Arial"/>
                <w:sz w:val="18"/>
                <w:szCs w:val="18"/>
                <w:color w:val="auto"/>
                <w:w w:val="98"/>
              </w:rPr>
              <w:t>425,000</w:t>
            </w:r>
          </w:p>
        </w:tc>
        <w:tc>
          <w:tcPr>
            <w:tcW w:w="100" w:type="dxa"/>
            <w:vAlign w:val="bottom"/>
          </w:tcPr>
          <w:p>
            <w:pPr>
              <w:spacing w:after="0"/>
              <w:rPr>
                <w:sz w:val="21"/>
                <w:szCs w:val="21"/>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308,104</w:t>
            </w:r>
          </w:p>
        </w:tc>
        <w:tc>
          <w:tcPr>
            <w:tcW w:w="120" w:type="dxa"/>
            <w:vAlign w:val="bottom"/>
          </w:tcPr>
          <w:p>
            <w:pPr>
              <w:spacing w:after="0"/>
              <w:rPr>
                <w:sz w:val="21"/>
                <w:szCs w:val="21"/>
                <w:color w:val="auto"/>
              </w:rPr>
            </w:pPr>
          </w:p>
        </w:tc>
        <w:tc>
          <w:tcPr>
            <w:tcW w:w="9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4"/>
              <w:spacing w:after="0"/>
              <w:rPr>
                <w:sz w:val="20"/>
                <w:szCs w:val="20"/>
                <w:color w:val="auto"/>
              </w:rPr>
            </w:pPr>
            <w:r>
              <w:rPr>
                <w:rFonts w:ascii="Arial" w:cs="Arial" w:eastAsia="Arial" w:hAnsi="Arial"/>
                <w:sz w:val="18"/>
                <w:szCs w:val="18"/>
                <w:color w:val="auto"/>
              </w:rPr>
              <w:t>164,688</w:t>
            </w:r>
          </w:p>
        </w:tc>
        <w:tc>
          <w:tcPr>
            <w:tcW w:w="100" w:type="dxa"/>
            <w:vAlign w:val="bottom"/>
          </w:tcPr>
          <w:p>
            <w:pPr>
              <w:spacing w:after="0"/>
              <w:rPr>
                <w:sz w:val="21"/>
                <w:szCs w:val="21"/>
                <w:color w:val="auto"/>
              </w:rPr>
            </w:pPr>
          </w:p>
        </w:tc>
        <w:tc>
          <w:tcPr>
            <w:tcW w:w="1020" w:type="dxa"/>
            <w:vAlign w:val="bottom"/>
          </w:tcPr>
          <w:p>
            <w:pPr>
              <w:jc w:val="right"/>
              <w:ind w:right="113"/>
              <w:spacing w:after="0"/>
              <w:rPr>
                <w:sz w:val="20"/>
                <w:szCs w:val="20"/>
                <w:color w:val="auto"/>
              </w:rPr>
            </w:pPr>
            <w:r>
              <w:rPr>
                <w:rFonts w:ascii="Arial" w:cs="Arial" w:eastAsia="Arial" w:hAnsi="Arial"/>
                <w:sz w:val="18"/>
                <w:szCs w:val="18"/>
                <w:color w:val="auto"/>
              </w:rPr>
              <w:t>18,110</w:t>
            </w: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915,901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160655</wp:posOffset>
            </wp:positionV>
            <wp:extent cx="82296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41" w:lineRule="exact"/>
        <w:rPr>
          <w:sz w:val="20"/>
          <w:szCs w:val="20"/>
          <w:color w:val="auto"/>
        </w:rPr>
      </w:pPr>
    </w:p>
    <w:p>
      <w:pPr>
        <w:ind w:left="346" w:right="40" w:hanging="346"/>
        <w:spacing w:after="0" w:line="260" w:lineRule="auto"/>
        <w:tabs>
          <w:tab w:leader="none" w:pos="346"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These columns reflect the aggregate grant date fair value of awards granted under our Long-Term Incentive Plan (LTIP) and Second A&amp;R 2010 Plan (2010 SIP) determined in accordance with FASB ASC Topic 718. See Note 9 of the consolidated financial statements in our Annual Report on Form 10-K for the year ended December 31, 2020 regarding assumptions underlying the valuation of these equity awards.</w:t>
      </w:r>
    </w:p>
    <w:p>
      <w:pPr>
        <w:spacing w:after="0" w:line="192" w:lineRule="exact"/>
        <w:rPr>
          <w:rFonts w:ascii="Arial" w:cs="Arial" w:eastAsia="Arial" w:hAnsi="Arial"/>
          <w:sz w:val="14"/>
          <w:szCs w:val="14"/>
          <w:color w:val="auto"/>
        </w:rPr>
      </w:pPr>
    </w:p>
    <w:p>
      <w:pPr>
        <w:ind w:left="346" w:right="100" w:hanging="346"/>
        <w:spacing w:after="0" w:line="251" w:lineRule="auto"/>
        <w:tabs>
          <w:tab w:leader="none" w:pos="346" w:val="left"/>
        </w:tabs>
        <w:numPr>
          <w:ilvl w:val="0"/>
          <w:numId w:val="46"/>
        </w:numPr>
        <w:rPr>
          <w:rFonts w:ascii="Arial" w:cs="Arial" w:eastAsia="Arial" w:hAnsi="Arial"/>
          <w:sz w:val="14"/>
          <w:szCs w:val="14"/>
          <w:color w:val="auto"/>
        </w:rPr>
      </w:pPr>
      <w:r>
        <w:rPr>
          <w:rFonts w:ascii="Arial" w:cs="Arial" w:eastAsia="Arial" w:hAnsi="Arial"/>
          <w:sz w:val="14"/>
          <w:szCs w:val="14"/>
          <w:color w:val="auto"/>
        </w:rPr>
        <w:t>Includes the grant date fair value of Performance RSUs (PRSUs) assuming target performance achievement. As the performance-contingent awards are based on separate measurements of the Company's financial performance for each year in the three-year performance cycle, FASB ASC Topic 718 requires the grant date fair value to be calculated for the portion of the award related to performance in each year. Therefore, the value includes one-third of the target PRSUs for each active three-year performance cycle. For more details on how performance is calculated, refer to “</w:t>
      </w:r>
      <w:r>
        <w:rPr>
          <w:rFonts w:ascii="Arial" w:cs="Arial" w:eastAsia="Arial" w:hAnsi="Arial"/>
          <w:sz w:val="14"/>
          <w:szCs w:val="14"/>
          <w:i w:val="1"/>
          <w:iCs w:val="1"/>
          <w:color w:val="auto"/>
        </w:rPr>
        <w:t>A Closer Look at Performance-Based Restricted Stock Units (PRSUs)</w:t>
      </w:r>
      <w:r>
        <w:rPr>
          <w:rFonts w:ascii="Arial" w:cs="Arial" w:eastAsia="Arial" w:hAnsi="Arial"/>
          <w:sz w:val="14"/>
          <w:szCs w:val="14"/>
          <w:color w:val="auto"/>
        </w:rPr>
        <w:t>” in this Proxy Statement.</w:t>
      </w:r>
    </w:p>
    <w:p>
      <w:pPr>
        <w:spacing w:after="0" w:line="29" w:lineRule="exact"/>
        <w:rPr>
          <w:rFonts w:ascii="Arial" w:cs="Arial" w:eastAsia="Arial" w:hAnsi="Arial"/>
          <w:sz w:val="14"/>
          <w:szCs w:val="14"/>
          <w:color w:val="auto"/>
        </w:rPr>
      </w:pPr>
    </w:p>
    <w:p>
      <w:pPr>
        <w:ind w:left="366"/>
        <w:spacing w:after="0" w:line="249" w:lineRule="auto"/>
        <w:rPr>
          <w:rFonts w:ascii="Arial" w:cs="Arial" w:eastAsia="Arial" w:hAnsi="Arial"/>
          <w:sz w:val="14"/>
          <w:szCs w:val="14"/>
          <w:color w:val="auto"/>
        </w:rPr>
      </w:pPr>
      <w:r>
        <w:rPr>
          <w:rFonts w:ascii="Arial" w:cs="Arial" w:eastAsia="Arial" w:hAnsi="Arial"/>
          <w:sz w:val="14"/>
          <w:szCs w:val="14"/>
          <w:color w:val="auto"/>
        </w:rPr>
        <w:t>The grant date fair value of the performance related component is based upon the probable outcome for the award and is consistent with the estimate of aggregate compensation cost to be recognized over the performance period determined as of the grant date under FASB ASC Topic 718. As required under FASB ASC Topic 718, the full grant date fair value for the TSR multiplier for the entire three-year performance cycle is included in the amounts shown for the initial year of each performance cycle and was determined using a Monte Carlo valuation model on the date the PRSUs were awarded. Grant date fair values assuming maximum performance achievement for the 2020 PRSUs for the full performance cycle (2020-2022) would be: T. Deitrich - $3,166,889; J. Hooper - $1,319,414; S. Hlavinka - $738,843; M. Cadieux - $844,418; D. Reeves - $474,997.</w:t>
      </w:r>
    </w:p>
    <w:p>
      <w:pPr>
        <w:spacing w:after="0" w:line="45" w:lineRule="exact"/>
        <w:rPr>
          <w:rFonts w:ascii="Arial" w:cs="Arial" w:eastAsia="Arial" w:hAnsi="Arial"/>
          <w:sz w:val="14"/>
          <w:szCs w:val="14"/>
          <w:color w:val="auto"/>
        </w:rPr>
      </w:pPr>
    </w:p>
    <w:p>
      <w:pPr>
        <w:ind w:left="346" w:hanging="346"/>
        <w:spacing w:after="0"/>
        <w:tabs>
          <w:tab w:leader="none" w:pos="346"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This column reflects the cash awards earned by the NEOs under our annual incentive program.</w:t>
      </w:r>
    </w:p>
    <w:p>
      <w:pPr>
        <w:spacing w:after="0" w:line="68" w:lineRule="exact"/>
        <w:rPr>
          <w:rFonts w:ascii="Arial" w:cs="Arial" w:eastAsia="Arial" w:hAnsi="Arial"/>
          <w:sz w:val="14"/>
          <w:szCs w:val="14"/>
          <w:color w:val="auto"/>
        </w:rPr>
      </w:pPr>
    </w:p>
    <w:p>
      <w:pPr>
        <w:ind w:left="346" w:right="40" w:hanging="346"/>
        <w:spacing w:after="0" w:line="258" w:lineRule="auto"/>
        <w:tabs>
          <w:tab w:leader="none" w:pos="346" w:val="left"/>
        </w:tabs>
        <w:numPr>
          <w:ilvl w:val="0"/>
          <w:numId w:val="46"/>
        </w:numPr>
        <w:rPr>
          <w:rFonts w:ascii="Arial" w:cs="Arial" w:eastAsia="Arial" w:hAnsi="Arial"/>
          <w:sz w:val="14"/>
          <w:szCs w:val="14"/>
          <w:color w:val="auto"/>
        </w:rPr>
      </w:pPr>
      <w:r>
        <w:rPr>
          <w:rFonts w:ascii="Arial" w:cs="Arial" w:eastAsia="Arial" w:hAnsi="Arial"/>
          <w:sz w:val="14"/>
          <w:szCs w:val="14"/>
          <w:color w:val="auto"/>
        </w:rPr>
        <w:t>We value these benefits based on the actual costs or charges incurred by us for the benefits. The amounts shown under “All Other Compensation” consist of Company 401(k) matching contributions of $12,825 for Mr. Deitrich and Ms. Hlavinka, $15,457 for Ms. Hooper, $16,425 for Mr. Cadieux, and $13,070 for Mr. Reeves; a company match under the Executive Deferred Compensation Plan of $23,681 for Ms. Hooper and $19,732 for Ms. Hlavinka; and relocation costs of $8,374 for Ms. Hlavinka.</w:t>
      </w:r>
    </w:p>
    <w:p>
      <w:pPr>
        <w:spacing w:after="0" w:line="270" w:lineRule="exact"/>
        <w:rPr>
          <w:sz w:val="20"/>
          <w:szCs w:val="20"/>
          <w:color w:val="auto"/>
        </w:rPr>
      </w:pPr>
    </w:p>
    <w:p>
      <w:pPr>
        <w:jc w:val="center"/>
        <w:ind w:right="-65"/>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157480</wp:posOffset>
            </wp:positionV>
            <wp:extent cx="699516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26"/>
          </w:cols>
          <w:pgMar w:left="1354" w:top="263" w:right="1419" w:bottom="1440" w:gutter="0" w:footer="0" w:header="0"/>
        </w:sectPr>
      </w:pPr>
    </w:p>
    <w:bookmarkStart w:id="41" w:name="page42"/>
    <w:bookmarkEnd w:id="41"/>
    <w:p>
      <w:pPr>
        <w:ind w:left="8"/>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122"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2020 Grants of Plan-Based Awards Table</w:t>
      </w:r>
    </w:p>
    <w:p>
      <w:pPr>
        <w:spacing w:after="0" w:line="200" w:lineRule="exact"/>
        <w:rPr>
          <w:sz w:val="20"/>
          <w:szCs w:val="20"/>
          <w:color w:val="auto"/>
        </w:rPr>
      </w:pPr>
    </w:p>
    <w:p>
      <w:pPr>
        <w:ind w:left="8"/>
        <w:spacing w:after="0"/>
        <w:rPr>
          <w:sz w:val="20"/>
          <w:szCs w:val="20"/>
          <w:color w:val="auto"/>
        </w:rPr>
      </w:pPr>
      <w:r>
        <w:rPr>
          <w:rFonts w:ascii="Arial" w:cs="Arial" w:eastAsia="Arial" w:hAnsi="Arial"/>
          <w:sz w:val="18"/>
          <w:szCs w:val="18"/>
          <w:color w:val="auto"/>
        </w:rPr>
        <w:t>The following table provides information regarding grants of plan-based awards to the NEOs during 2020.</w:t>
      </w:r>
    </w:p>
    <w:p>
      <w:pPr>
        <w:spacing w:after="0" w:line="206" w:lineRule="exact"/>
        <w:rPr>
          <w:sz w:val="20"/>
          <w:szCs w:val="20"/>
          <w:color w:val="auto"/>
        </w:rPr>
      </w:pPr>
    </w:p>
    <w:p>
      <w:pPr>
        <w:jc w:val="center"/>
        <w:ind w:right="-67"/>
        <w:spacing w:after="0"/>
        <w:rPr>
          <w:sz w:val="20"/>
          <w:szCs w:val="20"/>
          <w:color w:val="auto"/>
        </w:rPr>
      </w:pPr>
      <w:r>
        <w:rPr>
          <w:rFonts w:ascii="Arial" w:cs="Arial" w:eastAsia="Arial" w:hAnsi="Arial"/>
          <w:sz w:val="14"/>
          <w:szCs w:val="14"/>
          <w:b w:val="1"/>
          <w:bCs w:val="1"/>
          <w:color w:val="auto"/>
        </w:rPr>
        <w:t>ITRON,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36195</wp:posOffset>
            </wp:positionV>
            <wp:extent cx="595757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957570" cy="8255"/>
                    </a:xfrm>
                    <a:prstGeom prst="rect">
                      <a:avLst/>
                    </a:prstGeom>
                    <a:noFill/>
                  </pic:spPr>
                </pic:pic>
              </a:graphicData>
            </a:graphic>
          </wp:anchor>
        </w:drawing>
      </w:r>
    </w:p>
    <w:p>
      <w:pPr>
        <w:spacing w:after="0" w:line="76" w:lineRule="exact"/>
        <w:rPr>
          <w:sz w:val="20"/>
          <w:szCs w:val="20"/>
          <w:color w:val="auto"/>
        </w:rPr>
      </w:pPr>
    </w:p>
    <w:p>
      <w:pPr>
        <w:jc w:val="center"/>
        <w:ind w:right="-67"/>
        <w:spacing w:after="0"/>
        <w:rPr>
          <w:sz w:val="20"/>
          <w:szCs w:val="20"/>
          <w:color w:val="auto"/>
        </w:rPr>
      </w:pPr>
      <w:r>
        <w:rPr>
          <w:rFonts w:ascii="Arial" w:cs="Arial" w:eastAsia="Arial" w:hAnsi="Arial"/>
          <w:sz w:val="14"/>
          <w:szCs w:val="14"/>
          <w:b w:val="1"/>
          <w:bCs w:val="1"/>
          <w:color w:val="auto"/>
        </w:rPr>
        <w:t>Grants of Plan - Based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36195</wp:posOffset>
            </wp:positionV>
            <wp:extent cx="595757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957570" cy="8890"/>
                    </a:xfrm>
                    <a:prstGeom prst="rect">
                      <a:avLst/>
                    </a:prstGeom>
                    <a:noFill/>
                  </pic:spPr>
                </pic:pic>
              </a:graphicData>
            </a:graphic>
          </wp:anchor>
        </w:drawing>
      </w:r>
    </w:p>
    <w:p>
      <w:pPr>
        <w:spacing w:after="0" w:line="52" w:lineRule="exact"/>
        <w:rPr>
          <w:sz w:val="20"/>
          <w:szCs w:val="20"/>
          <w:color w:val="auto"/>
        </w:rPr>
      </w:pPr>
    </w:p>
    <w:tbl>
      <w:tblPr>
        <w:tblLayout w:type="fixed"/>
        <w:tblInd w:w="68" w:type="dxa"/>
        <w:tblCellMar>
          <w:top w:w="0" w:type="dxa"/>
          <w:left w:w="0" w:type="dxa"/>
          <w:bottom w:w="0" w:type="dxa"/>
          <w:right w:w="0" w:type="dxa"/>
        </w:tblCellMar>
      </w:tblPr>
      <w:tr>
        <w:trPr>
          <w:trHeight w:val="149"/>
        </w:trPr>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8"/>
              </w:rPr>
              <w:t>All Other</w:t>
            </w:r>
          </w:p>
        </w:tc>
        <w:tc>
          <w:tcPr>
            <w:tcW w:w="84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4"/>
              </w:rPr>
              <w:t>All Other</w:t>
            </w: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360" w:type="dxa"/>
            <w:vAlign w:val="bottom"/>
            <w:gridSpan w:val="8"/>
            <w:vMerge w:val="restart"/>
          </w:tcPr>
          <w:p>
            <w:pPr>
              <w:jc w:val="center"/>
              <w:ind w:right="200"/>
              <w:spacing w:after="0"/>
              <w:rPr>
                <w:sz w:val="20"/>
                <w:szCs w:val="20"/>
                <w:color w:val="auto"/>
              </w:rPr>
            </w:pPr>
            <w:r>
              <w:rPr>
                <w:rFonts w:ascii="Arial" w:cs="Arial" w:eastAsia="Arial" w:hAnsi="Arial"/>
                <w:sz w:val="13"/>
                <w:szCs w:val="13"/>
                <w:b w:val="1"/>
                <w:bCs w:val="1"/>
                <w:color w:val="auto"/>
                <w:w w:val="97"/>
              </w:rPr>
              <w:t>Estimated Future Payouts Under</w:t>
            </w:r>
          </w:p>
        </w:tc>
        <w:tc>
          <w:tcPr>
            <w:tcW w:w="1940" w:type="dxa"/>
            <w:vAlign w:val="bottom"/>
            <w:gridSpan w:val="5"/>
            <w:vMerge w:val="restart"/>
          </w:tcPr>
          <w:p>
            <w:pPr>
              <w:jc w:val="center"/>
              <w:spacing w:after="0"/>
              <w:rPr>
                <w:sz w:val="20"/>
                <w:szCs w:val="20"/>
                <w:color w:val="auto"/>
              </w:rPr>
            </w:pPr>
            <w:r>
              <w:rPr>
                <w:rFonts w:ascii="Arial" w:cs="Arial" w:eastAsia="Arial" w:hAnsi="Arial"/>
                <w:sz w:val="13"/>
                <w:szCs w:val="13"/>
                <w:b w:val="1"/>
                <w:bCs w:val="1"/>
                <w:color w:val="auto"/>
                <w:w w:val="97"/>
              </w:rPr>
              <w:t>Estimated Future Payouts</w:t>
            </w:r>
          </w:p>
        </w:tc>
        <w:tc>
          <w:tcPr>
            <w:tcW w:w="160" w:type="dxa"/>
            <w:vAlign w:val="bottom"/>
          </w:tcPr>
          <w:p>
            <w:pPr>
              <w:spacing w:after="0"/>
              <w:rPr>
                <w:sz w:val="11"/>
                <w:szCs w:val="11"/>
                <w:color w:val="auto"/>
              </w:rPr>
            </w:pPr>
          </w:p>
        </w:tc>
        <w:tc>
          <w:tcPr>
            <w:tcW w:w="72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5"/>
              </w:rPr>
              <w:t>Stock</w:t>
            </w:r>
          </w:p>
        </w:tc>
        <w:tc>
          <w:tcPr>
            <w:tcW w:w="840" w:type="dxa"/>
            <w:vAlign w:val="bottom"/>
            <w:gridSpan w:val="2"/>
            <w:vMerge w:val="continue"/>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Grant</w:t>
            </w:r>
          </w:p>
        </w:tc>
        <w:tc>
          <w:tcPr>
            <w:tcW w:w="0" w:type="dxa"/>
            <w:vAlign w:val="bottom"/>
          </w:tcPr>
          <w:p>
            <w:pPr>
              <w:spacing w:after="0"/>
              <w:rPr>
                <w:sz w:val="1"/>
                <w:szCs w:val="1"/>
                <w:color w:val="auto"/>
              </w:rPr>
            </w:pPr>
          </w:p>
        </w:tc>
      </w:tr>
      <w:tr>
        <w:trPr>
          <w:trHeight w:val="132"/>
        </w:trPr>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360" w:type="dxa"/>
            <w:vAlign w:val="bottom"/>
            <w:gridSpan w:val="8"/>
            <w:vMerge w:val="continue"/>
          </w:tcPr>
          <w:p>
            <w:pPr>
              <w:spacing w:after="0"/>
              <w:rPr>
                <w:sz w:val="11"/>
                <w:szCs w:val="11"/>
                <w:color w:val="auto"/>
              </w:rPr>
            </w:pPr>
          </w:p>
        </w:tc>
        <w:tc>
          <w:tcPr>
            <w:tcW w:w="1940" w:type="dxa"/>
            <w:vAlign w:val="bottom"/>
            <w:gridSpan w:val="5"/>
            <w:vMerge w:val="continue"/>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2"/>
          </w:tcPr>
          <w:p>
            <w:pPr>
              <w:jc w:val="center"/>
              <w:ind w:right="180"/>
              <w:spacing w:after="0" w:line="132" w:lineRule="exact"/>
              <w:rPr>
                <w:sz w:val="20"/>
                <w:szCs w:val="20"/>
                <w:color w:val="auto"/>
              </w:rPr>
            </w:pPr>
            <w:r>
              <w:rPr>
                <w:rFonts w:ascii="Arial" w:cs="Arial" w:eastAsia="Arial" w:hAnsi="Arial"/>
                <w:sz w:val="13"/>
                <w:szCs w:val="13"/>
                <w:b w:val="1"/>
                <w:bCs w:val="1"/>
                <w:color w:val="auto"/>
                <w:w w:val="97"/>
              </w:rPr>
              <w:t>Awards:</w:t>
            </w:r>
          </w:p>
        </w:tc>
        <w:tc>
          <w:tcPr>
            <w:tcW w:w="840" w:type="dxa"/>
            <w:vAlign w:val="bottom"/>
            <w:gridSpan w:val="2"/>
          </w:tcPr>
          <w:p>
            <w:pPr>
              <w:jc w:val="center"/>
              <w:ind w:right="200"/>
              <w:spacing w:after="0" w:line="132" w:lineRule="exact"/>
              <w:rPr>
                <w:sz w:val="20"/>
                <w:szCs w:val="20"/>
                <w:color w:val="auto"/>
              </w:rPr>
            </w:pPr>
            <w:r>
              <w:rPr>
                <w:rFonts w:ascii="Arial" w:cs="Arial" w:eastAsia="Arial" w:hAnsi="Arial"/>
                <w:sz w:val="13"/>
                <w:szCs w:val="13"/>
                <w:b w:val="1"/>
                <w:bCs w:val="1"/>
                <w:color w:val="auto"/>
                <w:w w:val="95"/>
              </w:rPr>
              <w:t>Option</w:t>
            </w:r>
          </w:p>
        </w:tc>
        <w:tc>
          <w:tcPr>
            <w:tcW w:w="6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Exercise</w:t>
            </w: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360" w:type="dxa"/>
            <w:vAlign w:val="bottom"/>
            <w:gridSpan w:val="8"/>
          </w:tcPr>
          <w:p>
            <w:pPr>
              <w:jc w:val="center"/>
              <w:ind w:right="200"/>
              <w:spacing w:after="0" w:line="135" w:lineRule="exact"/>
              <w:rPr>
                <w:sz w:val="20"/>
                <w:szCs w:val="20"/>
                <w:color w:val="auto"/>
              </w:rPr>
            </w:pPr>
            <w:r>
              <w:rPr>
                <w:rFonts w:ascii="Arial" w:cs="Arial" w:eastAsia="Arial" w:hAnsi="Arial"/>
                <w:sz w:val="13"/>
                <w:szCs w:val="13"/>
                <w:b w:val="1"/>
                <w:bCs w:val="1"/>
                <w:color w:val="auto"/>
                <w:w w:val="95"/>
              </w:rPr>
              <w:t>Non-Equity Incentive</w:t>
            </w:r>
          </w:p>
        </w:tc>
        <w:tc>
          <w:tcPr>
            <w:tcW w:w="1940" w:type="dxa"/>
            <w:vAlign w:val="bottom"/>
            <w:gridSpan w:val="5"/>
          </w:tcPr>
          <w:p>
            <w:pPr>
              <w:jc w:val="center"/>
              <w:spacing w:after="0" w:line="135" w:lineRule="exact"/>
              <w:rPr>
                <w:sz w:val="20"/>
                <w:szCs w:val="20"/>
                <w:color w:val="auto"/>
              </w:rPr>
            </w:pPr>
            <w:r>
              <w:rPr>
                <w:rFonts w:ascii="Arial" w:cs="Arial" w:eastAsia="Arial" w:hAnsi="Arial"/>
                <w:sz w:val="13"/>
                <w:szCs w:val="13"/>
                <w:b w:val="1"/>
                <w:bCs w:val="1"/>
                <w:color w:val="auto"/>
                <w:w w:val="96"/>
              </w:rPr>
              <w:t>Under Equity Incentive</w:t>
            </w:r>
          </w:p>
        </w:tc>
        <w:tc>
          <w:tcPr>
            <w:tcW w:w="160" w:type="dxa"/>
            <w:vAlign w:val="bottom"/>
          </w:tcPr>
          <w:p>
            <w:pPr>
              <w:spacing w:after="0"/>
              <w:rPr>
                <w:sz w:val="11"/>
                <w:szCs w:val="11"/>
                <w:color w:val="auto"/>
              </w:rPr>
            </w:pPr>
          </w:p>
        </w:tc>
        <w:tc>
          <w:tcPr>
            <w:tcW w:w="7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7"/>
              </w:rPr>
              <w:t>Number</w:t>
            </w:r>
          </w:p>
        </w:tc>
        <w:tc>
          <w:tcPr>
            <w:tcW w:w="84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3"/>
              </w:rPr>
              <w:t>Awards:</w:t>
            </w:r>
          </w:p>
        </w:tc>
        <w:tc>
          <w:tcPr>
            <w:tcW w:w="680" w:type="dxa"/>
            <w:vAlign w:val="bottom"/>
            <w:gridSpan w:val="2"/>
            <w:vMerge w:val="continue"/>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9"/>
              </w:rPr>
              <w:t>Date</w:t>
            </w:r>
          </w:p>
        </w:tc>
        <w:tc>
          <w:tcPr>
            <w:tcW w:w="0" w:type="dxa"/>
            <w:vAlign w:val="bottom"/>
          </w:tcPr>
          <w:p>
            <w:pPr>
              <w:spacing w:after="0"/>
              <w:rPr>
                <w:sz w:val="1"/>
                <w:szCs w:val="1"/>
                <w:color w:val="auto"/>
              </w:rPr>
            </w:pPr>
          </w:p>
        </w:tc>
      </w:tr>
      <w:tr>
        <w:trPr>
          <w:trHeight w:val="138"/>
        </w:trPr>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40" w:type="dxa"/>
            <w:vAlign w:val="bottom"/>
            <w:gridSpan w:val="4"/>
          </w:tcPr>
          <w:p>
            <w:pPr>
              <w:jc w:val="center"/>
              <w:spacing w:after="0" w:line="138" w:lineRule="exact"/>
              <w:rPr>
                <w:sz w:val="20"/>
                <w:szCs w:val="20"/>
                <w:color w:val="auto"/>
              </w:rPr>
            </w:pPr>
            <w:r>
              <w:rPr>
                <w:rFonts w:ascii="Arial" w:cs="Arial" w:eastAsia="Arial" w:hAnsi="Arial"/>
                <w:sz w:val="13"/>
                <w:szCs w:val="13"/>
                <w:b w:val="1"/>
                <w:bCs w:val="1"/>
                <w:color w:val="auto"/>
                <w:w w:val="97"/>
              </w:rPr>
              <w:t>Plan Awards</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4"/>
          </w:tcPr>
          <w:p>
            <w:pPr>
              <w:jc w:val="center"/>
              <w:ind w:left="538"/>
              <w:spacing w:after="0" w:line="138" w:lineRule="exact"/>
              <w:rPr>
                <w:sz w:val="20"/>
                <w:szCs w:val="20"/>
                <w:color w:val="auto"/>
              </w:rPr>
            </w:pPr>
            <w:r>
              <w:rPr>
                <w:rFonts w:ascii="Arial" w:cs="Arial" w:eastAsia="Arial" w:hAnsi="Arial"/>
                <w:sz w:val="13"/>
                <w:szCs w:val="13"/>
                <w:b w:val="1"/>
                <w:bCs w:val="1"/>
                <w:color w:val="auto"/>
                <w:w w:val="94"/>
              </w:rPr>
              <w:t>Plan Awards</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center"/>
              <w:ind w:right="160"/>
              <w:spacing w:after="0" w:line="138" w:lineRule="exact"/>
              <w:rPr>
                <w:sz w:val="20"/>
                <w:szCs w:val="20"/>
                <w:color w:val="auto"/>
              </w:rPr>
            </w:pPr>
            <w:r>
              <w:rPr>
                <w:rFonts w:ascii="Arial" w:cs="Arial" w:eastAsia="Arial" w:hAnsi="Arial"/>
                <w:sz w:val="13"/>
                <w:szCs w:val="13"/>
                <w:b w:val="1"/>
                <w:bCs w:val="1"/>
                <w:color w:val="auto"/>
                <w:w w:val="97"/>
              </w:rPr>
              <w:t>of</w:t>
            </w:r>
          </w:p>
        </w:tc>
        <w:tc>
          <w:tcPr>
            <w:tcW w:w="840" w:type="dxa"/>
            <w:vAlign w:val="bottom"/>
            <w:gridSpan w:val="2"/>
          </w:tcPr>
          <w:p>
            <w:pPr>
              <w:jc w:val="center"/>
              <w:ind w:right="160"/>
              <w:spacing w:after="0" w:line="138" w:lineRule="exact"/>
              <w:rPr>
                <w:sz w:val="20"/>
                <w:szCs w:val="20"/>
                <w:color w:val="auto"/>
              </w:rPr>
            </w:pPr>
            <w:r>
              <w:rPr>
                <w:rFonts w:ascii="Arial" w:cs="Arial" w:eastAsia="Arial" w:hAnsi="Arial"/>
                <w:sz w:val="13"/>
                <w:szCs w:val="13"/>
                <w:b w:val="1"/>
                <w:bCs w:val="1"/>
                <w:color w:val="auto"/>
                <w:w w:val="98"/>
              </w:rPr>
              <w:t>Number of</w:t>
            </w:r>
          </w:p>
        </w:tc>
        <w:tc>
          <w:tcPr>
            <w:tcW w:w="680" w:type="dxa"/>
            <w:vAlign w:val="bottom"/>
            <w:gridSpan w:val="2"/>
          </w:tcPr>
          <w:p>
            <w:pPr>
              <w:jc w:val="center"/>
              <w:ind w:right="220"/>
              <w:spacing w:after="0" w:line="138" w:lineRule="exact"/>
              <w:rPr>
                <w:sz w:val="20"/>
                <w:szCs w:val="20"/>
                <w:color w:val="auto"/>
              </w:rPr>
            </w:pPr>
            <w:r>
              <w:rPr>
                <w:rFonts w:ascii="Arial" w:cs="Arial" w:eastAsia="Arial" w:hAnsi="Arial"/>
                <w:sz w:val="13"/>
                <w:szCs w:val="13"/>
                <w:b w:val="1"/>
                <w:bCs w:val="1"/>
                <w:color w:val="auto"/>
                <w:w w:val="96"/>
              </w:rPr>
              <w:t>or Base</w:t>
            </w:r>
          </w:p>
        </w:tc>
        <w:tc>
          <w:tcPr>
            <w:tcW w:w="70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2"/>
              </w:rPr>
              <w:t>Fair</w:t>
            </w:r>
          </w:p>
        </w:tc>
        <w:tc>
          <w:tcPr>
            <w:tcW w:w="0" w:type="dxa"/>
            <w:vAlign w:val="bottom"/>
          </w:tcPr>
          <w:p>
            <w:pPr>
              <w:spacing w:after="0"/>
              <w:rPr>
                <w:sz w:val="1"/>
                <w:szCs w:val="1"/>
                <w:color w:val="auto"/>
              </w:rPr>
            </w:pPr>
          </w:p>
        </w:tc>
      </w:tr>
      <w:tr>
        <w:trPr>
          <w:trHeight w:val="51"/>
        </w:trPr>
        <w:tc>
          <w:tcPr>
            <w:tcW w:w="10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gridSpan w:val="2"/>
            <w:vMerge w:val="restart"/>
          </w:tcPr>
          <w:p>
            <w:pPr>
              <w:jc w:val="center"/>
              <w:ind w:right="180"/>
              <w:spacing w:after="0" w:line="135" w:lineRule="exact"/>
              <w:rPr>
                <w:sz w:val="20"/>
                <w:szCs w:val="20"/>
                <w:color w:val="auto"/>
              </w:rPr>
            </w:pPr>
            <w:r>
              <w:rPr>
                <w:rFonts w:ascii="Arial" w:cs="Arial" w:eastAsia="Arial" w:hAnsi="Arial"/>
                <w:sz w:val="13"/>
                <w:szCs w:val="13"/>
                <w:b w:val="1"/>
                <w:bCs w:val="1"/>
                <w:color w:val="auto"/>
                <w:w w:val="96"/>
              </w:rPr>
              <w:t>Shares</w:t>
            </w:r>
          </w:p>
        </w:tc>
        <w:tc>
          <w:tcPr>
            <w:tcW w:w="840" w:type="dxa"/>
            <w:vAlign w:val="bottom"/>
            <w:gridSpan w:val="2"/>
            <w:vMerge w:val="restart"/>
          </w:tcPr>
          <w:p>
            <w:pPr>
              <w:jc w:val="center"/>
              <w:ind w:right="200"/>
              <w:spacing w:after="0" w:line="135" w:lineRule="exact"/>
              <w:rPr>
                <w:sz w:val="20"/>
                <w:szCs w:val="20"/>
                <w:color w:val="auto"/>
              </w:rPr>
            </w:pPr>
            <w:r>
              <w:rPr>
                <w:rFonts w:ascii="Arial" w:cs="Arial" w:eastAsia="Arial" w:hAnsi="Arial"/>
                <w:sz w:val="13"/>
                <w:szCs w:val="13"/>
                <w:b w:val="1"/>
                <w:bCs w:val="1"/>
                <w:color w:val="auto"/>
                <w:w w:val="96"/>
              </w:rPr>
              <w:t>Securities</w:t>
            </w:r>
          </w:p>
        </w:tc>
        <w:tc>
          <w:tcPr>
            <w:tcW w:w="680" w:type="dxa"/>
            <w:vAlign w:val="bottom"/>
            <w:gridSpan w:val="2"/>
            <w:vMerge w:val="restart"/>
          </w:tcPr>
          <w:p>
            <w:pPr>
              <w:jc w:val="center"/>
              <w:ind w:right="220"/>
              <w:spacing w:after="0" w:line="135" w:lineRule="exact"/>
              <w:rPr>
                <w:sz w:val="20"/>
                <w:szCs w:val="20"/>
                <w:color w:val="auto"/>
              </w:rPr>
            </w:pPr>
            <w:r>
              <w:rPr>
                <w:rFonts w:ascii="Arial" w:cs="Arial" w:eastAsia="Arial" w:hAnsi="Arial"/>
                <w:sz w:val="13"/>
                <w:szCs w:val="13"/>
                <w:b w:val="1"/>
                <w:bCs w:val="1"/>
                <w:color w:val="auto"/>
                <w:w w:val="96"/>
              </w:rPr>
              <w:t>Price of</w:t>
            </w:r>
          </w:p>
        </w:tc>
        <w:tc>
          <w:tcPr>
            <w:tcW w:w="70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94"/>
              </w:rPr>
              <w:t>Value of</w:t>
            </w:r>
          </w:p>
        </w:tc>
        <w:tc>
          <w:tcPr>
            <w:tcW w:w="0" w:type="dxa"/>
            <w:vAlign w:val="bottom"/>
          </w:tcPr>
          <w:p>
            <w:pPr>
              <w:spacing w:after="0"/>
              <w:rPr>
                <w:sz w:val="1"/>
                <w:szCs w:val="1"/>
                <w:color w:val="auto"/>
              </w:rPr>
            </w:pPr>
          </w:p>
        </w:tc>
      </w:tr>
      <w:tr>
        <w:trPr>
          <w:trHeight w:val="64"/>
        </w:trPr>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Grant</w:t>
            </w:r>
          </w:p>
        </w:tc>
        <w:tc>
          <w:tcPr>
            <w:tcW w:w="62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2"/>
              </w:rPr>
              <w:t>Threshold</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5"/>
              </w:rPr>
              <w:t>Target</w:t>
            </w:r>
          </w:p>
        </w:tc>
        <w:tc>
          <w:tcPr>
            <w:tcW w:w="80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Maximum</w:t>
            </w:r>
          </w:p>
        </w:tc>
        <w:tc>
          <w:tcPr>
            <w:tcW w:w="62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5"/>
              </w:rPr>
              <w:t>Threshold</w:t>
            </w:r>
          </w:p>
        </w:tc>
        <w:tc>
          <w:tcPr>
            <w:tcW w:w="160" w:type="dxa"/>
            <w:vAlign w:val="bottom"/>
          </w:tcPr>
          <w:p>
            <w:pPr>
              <w:spacing w:after="0"/>
              <w:rPr>
                <w:sz w:val="11"/>
                <w:szCs w:val="11"/>
                <w:color w:val="auto"/>
              </w:rPr>
            </w:pPr>
          </w:p>
        </w:tc>
        <w:tc>
          <w:tcPr>
            <w:tcW w:w="56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95"/>
              </w:rPr>
              <w:t>Target</w:t>
            </w:r>
          </w:p>
        </w:tc>
        <w:tc>
          <w:tcPr>
            <w:tcW w:w="60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6"/>
              </w:rPr>
              <w:t>Maximum</w:t>
            </w:r>
          </w:p>
        </w:tc>
        <w:tc>
          <w:tcPr>
            <w:tcW w:w="160" w:type="dxa"/>
            <w:vAlign w:val="bottom"/>
          </w:tcPr>
          <w:p>
            <w:pPr>
              <w:spacing w:after="0"/>
              <w:rPr>
                <w:sz w:val="11"/>
                <w:szCs w:val="11"/>
                <w:color w:val="auto"/>
              </w:rPr>
            </w:pPr>
          </w:p>
        </w:tc>
        <w:tc>
          <w:tcPr>
            <w:tcW w:w="72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7"/>
              </w:rPr>
              <w:t>of Stock</w:t>
            </w:r>
          </w:p>
        </w:tc>
        <w:tc>
          <w:tcPr>
            <w:tcW w:w="84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7"/>
              </w:rPr>
              <w:t>Underlying</w:t>
            </w:r>
          </w:p>
        </w:tc>
        <w:tc>
          <w:tcPr>
            <w:tcW w:w="68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95"/>
              </w:rPr>
              <w:t>Option</w:t>
            </w:r>
          </w:p>
        </w:tc>
        <w:tc>
          <w:tcPr>
            <w:tcW w:w="7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Stock and</w:t>
            </w:r>
          </w:p>
        </w:tc>
        <w:tc>
          <w:tcPr>
            <w:tcW w:w="0" w:type="dxa"/>
            <w:vAlign w:val="bottom"/>
          </w:tcPr>
          <w:p>
            <w:pPr>
              <w:spacing w:after="0"/>
              <w:rPr>
                <w:sz w:val="1"/>
                <w:szCs w:val="1"/>
                <w:color w:val="auto"/>
              </w:rPr>
            </w:pPr>
          </w:p>
        </w:tc>
      </w:tr>
      <w:tr>
        <w:trPr>
          <w:trHeight w:val="132"/>
        </w:trPr>
        <w:tc>
          <w:tcPr>
            <w:tcW w:w="1080" w:type="dxa"/>
            <w:vAlign w:val="bottom"/>
            <w:vMerge w:val="restart"/>
          </w:tcPr>
          <w:p>
            <w:pPr>
              <w:ind w:left="360"/>
              <w:spacing w:after="0"/>
              <w:rPr>
                <w:sz w:val="20"/>
                <w:szCs w:val="20"/>
                <w:color w:val="auto"/>
              </w:rPr>
            </w:pPr>
            <w:r>
              <w:rPr>
                <w:rFonts w:ascii="Arial" w:cs="Arial" w:eastAsia="Arial" w:hAnsi="Arial"/>
                <w:sz w:val="13"/>
                <w:szCs w:val="13"/>
                <w:b w:val="1"/>
                <w:bCs w:val="1"/>
                <w:color w:val="auto"/>
              </w:rPr>
              <w:t>Name</w:t>
            </w:r>
          </w:p>
        </w:tc>
        <w:tc>
          <w:tcPr>
            <w:tcW w:w="16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800" w:type="dxa"/>
            <w:vAlign w:val="bottom"/>
            <w:gridSpan w:val="3"/>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2"/>
          </w:tcPr>
          <w:p>
            <w:pPr>
              <w:jc w:val="center"/>
              <w:ind w:right="200"/>
              <w:spacing w:after="0" w:line="132" w:lineRule="exact"/>
              <w:rPr>
                <w:sz w:val="20"/>
                <w:szCs w:val="20"/>
                <w:color w:val="auto"/>
              </w:rPr>
            </w:pPr>
            <w:r>
              <w:rPr>
                <w:rFonts w:ascii="Arial" w:cs="Arial" w:eastAsia="Arial" w:hAnsi="Arial"/>
                <w:sz w:val="13"/>
                <w:szCs w:val="13"/>
                <w:b w:val="1"/>
                <w:bCs w:val="1"/>
                <w:color w:val="auto"/>
                <w:w w:val="97"/>
              </w:rPr>
              <w:t>or Units</w:t>
            </w:r>
          </w:p>
        </w:tc>
        <w:tc>
          <w:tcPr>
            <w:tcW w:w="840" w:type="dxa"/>
            <w:vAlign w:val="bottom"/>
            <w:gridSpan w:val="2"/>
          </w:tcPr>
          <w:p>
            <w:pPr>
              <w:jc w:val="center"/>
              <w:ind w:right="160"/>
              <w:spacing w:after="0" w:line="132" w:lineRule="exact"/>
              <w:rPr>
                <w:sz w:val="20"/>
                <w:szCs w:val="20"/>
                <w:color w:val="auto"/>
              </w:rPr>
            </w:pPr>
            <w:r>
              <w:rPr>
                <w:rFonts w:ascii="Arial" w:cs="Arial" w:eastAsia="Arial" w:hAnsi="Arial"/>
                <w:sz w:val="13"/>
                <w:szCs w:val="13"/>
                <w:b w:val="1"/>
                <w:bCs w:val="1"/>
                <w:color w:val="auto"/>
                <w:w w:val="97"/>
              </w:rPr>
              <w:t>Options</w:t>
            </w:r>
          </w:p>
        </w:tc>
        <w:tc>
          <w:tcPr>
            <w:tcW w:w="680" w:type="dxa"/>
            <w:vAlign w:val="bottom"/>
            <w:gridSpan w:val="2"/>
          </w:tcPr>
          <w:p>
            <w:pPr>
              <w:jc w:val="center"/>
              <w:ind w:right="200"/>
              <w:spacing w:after="0" w:line="132" w:lineRule="exact"/>
              <w:rPr>
                <w:sz w:val="20"/>
                <w:szCs w:val="20"/>
                <w:color w:val="auto"/>
              </w:rPr>
            </w:pPr>
            <w:r>
              <w:rPr>
                <w:rFonts w:ascii="Arial" w:cs="Arial" w:eastAsia="Arial" w:hAnsi="Arial"/>
                <w:sz w:val="13"/>
                <w:szCs w:val="13"/>
                <w:b w:val="1"/>
                <w:bCs w:val="1"/>
                <w:color w:val="auto"/>
                <w:w w:val="93"/>
              </w:rPr>
              <w:t>Awards</w:t>
            </w:r>
          </w:p>
        </w:tc>
        <w:tc>
          <w:tcPr>
            <w:tcW w:w="700" w:type="dxa"/>
            <w:vAlign w:val="bottom"/>
          </w:tcPr>
          <w:p>
            <w:pPr>
              <w:jc w:val="center"/>
              <w:spacing w:after="0" w:line="132" w:lineRule="exact"/>
              <w:rPr>
                <w:sz w:val="20"/>
                <w:szCs w:val="20"/>
                <w:color w:val="auto"/>
              </w:rPr>
            </w:pPr>
            <w:r>
              <w:rPr>
                <w:rFonts w:ascii="Arial" w:cs="Arial" w:eastAsia="Arial" w:hAnsi="Arial"/>
                <w:sz w:val="13"/>
                <w:szCs w:val="13"/>
                <w:b w:val="1"/>
                <w:bCs w:val="1"/>
                <w:color w:val="auto"/>
              </w:rPr>
              <w:t>Option</w:t>
            </w:r>
          </w:p>
        </w:tc>
        <w:tc>
          <w:tcPr>
            <w:tcW w:w="0" w:type="dxa"/>
            <w:vAlign w:val="bottom"/>
          </w:tcPr>
          <w:p>
            <w:pPr>
              <w:spacing w:after="0"/>
              <w:rPr>
                <w:sz w:val="1"/>
                <w:szCs w:val="1"/>
                <w:color w:val="auto"/>
              </w:rPr>
            </w:pPr>
          </w:p>
        </w:tc>
      </w:tr>
      <w:tr>
        <w:trPr>
          <w:trHeight w:val="203"/>
        </w:trPr>
        <w:tc>
          <w:tcPr>
            <w:tcW w:w="1080" w:type="dxa"/>
            <w:vAlign w:val="bottom"/>
            <w:tcBorders>
              <w:bottom w:val="single" w:sz="8" w:color="auto"/>
            </w:tcBorders>
            <w:vMerge w:val="continue"/>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Date</w:t>
            </w:r>
          </w:p>
        </w:tc>
        <w:tc>
          <w:tcPr>
            <w:tcW w:w="180" w:type="dxa"/>
            <w:vAlign w:val="bottom"/>
          </w:tcPr>
          <w:p>
            <w:pPr>
              <w:spacing w:after="0"/>
              <w:rPr>
                <w:sz w:val="17"/>
                <w:szCs w:val="17"/>
                <w:color w:val="auto"/>
              </w:rPr>
            </w:pPr>
          </w:p>
        </w:tc>
        <w:tc>
          <w:tcPr>
            <w:tcW w:w="620" w:type="dxa"/>
            <w:vAlign w:val="bottom"/>
            <w:tcBorders>
              <w:bottom w:val="single" w:sz="8" w:color="auto"/>
            </w:tcBorders>
          </w:tcPr>
          <w:p>
            <w:pPr>
              <w:jc w:val="right"/>
              <w:ind w:right="118"/>
              <w:spacing w:after="0" w:line="202" w:lineRule="exact"/>
              <w:rPr>
                <w:sz w:val="20"/>
                <w:szCs w:val="20"/>
                <w:color w:val="auto"/>
              </w:rPr>
            </w:pPr>
            <w:r>
              <w:rPr>
                <w:rFonts w:ascii="Arial" w:cs="Arial" w:eastAsia="Arial" w:hAnsi="Arial"/>
                <w:sz w:val="23"/>
                <w:szCs w:val="23"/>
                <w:b w:val="1"/>
                <w:bCs w:val="1"/>
                <w:color w:val="auto"/>
                <w:vertAlign w:val="subscript"/>
              </w:rPr>
              <w:t>($)</w:t>
            </w:r>
            <w:r>
              <w:rPr>
                <w:rFonts w:ascii="Arial" w:cs="Arial" w:eastAsia="Arial" w:hAnsi="Arial"/>
                <w:sz w:val="10"/>
                <w:szCs w:val="10"/>
                <w:b w:val="1"/>
                <w:bCs w:val="1"/>
                <w:color w:val="auto"/>
              </w:rPr>
              <w:t>(1)</w:t>
            </w:r>
          </w:p>
        </w:tc>
        <w:tc>
          <w:tcPr>
            <w:tcW w:w="16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23"/>
                <w:szCs w:val="23"/>
                <w:b w:val="1"/>
                <w:bCs w:val="1"/>
                <w:color w:val="auto"/>
                <w:w w:val="96"/>
                <w:vertAlign w:val="subscript"/>
              </w:rPr>
              <w:t>($)</w:t>
            </w:r>
            <w:r>
              <w:rPr>
                <w:rFonts w:ascii="Arial" w:cs="Arial" w:eastAsia="Arial" w:hAnsi="Arial"/>
                <w:sz w:val="10"/>
                <w:szCs w:val="10"/>
                <w:b w:val="1"/>
                <w:bCs w:val="1"/>
                <w:color w:val="auto"/>
                <w:w w:val="96"/>
              </w:rPr>
              <w:t>(1)</w:t>
            </w:r>
          </w:p>
        </w:tc>
        <w:tc>
          <w:tcPr>
            <w:tcW w:w="1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118"/>
              <w:spacing w:after="0" w:line="202" w:lineRule="exact"/>
              <w:rPr>
                <w:sz w:val="20"/>
                <w:szCs w:val="20"/>
                <w:color w:val="auto"/>
              </w:rPr>
            </w:pPr>
            <w:r>
              <w:rPr>
                <w:rFonts w:ascii="Arial" w:cs="Arial" w:eastAsia="Arial" w:hAnsi="Arial"/>
                <w:sz w:val="23"/>
                <w:szCs w:val="23"/>
                <w:b w:val="1"/>
                <w:bCs w:val="1"/>
                <w:color w:val="auto"/>
                <w:vertAlign w:val="subscript"/>
              </w:rPr>
              <w:t>($)</w:t>
            </w:r>
            <w:r>
              <w:rPr>
                <w:rFonts w:ascii="Arial" w:cs="Arial" w:eastAsia="Arial" w:hAnsi="Arial"/>
                <w:sz w:val="10"/>
                <w:szCs w:val="10"/>
                <w:b w:val="1"/>
                <w:bCs w:val="1"/>
                <w:color w:val="auto"/>
              </w:rPr>
              <w:t>(1)</w:t>
            </w:r>
          </w:p>
        </w:tc>
        <w:tc>
          <w:tcPr>
            <w:tcW w:w="160" w:type="dxa"/>
            <w:vAlign w:val="bottom"/>
          </w:tcPr>
          <w:p>
            <w:pPr>
              <w:spacing w:after="0"/>
              <w:rPr>
                <w:sz w:val="17"/>
                <w:szCs w:val="17"/>
                <w:color w:val="auto"/>
              </w:rPr>
            </w:pPr>
          </w:p>
        </w:tc>
        <w:tc>
          <w:tcPr>
            <w:tcW w:w="620" w:type="dxa"/>
            <w:vAlign w:val="bottom"/>
            <w:tcBorders>
              <w:bottom w:val="single" w:sz="8" w:color="auto"/>
            </w:tcBorders>
          </w:tcPr>
          <w:p>
            <w:pPr>
              <w:jc w:val="right"/>
              <w:ind w:right="98"/>
              <w:spacing w:after="0" w:line="202" w:lineRule="exact"/>
              <w:rPr>
                <w:sz w:val="20"/>
                <w:szCs w:val="20"/>
                <w:color w:val="auto"/>
              </w:rPr>
            </w:pPr>
            <w:r>
              <w:rPr>
                <w:rFonts w:ascii="Arial" w:cs="Arial" w:eastAsia="Arial" w:hAnsi="Arial"/>
                <w:sz w:val="23"/>
                <w:szCs w:val="23"/>
                <w:b w:val="1"/>
                <w:bCs w:val="1"/>
                <w:color w:val="auto"/>
                <w:vertAlign w:val="subscript"/>
              </w:rPr>
              <w:t>(#)</w:t>
            </w:r>
            <w:r>
              <w:rPr>
                <w:rFonts w:ascii="Arial" w:cs="Arial" w:eastAsia="Arial" w:hAnsi="Arial"/>
                <w:sz w:val="10"/>
                <w:szCs w:val="10"/>
                <w:b w:val="1"/>
                <w:bCs w:val="1"/>
                <w:color w:val="auto"/>
              </w:rPr>
              <w:t>(2)</w:t>
            </w:r>
          </w:p>
        </w:tc>
        <w:tc>
          <w:tcPr>
            <w:tcW w:w="160" w:type="dxa"/>
            <w:vAlign w:val="bottom"/>
          </w:tcPr>
          <w:p>
            <w:pPr>
              <w:spacing w:after="0"/>
              <w:rPr>
                <w:sz w:val="17"/>
                <w:szCs w:val="17"/>
                <w:color w:val="auto"/>
              </w:rPr>
            </w:pPr>
          </w:p>
        </w:tc>
        <w:tc>
          <w:tcPr>
            <w:tcW w:w="40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23"/>
                <w:szCs w:val="23"/>
                <w:b w:val="1"/>
                <w:bCs w:val="1"/>
                <w:color w:val="auto"/>
                <w:w w:val="90"/>
                <w:vertAlign w:val="subscript"/>
              </w:rPr>
              <w:t>(#)</w:t>
            </w:r>
            <w:r>
              <w:rPr>
                <w:rFonts w:ascii="Arial" w:cs="Arial" w:eastAsia="Arial" w:hAnsi="Arial"/>
                <w:sz w:val="10"/>
                <w:szCs w:val="10"/>
                <w:b w:val="1"/>
                <w:bCs w:val="1"/>
                <w:color w:val="auto"/>
                <w:w w:val="90"/>
              </w:rPr>
              <w:t>(2)</w:t>
            </w:r>
          </w:p>
        </w:tc>
        <w:tc>
          <w:tcPr>
            <w:tcW w:w="160" w:type="dxa"/>
            <w:vAlign w:val="bottom"/>
          </w:tcPr>
          <w:p>
            <w:pPr>
              <w:spacing w:after="0"/>
              <w:rPr>
                <w:sz w:val="17"/>
                <w:szCs w:val="17"/>
                <w:color w:val="auto"/>
              </w:rPr>
            </w:pPr>
          </w:p>
        </w:tc>
        <w:tc>
          <w:tcPr>
            <w:tcW w:w="600" w:type="dxa"/>
            <w:vAlign w:val="bottom"/>
            <w:tcBorders>
              <w:bottom w:val="single" w:sz="8" w:color="auto"/>
            </w:tcBorders>
          </w:tcPr>
          <w:p>
            <w:pPr>
              <w:jc w:val="right"/>
              <w:ind w:right="98"/>
              <w:spacing w:after="0" w:line="202" w:lineRule="exact"/>
              <w:rPr>
                <w:sz w:val="20"/>
                <w:szCs w:val="20"/>
                <w:color w:val="auto"/>
              </w:rPr>
            </w:pPr>
            <w:r>
              <w:rPr>
                <w:rFonts w:ascii="Arial" w:cs="Arial" w:eastAsia="Arial" w:hAnsi="Arial"/>
                <w:sz w:val="23"/>
                <w:szCs w:val="23"/>
                <w:b w:val="1"/>
                <w:bCs w:val="1"/>
                <w:color w:val="auto"/>
                <w:vertAlign w:val="subscript"/>
              </w:rPr>
              <w:t>(#)</w:t>
            </w:r>
            <w:r>
              <w:rPr>
                <w:rFonts w:ascii="Arial" w:cs="Arial" w:eastAsia="Arial" w:hAnsi="Arial"/>
                <w:sz w:val="10"/>
                <w:szCs w:val="10"/>
                <w:b w:val="1"/>
                <w:bCs w:val="1"/>
                <w:color w:val="auto"/>
              </w:rPr>
              <w:t>(2)</w:t>
            </w:r>
          </w:p>
        </w:tc>
        <w:tc>
          <w:tcPr>
            <w:tcW w:w="160" w:type="dxa"/>
            <w:vAlign w:val="bottom"/>
          </w:tcPr>
          <w:p>
            <w:pPr>
              <w:spacing w:after="0"/>
              <w:rPr>
                <w:sz w:val="17"/>
                <w:szCs w:val="17"/>
                <w:color w:val="auto"/>
              </w:rPr>
            </w:pPr>
          </w:p>
        </w:tc>
        <w:tc>
          <w:tcPr>
            <w:tcW w:w="56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23"/>
                <w:szCs w:val="23"/>
                <w:b w:val="1"/>
                <w:bCs w:val="1"/>
                <w:color w:val="auto"/>
                <w:w w:val="90"/>
                <w:vertAlign w:val="subscript"/>
              </w:rPr>
              <w:t>(#)</w:t>
            </w:r>
            <w:r>
              <w:rPr>
                <w:rFonts w:ascii="Arial" w:cs="Arial" w:eastAsia="Arial" w:hAnsi="Arial"/>
                <w:sz w:val="10"/>
                <w:szCs w:val="10"/>
                <w:b w:val="1"/>
                <w:bCs w:val="1"/>
                <w:color w:val="auto"/>
                <w:w w:val="90"/>
              </w:rPr>
              <w:t>(3)</w:t>
            </w:r>
          </w:p>
        </w:tc>
        <w:tc>
          <w:tcPr>
            <w:tcW w:w="160" w:type="dxa"/>
            <w:vAlign w:val="bottom"/>
          </w:tcPr>
          <w:p>
            <w:pPr>
              <w:spacing w:after="0"/>
              <w:rPr>
                <w:sz w:val="17"/>
                <w:szCs w:val="17"/>
                <w:color w:val="auto"/>
              </w:rPr>
            </w:pPr>
          </w:p>
        </w:tc>
        <w:tc>
          <w:tcPr>
            <w:tcW w:w="66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23"/>
                <w:szCs w:val="23"/>
                <w:b w:val="1"/>
                <w:bCs w:val="1"/>
                <w:color w:val="auto"/>
                <w:w w:val="90"/>
                <w:vertAlign w:val="subscript"/>
              </w:rPr>
              <w:t>(#)</w:t>
            </w:r>
            <w:r>
              <w:rPr>
                <w:rFonts w:ascii="Arial" w:cs="Arial" w:eastAsia="Arial" w:hAnsi="Arial"/>
                <w:sz w:val="10"/>
                <w:szCs w:val="10"/>
                <w:b w:val="1"/>
                <w:bCs w:val="1"/>
                <w:color w:val="auto"/>
                <w:w w:val="90"/>
              </w:rPr>
              <w:t>(4)</w:t>
            </w:r>
          </w:p>
        </w:tc>
        <w:tc>
          <w:tcPr>
            <w:tcW w:w="180" w:type="dxa"/>
            <w:vAlign w:val="bottom"/>
          </w:tcPr>
          <w:p>
            <w:pPr>
              <w:spacing w:after="0"/>
              <w:rPr>
                <w:sz w:val="17"/>
                <w:szCs w:val="17"/>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($/Sh)</w:t>
            </w:r>
          </w:p>
        </w:tc>
        <w:tc>
          <w:tcPr>
            <w:tcW w:w="160" w:type="dxa"/>
            <w:vAlign w:val="bottom"/>
          </w:tcPr>
          <w:p>
            <w:pPr>
              <w:spacing w:after="0"/>
              <w:rPr>
                <w:sz w:val="17"/>
                <w:szCs w:val="17"/>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Awards</w:t>
            </w:r>
          </w:p>
        </w:tc>
        <w:tc>
          <w:tcPr>
            <w:tcW w:w="0" w:type="dxa"/>
            <w:vAlign w:val="bottom"/>
          </w:tcPr>
          <w:p>
            <w:pPr>
              <w:spacing w:after="0"/>
              <w:rPr>
                <w:sz w:val="1"/>
                <w:szCs w:val="1"/>
                <w:color w:val="auto"/>
              </w:rPr>
            </w:pPr>
          </w:p>
        </w:tc>
      </w:tr>
      <w:tr>
        <w:trPr>
          <w:trHeight w:val="182"/>
        </w:trPr>
        <w:tc>
          <w:tcPr>
            <w:tcW w:w="1080" w:type="dxa"/>
            <w:vAlign w:val="bottom"/>
          </w:tcPr>
          <w:p>
            <w:pPr>
              <w:ind w:left="20"/>
              <w:spacing w:after="0"/>
              <w:rPr>
                <w:sz w:val="20"/>
                <w:szCs w:val="20"/>
                <w:color w:val="auto"/>
              </w:rPr>
            </w:pPr>
            <w:r>
              <w:rPr>
                <w:rFonts w:ascii="Arial" w:cs="Arial" w:eastAsia="Arial" w:hAnsi="Arial"/>
                <w:sz w:val="13"/>
                <w:szCs w:val="13"/>
                <w:color w:val="auto"/>
              </w:rPr>
              <w:t>Thomas Deitrich</w:t>
            </w:r>
          </w:p>
        </w:tc>
        <w:tc>
          <w:tcPr>
            <w:tcW w:w="160" w:type="dxa"/>
            <w:vAlign w:val="bottom"/>
          </w:tcPr>
          <w:p>
            <w:pPr>
              <w:spacing w:after="0"/>
              <w:rPr>
                <w:sz w:val="15"/>
                <w:szCs w:val="15"/>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w w:val="99"/>
              </w:rPr>
              <w:t>$250,000</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w w:val="93"/>
              </w:rPr>
              <w:t>1,000,000</w:t>
            </w:r>
          </w:p>
        </w:tc>
        <w:tc>
          <w:tcPr>
            <w:tcW w:w="160" w:type="dxa"/>
            <w:vAlign w:val="bottom"/>
          </w:tcPr>
          <w:p>
            <w:pPr>
              <w:spacing w:after="0"/>
              <w:rPr>
                <w:sz w:val="15"/>
                <w:szCs w:val="15"/>
                <w:color w:val="auto"/>
              </w:rPr>
            </w:pP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3"/>
                <w:szCs w:val="13"/>
                <w:color w:val="auto"/>
                <w:w w:val="93"/>
              </w:rPr>
              <w:t>1,500,000</w:t>
            </w:r>
          </w:p>
        </w:tc>
        <w:tc>
          <w:tcPr>
            <w:tcW w:w="160" w:type="dxa"/>
            <w:vAlign w:val="bottom"/>
          </w:tcPr>
          <w:p>
            <w:pPr>
              <w:spacing w:after="0"/>
              <w:rPr>
                <w:sz w:val="15"/>
                <w:szCs w:val="15"/>
                <w:color w:val="auto"/>
              </w:rPr>
            </w:pPr>
          </w:p>
        </w:tc>
        <w:tc>
          <w:tcPr>
            <w:tcW w:w="62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108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2/20/2020</w:t>
            </w:r>
          </w:p>
        </w:tc>
        <w:tc>
          <w:tcPr>
            <w:tcW w:w="180" w:type="dxa"/>
            <w:vAlign w:val="bottom"/>
          </w:tcPr>
          <w:p>
            <w:pPr>
              <w:spacing w:after="0"/>
              <w:rPr>
                <w:sz w:val="16"/>
                <w:szCs w:val="16"/>
                <w:color w:val="auto"/>
              </w:rPr>
            </w:pPr>
          </w:p>
        </w:tc>
        <w:tc>
          <w:tcPr>
            <w:tcW w:w="62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58"/>
              <w:spacing w:after="0"/>
              <w:rPr>
                <w:sz w:val="20"/>
                <w:szCs w:val="20"/>
                <w:color w:val="auto"/>
              </w:rPr>
            </w:pPr>
            <w:r>
              <w:rPr>
                <w:rFonts w:ascii="Arial" w:cs="Arial" w:eastAsia="Arial" w:hAnsi="Arial"/>
                <w:sz w:val="13"/>
                <w:szCs w:val="13"/>
                <w:color w:val="auto"/>
              </w:rPr>
              <w:t>8,594</w:t>
            </w:r>
          </w:p>
        </w:tc>
        <w:tc>
          <w:tcPr>
            <w:tcW w:w="160" w:type="dxa"/>
            <w:vAlign w:val="bottom"/>
          </w:tcPr>
          <w:p>
            <w:pPr>
              <w:spacing w:after="0"/>
              <w:rPr>
                <w:sz w:val="16"/>
                <w:szCs w:val="16"/>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77"/>
              <w:spacing w:after="0"/>
              <w:rPr>
                <w:sz w:val="20"/>
                <w:szCs w:val="20"/>
                <w:color w:val="auto"/>
              </w:rPr>
            </w:pPr>
            <w:r>
              <w:rPr>
                <w:rFonts w:ascii="Arial" w:cs="Arial" w:eastAsia="Arial" w:hAnsi="Arial"/>
                <w:sz w:val="13"/>
                <w:szCs w:val="13"/>
                <w:color w:val="auto"/>
                <w:w w:val="99"/>
              </w:rPr>
              <w:t>$749,998</w:t>
            </w:r>
          </w:p>
        </w:tc>
        <w:tc>
          <w:tcPr>
            <w:tcW w:w="0" w:type="dxa"/>
            <w:vAlign w:val="bottom"/>
          </w:tcPr>
          <w:p>
            <w:pPr>
              <w:spacing w:after="0"/>
              <w:rPr>
                <w:sz w:val="1"/>
                <w:szCs w:val="1"/>
                <w:color w:val="auto"/>
              </w:rPr>
            </w:pPr>
          </w:p>
        </w:tc>
      </w:tr>
      <w:tr>
        <w:trPr>
          <w:trHeight w:val="208"/>
        </w:trPr>
        <w:tc>
          <w:tcPr>
            <w:tcW w:w="10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2/20/2020</w:t>
            </w:r>
          </w:p>
        </w:tc>
        <w:tc>
          <w:tcPr>
            <w:tcW w:w="180" w:type="dxa"/>
            <w:vAlign w:val="bottom"/>
          </w:tcPr>
          <w:p>
            <w:pPr>
              <w:spacing w:after="0"/>
              <w:rPr>
                <w:sz w:val="18"/>
                <w:szCs w:val="18"/>
                <w:color w:val="auto"/>
              </w:rPr>
            </w:pPr>
          </w:p>
        </w:tc>
        <w:tc>
          <w:tcPr>
            <w:tcW w:w="62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98"/>
              <w:spacing w:after="0"/>
              <w:rPr>
                <w:sz w:val="20"/>
                <w:szCs w:val="20"/>
                <w:color w:val="auto"/>
              </w:rPr>
            </w:pPr>
            <w:r>
              <w:rPr>
                <w:rFonts w:ascii="Arial" w:cs="Arial" w:eastAsia="Arial" w:hAnsi="Arial"/>
                <w:sz w:val="13"/>
                <w:szCs w:val="13"/>
                <w:color w:val="auto"/>
              </w:rPr>
              <w:t>6,446</w:t>
            </w: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17,188</w:t>
            </w:r>
          </w:p>
        </w:tc>
        <w:tc>
          <w:tcPr>
            <w:tcW w:w="160" w:type="dxa"/>
            <w:vAlign w:val="bottom"/>
          </w:tcPr>
          <w:p>
            <w:pPr>
              <w:spacing w:after="0"/>
              <w:rPr>
                <w:sz w:val="18"/>
                <w:szCs w:val="18"/>
                <w:color w:val="auto"/>
              </w:rPr>
            </w:pPr>
          </w:p>
        </w:tc>
        <w:tc>
          <w:tcPr>
            <w:tcW w:w="600" w:type="dxa"/>
            <w:vAlign w:val="bottom"/>
          </w:tcPr>
          <w:p>
            <w:pPr>
              <w:jc w:val="right"/>
              <w:ind w:right="58"/>
              <w:spacing w:after="0"/>
              <w:rPr>
                <w:sz w:val="20"/>
                <w:szCs w:val="20"/>
                <w:color w:val="auto"/>
              </w:rPr>
            </w:pPr>
            <w:r>
              <w:rPr>
                <w:rFonts w:ascii="Arial" w:cs="Arial" w:eastAsia="Arial" w:hAnsi="Arial"/>
                <w:sz w:val="13"/>
                <w:szCs w:val="13"/>
                <w:color w:val="auto"/>
              </w:rPr>
              <w:t>34,376</w:t>
            </w:r>
          </w:p>
        </w:tc>
        <w:tc>
          <w:tcPr>
            <w:tcW w:w="16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line="208" w:lineRule="exact"/>
              <w:rPr>
                <w:sz w:val="20"/>
                <w:szCs w:val="20"/>
                <w:color w:val="auto"/>
              </w:rPr>
            </w:pPr>
            <w:r>
              <w:rPr>
                <w:rFonts w:ascii="Arial" w:cs="Arial" w:eastAsia="Arial" w:hAnsi="Arial"/>
                <w:sz w:val="13"/>
                <w:szCs w:val="13"/>
                <w:color w:val="auto"/>
                <w:w w:val="96"/>
              </w:rPr>
              <w:t>$666,865</w:t>
            </w:r>
            <w:r>
              <w:rPr>
                <w:rFonts w:ascii="Arial" w:cs="Arial" w:eastAsia="Arial" w:hAnsi="Arial"/>
                <w:sz w:val="20"/>
                <w:szCs w:val="20"/>
                <w:color w:val="auto"/>
                <w:w w:val="96"/>
                <w:vertAlign w:val="superscript"/>
              </w:rPr>
              <w:t>(5)</w:t>
            </w:r>
          </w:p>
        </w:tc>
        <w:tc>
          <w:tcPr>
            <w:tcW w:w="0" w:type="dxa"/>
            <w:vAlign w:val="bottom"/>
          </w:tcPr>
          <w:p>
            <w:pPr>
              <w:spacing w:after="0"/>
              <w:rPr>
                <w:sz w:val="1"/>
                <w:szCs w:val="1"/>
                <w:color w:val="auto"/>
              </w:rPr>
            </w:pPr>
          </w:p>
        </w:tc>
      </w:tr>
      <w:tr>
        <w:trPr>
          <w:trHeight w:val="170"/>
        </w:trPr>
        <w:tc>
          <w:tcPr>
            <w:tcW w:w="108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2/20/2020</w:t>
            </w:r>
          </w:p>
        </w:tc>
        <w:tc>
          <w:tcPr>
            <w:tcW w:w="180" w:type="dxa"/>
            <w:vAlign w:val="bottom"/>
          </w:tcPr>
          <w:p>
            <w:pPr>
              <w:spacing w:after="0"/>
              <w:rPr>
                <w:sz w:val="14"/>
                <w:szCs w:val="14"/>
                <w:color w:val="auto"/>
              </w:rPr>
            </w:pPr>
          </w:p>
        </w:tc>
        <w:tc>
          <w:tcPr>
            <w:tcW w:w="62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28,069</w:t>
            </w:r>
          </w:p>
        </w:tc>
        <w:tc>
          <w:tcPr>
            <w:tcW w:w="180" w:type="dxa"/>
            <w:vAlign w:val="bottom"/>
          </w:tcPr>
          <w:p>
            <w:pPr>
              <w:spacing w:after="0"/>
              <w:rPr>
                <w:sz w:val="14"/>
                <w:szCs w:val="14"/>
                <w:color w:val="auto"/>
              </w:rPr>
            </w:pPr>
          </w:p>
        </w:tc>
        <w:tc>
          <w:tcPr>
            <w:tcW w:w="520" w:type="dxa"/>
            <w:vAlign w:val="bottom"/>
          </w:tcPr>
          <w:p>
            <w:pPr>
              <w:jc w:val="right"/>
              <w:ind w:right="17"/>
              <w:spacing w:after="0"/>
              <w:rPr>
                <w:sz w:val="20"/>
                <w:szCs w:val="20"/>
                <w:color w:val="auto"/>
              </w:rPr>
            </w:pPr>
            <w:r>
              <w:rPr>
                <w:rFonts w:ascii="Arial" w:cs="Arial" w:eastAsia="Arial" w:hAnsi="Arial"/>
                <w:sz w:val="13"/>
                <w:szCs w:val="13"/>
                <w:color w:val="auto"/>
              </w:rPr>
              <w:t>$87.27</w:t>
            </w:r>
          </w:p>
        </w:tc>
        <w:tc>
          <w:tcPr>
            <w:tcW w:w="160" w:type="dxa"/>
            <w:vAlign w:val="bottom"/>
          </w:tcPr>
          <w:p>
            <w:pPr>
              <w:spacing w:after="0"/>
              <w:rPr>
                <w:sz w:val="14"/>
                <w:szCs w:val="14"/>
                <w:color w:val="auto"/>
              </w:rPr>
            </w:pPr>
          </w:p>
        </w:tc>
        <w:tc>
          <w:tcPr>
            <w:tcW w:w="700" w:type="dxa"/>
            <w:vAlign w:val="bottom"/>
          </w:tcPr>
          <w:p>
            <w:pPr>
              <w:jc w:val="right"/>
              <w:ind w:right="77"/>
              <w:spacing w:after="0"/>
              <w:rPr>
                <w:sz w:val="20"/>
                <w:szCs w:val="20"/>
                <w:color w:val="auto"/>
              </w:rPr>
            </w:pPr>
            <w:r>
              <w:rPr>
                <w:rFonts w:ascii="Arial" w:cs="Arial" w:eastAsia="Arial" w:hAnsi="Arial"/>
                <w:sz w:val="13"/>
                <w:szCs w:val="13"/>
                <w:color w:val="auto"/>
                <w:w w:val="99"/>
              </w:rPr>
              <w:t>$749,976</w:t>
            </w:r>
          </w:p>
        </w:tc>
        <w:tc>
          <w:tcPr>
            <w:tcW w:w="0" w:type="dxa"/>
            <w:vAlign w:val="bottom"/>
          </w:tcPr>
          <w:p>
            <w:pPr>
              <w:spacing w:after="0"/>
              <w:rPr>
                <w:sz w:val="1"/>
                <w:szCs w:val="1"/>
                <w:color w:val="auto"/>
              </w:rPr>
            </w:pPr>
          </w:p>
        </w:tc>
      </w:tr>
      <w:tr>
        <w:trPr>
          <w:trHeight w:val="189"/>
        </w:trPr>
        <w:tc>
          <w:tcPr>
            <w:tcW w:w="1080" w:type="dxa"/>
            <w:vAlign w:val="bottom"/>
          </w:tcPr>
          <w:p>
            <w:pPr>
              <w:ind w:left="20"/>
              <w:spacing w:after="0"/>
              <w:rPr>
                <w:sz w:val="20"/>
                <w:szCs w:val="20"/>
                <w:color w:val="auto"/>
              </w:rPr>
            </w:pPr>
            <w:r>
              <w:rPr>
                <w:rFonts w:ascii="Arial" w:cs="Arial" w:eastAsia="Arial" w:hAnsi="Arial"/>
                <w:sz w:val="13"/>
                <w:szCs w:val="13"/>
                <w:color w:val="auto"/>
              </w:rPr>
              <w:t>Joan Hooper</w:t>
            </w:r>
          </w:p>
        </w:tc>
        <w:tc>
          <w:tcPr>
            <w:tcW w:w="16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$ 97,500</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390,000</w:t>
            </w:r>
          </w:p>
        </w:tc>
        <w:tc>
          <w:tcPr>
            <w:tcW w:w="160" w:type="dxa"/>
            <w:vAlign w:val="bottom"/>
          </w:tcPr>
          <w:p>
            <w:pPr>
              <w:spacing w:after="0"/>
              <w:rPr>
                <w:sz w:val="16"/>
                <w:szCs w:val="16"/>
                <w:color w:val="auto"/>
              </w:rPr>
            </w:pP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585,000</w:t>
            </w:r>
          </w:p>
        </w:tc>
        <w:tc>
          <w:tcPr>
            <w:tcW w:w="160" w:type="dxa"/>
            <w:vAlign w:val="bottom"/>
          </w:tcPr>
          <w:p>
            <w:pPr>
              <w:spacing w:after="0"/>
              <w:rPr>
                <w:sz w:val="16"/>
                <w:szCs w:val="16"/>
                <w:color w:val="auto"/>
              </w:rPr>
            </w:pPr>
          </w:p>
        </w:tc>
        <w:tc>
          <w:tcPr>
            <w:tcW w:w="62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108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2/20/2020</w:t>
            </w:r>
          </w:p>
        </w:tc>
        <w:tc>
          <w:tcPr>
            <w:tcW w:w="180" w:type="dxa"/>
            <w:vAlign w:val="bottom"/>
          </w:tcPr>
          <w:p>
            <w:pPr>
              <w:spacing w:after="0"/>
              <w:rPr>
                <w:sz w:val="16"/>
                <w:szCs w:val="16"/>
                <w:color w:val="auto"/>
              </w:rPr>
            </w:pPr>
          </w:p>
        </w:tc>
        <w:tc>
          <w:tcPr>
            <w:tcW w:w="62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58"/>
              <w:spacing w:after="0"/>
              <w:rPr>
                <w:sz w:val="20"/>
                <w:szCs w:val="20"/>
                <w:color w:val="auto"/>
              </w:rPr>
            </w:pPr>
            <w:r>
              <w:rPr>
                <w:rFonts w:ascii="Arial" w:cs="Arial" w:eastAsia="Arial" w:hAnsi="Arial"/>
                <w:sz w:val="13"/>
                <w:szCs w:val="13"/>
                <w:color w:val="auto"/>
              </w:rPr>
              <w:t>3,580</w:t>
            </w:r>
          </w:p>
        </w:tc>
        <w:tc>
          <w:tcPr>
            <w:tcW w:w="160" w:type="dxa"/>
            <w:vAlign w:val="bottom"/>
          </w:tcPr>
          <w:p>
            <w:pPr>
              <w:spacing w:after="0"/>
              <w:rPr>
                <w:sz w:val="16"/>
                <w:szCs w:val="16"/>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77"/>
              <w:spacing w:after="0"/>
              <w:rPr>
                <w:sz w:val="20"/>
                <w:szCs w:val="20"/>
                <w:color w:val="auto"/>
              </w:rPr>
            </w:pPr>
            <w:r>
              <w:rPr>
                <w:rFonts w:ascii="Arial" w:cs="Arial" w:eastAsia="Arial" w:hAnsi="Arial"/>
                <w:sz w:val="13"/>
                <w:szCs w:val="13"/>
                <w:color w:val="auto"/>
                <w:w w:val="99"/>
              </w:rPr>
              <w:t>$312,427</w:t>
            </w:r>
          </w:p>
        </w:tc>
        <w:tc>
          <w:tcPr>
            <w:tcW w:w="0" w:type="dxa"/>
            <w:vAlign w:val="bottom"/>
          </w:tcPr>
          <w:p>
            <w:pPr>
              <w:spacing w:after="0"/>
              <w:rPr>
                <w:sz w:val="1"/>
                <w:szCs w:val="1"/>
                <w:color w:val="auto"/>
              </w:rPr>
            </w:pPr>
          </w:p>
        </w:tc>
      </w:tr>
      <w:tr>
        <w:trPr>
          <w:trHeight w:val="208"/>
        </w:trPr>
        <w:tc>
          <w:tcPr>
            <w:tcW w:w="10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2/20/2020</w:t>
            </w:r>
          </w:p>
        </w:tc>
        <w:tc>
          <w:tcPr>
            <w:tcW w:w="180" w:type="dxa"/>
            <w:vAlign w:val="bottom"/>
          </w:tcPr>
          <w:p>
            <w:pPr>
              <w:spacing w:after="0"/>
              <w:rPr>
                <w:sz w:val="18"/>
                <w:szCs w:val="18"/>
                <w:color w:val="auto"/>
              </w:rPr>
            </w:pPr>
          </w:p>
        </w:tc>
        <w:tc>
          <w:tcPr>
            <w:tcW w:w="62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98"/>
              <w:spacing w:after="0"/>
              <w:rPr>
                <w:sz w:val="20"/>
                <w:szCs w:val="20"/>
                <w:color w:val="auto"/>
              </w:rPr>
            </w:pPr>
            <w:r>
              <w:rPr>
                <w:rFonts w:ascii="Arial" w:cs="Arial" w:eastAsia="Arial" w:hAnsi="Arial"/>
                <w:sz w:val="13"/>
                <w:szCs w:val="13"/>
                <w:color w:val="auto"/>
              </w:rPr>
              <w:t>2,685</w:t>
            </w: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7,161</w:t>
            </w:r>
          </w:p>
        </w:tc>
        <w:tc>
          <w:tcPr>
            <w:tcW w:w="160" w:type="dxa"/>
            <w:vAlign w:val="bottom"/>
          </w:tcPr>
          <w:p>
            <w:pPr>
              <w:spacing w:after="0"/>
              <w:rPr>
                <w:sz w:val="18"/>
                <w:szCs w:val="18"/>
                <w:color w:val="auto"/>
              </w:rPr>
            </w:pPr>
          </w:p>
        </w:tc>
        <w:tc>
          <w:tcPr>
            <w:tcW w:w="600" w:type="dxa"/>
            <w:vAlign w:val="bottom"/>
          </w:tcPr>
          <w:p>
            <w:pPr>
              <w:jc w:val="right"/>
              <w:ind w:right="58"/>
              <w:spacing w:after="0"/>
              <w:rPr>
                <w:sz w:val="20"/>
                <w:szCs w:val="20"/>
                <w:color w:val="auto"/>
              </w:rPr>
            </w:pPr>
            <w:r>
              <w:rPr>
                <w:rFonts w:ascii="Arial" w:cs="Arial" w:eastAsia="Arial" w:hAnsi="Arial"/>
                <w:sz w:val="13"/>
                <w:szCs w:val="13"/>
                <w:color w:val="auto"/>
              </w:rPr>
              <w:t>14,322</w:t>
            </w:r>
          </w:p>
        </w:tc>
        <w:tc>
          <w:tcPr>
            <w:tcW w:w="16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line="208" w:lineRule="exact"/>
              <w:rPr>
                <w:sz w:val="20"/>
                <w:szCs w:val="20"/>
                <w:color w:val="auto"/>
              </w:rPr>
            </w:pPr>
            <w:r>
              <w:rPr>
                <w:rFonts w:ascii="Arial" w:cs="Arial" w:eastAsia="Arial" w:hAnsi="Arial"/>
                <w:sz w:val="13"/>
                <w:szCs w:val="13"/>
                <w:color w:val="auto"/>
                <w:w w:val="96"/>
              </w:rPr>
              <w:t>$277,847</w:t>
            </w:r>
            <w:r>
              <w:rPr>
                <w:rFonts w:ascii="Arial" w:cs="Arial" w:eastAsia="Arial" w:hAnsi="Arial"/>
                <w:sz w:val="20"/>
                <w:szCs w:val="20"/>
                <w:color w:val="auto"/>
                <w:w w:val="96"/>
                <w:vertAlign w:val="superscript"/>
              </w:rPr>
              <w:t>(5)</w:t>
            </w:r>
          </w:p>
        </w:tc>
        <w:tc>
          <w:tcPr>
            <w:tcW w:w="0" w:type="dxa"/>
            <w:vAlign w:val="bottom"/>
          </w:tcPr>
          <w:p>
            <w:pPr>
              <w:spacing w:after="0"/>
              <w:rPr>
                <w:sz w:val="1"/>
                <w:szCs w:val="1"/>
                <w:color w:val="auto"/>
              </w:rPr>
            </w:pPr>
          </w:p>
        </w:tc>
      </w:tr>
      <w:tr>
        <w:trPr>
          <w:trHeight w:val="170"/>
        </w:trPr>
        <w:tc>
          <w:tcPr>
            <w:tcW w:w="108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2/20/2020</w:t>
            </w:r>
          </w:p>
        </w:tc>
        <w:tc>
          <w:tcPr>
            <w:tcW w:w="180" w:type="dxa"/>
            <w:vAlign w:val="bottom"/>
          </w:tcPr>
          <w:p>
            <w:pPr>
              <w:spacing w:after="0"/>
              <w:rPr>
                <w:sz w:val="14"/>
                <w:szCs w:val="14"/>
                <w:color w:val="auto"/>
              </w:rPr>
            </w:pPr>
          </w:p>
        </w:tc>
        <w:tc>
          <w:tcPr>
            <w:tcW w:w="62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11,695</w:t>
            </w:r>
          </w:p>
        </w:tc>
        <w:tc>
          <w:tcPr>
            <w:tcW w:w="180" w:type="dxa"/>
            <w:vAlign w:val="bottom"/>
          </w:tcPr>
          <w:p>
            <w:pPr>
              <w:spacing w:after="0"/>
              <w:rPr>
                <w:sz w:val="14"/>
                <w:szCs w:val="14"/>
                <w:color w:val="auto"/>
              </w:rPr>
            </w:pPr>
          </w:p>
        </w:tc>
        <w:tc>
          <w:tcPr>
            <w:tcW w:w="520" w:type="dxa"/>
            <w:vAlign w:val="bottom"/>
          </w:tcPr>
          <w:p>
            <w:pPr>
              <w:jc w:val="right"/>
              <w:ind w:right="17"/>
              <w:spacing w:after="0"/>
              <w:rPr>
                <w:sz w:val="20"/>
                <w:szCs w:val="20"/>
                <w:color w:val="auto"/>
              </w:rPr>
            </w:pPr>
            <w:r>
              <w:rPr>
                <w:rFonts w:ascii="Arial" w:cs="Arial" w:eastAsia="Arial" w:hAnsi="Arial"/>
                <w:sz w:val="13"/>
                <w:szCs w:val="13"/>
                <w:color w:val="auto"/>
              </w:rPr>
              <w:t>$87.27</w:t>
            </w:r>
          </w:p>
        </w:tc>
        <w:tc>
          <w:tcPr>
            <w:tcW w:w="160" w:type="dxa"/>
            <w:vAlign w:val="bottom"/>
          </w:tcPr>
          <w:p>
            <w:pPr>
              <w:spacing w:after="0"/>
              <w:rPr>
                <w:sz w:val="14"/>
                <w:szCs w:val="14"/>
                <w:color w:val="auto"/>
              </w:rPr>
            </w:pPr>
          </w:p>
        </w:tc>
        <w:tc>
          <w:tcPr>
            <w:tcW w:w="700" w:type="dxa"/>
            <w:vAlign w:val="bottom"/>
          </w:tcPr>
          <w:p>
            <w:pPr>
              <w:jc w:val="right"/>
              <w:ind w:right="77"/>
              <w:spacing w:after="0"/>
              <w:rPr>
                <w:sz w:val="20"/>
                <w:szCs w:val="20"/>
                <w:color w:val="auto"/>
              </w:rPr>
            </w:pPr>
            <w:r>
              <w:rPr>
                <w:rFonts w:ascii="Arial" w:cs="Arial" w:eastAsia="Arial" w:hAnsi="Arial"/>
                <w:sz w:val="13"/>
                <w:szCs w:val="13"/>
                <w:color w:val="auto"/>
                <w:w w:val="99"/>
              </w:rPr>
              <w:t>$312,479</w:t>
            </w:r>
          </w:p>
        </w:tc>
        <w:tc>
          <w:tcPr>
            <w:tcW w:w="0" w:type="dxa"/>
            <w:vAlign w:val="bottom"/>
          </w:tcPr>
          <w:p>
            <w:pPr>
              <w:spacing w:after="0"/>
              <w:rPr>
                <w:sz w:val="1"/>
                <w:szCs w:val="1"/>
                <w:color w:val="auto"/>
              </w:rPr>
            </w:pPr>
          </w:p>
        </w:tc>
      </w:tr>
      <w:tr>
        <w:trPr>
          <w:trHeight w:val="189"/>
        </w:trPr>
        <w:tc>
          <w:tcPr>
            <w:tcW w:w="1080" w:type="dxa"/>
            <w:vAlign w:val="bottom"/>
          </w:tcPr>
          <w:p>
            <w:pPr>
              <w:ind w:left="20"/>
              <w:spacing w:after="0"/>
              <w:rPr>
                <w:sz w:val="20"/>
                <w:szCs w:val="20"/>
                <w:color w:val="auto"/>
              </w:rPr>
            </w:pPr>
            <w:r>
              <w:rPr>
                <w:rFonts w:ascii="Arial" w:cs="Arial" w:eastAsia="Arial" w:hAnsi="Arial"/>
                <w:sz w:val="13"/>
                <w:szCs w:val="13"/>
                <w:color w:val="auto"/>
              </w:rPr>
              <w:t>Sarah Hlavinka</w:t>
            </w:r>
          </w:p>
        </w:tc>
        <w:tc>
          <w:tcPr>
            <w:tcW w:w="16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$ 89,063</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356,250</w:t>
            </w:r>
          </w:p>
        </w:tc>
        <w:tc>
          <w:tcPr>
            <w:tcW w:w="160" w:type="dxa"/>
            <w:vAlign w:val="bottom"/>
          </w:tcPr>
          <w:p>
            <w:pPr>
              <w:spacing w:after="0"/>
              <w:rPr>
                <w:sz w:val="16"/>
                <w:szCs w:val="16"/>
                <w:color w:val="auto"/>
              </w:rPr>
            </w:pP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534,375</w:t>
            </w:r>
          </w:p>
        </w:tc>
        <w:tc>
          <w:tcPr>
            <w:tcW w:w="160" w:type="dxa"/>
            <w:vAlign w:val="bottom"/>
          </w:tcPr>
          <w:p>
            <w:pPr>
              <w:spacing w:after="0"/>
              <w:rPr>
                <w:sz w:val="16"/>
                <w:szCs w:val="16"/>
                <w:color w:val="auto"/>
              </w:rPr>
            </w:pPr>
          </w:p>
        </w:tc>
        <w:tc>
          <w:tcPr>
            <w:tcW w:w="62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108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2/20/2020</w:t>
            </w:r>
          </w:p>
        </w:tc>
        <w:tc>
          <w:tcPr>
            <w:tcW w:w="180" w:type="dxa"/>
            <w:vAlign w:val="bottom"/>
          </w:tcPr>
          <w:p>
            <w:pPr>
              <w:spacing w:after="0"/>
              <w:rPr>
                <w:sz w:val="16"/>
                <w:szCs w:val="16"/>
                <w:color w:val="auto"/>
              </w:rPr>
            </w:pPr>
          </w:p>
        </w:tc>
        <w:tc>
          <w:tcPr>
            <w:tcW w:w="62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58"/>
              <w:spacing w:after="0"/>
              <w:rPr>
                <w:sz w:val="20"/>
                <w:szCs w:val="20"/>
                <w:color w:val="auto"/>
              </w:rPr>
            </w:pPr>
            <w:r>
              <w:rPr>
                <w:rFonts w:ascii="Arial" w:cs="Arial" w:eastAsia="Arial" w:hAnsi="Arial"/>
                <w:sz w:val="13"/>
                <w:szCs w:val="13"/>
                <w:color w:val="auto"/>
              </w:rPr>
              <w:t>2,005</w:t>
            </w:r>
          </w:p>
        </w:tc>
        <w:tc>
          <w:tcPr>
            <w:tcW w:w="160" w:type="dxa"/>
            <w:vAlign w:val="bottom"/>
          </w:tcPr>
          <w:p>
            <w:pPr>
              <w:spacing w:after="0"/>
              <w:rPr>
                <w:sz w:val="16"/>
                <w:szCs w:val="16"/>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77"/>
              <w:spacing w:after="0"/>
              <w:rPr>
                <w:sz w:val="20"/>
                <w:szCs w:val="20"/>
                <w:color w:val="auto"/>
              </w:rPr>
            </w:pPr>
            <w:r>
              <w:rPr>
                <w:rFonts w:ascii="Arial" w:cs="Arial" w:eastAsia="Arial" w:hAnsi="Arial"/>
                <w:sz w:val="13"/>
                <w:szCs w:val="13"/>
                <w:color w:val="auto"/>
                <w:w w:val="99"/>
              </w:rPr>
              <w:t>$174,976</w:t>
            </w:r>
          </w:p>
        </w:tc>
        <w:tc>
          <w:tcPr>
            <w:tcW w:w="0" w:type="dxa"/>
            <w:vAlign w:val="bottom"/>
          </w:tcPr>
          <w:p>
            <w:pPr>
              <w:spacing w:after="0"/>
              <w:rPr>
                <w:sz w:val="1"/>
                <w:szCs w:val="1"/>
                <w:color w:val="auto"/>
              </w:rPr>
            </w:pPr>
          </w:p>
        </w:tc>
      </w:tr>
      <w:tr>
        <w:trPr>
          <w:trHeight w:val="208"/>
        </w:trPr>
        <w:tc>
          <w:tcPr>
            <w:tcW w:w="10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2/20/2020</w:t>
            </w:r>
          </w:p>
        </w:tc>
        <w:tc>
          <w:tcPr>
            <w:tcW w:w="180" w:type="dxa"/>
            <w:vAlign w:val="bottom"/>
          </w:tcPr>
          <w:p>
            <w:pPr>
              <w:spacing w:after="0"/>
              <w:rPr>
                <w:sz w:val="18"/>
                <w:szCs w:val="18"/>
                <w:color w:val="auto"/>
              </w:rPr>
            </w:pPr>
          </w:p>
        </w:tc>
        <w:tc>
          <w:tcPr>
            <w:tcW w:w="62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98"/>
              <w:spacing w:after="0"/>
              <w:rPr>
                <w:sz w:val="20"/>
                <w:szCs w:val="20"/>
                <w:color w:val="auto"/>
              </w:rPr>
            </w:pPr>
            <w:r>
              <w:rPr>
                <w:rFonts w:ascii="Arial" w:cs="Arial" w:eastAsia="Arial" w:hAnsi="Arial"/>
                <w:sz w:val="13"/>
                <w:szCs w:val="13"/>
                <w:color w:val="auto"/>
              </w:rPr>
              <w:t>1,504</w:t>
            </w: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4,010</w:t>
            </w:r>
          </w:p>
        </w:tc>
        <w:tc>
          <w:tcPr>
            <w:tcW w:w="160" w:type="dxa"/>
            <w:vAlign w:val="bottom"/>
          </w:tcPr>
          <w:p>
            <w:pPr>
              <w:spacing w:after="0"/>
              <w:rPr>
                <w:sz w:val="18"/>
                <w:szCs w:val="18"/>
                <w:color w:val="auto"/>
              </w:rPr>
            </w:pPr>
          </w:p>
        </w:tc>
        <w:tc>
          <w:tcPr>
            <w:tcW w:w="600" w:type="dxa"/>
            <w:vAlign w:val="bottom"/>
          </w:tcPr>
          <w:p>
            <w:pPr>
              <w:jc w:val="right"/>
              <w:ind w:right="58"/>
              <w:spacing w:after="0"/>
              <w:rPr>
                <w:sz w:val="20"/>
                <w:szCs w:val="20"/>
                <w:color w:val="auto"/>
              </w:rPr>
            </w:pPr>
            <w:r>
              <w:rPr>
                <w:rFonts w:ascii="Arial" w:cs="Arial" w:eastAsia="Arial" w:hAnsi="Arial"/>
                <w:sz w:val="13"/>
                <w:szCs w:val="13"/>
                <w:color w:val="auto"/>
              </w:rPr>
              <w:t>8,020</w:t>
            </w:r>
          </w:p>
        </w:tc>
        <w:tc>
          <w:tcPr>
            <w:tcW w:w="16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line="208" w:lineRule="exact"/>
              <w:rPr>
                <w:sz w:val="20"/>
                <w:szCs w:val="20"/>
                <w:color w:val="auto"/>
              </w:rPr>
            </w:pPr>
            <w:r>
              <w:rPr>
                <w:rFonts w:ascii="Arial" w:cs="Arial" w:eastAsia="Arial" w:hAnsi="Arial"/>
                <w:sz w:val="13"/>
                <w:szCs w:val="13"/>
                <w:color w:val="auto"/>
                <w:w w:val="96"/>
              </w:rPr>
              <w:t>$155,530</w:t>
            </w:r>
            <w:r>
              <w:rPr>
                <w:rFonts w:ascii="Arial" w:cs="Arial" w:eastAsia="Arial" w:hAnsi="Arial"/>
                <w:sz w:val="20"/>
                <w:szCs w:val="20"/>
                <w:color w:val="auto"/>
                <w:w w:val="96"/>
                <w:vertAlign w:val="superscript"/>
              </w:rPr>
              <w:t>(5)</w:t>
            </w:r>
          </w:p>
        </w:tc>
        <w:tc>
          <w:tcPr>
            <w:tcW w:w="0" w:type="dxa"/>
            <w:vAlign w:val="bottom"/>
          </w:tcPr>
          <w:p>
            <w:pPr>
              <w:spacing w:after="0"/>
              <w:rPr>
                <w:sz w:val="1"/>
                <w:szCs w:val="1"/>
                <w:color w:val="auto"/>
              </w:rPr>
            </w:pPr>
          </w:p>
        </w:tc>
      </w:tr>
      <w:tr>
        <w:trPr>
          <w:trHeight w:val="170"/>
        </w:trPr>
        <w:tc>
          <w:tcPr>
            <w:tcW w:w="108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2/20/2020</w:t>
            </w:r>
          </w:p>
        </w:tc>
        <w:tc>
          <w:tcPr>
            <w:tcW w:w="180" w:type="dxa"/>
            <w:vAlign w:val="bottom"/>
          </w:tcPr>
          <w:p>
            <w:pPr>
              <w:spacing w:after="0"/>
              <w:rPr>
                <w:sz w:val="14"/>
                <w:szCs w:val="14"/>
                <w:color w:val="auto"/>
              </w:rPr>
            </w:pPr>
          </w:p>
        </w:tc>
        <w:tc>
          <w:tcPr>
            <w:tcW w:w="62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6,549</w:t>
            </w:r>
          </w:p>
        </w:tc>
        <w:tc>
          <w:tcPr>
            <w:tcW w:w="180" w:type="dxa"/>
            <w:vAlign w:val="bottom"/>
          </w:tcPr>
          <w:p>
            <w:pPr>
              <w:spacing w:after="0"/>
              <w:rPr>
                <w:sz w:val="14"/>
                <w:szCs w:val="14"/>
                <w:color w:val="auto"/>
              </w:rPr>
            </w:pPr>
          </w:p>
        </w:tc>
        <w:tc>
          <w:tcPr>
            <w:tcW w:w="520" w:type="dxa"/>
            <w:vAlign w:val="bottom"/>
          </w:tcPr>
          <w:p>
            <w:pPr>
              <w:jc w:val="right"/>
              <w:ind w:right="17"/>
              <w:spacing w:after="0"/>
              <w:rPr>
                <w:sz w:val="20"/>
                <w:szCs w:val="20"/>
                <w:color w:val="auto"/>
              </w:rPr>
            </w:pPr>
            <w:r>
              <w:rPr>
                <w:rFonts w:ascii="Arial" w:cs="Arial" w:eastAsia="Arial" w:hAnsi="Arial"/>
                <w:sz w:val="13"/>
                <w:szCs w:val="13"/>
                <w:color w:val="auto"/>
              </w:rPr>
              <w:t>$87.27</w:t>
            </w:r>
          </w:p>
        </w:tc>
        <w:tc>
          <w:tcPr>
            <w:tcW w:w="160" w:type="dxa"/>
            <w:vAlign w:val="bottom"/>
          </w:tcPr>
          <w:p>
            <w:pPr>
              <w:spacing w:after="0"/>
              <w:rPr>
                <w:sz w:val="14"/>
                <w:szCs w:val="14"/>
                <w:color w:val="auto"/>
              </w:rPr>
            </w:pPr>
          </w:p>
        </w:tc>
        <w:tc>
          <w:tcPr>
            <w:tcW w:w="700" w:type="dxa"/>
            <w:vAlign w:val="bottom"/>
          </w:tcPr>
          <w:p>
            <w:pPr>
              <w:jc w:val="right"/>
              <w:ind w:right="77"/>
              <w:spacing w:after="0"/>
              <w:rPr>
                <w:sz w:val="20"/>
                <w:szCs w:val="20"/>
                <w:color w:val="auto"/>
              </w:rPr>
            </w:pPr>
            <w:r>
              <w:rPr>
                <w:rFonts w:ascii="Arial" w:cs="Arial" w:eastAsia="Arial" w:hAnsi="Arial"/>
                <w:sz w:val="13"/>
                <w:szCs w:val="13"/>
                <w:color w:val="auto"/>
                <w:w w:val="99"/>
              </w:rPr>
              <w:t>$174,983</w:t>
            </w:r>
          </w:p>
        </w:tc>
        <w:tc>
          <w:tcPr>
            <w:tcW w:w="0" w:type="dxa"/>
            <w:vAlign w:val="bottom"/>
          </w:tcPr>
          <w:p>
            <w:pPr>
              <w:spacing w:after="0"/>
              <w:rPr>
                <w:sz w:val="1"/>
                <w:szCs w:val="1"/>
                <w:color w:val="auto"/>
              </w:rPr>
            </w:pPr>
          </w:p>
        </w:tc>
      </w:tr>
      <w:tr>
        <w:trPr>
          <w:trHeight w:val="189"/>
        </w:trPr>
        <w:tc>
          <w:tcPr>
            <w:tcW w:w="1080" w:type="dxa"/>
            <w:vAlign w:val="bottom"/>
          </w:tcPr>
          <w:p>
            <w:pPr>
              <w:ind w:left="20"/>
              <w:spacing w:after="0"/>
              <w:rPr>
                <w:sz w:val="20"/>
                <w:szCs w:val="20"/>
                <w:color w:val="auto"/>
              </w:rPr>
            </w:pPr>
            <w:r>
              <w:rPr>
                <w:rFonts w:ascii="Arial" w:cs="Arial" w:eastAsia="Arial" w:hAnsi="Arial"/>
                <w:sz w:val="13"/>
                <w:szCs w:val="13"/>
                <w:color w:val="auto"/>
              </w:rPr>
              <w:t>Michel Cadieux</w:t>
            </w:r>
          </w:p>
        </w:tc>
        <w:tc>
          <w:tcPr>
            <w:tcW w:w="16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$ 76,875</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307,500</w:t>
            </w:r>
          </w:p>
        </w:tc>
        <w:tc>
          <w:tcPr>
            <w:tcW w:w="160" w:type="dxa"/>
            <w:vAlign w:val="bottom"/>
          </w:tcPr>
          <w:p>
            <w:pPr>
              <w:spacing w:after="0"/>
              <w:rPr>
                <w:sz w:val="16"/>
                <w:szCs w:val="16"/>
                <w:color w:val="auto"/>
              </w:rPr>
            </w:pP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461,250</w:t>
            </w:r>
          </w:p>
        </w:tc>
        <w:tc>
          <w:tcPr>
            <w:tcW w:w="160" w:type="dxa"/>
            <w:vAlign w:val="bottom"/>
          </w:tcPr>
          <w:p>
            <w:pPr>
              <w:spacing w:after="0"/>
              <w:rPr>
                <w:sz w:val="16"/>
                <w:szCs w:val="16"/>
                <w:color w:val="auto"/>
              </w:rPr>
            </w:pPr>
          </w:p>
        </w:tc>
        <w:tc>
          <w:tcPr>
            <w:tcW w:w="62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108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2/20/2020</w:t>
            </w:r>
          </w:p>
        </w:tc>
        <w:tc>
          <w:tcPr>
            <w:tcW w:w="180" w:type="dxa"/>
            <w:vAlign w:val="bottom"/>
          </w:tcPr>
          <w:p>
            <w:pPr>
              <w:spacing w:after="0"/>
              <w:rPr>
                <w:sz w:val="16"/>
                <w:szCs w:val="16"/>
                <w:color w:val="auto"/>
              </w:rPr>
            </w:pPr>
          </w:p>
        </w:tc>
        <w:tc>
          <w:tcPr>
            <w:tcW w:w="62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58"/>
              <w:spacing w:after="0"/>
              <w:rPr>
                <w:sz w:val="20"/>
                <w:szCs w:val="20"/>
                <w:color w:val="auto"/>
              </w:rPr>
            </w:pPr>
            <w:r>
              <w:rPr>
                <w:rFonts w:ascii="Arial" w:cs="Arial" w:eastAsia="Arial" w:hAnsi="Arial"/>
                <w:sz w:val="13"/>
                <w:szCs w:val="13"/>
                <w:color w:val="auto"/>
              </w:rPr>
              <w:t>2,291</w:t>
            </w:r>
          </w:p>
        </w:tc>
        <w:tc>
          <w:tcPr>
            <w:tcW w:w="160" w:type="dxa"/>
            <w:vAlign w:val="bottom"/>
          </w:tcPr>
          <w:p>
            <w:pPr>
              <w:spacing w:after="0"/>
              <w:rPr>
                <w:sz w:val="16"/>
                <w:szCs w:val="16"/>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77"/>
              <w:spacing w:after="0"/>
              <w:rPr>
                <w:sz w:val="20"/>
                <w:szCs w:val="20"/>
                <w:color w:val="auto"/>
              </w:rPr>
            </w:pPr>
            <w:r>
              <w:rPr>
                <w:rFonts w:ascii="Arial" w:cs="Arial" w:eastAsia="Arial" w:hAnsi="Arial"/>
                <w:sz w:val="13"/>
                <w:szCs w:val="13"/>
                <w:color w:val="auto"/>
                <w:w w:val="99"/>
              </w:rPr>
              <w:t>$199,936</w:t>
            </w:r>
          </w:p>
        </w:tc>
        <w:tc>
          <w:tcPr>
            <w:tcW w:w="0" w:type="dxa"/>
            <w:vAlign w:val="bottom"/>
          </w:tcPr>
          <w:p>
            <w:pPr>
              <w:spacing w:after="0"/>
              <w:rPr>
                <w:sz w:val="1"/>
                <w:szCs w:val="1"/>
                <w:color w:val="auto"/>
              </w:rPr>
            </w:pPr>
          </w:p>
        </w:tc>
      </w:tr>
      <w:tr>
        <w:trPr>
          <w:trHeight w:val="208"/>
        </w:trPr>
        <w:tc>
          <w:tcPr>
            <w:tcW w:w="10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2/20/2020</w:t>
            </w:r>
          </w:p>
        </w:tc>
        <w:tc>
          <w:tcPr>
            <w:tcW w:w="180" w:type="dxa"/>
            <w:vAlign w:val="bottom"/>
          </w:tcPr>
          <w:p>
            <w:pPr>
              <w:spacing w:after="0"/>
              <w:rPr>
                <w:sz w:val="18"/>
                <w:szCs w:val="18"/>
                <w:color w:val="auto"/>
              </w:rPr>
            </w:pPr>
          </w:p>
        </w:tc>
        <w:tc>
          <w:tcPr>
            <w:tcW w:w="62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98"/>
              <w:spacing w:after="0"/>
              <w:rPr>
                <w:sz w:val="20"/>
                <w:szCs w:val="20"/>
                <w:color w:val="auto"/>
              </w:rPr>
            </w:pPr>
            <w:r>
              <w:rPr>
                <w:rFonts w:ascii="Arial" w:cs="Arial" w:eastAsia="Arial" w:hAnsi="Arial"/>
                <w:sz w:val="13"/>
                <w:szCs w:val="13"/>
                <w:color w:val="auto"/>
              </w:rPr>
              <w:t>1,719</w:t>
            </w: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4,583</w:t>
            </w:r>
          </w:p>
        </w:tc>
        <w:tc>
          <w:tcPr>
            <w:tcW w:w="160" w:type="dxa"/>
            <w:vAlign w:val="bottom"/>
          </w:tcPr>
          <w:p>
            <w:pPr>
              <w:spacing w:after="0"/>
              <w:rPr>
                <w:sz w:val="18"/>
                <w:szCs w:val="18"/>
                <w:color w:val="auto"/>
              </w:rPr>
            </w:pPr>
          </w:p>
        </w:tc>
        <w:tc>
          <w:tcPr>
            <w:tcW w:w="600" w:type="dxa"/>
            <w:vAlign w:val="bottom"/>
          </w:tcPr>
          <w:p>
            <w:pPr>
              <w:jc w:val="right"/>
              <w:ind w:right="58"/>
              <w:spacing w:after="0"/>
              <w:rPr>
                <w:sz w:val="20"/>
                <w:szCs w:val="20"/>
                <w:color w:val="auto"/>
              </w:rPr>
            </w:pPr>
            <w:r>
              <w:rPr>
                <w:rFonts w:ascii="Arial" w:cs="Arial" w:eastAsia="Arial" w:hAnsi="Arial"/>
                <w:sz w:val="13"/>
                <w:szCs w:val="13"/>
                <w:color w:val="auto"/>
              </w:rPr>
              <w:t>9,166</w:t>
            </w:r>
          </w:p>
        </w:tc>
        <w:tc>
          <w:tcPr>
            <w:tcW w:w="16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line="208" w:lineRule="exact"/>
              <w:rPr>
                <w:sz w:val="20"/>
                <w:szCs w:val="20"/>
                <w:color w:val="auto"/>
              </w:rPr>
            </w:pPr>
            <w:r>
              <w:rPr>
                <w:rFonts w:ascii="Arial" w:cs="Arial" w:eastAsia="Arial" w:hAnsi="Arial"/>
                <w:sz w:val="13"/>
                <w:szCs w:val="13"/>
                <w:color w:val="auto"/>
                <w:w w:val="96"/>
              </w:rPr>
              <w:t>$177,762</w:t>
            </w:r>
            <w:r>
              <w:rPr>
                <w:rFonts w:ascii="Arial" w:cs="Arial" w:eastAsia="Arial" w:hAnsi="Arial"/>
                <w:sz w:val="20"/>
                <w:szCs w:val="20"/>
                <w:color w:val="auto"/>
                <w:w w:val="96"/>
                <w:vertAlign w:val="superscript"/>
              </w:rPr>
              <w:t>(5)</w:t>
            </w:r>
          </w:p>
        </w:tc>
        <w:tc>
          <w:tcPr>
            <w:tcW w:w="0" w:type="dxa"/>
            <w:vAlign w:val="bottom"/>
          </w:tcPr>
          <w:p>
            <w:pPr>
              <w:spacing w:after="0"/>
              <w:rPr>
                <w:sz w:val="1"/>
                <w:szCs w:val="1"/>
                <w:color w:val="auto"/>
              </w:rPr>
            </w:pPr>
          </w:p>
        </w:tc>
      </w:tr>
      <w:tr>
        <w:trPr>
          <w:trHeight w:val="170"/>
        </w:trPr>
        <w:tc>
          <w:tcPr>
            <w:tcW w:w="108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2/20/2020</w:t>
            </w:r>
          </w:p>
        </w:tc>
        <w:tc>
          <w:tcPr>
            <w:tcW w:w="180" w:type="dxa"/>
            <w:vAlign w:val="bottom"/>
          </w:tcPr>
          <w:p>
            <w:pPr>
              <w:spacing w:after="0"/>
              <w:rPr>
                <w:sz w:val="14"/>
                <w:szCs w:val="14"/>
                <w:color w:val="auto"/>
              </w:rPr>
            </w:pPr>
          </w:p>
        </w:tc>
        <w:tc>
          <w:tcPr>
            <w:tcW w:w="62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7,485</w:t>
            </w:r>
          </w:p>
        </w:tc>
        <w:tc>
          <w:tcPr>
            <w:tcW w:w="180" w:type="dxa"/>
            <w:vAlign w:val="bottom"/>
          </w:tcPr>
          <w:p>
            <w:pPr>
              <w:spacing w:after="0"/>
              <w:rPr>
                <w:sz w:val="14"/>
                <w:szCs w:val="14"/>
                <w:color w:val="auto"/>
              </w:rPr>
            </w:pPr>
          </w:p>
        </w:tc>
        <w:tc>
          <w:tcPr>
            <w:tcW w:w="520" w:type="dxa"/>
            <w:vAlign w:val="bottom"/>
          </w:tcPr>
          <w:p>
            <w:pPr>
              <w:jc w:val="right"/>
              <w:ind w:right="17"/>
              <w:spacing w:after="0"/>
              <w:rPr>
                <w:sz w:val="20"/>
                <w:szCs w:val="20"/>
                <w:color w:val="auto"/>
              </w:rPr>
            </w:pPr>
            <w:r>
              <w:rPr>
                <w:rFonts w:ascii="Arial" w:cs="Arial" w:eastAsia="Arial" w:hAnsi="Arial"/>
                <w:sz w:val="13"/>
                <w:szCs w:val="13"/>
                <w:color w:val="auto"/>
              </w:rPr>
              <w:t>$87.27</w:t>
            </w:r>
          </w:p>
        </w:tc>
        <w:tc>
          <w:tcPr>
            <w:tcW w:w="160" w:type="dxa"/>
            <w:vAlign w:val="bottom"/>
          </w:tcPr>
          <w:p>
            <w:pPr>
              <w:spacing w:after="0"/>
              <w:rPr>
                <w:sz w:val="14"/>
                <w:szCs w:val="14"/>
                <w:color w:val="auto"/>
              </w:rPr>
            </w:pPr>
          </w:p>
        </w:tc>
        <w:tc>
          <w:tcPr>
            <w:tcW w:w="700" w:type="dxa"/>
            <w:vAlign w:val="bottom"/>
          </w:tcPr>
          <w:p>
            <w:pPr>
              <w:jc w:val="right"/>
              <w:ind w:right="77"/>
              <w:spacing w:after="0"/>
              <w:rPr>
                <w:sz w:val="20"/>
                <w:szCs w:val="20"/>
                <w:color w:val="auto"/>
              </w:rPr>
            </w:pPr>
            <w:r>
              <w:rPr>
                <w:rFonts w:ascii="Arial" w:cs="Arial" w:eastAsia="Arial" w:hAnsi="Arial"/>
                <w:sz w:val="13"/>
                <w:szCs w:val="13"/>
                <w:color w:val="auto"/>
                <w:w w:val="99"/>
              </w:rPr>
              <w:t>$199,992</w:t>
            </w:r>
          </w:p>
        </w:tc>
        <w:tc>
          <w:tcPr>
            <w:tcW w:w="0" w:type="dxa"/>
            <w:vAlign w:val="bottom"/>
          </w:tcPr>
          <w:p>
            <w:pPr>
              <w:spacing w:after="0"/>
              <w:rPr>
                <w:sz w:val="1"/>
                <w:szCs w:val="1"/>
                <w:color w:val="auto"/>
              </w:rPr>
            </w:pPr>
          </w:p>
        </w:tc>
      </w:tr>
      <w:tr>
        <w:trPr>
          <w:trHeight w:val="189"/>
        </w:trPr>
        <w:tc>
          <w:tcPr>
            <w:tcW w:w="1080" w:type="dxa"/>
            <w:vAlign w:val="bottom"/>
          </w:tcPr>
          <w:p>
            <w:pPr>
              <w:ind w:left="20"/>
              <w:spacing w:after="0"/>
              <w:rPr>
                <w:sz w:val="20"/>
                <w:szCs w:val="20"/>
                <w:color w:val="auto"/>
              </w:rPr>
            </w:pPr>
            <w:r>
              <w:rPr>
                <w:rFonts w:ascii="Arial" w:cs="Arial" w:eastAsia="Arial" w:hAnsi="Arial"/>
                <w:sz w:val="13"/>
                <w:szCs w:val="13"/>
                <w:color w:val="auto"/>
              </w:rPr>
              <w:t>Donald Reeves</w:t>
            </w:r>
          </w:p>
        </w:tc>
        <w:tc>
          <w:tcPr>
            <w:tcW w:w="16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$ 63,750</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255,000</w:t>
            </w:r>
          </w:p>
        </w:tc>
        <w:tc>
          <w:tcPr>
            <w:tcW w:w="160" w:type="dxa"/>
            <w:vAlign w:val="bottom"/>
          </w:tcPr>
          <w:p>
            <w:pPr>
              <w:spacing w:after="0"/>
              <w:rPr>
                <w:sz w:val="16"/>
                <w:szCs w:val="16"/>
                <w:color w:val="auto"/>
              </w:rPr>
            </w:pP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382,500</w:t>
            </w:r>
          </w:p>
        </w:tc>
        <w:tc>
          <w:tcPr>
            <w:tcW w:w="160" w:type="dxa"/>
            <w:vAlign w:val="bottom"/>
          </w:tcPr>
          <w:p>
            <w:pPr>
              <w:spacing w:after="0"/>
              <w:rPr>
                <w:sz w:val="16"/>
                <w:szCs w:val="16"/>
                <w:color w:val="auto"/>
              </w:rPr>
            </w:pPr>
          </w:p>
        </w:tc>
        <w:tc>
          <w:tcPr>
            <w:tcW w:w="62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108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2/20/2020</w:t>
            </w:r>
          </w:p>
        </w:tc>
        <w:tc>
          <w:tcPr>
            <w:tcW w:w="180" w:type="dxa"/>
            <w:vAlign w:val="bottom"/>
          </w:tcPr>
          <w:p>
            <w:pPr>
              <w:spacing w:after="0"/>
              <w:rPr>
                <w:sz w:val="16"/>
                <w:szCs w:val="16"/>
                <w:color w:val="auto"/>
              </w:rPr>
            </w:pPr>
          </w:p>
        </w:tc>
        <w:tc>
          <w:tcPr>
            <w:tcW w:w="62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58"/>
              <w:spacing w:after="0"/>
              <w:rPr>
                <w:sz w:val="20"/>
                <w:szCs w:val="20"/>
                <w:color w:val="auto"/>
              </w:rPr>
            </w:pPr>
            <w:r>
              <w:rPr>
                <w:rFonts w:ascii="Arial" w:cs="Arial" w:eastAsia="Arial" w:hAnsi="Arial"/>
                <w:sz w:val="13"/>
                <w:szCs w:val="13"/>
                <w:color w:val="auto"/>
              </w:rPr>
              <w:t>1,289</w:t>
            </w:r>
          </w:p>
        </w:tc>
        <w:tc>
          <w:tcPr>
            <w:tcW w:w="160" w:type="dxa"/>
            <w:vAlign w:val="bottom"/>
          </w:tcPr>
          <w:p>
            <w:pPr>
              <w:spacing w:after="0"/>
              <w:rPr>
                <w:sz w:val="16"/>
                <w:szCs w:val="16"/>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77"/>
              <w:spacing w:after="0"/>
              <w:rPr>
                <w:sz w:val="20"/>
                <w:szCs w:val="20"/>
                <w:color w:val="auto"/>
              </w:rPr>
            </w:pPr>
            <w:r>
              <w:rPr>
                <w:rFonts w:ascii="Arial" w:cs="Arial" w:eastAsia="Arial" w:hAnsi="Arial"/>
                <w:sz w:val="13"/>
                <w:szCs w:val="13"/>
                <w:color w:val="auto"/>
                <w:w w:val="99"/>
              </w:rPr>
              <w:t>$112,491</w:t>
            </w:r>
          </w:p>
        </w:tc>
        <w:tc>
          <w:tcPr>
            <w:tcW w:w="0" w:type="dxa"/>
            <w:vAlign w:val="bottom"/>
          </w:tcPr>
          <w:p>
            <w:pPr>
              <w:spacing w:after="0"/>
              <w:rPr>
                <w:sz w:val="1"/>
                <w:szCs w:val="1"/>
                <w:color w:val="auto"/>
              </w:rPr>
            </w:pPr>
          </w:p>
        </w:tc>
      </w:tr>
      <w:tr>
        <w:trPr>
          <w:trHeight w:val="208"/>
        </w:trPr>
        <w:tc>
          <w:tcPr>
            <w:tcW w:w="10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2/20/2020</w:t>
            </w:r>
          </w:p>
        </w:tc>
        <w:tc>
          <w:tcPr>
            <w:tcW w:w="180" w:type="dxa"/>
            <w:vAlign w:val="bottom"/>
          </w:tcPr>
          <w:p>
            <w:pPr>
              <w:spacing w:after="0"/>
              <w:rPr>
                <w:sz w:val="18"/>
                <w:szCs w:val="18"/>
                <w:color w:val="auto"/>
              </w:rPr>
            </w:pPr>
          </w:p>
        </w:tc>
        <w:tc>
          <w:tcPr>
            <w:tcW w:w="62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98"/>
              <w:spacing w:after="0"/>
              <w:rPr>
                <w:sz w:val="20"/>
                <w:szCs w:val="20"/>
                <w:color w:val="auto"/>
              </w:rPr>
            </w:pPr>
            <w:r>
              <w:rPr>
                <w:rFonts w:ascii="Arial" w:cs="Arial" w:eastAsia="Arial" w:hAnsi="Arial"/>
                <w:sz w:val="13"/>
                <w:szCs w:val="13"/>
                <w:color w:val="auto"/>
              </w:rPr>
              <w:t>967</w:t>
            </w: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2,578</w:t>
            </w:r>
          </w:p>
        </w:tc>
        <w:tc>
          <w:tcPr>
            <w:tcW w:w="160" w:type="dxa"/>
            <w:vAlign w:val="bottom"/>
          </w:tcPr>
          <w:p>
            <w:pPr>
              <w:spacing w:after="0"/>
              <w:rPr>
                <w:sz w:val="18"/>
                <w:szCs w:val="18"/>
                <w:color w:val="auto"/>
              </w:rPr>
            </w:pPr>
          </w:p>
        </w:tc>
        <w:tc>
          <w:tcPr>
            <w:tcW w:w="600" w:type="dxa"/>
            <w:vAlign w:val="bottom"/>
          </w:tcPr>
          <w:p>
            <w:pPr>
              <w:jc w:val="right"/>
              <w:ind w:right="58"/>
              <w:spacing w:after="0"/>
              <w:rPr>
                <w:sz w:val="20"/>
                <w:szCs w:val="20"/>
                <w:color w:val="auto"/>
              </w:rPr>
            </w:pPr>
            <w:r>
              <w:rPr>
                <w:rFonts w:ascii="Arial" w:cs="Arial" w:eastAsia="Arial" w:hAnsi="Arial"/>
                <w:sz w:val="13"/>
                <w:szCs w:val="13"/>
                <w:color w:val="auto"/>
              </w:rPr>
              <w:t>5,156</w:t>
            </w:r>
          </w:p>
        </w:tc>
        <w:tc>
          <w:tcPr>
            <w:tcW w:w="16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line="208" w:lineRule="exact"/>
              <w:rPr>
                <w:sz w:val="20"/>
                <w:szCs w:val="20"/>
                <w:color w:val="auto"/>
              </w:rPr>
            </w:pPr>
            <w:r>
              <w:rPr>
                <w:rFonts w:ascii="Arial" w:cs="Arial" w:eastAsia="Arial" w:hAnsi="Arial"/>
                <w:sz w:val="13"/>
                <w:szCs w:val="13"/>
                <w:color w:val="auto"/>
                <w:w w:val="98"/>
              </w:rPr>
              <w:t>$ 99,997</w:t>
            </w:r>
            <w:r>
              <w:rPr>
                <w:rFonts w:ascii="Arial" w:cs="Arial" w:eastAsia="Arial" w:hAnsi="Arial"/>
                <w:sz w:val="20"/>
                <w:szCs w:val="20"/>
                <w:color w:val="auto"/>
                <w:w w:val="98"/>
                <w:vertAlign w:val="superscript"/>
              </w:rPr>
              <w:t>(5)</w:t>
            </w:r>
          </w:p>
        </w:tc>
        <w:tc>
          <w:tcPr>
            <w:tcW w:w="0" w:type="dxa"/>
            <w:vAlign w:val="bottom"/>
          </w:tcPr>
          <w:p>
            <w:pPr>
              <w:spacing w:after="0"/>
              <w:rPr>
                <w:sz w:val="1"/>
                <w:szCs w:val="1"/>
                <w:color w:val="auto"/>
              </w:rPr>
            </w:pPr>
          </w:p>
        </w:tc>
      </w:tr>
      <w:tr>
        <w:trPr>
          <w:trHeight w:val="170"/>
        </w:trPr>
        <w:tc>
          <w:tcPr>
            <w:tcW w:w="108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2/20/2020</w:t>
            </w:r>
          </w:p>
        </w:tc>
        <w:tc>
          <w:tcPr>
            <w:tcW w:w="180" w:type="dxa"/>
            <w:vAlign w:val="bottom"/>
          </w:tcPr>
          <w:p>
            <w:pPr>
              <w:spacing w:after="0"/>
              <w:rPr>
                <w:sz w:val="14"/>
                <w:szCs w:val="14"/>
                <w:color w:val="auto"/>
              </w:rPr>
            </w:pPr>
          </w:p>
        </w:tc>
        <w:tc>
          <w:tcPr>
            <w:tcW w:w="62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4,210</w:t>
            </w:r>
          </w:p>
        </w:tc>
        <w:tc>
          <w:tcPr>
            <w:tcW w:w="180" w:type="dxa"/>
            <w:vAlign w:val="bottom"/>
          </w:tcPr>
          <w:p>
            <w:pPr>
              <w:spacing w:after="0"/>
              <w:rPr>
                <w:sz w:val="14"/>
                <w:szCs w:val="14"/>
                <w:color w:val="auto"/>
              </w:rPr>
            </w:pPr>
          </w:p>
        </w:tc>
        <w:tc>
          <w:tcPr>
            <w:tcW w:w="520" w:type="dxa"/>
            <w:vAlign w:val="bottom"/>
          </w:tcPr>
          <w:p>
            <w:pPr>
              <w:jc w:val="right"/>
              <w:ind w:right="17"/>
              <w:spacing w:after="0"/>
              <w:rPr>
                <w:sz w:val="20"/>
                <w:szCs w:val="20"/>
                <w:color w:val="auto"/>
              </w:rPr>
            </w:pPr>
            <w:r>
              <w:rPr>
                <w:rFonts w:ascii="Arial" w:cs="Arial" w:eastAsia="Arial" w:hAnsi="Arial"/>
                <w:sz w:val="13"/>
                <w:szCs w:val="13"/>
                <w:color w:val="auto"/>
              </w:rPr>
              <w:t>$87.27</w:t>
            </w:r>
          </w:p>
        </w:tc>
        <w:tc>
          <w:tcPr>
            <w:tcW w:w="160" w:type="dxa"/>
            <w:vAlign w:val="bottom"/>
          </w:tcPr>
          <w:p>
            <w:pPr>
              <w:spacing w:after="0"/>
              <w:rPr>
                <w:sz w:val="14"/>
                <w:szCs w:val="14"/>
                <w:color w:val="auto"/>
              </w:rPr>
            </w:pPr>
          </w:p>
        </w:tc>
        <w:tc>
          <w:tcPr>
            <w:tcW w:w="700" w:type="dxa"/>
            <w:vAlign w:val="bottom"/>
          </w:tcPr>
          <w:p>
            <w:pPr>
              <w:jc w:val="right"/>
              <w:ind w:right="77"/>
              <w:spacing w:after="0"/>
              <w:rPr>
                <w:sz w:val="20"/>
                <w:szCs w:val="20"/>
                <w:color w:val="auto"/>
              </w:rPr>
            </w:pPr>
            <w:r>
              <w:rPr>
                <w:rFonts w:ascii="Arial" w:cs="Arial" w:eastAsia="Arial" w:hAnsi="Arial"/>
                <w:sz w:val="13"/>
                <w:szCs w:val="13"/>
                <w:color w:val="auto"/>
                <w:w w:val="99"/>
              </w:rPr>
              <w:t>$112,487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120650</wp:posOffset>
            </wp:positionV>
            <wp:extent cx="82296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78" w:lineRule="exact"/>
        <w:rPr>
          <w:sz w:val="20"/>
          <w:szCs w:val="20"/>
          <w:color w:val="auto"/>
        </w:rPr>
      </w:pPr>
    </w:p>
    <w:p>
      <w:pPr>
        <w:ind w:left="348" w:right="200" w:hanging="348"/>
        <w:spacing w:after="0" w:line="291" w:lineRule="auto"/>
        <w:tabs>
          <w:tab w:leader="none" w:pos="348" w:val="left"/>
        </w:tabs>
        <w:numPr>
          <w:ilvl w:val="0"/>
          <w:numId w:val="47"/>
        </w:numPr>
        <w:rPr>
          <w:rFonts w:ascii="Arial" w:cs="Arial" w:eastAsia="Arial" w:hAnsi="Arial"/>
          <w:sz w:val="14"/>
          <w:szCs w:val="14"/>
          <w:color w:val="auto"/>
        </w:rPr>
      </w:pPr>
      <w:r>
        <w:rPr>
          <w:rFonts w:ascii="Arial" w:cs="Arial" w:eastAsia="Arial" w:hAnsi="Arial"/>
          <w:sz w:val="14"/>
          <w:szCs w:val="14"/>
          <w:color w:val="auto"/>
        </w:rPr>
        <w:t>Represents threshold, target and maximum opportunity under the Company's annual incentive program for fiscal 2020. Our annual incentive program is discussed under the caption “</w:t>
      </w:r>
      <w:r>
        <w:rPr>
          <w:rFonts w:ascii="Arial" w:cs="Arial" w:eastAsia="Arial" w:hAnsi="Arial"/>
          <w:sz w:val="14"/>
          <w:szCs w:val="14"/>
          <w:i w:val="1"/>
          <w:iCs w:val="1"/>
          <w:color w:val="auto"/>
        </w:rPr>
        <w:t>Annual Cash Incentives - The Executive Management Incentive Plan (EMIP)</w:t>
      </w:r>
      <w:r>
        <w:rPr>
          <w:rFonts w:ascii="Arial" w:cs="Arial" w:eastAsia="Arial" w:hAnsi="Arial"/>
          <w:sz w:val="14"/>
          <w:szCs w:val="14"/>
          <w:color w:val="auto"/>
        </w:rPr>
        <w:t>” in this CD&amp;A.</w:t>
      </w:r>
    </w:p>
    <w:p>
      <w:pPr>
        <w:spacing w:after="0" w:line="1" w:lineRule="exact"/>
        <w:rPr>
          <w:rFonts w:ascii="Arial" w:cs="Arial" w:eastAsia="Arial" w:hAnsi="Arial"/>
          <w:sz w:val="14"/>
          <w:szCs w:val="14"/>
          <w:color w:val="auto"/>
        </w:rPr>
      </w:pPr>
    </w:p>
    <w:p>
      <w:pPr>
        <w:ind w:left="348" w:right="200" w:hanging="348"/>
        <w:spacing w:after="0" w:line="266" w:lineRule="auto"/>
        <w:tabs>
          <w:tab w:leader="none" w:pos="348" w:val="left"/>
        </w:tabs>
        <w:numPr>
          <w:ilvl w:val="0"/>
          <w:numId w:val="47"/>
        </w:numPr>
        <w:rPr>
          <w:rFonts w:ascii="Arial" w:cs="Arial" w:eastAsia="Arial" w:hAnsi="Arial"/>
          <w:sz w:val="14"/>
          <w:szCs w:val="14"/>
          <w:color w:val="auto"/>
        </w:rPr>
      </w:pPr>
      <w:r>
        <w:rPr>
          <w:rFonts w:ascii="Arial" w:cs="Arial" w:eastAsia="Arial" w:hAnsi="Arial"/>
          <w:sz w:val="14"/>
          <w:szCs w:val="14"/>
          <w:color w:val="auto"/>
        </w:rPr>
        <w:t>Represents range of possible PRSU payouts for the three-year performance cycle beginning in 2020; earned PRSU awards are paid in Itron common stock. Our PRSUs are discussed under the caption “</w:t>
      </w:r>
      <w:r>
        <w:rPr>
          <w:rFonts w:ascii="Arial" w:cs="Arial" w:eastAsia="Arial" w:hAnsi="Arial"/>
          <w:sz w:val="14"/>
          <w:szCs w:val="14"/>
          <w:i w:val="1"/>
          <w:iCs w:val="1"/>
          <w:color w:val="auto"/>
        </w:rPr>
        <w:t>A Closer Look at Performance-Based Restricted Stock Units (PRSUs)</w:t>
      </w:r>
      <w:r>
        <w:rPr>
          <w:rFonts w:ascii="Arial" w:cs="Arial" w:eastAsia="Arial" w:hAnsi="Arial"/>
          <w:sz w:val="14"/>
          <w:szCs w:val="14"/>
          <w:color w:val="auto"/>
        </w:rPr>
        <w:t>” in this Proxy Statement.</w:t>
      </w:r>
    </w:p>
    <w:p>
      <w:pPr>
        <w:spacing w:after="0" w:line="31" w:lineRule="exact"/>
        <w:rPr>
          <w:rFonts w:ascii="Arial" w:cs="Arial" w:eastAsia="Arial" w:hAnsi="Arial"/>
          <w:sz w:val="14"/>
          <w:szCs w:val="14"/>
          <w:color w:val="auto"/>
        </w:rPr>
      </w:pPr>
    </w:p>
    <w:p>
      <w:pPr>
        <w:ind w:left="348" w:hanging="348"/>
        <w:spacing w:after="0"/>
        <w:tabs>
          <w:tab w:leader="none" w:pos="348" w:val="left"/>
        </w:tabs>
        <w:numPr>
          <w:ilvl w:val="0"/>
          <w:numId w:val="47"/>
        </w:numPr>
        <w:rPr>
          <w:rFonts w:ascii="Arial" w:cs="Arial" w:eastAsia="Arial" w:hAnsi="Arial"/>
          <w:sz w:val="14"/>
          <w:szCs w:val="14"/>
          <w:color w:val="auto"/>
        </w:rPr>
      </w:pPr>
      <w:r>
        <w:rPr>
          <w:rFonts w:ascii="Arial" w:cs="Arial" w:eastAsia="Arial" w:hAnsi="Arial"/>
          <w:sz w:val="14"/>
          <w:szCs w:val="14"/>
          <w:color w:val="auto"/>
        </w:rPr>
        <w:t>Amounts shown in this column reflect the number of time-vested RSUs granted under our Second A&amp;R 2010 Plan.</w:t>
      </w:r>
    </w:p>
    <w:p>
      <w:pPr>
        <w:spacing w:after="0" w:line="68" w:lineRule="exact"/>
        <w:rPr>
          <w:rFonts w:ascii="Arial" w:cs="Arial" w:eastAsia="Arial" w:hAnsi="Arial"/>
          <w:sz w:val="14"/>
          <w:szCs w:val="14"/>
          <w:color w:val="auto"/>
        </w:rPr>
      </w:pPr>
    </w:p>
    <w:p>
      <w:pPr>
        <w:ind w:left="348" w:hanging="348"/>
        <w:spacing w:after="0"/>
        <w:tabs>
          <w:tab w:leader="none" w:pos="348" w:val="left"/>
        </w:tabs>
        <w:numPr>
          <w:ilvl w:val="0"/>
          <w:numId w:val="47"/>
        </w:numPr>
        <w:rPr>
          <w:rFonts w:ascii="Arial" w:cs="Arial" w:eastAsia="Arial" w:hAnsi="Arial"/>
          <w:sz w:val="14"/>
          <w:szCs w:val="14"/>
          <w:color w:val="auto"/>
        </w:rPr>
      </w:pPr>
      <w:r>
        <w:rPr>
          <w:rFonts w:ascii="Arial" w:cs="Arial" w:eastAsia="Arial" w:hAnsi="Arial"/>
          <w:sz w:val="14"/>
          <w:szCs w:val="14"/>
          <w:color w:val="auto"/>
        </w:rPr>
        <w:t>Amounts shown in this column reflect the number of options granted under our Second A&amp;R 2010 Plan.</w:t>
      </w:r>
    </w:p>
    <w:p>
      <w:pPr>
        <w:spacing w:after="0" w:line="68" w:lineRule="exact"/>
        <w:rPr>
          <w:rFonts w:ascii="Arial" w:cs="Arial" w:eastAsia="Arial" w:hAnsi="Arial"/>
          <w:sz w:val="14"/>
          <w:szCs w:val="14"/>
          <w:color w:val="auto"/>
        </w:rPr>
      </w:pPr>
    </w:p>
    <w:p>
      <w:pPr>
        <w:ind w:left="348" w:right="140" w:hanging="348"/>
        <w:spacing w:after="0" w:line="266" w:lineRule="auto"/>
        <w:tabs>
          <w:tab w:leader="none" w:pos="348" w:val="left"/>
        </w:tabs>
        <w:numPr>
          <w:ilvl w:val="0"/>
          <w:numId w:val="47"/>
        </w:numPr>
        <w:rPr>
          <w:rFonts w:ascii="Arial" w:cs="Arial" w:eastAsia="Arial" w:hAnsi="Arial"/>
          <w:sz w:val="14"/>
          <w:szCs w:val="14"/>
          <w:color w:val="auto"/>
        </w:rPr>
      </w:pPr>
      <w:r>
        <w:rPr>
          <w:rFonts w:ascii="Arial" w:cs="Arial" w:eastAsia="Arial" w:hAnsi="Arial"/>
          <w:sz w:val="14"/>
          <w:szCs w:val="14"/>
          <w:color w:val="auto"/>
        </w:rPr>
        <w:t xml:space="preserve">Amounts shown are based on target performance achievement for the 2020 portion of the three-year performance cycle. As required under FASB ASC Topic 718, includes the value of the award contingent upon the Company's financial performance and the full grant date fair value for the TSR multiplier. See footnote 2 of the </w:t>
      </w:r>
      <w:r>
        <w:rPr>
          <w:rFonts w:ascii="Arial" w:cs="Arial" w:eastAsia="Arial" w:hAnsi="Arial"/>
          <w:sz w:val="14"/>
          <w:szCs w:val="14"/>
          <w:i w:val="1"/>
          <w:iCs w:val="1"/>
          <w:color w:val="auto"/>
        </w:rPr>
        <w:t>Summary Compensation Table</w:t>
      </w:r>
      <w:r>
        <w:rPr>
          <w:rFonts w:ascii="Arial" w:cs="Arial" w:eastAsia="Arial" w:hAnsi="Arial"/>
          <w:sz w:val="14"/>
          <w:szCs w:val="14"/>
          <w:color w:val="auto"/>
        </w:rPr>
        <w:t xml:space="preserve"> in this Proxy Statement for further details.</w:t>
      </w:r>
    </w:p>
    <w:p>
      <w:pPr>
        <w:spacing w:after="0" w:line="63" w:lineRule="exact"/>
        <w:rPr>
          <w:sz w:val="20"/>
          <w:szCs w:val="20"/>
          <w:color w:val="auto"/>
        </w:rPr>
      </w:pPr>
    </w:p>
    <w:p>
      <w:pPr>
        <w:ind w:left="168" w:right="160"/>
        <w:spacing w:after="0" w:line="245" w:lineRule="auto"/>
        <w:rPr>
          <w:sz w:val="20"/>
          <w:szCs w:val="20"/>
          <w:color w:val="auto"/>
        </w:rPr>
      </w:pPr>
      <w:r>
        <w:rPr>
          <w:rFonts w:ascii="Arial" w:cs="Arial" w:eastAsia="Arial" w:hAnsi="Arial"/>
          <w:sz w:val="18"/>
          <w:szCs w:val="18"/>
          <w:color w:val="auto"/>
        </w:rPr>
        <w:t>The non-equity incentive awards included in this table and also set forth in the Summary Compensation Table represent the annual incentive component of our NEO’s compensation. These potential payout awards are paid in cash as a percentage of each of the NEO’s salary, based upon achievement of certain pre-determined financial performance criteria and strategic objectives. For more details, refer to the “</w:t>
      </w:r>
      <w:r>
        <w:rPr>
          <w:rFonts w:ascii="Arial" w:cs="Arial" w:eastAsia="Arial" w:hAnsi="Arial"/>
          <w:sz w:val="18"/>
          <w:szCs w:val="18"/>
          <w:i w:val="1"/>
          <w:iCs w:val="1"/>
          <w:color w:val="auto"/>
        </w:rPr>
        <w:t>EXECUTIVE COMPENSATION – 2020</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Executive Compensation Program in Detail” </w:t>
      </w:r>
      <w:r>
        <w:rPr>
          <w:rFonts w:ascii="Arial" w:cs="Arial" w:eastAsia="Arial" w:hAnsi="Arial"/>
          <w:sz w:val="18"/>
          <w:szCs w:val="18"/>
          <w:color w:val="auto"/>
        </w:rPr>
        <w:t>section of the CD&amp;A.</w:t>
      </w:r>
    </w:p>
    <w:p>
      <w:pPr>
        <w:spacing w:after="0" w:line="145" w:lineRule="exact"/>
        <w:rPr>
          <w:sz w:val="20"/>
          <w:szCs w:val="20"/>
          <w:color w:val="auto"/>
        </w:rPr>
      </w:pPr>
    </w:p>
    <w:p>
      <w:pPr>
        <w:ind w:left="168" w:right="680"/>
        <w:spacing w:after="0" w:line="248" w:lineRule="auto"/>
        <w:rPr>
          <w:sz w:val="20"/>
          <w:szCs w:val="20"/>
          <w:color w:val="auto"/>
        </w:rPr>
      </w:pPr>
      <w:r>
        <w:rPr>
          <w:rFonts w:ascii="Arial" w:cs="Arial" w:eastAsia="Arial" w:hAnsi="Arial"/>
          <w:sz w:val="18"/>
          <w:szCs w:val="18"/>
          <w:color w:val="auto"/>
        </w:rPr>
        <w:t xml:space="preserve">The equity incentive plan awards included in this table represent PRSUs granted in 2020 for the 2020-2022 performance period, which were issued under the Company’s A&amp;R 2010 Plan or Second A&amp;R 2010 Plan, as applicable. For further details on these awards, see </w:t>
      </w:r>
      <w:r>
        <w:rPr>
          <w:rFonts w:ascii="Arial" w:cs="Arial" w:eastAsia="Arial" w:hAnsi="Arial"/>
          <w:sz w:val="18"/>
          <w:szCs w:val="18"/>
          <w:i w:val="1"/>
          <w:iCs w:val="1"/>
          <w:color w:val="auto"/>
        </w:rPr>
        <w:t>“EXECUTIVE COMPENSATION – 2020 Executive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Compensation Program in Detail” </w:t>
      </w:r>
      <w:r>
        <w:rPr>
          <w:rFonts w:ascii="Arial" w:cs="Arial" w:eastAsia="Arial" w:hAnsi="Arial"/>
          <w:sz w:val="18"/>
          <w:szCs w:val="18"/>
          <w:color w:val="auto"/>
        </w:rPr>
        <w:t>in the CD&amp;A.</w:t>
      </w:r>
    </w:p>
    <w:p>
      <w:pPr>
        <w:spacing w:after="0" w:line="130" w:lineRule="exact"/>
        <w:rPr>
          <w:sz w:val="20"/>
          <w:szCs w:val="20"/>
          <w:color w:val="auto"/>
        </w:rPr>
      </w:pPr>
    </w:p>
    <w:p>
      <w:pPr>
        <w:ind w:left="168" w:right="140"/>
        <w:spacing w:after="0" w:line="257" w:lineRule="auto"/>
        <w:rPr>
          <w:sz w:val="20"/>
          <w:szCs w:val="20"/>
          <w:color w:val="auto"/>
        </w:rPr>
      </w:pPr>
      <w:r>
        <w:rPr>
          <w:rFonts w:ascii="Arial" w:cs="Arial" w:eastAsia="Arial" w:hAnsi="Arial"/>
          <w:sz w:val="17"/>
          <w:szCs w:val="17"/>
          <w:color w:val="auto"/>
        </w:rPr>
        <w:t xml:space="preserve">The amounts included in the “All Other Stock Awards” column and in the “All Other Option Awards” column represent time-vested RSUs and stock options, respectively, both of which were issued under the A&amp;R 2010 Plan or Second A&amp;R 2010 Plan, as applicable. For further details on these awards, </w:t>
      </w:r>
      <w:r>
        <w:rPr>
          <w:rFonts w:ascii="Arial" w:cs="Arial" w:eastAsia="Arial" w:hAnsi="Arial"/>
          <w:sz w:val="17"/>
          <w:szCs w:val="17"/>
          <w:i w:val="1"/>
          <w:iCs w:val="1"/>
          <w:color w:val="auto"/>
        </w:rPr>
        <w:t>see “EXECUTIVE COMPENSATION</w:t>
      </w:r>
    </w:p>
    <w:p>
      <w:pPr>
        <w:spacing w:after="0" w:line="2" w:lineRule="exact"/>
        <w:rPr>
          <w:sz w:val="20"/>
          <w:szCs w:val="20"/>
          <w:color w:val="auto"/>
        </w:rPr>
      </w:pPr>
    </w:p>
    <w:p>
      <w:pPr>
        <w:ind w:left="4608" w:right="4100" w:hanging="4444"/>
        <w:spacing w:after="0" w:line="626" w:lineRule="auto"/>
        <w:rPr>
          <w:sz w:val="20"/>
          <w:szCs w:val="20"/>
          <w:color w:val="auto"/>
        </w:rPr>
      </w:pPr>
      <w:r>
        <w:rPr>
          <w:rFonts w:ascii="Arial" w:cs="Arial" w:eastAsia="Arial" w:hAnsi="Arial"/>
          <w:sz w:val="18"/>
          <w:szCs w:val="18"/>
          <w:i w:val="1"/>
          <w:iCs w:val="1"/>
          <w:color w:val="auto"/>
        </w:rPr>
        <w:t xml:space="preserve">– 2020 Executive Compensation Program in Detail” </w:t>
      </w:r>
      <w:r>
        <w:rPr>
          <w:rFonts w:ascii="Arial" w:cs="Arial" w:eastAsia="Arial" w:hAnsi="Arial"/>
          <w:sz w:val="18"/>
          <w:szCs w:val="18"/>
          <w:color w:val="auto"/>
        </w:rPr>
        <w:t>in the CD&amp;A.</w:t>
      </w:r>
      <w:r>
        <w:rPr>
          <w:rFonts w:ascii="Arial" w:cs="Arial" w:eastAsia="Arial" w:hAnsi="Arial"/>
          <w:sz w:val="18"/>
          <w:szCs w:val="18"/>
          <w:i w:val="1"/>
          <w:iCs w:val="1"/>
          <w:color w:val="auto"/>
        </w:rPr>
        <w:t xml:space="preserve"> </w:t>
      </w: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-479425</wp:posOffset>
            </wp:positionH>
            <wp:positionV relativeFrom="paragraph">
              <wp:posOffset>-75565</wp:posOffset>
            </wp:positionV>
            <wp:extent cx="699516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48"/>
          </w:cols>
          <w:pgMar w:left="1192" w:top="263" w:right="1259" w:bottom="1440" w:gutter="0" w:footer="0" w:header="0"/>
        </w:sectPr>
      </w:pPr>
    </w:p>
    <w:bookmarkStart w:id="42" w:name="page43"/>
    <w:bookmarkEnd w:id="42"/>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Outstanding Equity Awards at Fiscal Year-End Table</w:t>
      </w:r>
    </w:p>
    <w:p>
      <w:pPr>
        <w:spacing w:after="0" w:line="187" w:lineRule="exact"/>
        <w:rPr>
          <w:sz w:val="20"/>
          <w:szCs w:val="20"/>
          <w:color w:val="auto"/>
        </w:rPr>
      </w:pPr>
    </w:p>
    <w:p>
      <w:pPr>
        <w:ind w:right="1040"/>
        <w:spacing w:after="0" w:line="276" w:lineRule="auto"/>
        <w:rPr>
          <w:sz w:val="20"/>
          <w:szCs w:val="20"/>
          <w:color w:val="auto"/>
        </w:rPr>
      </w:pPr>
      <w:r>
        <w:rPr>
          <w:rFonts w:ascii="Arial" w:cs="Arial" w:eastAsia="Arial" w:hAnsi="Arial"/>
          <w:sz w:val="18"/>
          <w:szCs w:val="18"/>
          <w:color w:val="auto"/>
        </w:rPr>
        <w:t>The following table provides information regarding outstanding equity awards held by each NEO as of December 31, 2020.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3"/>
          <w:szCs w:val="13"/>
          <w:b w:val="1"/>
          <w:bCs w:val="1"/>
          <w:color w:val="auto"/>
        </w:rPr>
        <w:t>ITRON,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22860</wp:posOffset>
            </wp:positionV>
            <wp:extent cx="575183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751830" cy="8255"/>
                    </a:xfrm>
                    <a:prstGeom prst="rect">
                      <a:avLst/>
                    </a:prstGeom>
                    <a:noFill/>
                  </pic:spPr>
                </pic:pic>
              </a:graphicData>
            </a:graphic>
          </wp:anchor>
        </w:drawing>
      </w:r>
    </w:p>
    <w:p>
      <w:pPr>
        <w:spacing w:after="0" w:line="33" w:lineRule="exact"/>
        <w:rPr>
          <w:sz w:val="20"/>
          <w:szCs w:val="20"/>
          <w:color w:val="auto"/>
        </w:rPr>
      </w:pPr>
    </w:p>
    <w:p>
      <w:pPr>
        <w:jc w:val="center"/>
        <w:ind w:right="-59"/>
        <w:spacing w:after="0"/>
        <w:rPr>
          <w:sz w:val="20"/>
          <w:szCs w:val="20"/>
          <w:color w:val="auto"/>
        </w:rPr>
      </w:pPr>
      <w:r>
        <w:rPr>
          <w:rFonts w:ascii="Arial" w:cs="Arial" w:eastAsia="Arial" w:hAnsi="Arial"/>
          <w:sz w:val="13"/>
          <w:szCs w:val="13"/>
          <w:b w:val="1"/>
          <w:bCs w:val="1"/>
          <w:color w:val="auto"/>
        </w:rPr>
        <w:t>Outstanding Equity Awards At Fiscal Year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22860</wp:posOffset>
            </wp:positionV>
            <wp:extent cx="575183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751830" cy="8255"/>
                    </a:xfrm>
                    <a:prstGeom prst="rect">
                      <a:avLst/>
                    </a:prstGeom>
                    <a:noFill/>
                  </pic:spPr>
                </pic:pic>
              </a:graphicData>
            </a:graphic>
          </wp:anchor>
        </w:drawing>
      </w:r>
    </w:p>
    <w:p>
      <w:pPr>
        <w:spacing w:after="0" w:line="33"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ind w:left="300"/>
              <w:spacing w:after="0"/>
              <w:rPr>
                <w:sz w:val="20"/>
                <w:szCs w:val="20"/>
                <w:color w:val="auto"/>
              </w:rPr>
            </w:pPr>
            <w:r>
              <w:rPr>
                <w:rFonts w:ascii="Arial" w:cs="Arial" w:eastAsia="Arial" w:hAnsi="Arial"/>
                <w:sz w:val="13"/>
                <w:szCs w:val="13"/>
                <w:b w:val="1"/>
                <w:bCs w:val="1"/>
                <w:color w:val="auto"/>
              </w:rPr>
              <w:t>Option Awards</w:t>
            </w: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4"/>
          </w:tcPr>
          <w:p>
            <w:pPr>
              <w:ind w:left="580"/>
              <w:spacing w:after="0"/>
              <w:rPr>
                <w:sz w:val="20"/>
                <w:szCs w:val="20"/>
                <w:color w:val="auto"/>
              </w:rPr>
            </w:pPr>
            <w:r>
              <w:rPr>
                <w:rFonts w:ascii="Arial" w:cs="Arial" w:eastAsia="Arial" w:hAnsi="Arial"/>
                <w:sz w:val="13"/>
                <w:szCs w:val="13"/>
                <w:b w:val="1"/>
                <w:bCs w:val="1"/>
                <w:color w:val="auto"/>
              </w:rPr>
              <w:t>Stock Awards</w:t>
            </w:r>
          </w:p>
        </w:tc>
        <w:tc>
          <w:tcPr>
            <w:tcW w:w="3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tcPr>
          <w:p>
            <w:pPr>
              <w:jc w:val="center"/>
              <w:ind w:right="100"/>
              <w:spacing w:after="0" w:line="136" w:lineRule="exact"/>
              <w:rPr>
                <w:sz w:val="20"/>
                <w:szCs w:val="20"/>
                <w:color w:val="auto"/>
              </w:rPr>
            </w:pPr>
            <w:r>
              <w:rPr>
                <w:rFonts w:ascii="Arial" w:cs="Arial" w:eastAsia="Arial" w:hAnsi="Arial"/>
                <w:sz w:val="13"/>
                <w:szCs w:val="13"/>
                <w:b w:val="1"/>
                <w:bCs w:val="1"/>
                <w:color w:val="auto"/>
                <w:w w:val="98"/>
              </w:rPr>
              <w:t>Equity Incentive</w:t>
            </w:r>
          </w:p>
        </w:tc>
        <w:tc>
          <w:tcPr>
            <w:tcW w:w="1120" w:type="dxa"/>
            <w:vAlign w:val="bottom"/>
            <w:gridSpan w:val="2"/>
          </w:tcPr>
          <w:p>
            <w:pPr>
              <w:jc w:val="center"/>
              <w:spacing w:after="0" w:line="136" w:lineRule="exact"/>
              <w:rPr>
                <w:sz w:val="20"/>
                <w:szCs w:val="20"/>
                <w:color w:val="auto"/>
              </w:rPr>
            </w:pPr>
            <w:r>
              <w:rPr>
                <w:rFonts w:ascii="Arial" w:cs="Arial" w:eastAsia="Arial" w:hAnsi="Arial"/>
                <w:sz w:val="13"/>
                <w:szCs w:val="13"/>
                <w:b w:val="1"/>
                <w:bCs w:val="1"/>
                <w:color w:val="auto"/>
                <w:w w:val="96"/>
              </w:rPr>
              <w:t>Equity Incentive</w:t>
            </w:r>
          </w:p>
        </w:tc>
        <w:tc>
          <w:tcPr>
            <w:tcW w:w="0" w:type="dxa"/>
            <w:vAlign w:val="bottom"/>
          </w:tcPr>
          <w:p>
            <w:pPr>
              <w:spacing w:after="0"/>
              <w:rPr>
                <w:sz w:val="1"/>
                <w:szCs w:val="1"/>
                <w:color w:val="auto"/>
              </w:rPr>
            </w:pPr>
          </w:p>
        </w:tc>
      </w:tr>
      <w:tr>
        <w:trPr>
          <w:trHeight w:val="135"/>
        </w:trPr>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98"/>
              </w:rPr>
              <w:t>Number of</w:t>
            </w:r>
          </w:p>
        </w:tc>
        <w:tc>
          <w:tcPr>
            <w:tcW w:w="108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98"/>
              </w:rPr>
              <w:t>Number of</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5"/>
              </w:rPr>
              <w:t>Number of</w:t>
            </w:r>
          </w:p>
        </w:tc>
        <w:tc>
          <w:tcPr>
            <w:tcW w:w="880" w:type="dxa"/>
            <w:vAlign w:val="bottom"/>
            <w:gridSpan w:val="3"/>
            <w:vMerge w:val="restart"/>
          </w:tcPr>
          <w:p>
            <w:pPr>
              <w:jc w:val="center"/>
              <w:ind w:right="80"/>
              <w:spacing w:after="0"/>
              <w:rPr>
                <w:sz w:val="20"/>
                <w:szCs w:val="20"/>
                <w:color w:val="auto"/>
              </w:rPr>
            </w:pPr>
            <w:r>
              <w:rPr>
                <w:rFonts w:ascii="Arial" w:cs="Arial" w:eastAsia="Arial" w:hAnsi="Arial"/>
                <w:sz w:val="13"/>
                <w:szCs w:val="13"/>
                <w:b w:val="1"/>
                <w:bCs w:val="1"/>
                <w:color w:val="auto"/>
                <w:w w:val="94"/>
              </w:rPr>
              <w:t>Market Value</w:t>
            </w:r>
          </w:p>
        </w:tc>
        <w:tc>
          <w:tcPr>
            <w:tcW w:w="10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4"/>
              </w:rPr>
              <w:t>Plan Awards:</w:t>
            </w:r>
          </w:p>
        </w:tc>
        <w:tc>
          <w:tcPr>
            <w:tcW w:w="11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7"/>
              </w:rPr>
              <w:t>Plan Awards:</w:t>
            </w:r>
          </w:p>
        </w:tc>
        <w:tc>
          <w:tcPr>
            <w:tcW w:w="0" w:type="dxa"/>
            <w:vAlign w:val="bottom"/>
          </w:tcPr>
          <w:p>
            <w:pPr>
              <w:spacing w:after="0"/>
              <w:rPr>
                <w:sz w:val="1"/>
                <w:szCs w:val="1"/>
                <w:color w:val="auto"/>
              </w:rPr>
            </w:pPr>
          </w:p>
        </w:tc>
      </w:tr>
      <w:tr>
        <w:trPr>
          <w:trHeight w:val="135"/>
        </w:trPr>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880" w:type="dxa"/>
            <w:vAlign w:val="bottom"/>
            <w:gridSpan w:val="3"/>
            <w:vMerge w:val="continue"/>
          </w:tcPr>
          <w:p>
            <w:pPr>
              <w:spacing w:after="0"/>
              <w:rPr>
                <w:sz w:val="11"/>
                <w:szCs w:val="11"/>
                <w:color w:val="auto"/>
              </w:rPr>
            </w:pPr>
          </w:p>
        </w:tc>
        <w:tc>
          <w:tcPr>
            <w:tcW w:w="108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5"/>
              </w:rPr>
              <w:t>Number of</w:t>
            </w:r>
          </w:p>
        </w:tc>
        <w:tc>
          <w:tcPr>
            <w:tcW w:w="11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Market or Payout</w:t>
            </w:r>
          </w:p>
        </w:tc>
        <w:tc>
          <w:tcPr>
            <w:tcW w:w="0" w:type="dxa"/>
            <w:vAlign w:val="bottom"/>
          </w:tcPr>
          <w:p>
            <w:pPr>
              <w:spacing w:after="0"/>
              <w:rPr>
                <w:sz w:val="1"/>
                <w:szCs w:val="1"/>
                <w:color w:val="auto"/>
              </w:rPr>
            </w:pPr>
          </w:p>
        </w:tc>
      </w:tr>
      <w:tr>
        <w:trPr>
          <w:trHeight w:val="135"/>
        </w:trPr>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6"/>
              </w:rPr>
              <w:t>Securities</w:t>
            </w:r>
          </w:p>
        </w:tc>
        <w:tc>
          <w:tcPr>
            <w:tcW w:w="10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6"/>
              </w:rPr>
              <w:t>Securities</w:t>
            </w:r>
          </w:p>
        </w:tc>
        <w:tc>
          <w:tcPr>
            <w:tcW w:w="52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Option</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6"/>
              </w:rPr>
              <w:t>Shares or</w:t>
            </w:r>
          </w:p>
        </w:tc>
        <w:tc>
          <w:tcPr>
            <w:tcW w:w="88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94"/>
              </w:rPr>
              <w:t>of Shares or</w:t>
            </w:r>
          </w:p>
        </w:tc>
        <w:tc>
          <w:tcPr>
            <w:tcW w:w="108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6"/>
              </w:rPr>
              <w:t>Unearned</w:t>
            </w:r>
          </w:p>
        </w:tc>
        <w:tc>
          <w:tcPr>
            <w:tcW w:w="11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4"/>
              </w:rPr>
              <w:t>Value of Unearned</w:t>
            </w:r>
          </w:p>
        </w:tc>
        <w:tc>
          <w:tcPr>
            <w:tcW w:w="0" w:type="dxa"/>
            <w:vAlign w:val="bottom"/>
          </w:tcPr>
          <w:p>
            <w:pPr>
              <w:spacing w:after="0"/>
              <w:rPr>
                <w:sz w:val="1"/>
                <w:szCs w:val="1"/>
                <w:color w:val="auto"/>
              </w:rPr>
            </w:pPr>
          </w:p>
        </w:tc>
      </w:tr>
      <w:tr>
        <w:trPr>
          <w:trHeight w:val="135"/>
        </w:trPr>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7"/>
              </w:rPr>
              <w:t>Underlying</w:t>
            </w:r>
          </w:p>
        </w:tc>
        <w:tc>
          <w:tcPr>
            <w:tcW w:w="10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7"/>
              </w:rPr>
              <w:t>Underlying</w:t>
            </w:r>
          </w:p>
        </w:tc>
        <w:tc>
          <w:tcPr>
            <w:tcW w:w="5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vMerge w:val="restart"/>
          </w:tcPr>
          <w:p>
            <w:pPr>
              <w:jc w:val="center"/>
              <w:ind w:right="60"/>
              <w:spacing w:after="0"/>
              <w:rPr>
                <w:sz w:val="20"/>
                <w:szCs w:val="20"/>
                <w:color w:val="auto"/>
              </w:rPr>
            </w:pPr>
            <w:r>
              <w:rPr>
                <w:rFonts w:ascii="Arial" w:cs="Arial" w:eastAsia="Arial" w:hAnsi="Arial"/>
                <w:sz w:val="13"/>
                <w:szCs w:val="13"/>
                <w:b w:val="1"/>
                <w:bCs w:val="1"/>
                <w:color w:val="auto"/>
                <w:w w:val="95"/>
              </w:rPr>
              <w:t>Option</w:t>
            </w:r>
          </w:p>
        </w:tc>
        <w:tc>
          <w:tcPr>
            <w:tcW w:w="8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4"/>
              </w:rPr>
              <w:t>Units of</w:t>
            </w:r>
          </w:p>
        </w:tc>
        <w:tc>
          <w:tcPr>
            <w:tcW w:w="140" w:type="dxa"/>
            <w:vAlign w:val="bottom"/>
          </w:tcPr>
          <w:p>
            <w:pPr>
              <w:spacing w:after="0"/>
              <w:rPr>
                <w:sz w:val="11"/>
                <w:szCs w:val="11"/>
                <w:color w:val="auto"/>
              </w:rPr>
            </w:pPr>
          </w:p>
        </w:tc>
        <w:tc>
          <w:tcPr>
            <w:tcW w:w="7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9"/>
              </w:rPr>
              <w:t>Units of</w:t>
            </w:r>
          </w:p>
        </w:tc>
        <w:tc>
          <w:tcPr>
            <w:tcW w:w="10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6"/>
              </w:rPr>
              <w:t>Shares, Units</w:t>
            </w:r>
          </w:p>
        </w:tc>
        <w:tc>
          <w:tcPr>
            <w:tcW w:w="11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Shares, Units</w:t>
            </w:r>
          </w:p>
        </w:tc>
        <w:tc>
          <w:tcPr>
            <w:tcW w:w="0" w:type="dxa"/>
            <w:vAlign w:val="bottom"/>
          </w:tcPr>
          <w:p>
            <w:pPr>
              <w:spacing w:after="0"/>
              <w:rPr>
                <w:sz w:val="1"/>
                <w:szCs w:val="1"/>
                <w:color w:val="auto"/>
              </w:rPr>
            </w:pPr>
          </w:p>
        </w:tc>
      </w:tr>
      <w:tr>
        <w:trPr>
          <w:trHeight w:val="135"/>
        </w:trPr>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Unexercised</w:t>
            </w:r>
          </w:p>
        </w:tc>
        <w:tc>
          <w:tcPr>
            <w:tcW w:w="10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8"/>
              </w:rPr>
              <w:t>Unexercised</w:t>
            </w:r>
          </w:p>
        </w:tc>
        <w:tc>
          <w:tcPr>
            <w:tcW w:w="5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Exercise</w:t>
            </w:r>
          </w:p>
        </w:tc>
        <w:tc>
          <w:tcPr>
            <w:tcW w:w="8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8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6"/>
              </w:rPr>
              <w:t>Stock That</w:t>
            </w:r>
          </w:p>
        </w:tc>
        <w:tc>
          <w:tcPr>
            <w:tcW w:w="88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96"/>
              </w:rPr>
              <w:t>Stock That</w:t>
            </w:r>
          </w:p>
        </w:tc>
        <w:tc>
          <w:tcPr>
            <w:tcW w:w="108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6"/>
              </w:rPr>
              <w:t>or Other Rights</w:t>
            </w:r>
          </w:p>
        </w:tc>
        <w:tc>
          <w:tcPr>
            <w:tcW w:w="11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or Other Rights</w:t>
            </w:r>
          </w:p>
        </w:tc>
        <w:tc>
          <w:tcPr>
            <w:tcW w:w="0" w:type="dxa"/>
            <w:vAlign w:val="bottom"/>
          </w:tcPr>
          <w:p>
            <w:pPr>
              <w:spacing w:after="0"/>
              <w:rPr>
                <w:sz w:val="1"/>
                <w:szCs w:val="1"/>
                <w:color w:val="auto"/>
              </w:rPr>
            </w:pPr>
          </w:p>
        </w:tc>
      </w:tr>
      <w:tr>
        <w:trPr>
          <w:trHeight w:val="132"/>
        </w:trPr>
        <w:tc>
          <w:tcPr>
            <w:tcW w:w="1080" w:type="dxa"/>
            <w:vAlign w:val="bottom"/>
            <w:vMerge w:val="restart"/>
          </w:tcPr>
          <w:p>
            <w:pPr>
              <w:ind w:left="380"/>
              <w:spacing w:after="0"/>
              <w:rPr>
                <w:sz w:val="20"/>
                <w:szCs w:val="20"/>
                <w:color w:val="auto"/>
              </w:rPr>
            </w:pPr>
            <w:r>
              <w:rPr>
                <w:rFonts w:ascii="Arial" w:cs="Arial" w:eastAsia="Arial" w:hAnsi="Arial"/>
                <w:sz w:val="13"/>
                <w:szCs w:val="13"/>
                <w:b w:val="1"/>
                <w:bCs w:val="1"/>
                <w:color w:val="auto"/>
              </w:rPr>
              <w:t>Name</w:t>
            </w:r>
          </w:p>
        </w:tc>
        <w:tc>
          <w:tcPr>
            <w:tcW w:w="80" w:type="dxa"/>
            <w:vAlign w:val="bottom"/>
            <w:vMerge w:val="restart"/>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6"/>
              </w:rPr>
              <w:t>Grant Date</w:t>
            </w:r>
          </w:p>
        </w:tc>
        <w:tc>
          <w:tcPr>
            <w:tcW w:w="80" w:type="dxa"/>
            <w:vAlign w:val="bottom"/>
            <w:vMerge w:val="restart"/>
          </w:tcPr>
          <w:p>
            <w:pPr>
              <w:spacing w:after="0"/>
              <w:rPr>
                <w:sz w:val="11"/>
                <w:szCs w:val="11"/>
                <w:color w:val="auto"/>
              </w:rPr>
            </w:pPr>
          </w:p>
        </w:tc>
        <w:tc>
          <w:tcPr>
            <w:tcW w:w="840" w:type="dxa"/>
            <w:vAlign w:val="bottom"/>
            <w:gridSpan w:val="2"/>
          </w:tcPr>
          <w:p>
            <w:pPr>
              <w:jc w:val="center"/>
              <w:ind w:right="120"/>
              <w:spacing w:after="0" w:line="132" w:lineRule="exact"/>
              <w:rPr>
                <w:sz w:val="20"/>
                <w:szCs w:val="20"/>
                <w:color w:val="auto"/>
              </w:rPr>
            </w:pPr>
            <w:r>
              <w:rPr>
                <w:rFonts w:ascii="Arial" w:cs="Arial" w:eastAsia="Arial" w:hAnsi="Arial"/>
                <w:sz w:val="13"/>
                <w:szCs w:val="13"/>
                <w:b w:val="1"/>
                <w:bCs w:val="1"/>
                <w:color w:val="auto"/>
                <w:w w:val="99"/>
              </w:rPr>
              <w:t>Options (#)</w:t>
            </w:r>
          </w:p>
        </w:tc>
        <w:tc>
          <w:tcPr>
            <w:tcW w:w="1080" w:type="dxa"/>
            <w:vAlign w:val="bottom"/>
            <w:gridSpan w:val="2"/>
          </w:tcPr>
          <w:p>
            <w:pPr>
              <w:jc w:val="center"/>
              <w:ind w:right="100"/>
              <w:spacing w:after="0" w:line="132" w:lineRule="exact"/>
              <w:rPr>
                <w:sz w:val="20"/>
                <w:szCs w:val="20"/>
                <w:color w:val="auto"/>
              </w:rPr>
            </w:pPr>
            <w:r>
              <w:rPr>
                <w:rFonts w:ascii="Arial" w:cs="Arial" w:eastAsia="Arial" w:hAnsi="Arial"/>
                <w:sz w:val="13"/>
                <w:szCs w:val="13"/>
                <w:b w:val="1"/>
                <w:bCs w:val="1"/>
                <w:color w:val="auto"/>
                <w:w w:val="96"/>
              </w:rPr>
              <w:t>Options (#)</w:t>
            </w:r>
          </w:p>
        </w:tc>
        <w:tc>
          <w:tcPr>
            <w:tcW w:w="520" w:type="dxa"/>
            <w:vAlign w:val="bottom"/>
          </w:tcPr>
          <w:p>
            <w:pPr>
              <w:jc w:val="center"/>
              <w:spacing w:after="0" w:line="132" w:lineRule="exact"/>
              <w:rPr>
                <w:sz w:val="20"/>
                <w:szCs w:val="20"/>
                <w:color w:val="auto"/>
              </w:rPr>
            </w:pPr>
            <w:r>
              <w:rPr>
                <w:rFonts w:ascii="Arial" w:cs="Arial" w:eastAsia="Arial" w:hAnsi="Arial"/>
                <w:sz w:val="13"/>
                <w:szCs w:val="13"/>
                <w:b w:val="1"/>
                <w:bCs w:val="1"/>
                <w:color w:val="auto"/>
                <w:w w:val="94"/>
              </w:rPr>
              <w:t>Price</w:t>
            </w:r>
          </w:p>
        </w:tc>
        <w:tc>
          <w:tcPr>
            <w:tcW w:w="80" w:type="dxa"/>
            <w:vAlign w:val="bottom"/>
          </w:tcPr>
          <w:p>
            <w:pPr>
              <w:spacing w:after="0"/>
              <w:rPr>
                <w:sz w:val="11"/>
                <w:szCs w:val="11"/>
                <w:color w:val="auto"/>
              </w:rPr>
            </w:pPr>
          </w:p>
        </w:tc>
        <w:tc>
          <w:tcPr>
            <w:tcW w:w="740" w:type="dxa"/>
            <w:vAlign w:val="bottom"/>
            <w:gridSpan w:val="2"/>
          </w:tcPr>
          <w:p>
            <w:pPr>
              <w:jc w:val="center"/>
              <w:ind w:right="80"/>
              <w:spacing w:after="0" w:line="132" w:lineRule="exact"/>
              <w:rPr>
                <w:sz w:val="20"/>
                <w:szCs w:val="20"/>
                <w:color w:val="auto"/>
              </w:rPr>
            </w:pPr>
            <w:r>
              <w:rPr>
                <w:rFonts w:ascii="Arial" w:cs="Arial" w:eastAsia="Arial" w:hAnsi="Arial"/>
                <w:sz w:val="13"/>
                <w:szCs w:val="13"/>
                <w:b w:val="1"/>
                <w:bCs w:val="1"/>
                <w:color w:val="auto"/>
                <w:w w:val="97"/>
              </w:rPr>
              <w:t>Expiration</w:t>
            </w:r>
          </w:p>
        </w:tc>
        <w:tc>
          <w:tcPr>
            <w:tcW w:w="800" w:type="dxa"/>
            <w:vAlign w:val="bottom"/>
            <w:gridSpan w:val="2"/>
          </w:tcPr>
          <w:p>
            <w:pPr>
              <w:jc w:val="center"/>
              <w:ind w:right="100"/>
              <w:spacing w:after="0" w:line="132" w:lineRule="exact"/>
              <w:rPr>
                <w:sz w:val="20"/>
                <w:szCs w:val="20"/>
                <w:color w:val="auto"/>
              </w:rPr>
            </w:pPr>
            <w:r>
              <w:rPr>
                <w:rFonts w:ascii="Arial" w:cs="Arial" w:eastAsia="Arial" w:hAnsi="Arial"/>
                <w:sz w:val="13"/>
                <w:szCs w:val="13"/>
                <w:b w:val="1"/>
                <w:bCs w:val="1"/>
                <w:color w:val="auto"/>
                <w:w w:val="95"/>
              </w:rPr>
              <w:t>Have Not</w:t>
            </w:r>
          </w:p>
        </w:tc>
        <w:tc>
          <w:tcPr>
            <w:tcW w:w="880" w:type="dxa"/>
            <w:vAlign w:val="bottom"/>
            <w:gridSpan w:val="3"/>
          </w:tcPr>
          <w:p>
            <w:pPr>
              <w:jc w:val="center"/>
              <w:ind w:right="120"/>
              <w:spacing w:after="0" w:line="132" w:lineRule="exact"/>
              <w:rPr>
                <w:sz w:val="20"/>
                <w:szCs w:val="20"/>
                <w:color w:val="auto"/>
              </w:rPr>
            </w:pPr>
            <w:r>
              <w:rPr>
                <w:rFonts w:ascii="Arial" w:cs="Arial" w:eastAsia="Arial" w:hAnsi="Arial"/>
                <w:sz w:val="13"/>
                <w:szCs w:val="13"/>
                <w:b w:val="1"/>
                <w:bCs w:val="1"/>
                <w:color w:val="auto"/>
                <w:w w:val="99"/>
              </w:rPr>
              <w:t>Have Not</w:t>
            </w:r>
          </w:p>
        </w:tc>
        <w:tc>
          <w:tcPr>
            <w:tcW w:w="1080" w:type="dxa"/>
            <w:vAlign w:val="bottom"/>
            <w:gridSpan w:val="2"/>
          </w:tcPr>
          <w:p>
            <w:pPr>
              <w:jc w:val="center"/>
              <w:ind w:right="120"/>
              <w:spacing w:after="0" w:line="132" w:lineRule="exact"/>
              <w:rPr>
                <w:sz w:val="20"/>
                <w:szCs w:val="20"/>
                <w:color w:val="auto"/>
              </w:rPr>
            </w:pPr>
            <w:r>
              <w:rPr>
                <w:rFonts w:ascii="Arial" w:cs="Arial" w:eastAsia="Arial" w:hAnsi="Arial"/>
                <w:sz w:val="13"/>
                <w:szCs w:val="13"/>
                <w:b w:val="1"/>
                <w:bCs w:val="1"/>
                <w:color w:val="auto"/>
                <w:w w:val="96"/>
              </w:rPr>
              <w:t>That Have Not</w:t>
            </w:r>
          </w:p>
        </w:tc>
        <w:tc>
          <w:tcPr>
            <w:tcW w:w="1120" w:type="dxa"/>
            <w:vAlign w:val="bottom"/>
            <w:gridSpan w:val="2"/>
          </w:tcPr>
          <w:p>
            <w:pPr>
              <w:jc w:val="center"/>
              <w:spacing w:after="0" w:line="132" w:lineRule="exact"/>
              <w:rPr>
                <w:sz w:val="20"/>
                <w:szCs w:val="20"/>
                <w:color w:val="auto"/>
              </w:rPr>
            </w:pPr>
            <w:r>
              <w:rPr>
                <w:rFonts w:ascii="Arial" w:cs="Arial" w:eastAsia="Arial" w:hAnsi="Arial"/>
                <w:sz w:val="13"/>
                <w:szCs w:val="13"/>
                <w:b w:val="1"/>
                <w:bCs w:val="1"/>
                <w:color w:val="auto"/>
                <w:w w:val="96"/>
              </w:rPr>
              <w:t>That Have Not</w:t>
            </w:r>
          </w:p>
        </w:tc>
        <w:tc>
          <w:tcPr>
            <w:tcW w:w="0" w:type="dxa"/>
            <w:vAlign w:val="bottom"/>
          </w:tcPr>
          <w:p>
            <w:pPr>
              <w:spacing w:after="0"/>
              <w:rPr>
                <w:sz w:val="1"/>
                <w:szCs w:val="1"/>
                <w:color w:val="auto"/>
              </w:rPr>
            </w:pPr>
          </w:p>
        </w:tc>
      </w:tr>
      <w:tr>
        <w:trPr>
          <w:trHeight w:val="189"/>
        </w:trPr>
        <w:tc>
          <w:tcPr>
            <w:tcW w:w="1080" w:type="dxa"/>
            <w:vAlign w:val="bottom"/>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6"/>
              </w:rPr>
              <w:t>Exercisable</w:t>
            </w:r>
          </w:p>
        </w:tc>
        <w:tc>
          <w:tcPr>
            <w:tcW w:w="80" w:type="dxa"/>
            <w:vAlign w:val="bottom"/>
          </w:tcPr>
          <w:p>
            <w:pPr>
              <w:spacing w:after="0"/>
              <w:rPr>
                <w:sz w:val="16"/>
                <w:szCs w:val="16"/>
                <w:color w:val="auto"/>
              </w:rPr>
            </w:pPr>
          </w:p>
        </w:tc>
        <w:tc>
          <w:tcPr>
            <w:tcW w:w="1000" w:type="dxa"/>
            <w:vAlign w:val="bottom"/>
          </w:tcPr>
          <w:p>
            <w:pPr>
              <w:jc w:val="center"/>
              <w:spacing w:after="0" w:line="189" w:lineRule="exact"/>
              <w:rPr>
                <w:sz w:val="20"/>
                <w:szCs w:val="20"/>
                <w:color w:val="auto"/>
              </w:rPr>
            </w:pPr>
            <w:r>
              <w:rPr>
                <w:rFonts w:ascii="Arial" w:cs="Arial" w:eastAsia="Arial" w:hAnsi="Arial"/>
                <w:sz w:val="13"/>
                <w:szCs w:val="13"/>
                <w:b w:val="1"/>
                <w:bCs w:val="1"/>
                <w:color w:val="auto"/>
                <w:w w:val="93"/>
              </w:rPr>
              <w:t>Unexercisable</w:t>
            </w:r>
            <w:r>
              <w:rPr>
                <w:rFonts w:ascii="Arial" w:cs="Arial" w:eastAsia="Arial" w:hAnsi="Arial"/>
                <w:sz w:val="20"/>
                <w:szCs w:val="20"/>
                <w:b w:val="1"/>
                <w:bCs w:val="1"/>
                <w:color w:val="auto"/>
                <w:w w:val="93"/>
                <w:vertAlign w:val="superscript"/>
              </w:rPr>
              <w:t>(1)</w:t>
            </w:r>
          </w:p>
        </w:tc>
        <w:tc>
          <w:tcPr>
            <w:tcW w:w="80" w:type="dxa"/>
            <w:vAlign w:val="bottom"/>
          </w:tcPr>
          <w:p>
            <w:pPr>
              <w:spacing w:after="0"/>
              <w:rPr>
                <w:sz w:val="16"/>
                <w:szCs w:val="16"/>
                <w:color w:val="auto"/>
              </w:rPr>
            </w:pPr>
          </w:p>
        </w:tc>
        <w:tc>
          <w:tcPr>
            <w:tcW w:w="52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99"/>
              </w:rPr>
              <w:t>Date</w:t>
            </w:r>
          </w:p>
        </w:tc>
        <w:tc>
          <w:tcPr>
            <w:tcW w:w="80" w:type="dxa"/>
            <w:vAlign w:val="bottom"/>
          </w:tcPr>
          <w:p>
            <w:pPr>
              <w:spacing w:after="0"/>
              <w:rPr>
                <w:sz w:val="16"/>
                <w:szCs w:val="16"/>
                <w:color w:val="auto"/>
              </w:rPr>
            </w:pPr>
          </w:p>
        </w:tc>
        <w:tc>
          <w:tcPr>
            <w:tcW w:w="800" w:type="dxa"/>
            <w:vAlign w:val="bottom"/>
            <w:gridSpan w:val="2"/>
          </w:tcPr>
          <w:p>
            <w:pPr>
              <w:jc w:val="center"/>
              <w:ind w:right="80"/>
              <w:spacing w:after="0" w:line="189" w:lineRule="exact"/>
              <w:rPr>
                <w:sz w:val="20"/>
                <w:szCs w:val="20"/>
                <w:color w:val="auto"/>
              </w:rPr>
            </w:pPr>
            <w:r>
              <w:rPr>
                <w:rFonts w:ascii="Arial" w:cs="Arial" w:eastAsia="Arial" w:hAnsi="Arial"/>
                <w:sz w:val="13"/>
                <w:szCs w:val="13"/>
                <w:b w:val="1"/>
                <w:bCs w:val="1"/>
                <w:color w:val="auto"/>
                <w:w w:val="91"/>
              </w:rPr>
              <w:t>Vested (#)</w:t>
            </w:r>
            <w:r>
              <w:rPr>
                <w:rFonts w:ascii="Arial" w:cs="Arial" w:eastAsia="Arial" w:hAnsi="Arial"/>
                <w:sz w:val="20"/>
                <w:szCs w:val="20"/>
                <w:b w:val="1"/>
                <w:bCs w:val="1"/>
                <w:color w:val="auto"/>
                <w:w w:val="91"/>
                <w:vertAlign w:val="superscript"/>
              </w:rPr>
              <w:t>(2)</w:t>
            </w:r>
          </w:p>
        </w:tc>
        <w:tc>
          <w:tcPr>
            <w:tcW w:w="880" w:type="dxa"/>
            <w:vAlign w:val="bottom"/>
            <w:gridSpan w:val="3"/>
          </w:tcPr>
          <w:p>
            <w:pPr>
              <w:jc w:val="center"/>
              <w:ind w:right="80"/>
              <w:spacing w:after="0" w:line="189" w:lineRule="exact"/>
              <w:rPr>
                <w:sz w:val="20"/>
                <w:szCs w:val="20"/>
                <w:color w:val="auto"/>
              </w:rPr>
            </w:pPr>
            <w:r>
              <w:rPr>
                <w:rFonts w:ascii="Arial" w:cs="Arial" w:eastAsia="Arial" w:hAnsi="Arial"/>
                <w:sz w:val="13"/>
                <w:szCs w:val="13"/>
                <w:b w:val="1"/>
                <w:bCs w:val="1"/>
                <w:color w:val="auto"/>
                <w:w w:val="91"/>
              </w:rPr>
              <w:t>Vested ($)</w:t>
            </w:r>
            <w:r>
              <w:rPr>
                <w:rFonts w:ascii="Arial" w:cs="Arial" w:eastAsia="Arial" w:hAnsi="Arial"/>
                <w:sz w:val="20"/>
                <w:szCs w:val="20"/>
                <w:b w:val="1"/>
                <w:bCs w:val="1"/>
                <w:color w:val="auto"/>
                <w:w w:val="91"/>
                <w:vertAlign w:val="superscript"/>
              </w:rPr>
              <w:t>(5)</w:t>
            </w:r>
          </w:p>
        </w:tc>
        <w:tc>
          <w:tcPr>
            <w:tcW w:w="10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3"/>
              </w:rPr>
              <w:t>Vested (#)</w:t>
            </w:r>
          </w:p>
        </w:tc>
        <w:tc>
          <w:tcPr>
            <w:tcW w:w="1120" w:type="dxa"/>
            <w:vAlign w:val="bottom"/>
            <w:gridSpan w:val="2"/>
          </w:tcPr>
          <w:p>
            <w:pPr>
              <w:jc w:val="center"/>
              <w:spacing w:after="0" w:line="189" w:lineRule="exact"/>
              <w:rPr>
                <w:sz w:val="20"/>
                <w:szCs w:val="20"/>
                <w:color w:val="auto"/>
              </w:rPr>
            </w:pPr>
            <w:r>
              <w:rPr>
                <w:rFonts w:ascii="Arial" w:cs="Arial" w:eastAsia="Arial" w:hAnsi="Arial"/>
                <w:sz w:val="13"/>
                <w:szCs w:val="13"/>
                <w:b w:val="1"/>
                <w:bCs w:val="1"/>
                <w:color w:val="auto"/>
                <w:w w:val="91"/>
              </w:rPr>
              <w:t>Vested ($)</w:t>
            </w:r>
            <w:r>
              <w:rPr>
                <w:rFonts w:ascii="Arial" w:cs="Arial" w:eastAsia="Arial" w:hAnsi="Arial"/>
                <w:sz w:val="20"/>
                <w:szCs w:val="20"/>
                <w:b w:val="1"/>
                <w:bCs w:val="1"/>
                <w:color w:val="auto"/>
                <w:w w:val="91"/>
                <w:vertAlign w:val="superscript"/>
              </w:rPr>
              <w:t>(5)</w:t>
            </w:r>
          </w:p>
        </w:tc>
        <w:tc>
          <w:tcPr>
            <w:tcW w:w="0" w:type="dxa"/>
            <w:vAlign w:val="bottom"/>
          </w:tcPr>
          <w:p>
            <w:pPr>
              <w:spacing w:after="0"/>
              <w:rPr>
                <w:sz w:val="1"/>
                <w:szCs w:val="1"/>
                <w:color w:val="auto"/>
              </w:rPr>
            </w:pPr>
          </w:p>
        </w:tc>
      </w:tr>
      <w:tr>
        <w:trPr>
          <w:trHeight w:val="168"/>
        </w:trPr>
        <w:tc>
          <w:tcPr>
            <w:tcW w:w="1080" w:type="dxa"/>
            <w:vAlign w:val="bottom"/>
            <w:tcBorders>
              <w:top w:val="single" w:sz="8" w:color="auto"/>
            </w:tcBorders>
          </w:tcPr>
          <w:p>
            <w:pPr>
              <w:ind w:left="40"/>
              <w:spacing w:after="0"/>
              <w:rPr>
                <w:sz w:val="20"/>
                <w:szCs w:val="20"/>
                <w:color w:val="auto"/>
              </w:rPr>
            </w:pPr>
            <w:r>
              <w:rPr>
                <w:rFonts w:ascii="Arial" w:cs="Arial" w:eastAsia="Arial" w:hAnsi="Arial"/>
                <w:sz w:val="13"/>
                <w:szCs w:val="13"/>
                <w:color w:val="auto"/>
              </w:rPr>
              <w:t>Thomas Deitrich</w:t>
            </w:r>
          </w:p>
        </w:tc>
        <w:tc>
          <w:tcPr>
            <w:tcW w:w="80" w:type="dxa"/>
            <w:vAlign w:val="bottom"/>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95"/>
              </w:rPr>
              <w:t>12/10/2015</w:t>
            </w:r>
          </w:p>
        </w:tc>
        <w:tc>
          <w:tcPr>
            <w:tcW w:w="80" w:type="dxa"/>
            <w:vAlign w:val="bottom"/>
          </w:tcPr>
          <w:p>
            <w:pPr>
              <w:spacing w:after="0"/>
              <w:rPr>
                <w:sz w:val="14"/>
                <w:szCs w:val="14"/>
                <w:color w:val="auto"/>
              </w:rPr>
            </w:pPr>
          </w:p>
        </w:tc>
        <w:tc>
          <w:tcPr>
            <w:tcW w:w="760" w:type="dxa"/>
            <w:vAlign w:val="bottom"/>
            <w:tcBorders>
              <w:top w:val="single" w:sz="8" w:color="auto"/>
            </w:tcBorders>
          </w:tcPr>
          <w:p>
            <w:pPr>
              <w:jc w:val="right"/>
              <w:ind w:right="137"/>
              <w:spacing w:after="0"/>
              <w:rPr>
                <w:sz w:val="20"/>
                <w:szCs w:val="20"/>
                <w:color w:val="auto"/>
              </w:rPr>
            </w:pPr>
            <w:r>
              <w:rPr>
                <w:rFonts w:ascii="Arial" w:cs="Arial" w:eastAsia="Arial" w:hAnsi="Arial"/>
                <w:sz w:val="13"/>
                <w:szCs w:val="13"/>
                <w:color w:val="auto"/>
              </w:rPr>
              <w:t>83,779</w:t>
            </w:r>
          </w:p>
        </w:tc>
        <w:tc>
          <w:tcPr>
            <w:tcW w:w="8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rPr>
              <w:t>$35.13</w:t>
            </w:r>
          </w:p>
        </w:tc>
        <w:tc>
          <w:tcPr>
            <w:tcW w:w="80" w:type="dxa"/>
            <w:vAlign w:val="bottom"/>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95"/>
              </w:rPr>
              <w:t>12/10/2025</w:t>
            </w:r>
          </w:p>
        </w:tc>
        <w:tc>
          <w:tcPr>
            <w:tcW w:w="80" w:type="dxa"/>
            <w:vAlign w:val="bottom"/>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2/24/2016</w:t>
            </w:r>
          </w:p>
        </w:tc>
        <w:tc>
          <w:tcPr>
            <w:tcW w:w="80" w:type="dxa"/>
            <w:vAlign w:val="bottom"/>
          </w:tcPr>
          <w:p>
            <w:pPr>
              <w:spacing w:after="0"/>
              <w:rPr>
                <w:sz w:val="16"/>
                <w:szCs w:val="16"/>
                <w:color w:val="auto"/>
              </w:rPr>
            </w:pPr>
          </w:p>
        </w:tc>
        <w:tc>
          <w:tcPr>
            <w:tcW w:w="760" w:type="dxa"/>
            <w:vAlign w:val="bottom"/>
          </w:tcPr>
          <w:p>
            <w:pPr>
              <w:jc w:val="right"/>
              <w:ind w:right="137"/>
              <w:spacing w:after="0"/>
              <w:rPr>
                <w:sz w:val="20"/>
                <w:szCs w:val="20"/>
                <w:color w:val="auto"/>
              </w:rPr>
            </w:pPr>
            <w:r>
              <w:rPr>
                <w:rFonts w:ascii="Arial" w:cs="Arial" w:eastAsia="Arial" w:hAnsi="Arial"/>
                <w:sz w:val="13"/>
                <w:szCs w:val="13"/>
                <w:color w:val="auto"/>
              </w:rPr>
              <w:t>37,957</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jc w:val="center"/>
              <w:spacing w:after="0"/>
              <w:rPr>
                <w:sz w:val="20"/>
                <w:szCs w:val="20"/>
                <w:color w:val="auto"/>
              </w:rPr>
            </w:pPr>
            <w:r>
              <w:rPr>
                <w:rFonts w:ascii="Arial" w:cs="Arial" w:eastAsia="Arial" w:hAnsi="Arial"/>
                <w:sz w:val="13"/>
                <w:szCs w:val="13"/>
                <w:color w:val="auto"/>
              </w:rPr>
              <w:t>$40.05</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2/24/2026</w:t>
            </w: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2/23/2017</w:t>
            </w:r>
          </w:p>
        </w:tc>
        <w:tc>
          <w:tcPr>
            <w:tcW w:w="80" w:type="dxa"/>
            <w:vAlign w:val="bottom"/>
          </w:tcPr>
          <w:p>
            <w:pPr>
              <w:spacing w:after="0"/>
              <w:rPr>
                <w:sz w:val="16"/>
                <w:szCs w:val="16"/>
                <w:color w:val="auto"/>
              </w:rPr>
            </w:pPr>
          </w:p>
        </w:tc>
        <w:tc>
          <w:tcPr>
            <w:tcW w:w="760" w:type="dxa"/>
            <w:vAlign w:val="bottom"/>
          </w:tcPr>
          <w:p>
            <w:pPr>
              <w:jc w:val="right"/>
              <w:ind w:right="137"/>
              <w:spacing w:after="0"/>
              <w:rPr>
                <w:sz w:val="20"/>
                <w:szCs w:val="20"/>
                <w:color w:val="auto"/>
              </w:rPr>
            </w:pPr>
            <w:r>
              <w:rPr>
                <w:rFonts w:ascii="Arial" w:cs="Arial" w:eastAsia="Arial" w:hAnsi="Arial"/>
                <w:sz w:val="13"/>
                <w:szCs w:val="13"/>
                <w:color w:val="auto"/>
              </w:rPr>
              <w:t>22,701</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jc w:val="center"/>
              <w:spacing w:after="0"/>
              <w:rPr>
                <w:sz w:val="20"/>
                <w:szCs w:val="20"/>
                <w:color w:val="auto"/>
              </w:rPr>
            </w:pPr>
            <w:r>
              <w:rPr>
                <w:rFonts w:ascii="Arial" w:cs="Arial" w:eastAsia="Arial" w:hAnsi="Arial"/>
                <w:sz w:val="13"/>
                <w:szCs w:val="13"/>
                <w:color w:val="auto"/>
              </w:rPr>
              <w:t>$65.55</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2/23/2027</w:t>
            </w: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2/22/2018</w:t>
            </w:r>
          </w:p>
        </w:tc>
        <w:tc>
          <w:tcPr>
            <w:tcW w:w="80" w:type="dxa"/>
            <w:vAlign w:val="bottom"/>
          </w:tcPr>
          <w:p>
            <w:pPr>
              <w:spacing w:after="0"/>
              <w:rPr>
                <w:sz w:val="16"/>
                <w:szCs w:val="16"/>
                <w:color w:val="auto"/>
              </w:rPr>
            </w:pPr>
          </w:p>
        </w:tc>
        <w:tc>
          <w:tcPr>
            <w:tcW w:w="760" w:type="dxa"/>
            <w:vAlign w:val="bottom"/>
          </w:tcPr>
          <w:p>
            <w:pPr>
              <w:jc w:val="right"/>
              <w:ind w:right="137"/>
              <w:spacing w:after="0"/>
              <w:rPr>
                <w:sz w:val="20"/>
                <w:szCs w:val="20"/>
                <w:color w:val="auto"/>
              </w:rPr>
            </w:pPr>
            <w:r>
              <w:rPr>
                <w:rFonts w:ascii="Arial" w:cs="Arial" w:eastAsia="Arial" w:hAnsi="Arial"/>
                <w:sz w:val="13"/>
                <w:szCs w:val="13"/>
                <w:color w:val="auto"/>
              </w:rPr>
              <w:t>13,410</w:t>
            </w:r>
          </w:p>
        </w:tc>
        <w:tc>
          <w:tcPr>
            <w:tcW w:w="80" w:type="dxa"/>
            <w:vAlign w:val="bottom"/>
          </w:tcPr>
          <w:p>
            <w:pPr>
              <w:spacing w:after="0"/>
              <w:rPr>
                <w:sz w:val="16"/>
                <w:szCs w:val="16"/>
                <w:color w:val="auto"/>
              </w:rPr>
            </w:pPr>
          </w:p>
        </w:tc>
        <w:tc>
          <w:tcPr>
            <w:tcW w:w="1000" w:type="dxa"/>
            <w:vAlign w:val="bottom"/>
          </w:tcPr>
          <w:p>
            <w:pPr>
              <w:jc w:val="right"/>
              <w:ind w:right="257"/>
              <w:spacing w:after="0"/>
              <w:rPr>
                <w:sz w:val="20"/>
                <w:szCs w:val="20"/>
                <w:color w:val="auto"/>
              </w:rPr>
            </w:pPr>
            <w:r>
              <w:rPr>
                <w:rFonts w:ascii="Arial" w:cs="Arial" w:eastAsia="Arial" w:hAnsi="Arial"/>
                <w:sz w:val="13"/>
                <w:szCs w:val="13"/>
                <w:color w:val="auto"/>
              </w:rPr>
              <w:t>6,706</w:t>
            </w:r>
          </w:p>
        </w:tc>
        <w:tc>
          <w:tcPr>
            <w:tcW w:w="80" w:type="dxa"/>
            <w:vAlign w:val="bottom"/>
          </w:tcPr>
          <w:p>
            <w:pPr>
              <w:spacing w:after="0"/>
              <w:rPr>
                <w:sz w:val="16"/>
                <w:szCs w:val="16"/>
                <w:color w:val="auto"/>
              </w:rPr>
            </w:pPr>
          </w:p>
        </w:tc>
        <w:tc>
          <w:tcPr>
            <w:tcW w:w="520" w:type="dxa"/>
            <w:vAlign w:val="bottom"/>
          </w:tcPr>
          <w:p>
            <w:pPr>
              <w:jc w:val="center"/>
              <w:spacing w:after="0"/>
              <w:rPr>
                <w:sz w:val="20"/>
                <w:szCs w:val="20"/>
                <w:color w:val="auto"/>
              </w:rPr>
            </w:pPr>
            <w:r>
              <w:rPr>
                <w:rFonts w:ascii="Arial" w:cs="Arial" w:eastAsia="Arial" w:hAnsi="Arial"/>
                <w:sz w:val="13"/>
                <w:szCs w:val="13"/>
                <w:color w:val="auto"/>
              </w:rPr>
              <w:t>$69.30</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2/22/2028</w:t>
            </w: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2/22/2018</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ind w:right="117"/>
              <w:spacing w:after="0"/>
              <w:rPr>
                <w:sz w:val="20"/>
                <w:szCs w:val="20"/>
                <w:color w:val="auto"/>
              </w:rPr>
            </w:pPr>
            <w:r>
              <w:rPr>
                <w:rFonts w:ascii="Arial" w:cs="Arial" w:eastAsia="Arial" w:hAnsi="Arial"/>
                <w:sz w:val="13"/>
                <w:szCs w:val="13"/>
                <w:color w:val="auto"/>
              </w:rPr>
              <w:t>2,405</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230,640</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2/21/2019</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ind w:right="117"/>
              <w:spacing w:after="0"/>
              <w:rPr>
                <w:sz w:val="20"/>
                <w:szCs w:val="20"/>
                <w:color w:val="auto"/>
              </w:rPr>
            </w:pPr>
            <w:r>
              <w:rPr>
                <w:rFonts w:ascii="Arial" w:cs="Arial" w:eastAsia="Arial" w:hAnsi="Arial"/>
                <w:sz w:val="13"/>
                <w:szCs w:val="13"/>
                <w:color w:val="auto"/>
              </w:rPr>
              <w:t>10,945</w:t>
            </w:r>
          </w:p>
        </w:tc>
        <w:tc>
          <w:tcPr>
            <w:tcW w:w="80" w:type="dxa"/>
            <w:vAlign w:val="bottom"/>
          </w:tcPr>
          <w:p>
            <w:pPr>
              <w:spacing w:after="0"/>
              <w:rPr>
                <w:sz w:val="16"/>
                <w:szCs w:val="16"/>
                <w:color w:val="auto"/>
              </w:rPr>
            </w:pPr>
          </w:p>
        </w:tc>
        <w:tc>
          <w:tcPr>
            <w:tcW w:w="800" w:type="dxa"/>
            <w:vAlign w:val="bottom"/>
            <w:gridSpan w:val="2"/>
          </w:tcPr>
          <w:p>
            <w:pPr>
              <w:jc w:val="right"/>
              <w:ind w:right="37"/>
              <w:spacing w:after="0"/>
              <w:rPr>
                <w:sz w:val="20"/>
                <w:szCs w:val="20"/>
                <w:color w:val="auto"/>
              </w:rPr>
            </w:pPr>
            <w:r>
              <w:rPr>
                <w:rFonts w:ascii="Arial" w:cs="Arial" w:eastAsia="Arial" w:hAnsi="Arial"/>
                <w:sz w:val="13"/>
                <w:szCs w:val="13"/>
                <w:color w:val="auto"/>
              </w:rPr>
              <w:t>$1,049,626</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2/21/2019</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ind w:right="97"/>
              <w:spacing w:after="0" w:line="208" w:lineRule="exact"/>
              <w:rPr>
                <w:sz w:val="20"/>
                <w:szCs w:val="20"/>
                <w:color w:val="auto"/>
              </w:rPr>
            </w:pPr>
            <w:r>
              <w:rPr>
                <w:rFonts w:ascii="Arial" w:cs="Arial" w:eastAsia="Arial" w:hAnsi="Arial"/>
                <w:sz w:val="13"/>
                <w:szCs w:val="13"/>
                <w:color w:val="auto"/>
              </w:rPr>
              <w:t>8,208</w:t>
            </w:r>
            <w:r>
              <w:rPr>
                <w:rFonts w:ascii="Arial" w:cs="Arial" w:eastAsia="Arial" w:hAnsi="Arial"/>
                <w:sz w:val="20"/>
                <w:szCs w:val="20"/>
                <w:color w:val="auto"/>
                <w:vertAlign w:val="superscript"/>
              </w:rPr>
              <w:t>(3)</w:t>
            </w:r>
          </w:p>
        </w:tc>
        <w:tc>
          <w:tcPr>
            <w:tcW w:w="80" w:type="dxa"/>
            <w:vAlign w:val="bottom"/>
          </w:tcPr>
          <w:p>
            <w:pPr>
              <w:spacing w:after="0"/>
              <w:rPr>
                <w:sz w:val="18"/>
                <w:szCs w:val="18"/>
                <w:color w:val="auto"/>
              </w:rPr>
            </w:pPr>
          </w:p>
        </w:tc>
        <w:tc>
          <w:tcPr>
            <w:tcW w:w="340" w:type="dxa"/>
            <w:vAlign w:val="bottom"/>
          </w:tcPr>
          <w:p>
            <w:pPr>
              <w:ind w:left="22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217"/>
              <w:spacing w:after="0"/>
              <w:rPr>
                <w:sz w:val="20"/>
                <w:szCs w:val="20"/>
                <w:color w:val="auto"/>
              </w:rPr>
            </w:pPr>
            <w:r>
              <w:rPr>
                <w:rFonts w:ascii="Arial" w:cs="Arial" w:eastAsia="Arial" w:hAnsi="Arial"/>
                <w:sz w:val="13"/>
                <w:szCs w:val="13"/>
                <w:color w:val="auto"/>
              </w:rPr>
              <w:t>787,147</w:t>
            </w:r>
          </w:p>
        </w:tc>
        <w:tc>
          <w:tcPr>
            <w:tcW w:w="0" w:type="dxa"/>
            <w:vAlign w:val="bottom"/>
          </w:tcPr>
          <w:p>
            <w:pPr>
              <w:spacing w:after="0"/>
              <w:rPr>
                <w:sz w:val="1"/>
                <w:szCs w:val="1"/>
                <w:color w:val="auto"/>
              </w:rPr>
            </w:pPr>
          </w:p>
        </w:tc>
      </w:tr>
      <w:tr>
        <w:trPr>
          <w:trHeight w:val="170"/>
        </w:trPr>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9/19/2019</w:t>
            </w:r>
          </w:p>
        </w:tc>
        <w:tc>
          <w:tcPr>
            <w:tcW w:w="80" w:type="dxa"/>
            <w:vAlign w:val="bottom"/>
          </w:tcPr>
          <w:p>
            <w:pPr>
              <w:spacing w:after="0"/>
              <w:rPr>
                <w:sz w:val="14"/>
                <w:szCs w:val="14"/>
                <w:color w:val="auto"/>
              </w:rPr>
            </w:pPr>
          </w:p>
        </w:tc>
        <w:tc>
          <w:tcPr>
            <w:tcW w:w="760" w:type="dxa"/>
            <w:vAlign w:val="bottom"/>
          </w:tcPr>
          <w:p>
            <w:pPr>
              <w:jc w:val="right"/>
              <w:ind w:right="137"/>
              <w:spacing w:after="0"/>
              <w:rPr>
                <w:sz w:val="20"/>
                <w:szCs w:val="20"/>
                <w:color w:val="auto"/>
              </w:rPr>
            </w:pPr>
            <w:r>
              <w:rPr>
                <w:rFonts w:ascii="Arial" w:cs="Arial" w:eastAsia="Arial" w:hAnsi="Arial"/>
                <w:sz w:val="13"/>
                <w:szCs w:val="13"/>
                <w:color w:val="auto"/>
              </w:rPr>
              <w:t>25,445</w:t>
            </w:r>
          </w:p>
        </w:tc>
        <w:tc>
          <w:tcPr>
            <w:tcW w:w="80" w:type="dxa"/>
            <w:vAlign w:val="bottom"/>
          </w:tcPr>
          <w:p>
            <w:pPr>
              <w:spacing w:after="0"/>
              <w:rPr>
                <w:sz w:val="14"/>
                <w:szCs w:val="14"/>
                <w:color w:val="auto"/>
              </w:rPr>
            </w:pPr>
          </w:p>
        </w:tc>
        <w:tc>
          <w:tcPr>
            <w:tcW w:w="1000" w:type="dxa"/>
            <w:vAlign w:val="bottom"/>
          </w:tcPr>
          <w:p>
            <w:pPr>
              <w:jc w:val="right"/>
              <w:ind w:right="257"/>
              <w:spacing w:after="0"/>
              <w:rPr>
                <w:sz w:val="20"/>
                <w:szCs w:val="20"/>
                <w:color w:val="auto"/>
              </w:rPr>
            </w:pPr>
            <w:r>
              <w:rPr>
                <w:rFonts w:ascii="Arial" w:cs="Arial" w:eastAsia="Arial" w:hAnsi="Arial"/>
                <w:sz w:val="13"/>
                <w:szCs w:val="13"/>
                <w:color w:val="auto"/>
              </w:rPr>
              <w:t>50,892</w:t>
            </w:r>
          </w:p>
        </w:tc>
        <w:tc>
          <w:tcPr>
            <w:tcW w:w="8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3"/>
                <w:szCs w:val="13"/>
                <w:color w:val="auto"/>
              </w:rPr>
              <w:t>$76.55</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9/19/2029</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9/19/2019</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ind w:right="117"/>
              <w:spacing w:after="0"/>
              <w:rPr>
                <w:sz w:val="20"/>
                <w:szCs w:val="20"/>
                <w:color w:val="auto"/>
              </w:rPr>
            </w:pPr>
            <w:r>
              <w:rPr>
                <w:rFonts w:ascii="Arial" w:cs="Arial" w:eastAsia="Arial" w:hAnsi="Arial"/>
                <w:sz w:val="13"/>
                <w:szCs w:val="13"/>
                <w:color w:val="auto"/>
              </w:rPr>
              <w:t>13,064</w:t>
            </w:r>
          </w:p>
        </w:tc>
        <w:tc>
          <w:tcPr>
            <w:tcW w:w="80" w:type="dxa"/>
            <w:vAlign w:val="bottom"/>
          </w:tcPr>
          <w:p>
            <w:pPr>
              <w:spacing w:after="0"/>
              <w:rPr>
                <w:sz w:val="16"/>
                <w:szCs w:val="16"/>
                <w:color w:val="auto"/>
              </w:rPr>
            </w:pPr>
          </w:p>
        </w:tc>
        <w:tc>
          <w:tcPr>
            <w:tcW w:w="800" w:type="dxa"/>
            <w:vAlign w:val="bottom"/>
            <w:gridSpan w:val="2"/>
          </w:tcPr>
          <w:p>
            <w:pPr>
              <w:jc w:val="right"/>
              <w:ind w:right="37"/>
              <w:spacing w:after="0"/>
              <w:rPr>
                <w:sz w:val="20"/>
                <w:szCs w:val="20"/>
                <w:color w:val="auto"/>
              </w:rPr>
            </w:pPr>
            <w:r>
              <w:rPr>
                <w:rFonts w:ascii="Arial" w:cs="Arial" w:eastAsia="Arial" w:hAnsi="Arial"/>
                <w:sz w:val="13"/>
                <w:szCs w:val="13"/>
                <w:color w:val="auto"/>
              </w:rPr>
              <w:t>$1,252,838</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2/20/2020</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right"/>
              <w:ind w:right="257"/>
              <w:spacing w:after="0"/>
              <w:rPr>
                <w:sz w:val="20"/>
                <w:szCs w:val="20"/>
                <w:color w:val="auto"/>
              </w:rPr>
            </w:pPr>
            <w:r>
              <w:rPr>
                <w:rFonts w:ascii="Arial" w:cs="Arial" w:eastAsia="Arial" w:hAnsi="Arial"/>
                <w:sz w:val="13"/>
                <w:szCs w:val="13"/>
                <w:color w:val="auto"/>
              </w:rPr>
              <w:t>28,069</w:t>
            </w:r>
          </w:p>
        </w:tc>
        <w:tc>
          <w:tcPr>
            <w:tcW w:w="80" w:type="dxa"/>
            <w:vAlign w:val="bottom"/>
          </w:tcPr>
          <w:p>
            <w:pPr>
              <w:spacing w:after="0"/>
              <w:rPr>
                <w:sz w:val="16"/>
                <w:szCs w:val="16"/>
                <w:color w:val="auto"/>
              </w:rPr>
            </w:pPr>
          </w:p>
        </w:tc>
        <w:tc>
          <w:tcPr>
            <w:tcW w:w="520" w:type="dxa"/>
            <w:vAlign w:val="bottom"/>
          </w:tcPr>
          <w:p>
            <w:pPr>
              <w:jc w:val="center"/>
              <w:spacing w:after="0"/>
              <w:rPr>
                <w:sz w:val="20"/>
                <w:szCs w:val="20"/>
                <w:color w:val="auto"/>
              </w:rPr>
            </w:pPr>
            <w:r>
              <w:rPr>
                <w:rFonts w:ascii="Arial" w:cs="Arial" w:eastAsia="Arial" w:hAnsi="Arial"/>
                <w:sz w:val="13"/>
                <w:szCs w:val="13"/>
                <w:color w:val="auto"/>
              </w:rPr>
              <w:t>$87.27</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2/20/2030</w:t>
            </w: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2/20/2020</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ind w:right="117"/>
              <w:spacing w:after="0"/>
              <w:rPr>
                <w:sz w:val="20"/>
                <w:szCs w:val="20"/>
                <w:color w:val="auto"/>
              </w:rPr>
            </w:pPr>
            <w:r>
              <w:rPr>
                <w:rFonts w:ascii="Arial" w:cs="Arial" w:eastAsia="Arial" w:hAnsi="Arial"/>
                <w:sz w:val="13"/>
                <w:szCs w:val="13"/>
                <w:color w:val="auto"/>
              </w:rPr>
              <w:t>8,594</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824,165</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6"/>
        </w:trPr>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2/20/2020</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3"/>
                <w:szCs w:val="13"/>
                <w:color w:val="auto"/>
                <w:w w:val="92"/>
              </w:rPr>
              <w:t>17,188</w:t>
            </w:r>
            <w:r>
              <w:rPr>
                <w:rFonts w:ascii="Arial" w:cs="Arial" w:eastAsia="Arial" w:hAnsi="Arial"/>
                <w:sz w:val="20"/>
                <w:szCs w:val="20"/>
                <w:color w:val="auto"/>
                <w:w w:val="92"/>
                <w:vertAlign w:val="superscript"/>
              </w:rPr>
              <w:t>(4)</w:t>
            </w:r>
          </w:p>
        </w:tc>
        <w:tc>
          <w:tcPr>
            <w:tcW w:w="80" w:type="dxa"/>
            <w:vAlign w:val="bottom"/>
          </w:tcPr>
          <w:p>
            <w:pPr>
              <w:spacing w:after="0"/>
              <w:rPr>
                <w:sz w:val="24"/>
                <w:szCs w:val="24"/>
                <w:color w:val="auto"/>
              </w:rPr>
            </w:pPr>
          </w:p>
        </w:tc>
        <w:tc>
          <w:tcPr>
            <w:tcW w:w="1120" w:type="dxa"/>
            <w:vAlign w:val="bottom"/>
            <w:gridSpan w:val="2"/>
          </w:tcPr>
          <w:p>
            <w:pPr>
              <w:ind w:left="220"/>
              <w:spacing w:after="0"/>
              <w:rPr>
                <w:sz w:val="20"/>
                <w:szCs w:val="20"/>
                <w:color w:val="auto"/>
              </w:rPr>
            </w:pPr>
            <w:r>
              <w:rPr>
                <w:rFonts w:ascii="Arial" w:cs="Arial" w:eastAsia="Arial" w:hAnsi="Arial"/>
                <w:sz w:val="13"/>
                <w:szCs w:val="13"/>
                <w:color w:val="auto"/>
              </w:rPr>
              <w:t>$1,648,329</w:t>
            </w:r>
          </w:p>
        </w:tc>
        <w:tc>
          <w:tcPr>
            <w:tcW w:w="0" w:type="dxa"/>
            <w:vAlign w:val="bottom"/>
          </w:tcPr>
          <w:p>
            <w:pPr>
              <w:spacing w:after="0"/>
              <w:rPr>
                <w:sz w:val="1"/>
                <w:szCs w:val="1"/>
                <w:color w:val="auto"/>
              </w:rPr>
            </w:pPr>
          </w:p>
        </w:tc>
      </w:tr>
      <w:tr>
        <w:trPr>
          <w:trHeight w:val="176"/>
        </w:trPr>
        <w:tc>
          <w:tcPr>
            <w:tcW w:w="1160" w:type="dxa"/>
            <w:vAlign w:val="bottom"/>
            <w:gridSpan w:val="2"/>
          </w:tcPr>
          <w:p>
            <w:pPr>
              <w:ind w:left="40"/>
              <w:spacing w:after="0"/>
              <w:rPr>
                <w:sz w:val="20"/>
                <w:szCs w:val="20"/>
                <w:color w:val="auto"/>
              </w:rPr>
            </w:pPr>
            <w:r>
              <w:rPr>
                <w:rFonts w:ascii="Arial" w:cs="Arial" w:eastAsia="Arial" w:hAnsi="Arial"/>
                <w:sz w:val="13"/>
                <w:szCs w:val="13"/>
                <w:color w:val="auto"/>
              </w:rPr>
              <w:t>Joan Hooper</w:t>
            </w:r>
          </w:p>
        </w:tc>
        <w:tc>
          <w:tcPr>
            <w:tcW w:w="680" w:type="dxa"/>
            <w:vAlign w:val="bottom"/>
          </w:tcPr>
          <w:p>
            <w:pPr>
              <w:jc w:val="right"/>
              <w:spacing w:after="0"/>
              <w:rPr>
                <w:sz w:val="20"/>
                <w:szCs w:val="20"/>
                <w:color w:val="auto"/>
              </w:rPr>
            </w:pPr>
            <w:r>
              <w:rPr>
                <w:rFonts w:ascii="Arial" w:cs="Arial" w:eastAsia="Arial" w:hAnsi="Arial"/>
                <w:sz w:val="13"/>
                <w:szCs w:val="13"/>
                <w:color w:val="auto"/>
              </w:rPr>
              <w:t>6/20/2017</w:t>
            </w:r>
          </w:p>
        </w:tc>
        <w:tc>
          <w:tcPr>
            <w:tcW w:w="80" w:type="dxa"/>
            <w:vAlign w:val="bottom"/>
          </w:tcPr>
          <w:p>
            <w:pPr>
              <w:spacing w:after="0"/>
              <w:rPr>
                <w:sz w:val="15"/>
                <w:szCs w:val="15"/>
                <w:color w:val="auto"/>
              </w:rPr>
            </w:pPr>
          </w:p>
        </w:tc>
        <w:tc>
          <w:tcPr>
            <w:tcW w:w="760" w:type="dxa"/>
            <w:vAlign w:val="bottom"/>
          </w:tcPr>
          <w:p>
            <w:pPr>
              <w:jc w:val="right"/>
              <w:ind w:right="157"/>
              <w:spacing w:after="0"/>
              <w:rPr>
                <w:sz w:val="20"/>
                <w:szCs w:val="20"/>
                <w:color w:val="auto"/>
              </w:rPr>
            </w:pPr>
            <w:r>
              <w:rPr>
                <w:rFonts w:ascii="Arial" w:cs="Arial" w:eastAsia="Arial" w:hAnsi="Arial"/>
                <w:sz w:val="13"/>
                <w:szCs w:val="13"/>
                <w:color w:val="auto"/>
              </w:rPr>
              <w:t>11,515</w:t>
            </w: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jc w:val="center"/>
              <w:spacing w:after="0"/>
              <w:rPr>
                <w:sz w:val="20"/>
                <w:szCs w:val="20"/>
                <w:color w:val="auto"/>
              </w:rPr>
            </w:pPr>
            <w:r>
              <w:rPr>
                <w:rFonts w:ascii="Arial" w:cs="Arial" w:eastAsia="Arial" w:hAnsi="Arial"/>
                <w:sz w:val="13"/>
                <w:szCs w:val="13"/>
                <w:color w:val="auto"/>
              </w:rPr>
              <w:t>$68.45</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6/20/2027</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2/22/2018</w:t>
            </w:r>
          </w:p>
        </w:tc>
        <w:tc>
          <w:tcPr>
            <w:tcW w:w="80" w:type="dxa"/>
            <w:vAlign w:val="bottom"/>
          </w:tcPr>
          <w:p>
            <w:pPr>
              <w:spacing w:after="0"/>
              <w:rPr>
                <w:sz w:val="16"/>
                <w:szCs w:val="16"/>
                <w:color w:val="auto"/>
              </w:rPr>
            </w:pPr>
          </w:p>
        </w:tc>
        <w:tc>
          <w:tcPr>
            <w:tcW w:w="760" w:type="dxa"/>
            <w:vAlign w:val="bottom"/>
          </w:tcPr>
          <w:p>
            <w:pPr>
              <w:jc w:val="right"/>
              <w:ind w:right="137"/>
              <w:spacing w:after="0"/>
              <w:rPr>
                <w:sz w:val="20"/>
                <w:szCs w:val="20"/>
                <w:color w:val="auto"/>
              </w:rPr>
            </w:pPr>
            <w:r>
              <w:rPr>
                <w:rFonts w:ascii="Arial" w:cs="Arial" w:eastAsia="Arial" w:hAnsi="Arial"/>
                <w:sz w:val="13"/>
                <w:szCs w:val="13"/>
                <w:color w:val="auto"/>
              </w:rPr>
              <w:t>6,705</w:t>
            </w:r>
          </w:p>
        </w:tc>
        <w:tc>
          <w:tcPr>
            <w:tcW w:w="80" w:type="dxa"/>
            <w:vAlign w:val="bottom"/>
          </w:tcPr>
          <w:p>
            <w:pPr>
              <w:spacing w:after="0"/>
              <w:rPr>
                <w:sz w:val="16"/>
                <w:szCs w:val="16"/>
                <w:color w:val="auto"/>
              </w:rPr>
            </w:pPr>
          </w:p>
        </w:tc>
        <w:tc>
          <w:tcPr>
            <w:tcW w:w="1000" w:type="dxa"/>
            <w:vAlign w:val="bottom"/>
          </w:tcPr>
          <w:p>
            <w:pPr>
              <w:jc w:val="right"/>
              <w:ind w:right="257"/>
              <w:spacing w:after="0"/>
              <w:rPr>
                <w:sz w:val="20"/>
                <w:szCs w:val="20"/>
                <w:color w:val="auto"/>
              </w:rPr>
            </w:pPr>
            <w:r>
              <w:rPr>
                <w:rFonts w:ascii="Arial" w:cs="Arial" w:eastAsia="Arial" w:hAnsi="Arial"/>
                <w:sz w:val="13"/>
                <w:szCs w:val="13"/>
                <w:color w:val="auto"/>
              </w:rPr>
              <w:t>3,353</w:t>
            </w:r>
          </w:p>
        </w:tc>
        <w:tc>
          <w:tcPr>
            <w:tcW w:w="80" w:type="dxa"/>
            <w:vAlign w:val="bottom"/>
          </w:tcPr>
          <w:p>
            <w:pPr>
              <w:spacing w:after="0"/>
              <w:rPr>
                <w:sz w:val="16"/>
                <w:szCs w:val="16"/>
                <w:color w:val="auto"/>
              </w:rPr>
            </w:pPr>
          </w:p>
        </w:tc>
        <w:tc>
          <w:tcPr>
            <w:tcW w:w="520" w:type="dxa"/>
            <w:vAlign w:val="bottom"/>
          </w:tcPr>
          <w:p>
            <w:pPr>
              <w:jc w:val="center"/>
              <w:spacing w:after="0"/>
              <w:rPr>
                <w:sz w:val="20"/>
                <w:szCs w:val="20"/>
                <w:color w:val="auto"/>
              </w:rPr>
            </w:pPr>
            <w:r>
              <w:rPr>
                <w:rFonts w:ascii="Arial" w:cs="Arial" w:eastAsia="Arial" w:hAnsi="Arial"/>
                <w:sz w:val="13"/>
                <w:szCs w:val="13"/>
                <w:color w:val="auto"/>
              </w:rPr>
              <w:t>$69.30</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2/22/2018</w:t>
            </w: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2/22/2018</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ind w:right="117"/>
              <w:spacing w:after="0"/>
              <w:rPr>
                <w:sz w:val="20"/>
                <w:szCs w:val="20"/>
                <w:color w:val="auto"/>
              </w:rPr>
            </w:pPr>
            <w:r>
              <w:rPr>
                <w:rFonts w:ascii="Arial" w:cs="Arial" w:eastAsia="Arial" w:hAnsi="Arial"/>
                <w:sz w:val="13"/>
                <w:szCs w:val="13"/>
                <w:color w:val="auto"/>
              </w:rPr>
              <w:t>1,203</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115,368</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5/9/2018</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ind w:right="117"/>
              <w:spacing w:after="0"/>
              <w:rPr>
                <w:sz w:val="20"/>
                <w:szCs w:val="20"/>
                <w:color w:val="auto"/>
              </w:rPr>
            </w:pPr>
            <w:r>
              <w:rPr>
                <w:rFonts w:ascii="Arial" w:cs="Arial" w:eastAsia="Arial" w:hAnsi="Arial"/>
                <w:sz w:val="13"/>
                <w:szCs w:val="13"/>
                <w:color w:val="auto"/>
              </w:rPr>
              <w:t>1,239</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118,820</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2/21/2019</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ind w:right="117"/>
              <w:spacing w:after="0"/>
              <w:rPr>
                <w:sz w:val="20"/>
                <w:szCs w:val="20"/>
                <w:color w:val="auto"/>
              </w:rPr>
            </w:pPr>
            <w:r>
              <w:rPr>
                <w:rFonts w:ascii="Arial" w:cs="Arial" w:eastAsia="Arial" w:hAnsi="Arial"/>
                <w:sz w:val="13"/>
                <w:szCs w:val="13"/>
                <w:color w:val="auto"/>
              </w:rPr>
              <w:t>6,841</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656,052</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2/21/2019</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ind w:right="97"/>
              <w:spacing w:after="0" w:line="208" w:lineRule="exact"/>
              <w:rPr>
                <w:sz w:val="20"/>
                <w:szCs w:val="20"/>
                <w:color w:val="auto"/>
              </w:rPr>
            </w:pPr>
            <w:r>
              <w:rPr>
                <w:rFonts w:ascii="Arial" w:cs="Arial" w:eastAsia="Arial" w:hAnsi="Arial"/>
                <w:sz w:val="13"/>
                <w:szCs w:val="13"/>
                <w:color w:val="auto"/>
              </w:rPr>
              <w:t>5,130</w:t>
            </w:r>
            <w:r>
              <w:rPr>
                <w:rFonts w:ascii="Arial" w:cs="Arial" w:eastAsia="Arial" w:hAnsi="Arial"/>
                <w:sz w:val="20"/>
                <w:szCs w:val="20"/>
                <w:color w:val="auto"/>
                <w:vertAlign w:val="superscript"/>
              </w:rPr>
              <w:t>(3)</w:t>
            </w:r>
          </w:p>
        </w:tc>
        <w:tc>
          <w:tcPr>
            <w:tcW w:w="80" w:type="dxa"/>
            <w:vAlign w:val="bottom"/>
          </w:tcPr>
          <w:p>
            <w:pPr>
              <w:spacing w:after="0"/>
              <w:rPr>
                <w:sz w:val="18"/>
                <w:szCs w:val="18"/>
                <w:color w:val="auto"/>
              </w:rPr>
            </w:pPr>
          </w:p>
        </w:tc>
        <w:tc>
          <w:tcPr>
            <w:tcW w:w="340" w:type="dxa"/>
            <w:vAlign w:val="bottom"/>
          </w:tcPr>
          <w:p>
            <w:pPr>
              <w:ind w:left="22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217"/>
              <w:spacing w:after="0"/>
              <w:rPr>
                <w:sz w:val="20"/>
                <w:szCs w:val="20"/>
                <w:color w:val="auto"/>
              </w:rPr>
            </w:pPr>
            <w:r>
              <w:rPr>
                <w:rFonts w:ascii="Arial" w:cs="Arial" w:eastAsia="Arial" w:hAnsi="Arial"/>
                <w:sz w:val="13"/>
                <w:szCs w:val="13"/>
                <w:color w:val="auto"/>
              </w:rPr>
              <w:t>491,967</w:t>
            </w:r>
          </w:p>
        </w:tc>
        <w:tc>
          <w:tcPr>
            <w:tcW w:w="0" w:type="dxa"/>
            <w:vAlign w:val="bottom"/>
          </w:tcPr>
          <w:p>
            <w:pPr>
              <w:spacing w:after="0"/>
              <w:rPr>
                <w:sz w:val="1"/>
                <w:szCs w:val="1"/>
                <w:color w:val="auto"/>
              </w:rPr>
            </w:pPr>
          </w:p>
        </w:tc>
      </w:tr>
      <w:tr>
        <w:trPr>
          <w:trHeight w:val="170"/>
        </w:trPr>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5/17/2019</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ind w:right="117"/>
              <w:spacing w:after="0"/>
              <w:rPr>
                <w:sz w:val="20"/>
                <w:szCs w:val="20"/>
                <w:color w:val="auto"/>
              </w:rPr>
            </w:pPr>
            <w:r>
              <w:rPr>
                <w:rFonts w:ascii="Arial" w:cs="Arial" w:eastAsia="Arial" w:hAnsi="Arial"/>
                <w:sz w:val="13"/>
                <w:szCs w:val="13"/>
                <w:color w:val="auto"/>
              </w:rPr>
              <w:t>2,930</w:t>
            </w:r>
          </w:p>
        </w:tc>
        <w:tc>
          <w:tcPr>
            <w:tcW w:w="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280,987</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2/20/2020</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3"/>
                <w:szCs w:val="13"/>
                <w:color w:val="auto"/>
                <w:w w:val="95"/>
              </w:rPr>
              <w:t>11,695</w:t>
            </w:r>
          </w:p>
        </w:tc>
        <w:tc>
          <w:tcPr>
            <w:tcW w:w="80" w:type="dxa"/>
            <w:vAlign w:val="bottom"/>
          </w:tcPr>
          <w:p>
            <w:pPr>
              <w:spacing w:after="0"/>
              <w:rPr>
                <w:sz w:val="16"/>
                <w:szCs w:val="16"/>
                <w:color w:val="auto"/>
              </w:rPr>
            </w:pPr>
          </w:p>
        </w:tc>
        <w:tc>
          <w:tcPr>
            <w:tcW w:w="520" w:type="dxa"/>
            <w:vAlign w:val="bottom"/>
          </w:tcPr>
          <w:p>
            <w:pPr>
              <w:jc w:val="center"/>
              <w:spacing w:after="0"/>
              <w:rPr>
                <w:sz w:val="20"/>
                <w:szCs w:val="20"/>
                <w:color w:val="auto"/>
              </w:rPr>
            </w:pPr>
            <w:r>
              <w:rPr>
                <w:rFonts w:ascii="Arial" w:cs="Arial" w:eastAsia="Arial" w:hAnsi="Arial"/>
                <w:sz w:val="13"/>
                <w:szCs w:val="13"/>
                <w:color w:val="auto"/>
              </w:rPr>
              <w:t>$87.27</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2/20/2030</w:t>
            </w: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2/20/2020</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ind w:right="117"/>
              <w:spacing w:after="0"/>
              <w:rPr>
                <w:sz w:val="20"/>
                <w:szCs w:val="20"/>
                <w:color w:val="auto"/>
              </w:rPr>
            </w:pPr>
            <w:r>
              <w:rPr>
                <w:rFonts w:ascii="Arial" w:cs="Arial" w:eastAsia="Arial" w:hAnsi="Arial"/>
                <w:sz w:val="13"/>
                <w:szCs w:val="13"/>
                <w:color w:val="auto"/>
              </w:rPr>
              <w:t>3,580</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343,322</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6"/>
        </w:trPr>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2/20/2020</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jc w:val="right"/>
              <w:ind w:right="97"/>
              <w:spacing w:after="0"/>
              <w:rPr>
                <w:sz w:val="20"/>
                <w:szCs w:val="20"/>
                <w:color w:val="auto"/>
              </w:rPr>
            </w:pPr>
            <w:r>
              <w:rPr>
                <w:rFonts w:ascii="Arial" w:cs="Arial" w:eastAsia="Arial" w:hAnsi="Arial"/>
                <w:sz w:val="13"/>
                <w:szCs w:val="13"/>
                <w:color w:val="auto"/>
              </w:rPr>
              <w:t>7,161</w:t>
            </w:r>
            <w:r>
              <w:rPr>
                <w:rFonts w:ascii="Arial" w:cs="Arial" w:eastAsia="Arial" w:hAnsi="Arial"/>
                <w:sz w:val="20"/>
                <w:szCs w:val="20"/>
                <w:color w:val="auto"/>
                <w:vertAlign w:val="superscript"/>
              </w:rPr>
              <w:t>(4)</w:t>
            </w:r>
          </w:p>
        </w:tc>
        <w:tc>
          <w:tcPr>
            <w:tcW w:w="80" w:type="dxa"/>
            <w:vAlign w:val="bottom"/>
          </w:tcPr>
          <w:p>
            <w:pPr>
              <w:spacing w:after="0"/>
              <w:rPr>
                <w:sz w:val="24"/>
                <w:szCs w:val="24"/>
                <w:color w:val="auto"/>
              </w:rPr>
            </w:pPr>
          </w:p>
        </w:tc>
        <w:tc>
          <w:tcPr>
            <w:tcW w:w="340" w:type="dxa"/>
            <w:vAlign w:val="bottom"/>
          </w:tcPr>
          <w:p>
            <w:pPr>
              <w:ind w:left="22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217"/>
              <w:spacing w:after="0"/>
              <w:rPr>
                <w:sz w:val="20"/>
                <w:szCs w:val="20"/>
                <w:color w:val="auto"/>
              </w:rPr>
            </w:pPr>
            <w:r>
              <w:rPr>
                <w:rFonts w:ascii="Arial" w:cs="Arial" w:eastAsia="Arial" w:hAnsi="Arial"/>
                <w:sz w:val="13"/>
                <w:szCs w:val="13"/>
                <w:color w:val="auto"/>
              </w:rPr>
              <w:t>686,740</w:t>
            </w:r>
          </w:p>
        </w:tc>
        <w:tc>
          <w:tcPr>
            <w:tcW w:w="0" w:type="dxa"/>
            <w:vAlign w:val="bottom"/>
          </w:tcPr>
          <w:p>
            <w:pPr>
              <w:spacing w:after="0"/>
              <w:rPr>
                <w:sz w:val="1"/>
                <w:szCs w:val="1"/>
                <w:color w:val="auto"/>
              </w:rPr>
            </w:pPr>
          </w:p>
        </w:tc>
      </w:tr>
      <w:tr>
        <w:trPr>
          <w:trHeight w:val="176"/>
        </w:trPr>
        <w:tc>
          <w:tcPr>
            <w:tcW w:w="1160" w:type="dxa"/>
            <w:vAlign w:val="bottom"/>
            <w:gridSpan w:val="2"/>
          </w:tcPr>
          <w:p>
            <w:pPr>
              <w:ind w:left="40"/>
              <w:spacing w:after="0"/>
              <w:rPr>
                <w:sz w:val="20"/>
                <w:szCs w:val="20"/>
                <w:color w:val="auto"/>
              </w:rPr>
            </w:pPr>
            <w:r>
              <w:rPr>
                <w:rFonts w:ascii="Arial" w:cs="Arial" w:eastAsia="Arial" w:hAnsi="Arial"/>
                <w:sz w:val="13"/>
                <w:szCs w:val="13"/>
                <w:color w:val="auto"/>
              </w:rPr>
              <w:t>Sarah Hlavinka</w:t>
            </w:r>
          </w:p>
        </w:tc>
        <w:tc>
          <w:tcPr>
            <w:tcW w:w="680" w:type="dxa"/>
            <w:vAlign w:val="bottom"/>
          </w:tcPr>
          <w:p>
            <w:pPr>
              <w:jc w:val="right"/>
              <w:spacing w:after="0"/>
              <w:rPr>
                <w:sz w:val="20"/>
                <w:szCs w:val="20"/>
                <w:color w:val="auto"/>
              </w:rPr>
            </w:pPr>
            <w:r>
              <w:rPr>
                <w:rFonts w:ascii="Arial" w:cs="Arial" w:eastAsia="Arial" w:hAnsi="Arial"/>
                <w:sz w:val="13"/>
                <w:szCs w:val="13"/>
                <w:color w:val="auto"/>
              </w:rPr>
              <w:t>9/12/2018</w:t>
            </w:r>
          </w:p>
        </w:tc>
        <w:tc>
          <w:tcPr>
            <w:tcW w:w="80" w:type="dxa"/>
            <w:vAlign w:val="bottom"/>
          </w:tcPr>
          <w:p>
            <w:pPr>
              <w:spacing w:after="0"/>
              <w:rPr>
                <w:sz w:val="15"/>
                <w:szCs w:val="15"/>
                <w:color w:val="auto"/>
              </w:rPr>
            </w:pPr>
          </w:p>
        </w:tc>
        <w:tc>
          <w:tcPr>
            <w:tcW w:w="760" w:type="dxa"/>
            <w:vAlign w:val="bottom"/>
          </w:tcPr>
          <w:p>
            <w:pPr>
              <w:jc w:val="right"/>
              <w:ind w:right="137"/>
              <w:spacing w:after="0"/>
              <w:rPr>
                <w:sz w:val="20"/>
                <w:szCs w:val="20"/>
                <w:color w:val="auto"/>
              </w:rPr>
            </w:pPr>
            <w:r>
              <w:rPr>
                <w:rFonts w:ascii="Arial" w:cs="Arial" w:eastAsia="Arial" w:hAnsi="Arial"/>
                <w:sz w:val="13"/>
                <w:szCs w:val="13"/>
                <w:color w:val="auto"/>
              </w:rPr>
              <w:t>5,866</w:t>
            </w:r>
          </w:p>
        </w:tc>
        <w:tc>
          <w:tcPr>
            <w:tcW w:w="80" w:type="dxa"/>
            <w:vAlign w:val="bottom"/>
          </w:tcPr>
          <w:p>
            <w:pPr>
              <w:spacing w:after="0"/>
              <w:rPr>
                <w:sz w:val="15"/>
                <w:szCs w:val="15"/>
                <w:color w:val="auto"/>
              </w:rPr>
            </w:pPr>
          </w:p>
        </w:tc>
        <w:tc>
          <w:tcPr>
            <w:tcW w:w="1000" w:type="dxa"/>
            <w:vAlign w:val="bottom"/>
          </w:tcPr>
          <w:p>
            <w:pPr>
              <w:jc w:val="right"/>
              <w:ind w:right="257"/>
              <w:spacing w:after="0"/>
              <w:rPr>
                <w:sz w:val="20"/>
                <w:szCs w:val="20"/>
                <w:color w:val="auto"/>
              </w:rPr>
            </w:pPr>
            <w:r>
              <w:rPr>
                <w:rFonts w:ascii="Arial" w:cs="Arial" w:eastAsia="Arial" w:hAnsi="Arial"/>
                <w:sz w:val="13"/>
                <w:szCs w:val="13"/>
                <w:color w:val="auto"/>
              </w:rPr>
              <w:t>2,934</w:t>
            </w:r>
          </w:p>
        </w:tc>
        <w:tc>
          <w:tcPr>
            <w:tcW w:w="80" w:type="dxa"/>
            <w:vAlign w:val="bottom"/>
          </w:tcPr>
          <w:p>
            <w:pPr>
              <w:spacing w:after="0"/>
              <w:rPr>
                <w:sz w:val="15"/>
                <w:szCs w:val="15"/>
                <w:color w:val="auto"/>
              </w:rPr>
            </w:pPr>
          </w:p>
        </w:tc>
        <w:tc>
          <w:tcPr>
            <w:tcW w:w="520" w:type="dxa"/>
            <w:vAlign w:val="bottom"/>
          </w:tcPr>
          <w:p>
            <w:pPr>
              <w:jc w:val="center"/>
              <w:spacing w:after="0"/>
              <w:rPr>
                <w:sz w:val="20"/>
                <w:szCs w:val="20"/>
                <w:color w:val="auto"/>
              </w:rPr>
            </w:pPr>
            <w:r>
              <w:rPr>
                <w:rFonts w:ascii="Arial" w:cs="Arial" w:eastAsia="Arial" w:hAnsi="Arial"/>
                <w:sz w:val="13"/>
                <w:szCs w:val="13"/>
                <w:color w:val="auto"/>
              </w:rPr>
              <w:t>$66.30</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9/12/2028</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9/12/2018</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ind w:right="117"/>
              <w:spacing w:after="0"/>
              <w:rPr>
                <w:sz w:val="20"/>
                <w:szCs w:val="20"/>
                <w:color w:val="auto"/>
              </w:rPr>
            </w:pPr>
            <w:r>
              <w:rPr>
                <w:rFonts w:ascii="Arial" w:cs="Arial" w:eastAsia="Arial" w:hAnsi="Arial"/>
                <w:sz w:val="13"/>
                <w:szCs w:val="13"/>
                <w:color w:val="auto"/>
              </w:rPr>
              <w:t>1,006</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96,475</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2/21/2019</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ind w:right="117"/>
              <w:spacing w:after="0"/>
              <w:rPr>
                <w:sz w:val="20"/>
                <w:szCs w:val="20"/>
                <w:color w:val="auto"/>
              </w:rPr>
            </w:pPr>
            <w:r>
              <w:rPr>
                <w:rFonts w:ascii="Arial" w:cs="Arial" w:eastAsia="Arial" w:hAnsi="Arial"/>
                <w:sz w:val="13"/>
                <w:szCs w:val="13"/>
                <w:color w:val="auto"/>
              </w:rPr>
              <w:t>4,378</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419,850</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2/21/2019</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ind w:right="97"/>
              <w:spacing w:after="0" w:line="208" w:lineRule="exact"/>
              <w:rPr>
                <w:sz w:val="20"/>
                <w:szCs w:val="20"/>
                <w:color w:val="auto"/>
              </w:rPr>
            </w:pPr>
            <w:r>
              <w:rPr>
                <w:rFonts w:ascii="Arial" w:cs="Arial" w:eastAsia="Arial" w:hAnsi="Arial"/>
                <w:sz w:val="13"/>
                <w:szCs w:val="13"/>
                <w:color w:val="auto"/>
              </w:rPr>
              <w:t>3,283</w:t>
            </w:r>
            <w:r>
              <w:rPr>
                <w:rFonts w:ascii="Arial" w:cs="Arial" w:eastAsia="Arial" w:hAnsi="Arial"/>
                <w:sz w:val="20"/>
                <w:szCs w:val="20"/>
                <w:color w:val="auto"/>
                <w:vertAlign w:val="superscript"/>
              </w:rPr>
              <w:t>(3)</w:t>
            </w:r>
          </w:p>
        </w:tc>
        <w:tc>
          <w:tcPr>
            <w:tcW w:w="80" w:type="dxa"/>
            <w:vAlign w:val="bottom"/>
          </w:tcPr>
          <w:p>
            <w:pPr>
              <w:spacing w:after="0"/>
              <w:rPr>
                <w:sz w:val="18"/>
                <w:szCs w:val="18"/>
                <w:color w:val="auto"/>
              </w:rPr>
            </w:pPr>
          </w:p>
        </w:tc>
        <w:tc>
          <w:tcPr>
            <w:tcW w:w="340" w:type="dxa"/>
            <w:vAlign w:val="bottom"/>
          </w:tcPr>
          <w:p>
            <w:pPr>
              <w:ind w:left="22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217"/>
              <w:spacing w:after="0"/>
              <w:rPr>
                <w:sz w:val="20"/>
                <w:szCs w:val="20"/>
                <w:color w:val="auto"/>
              </w:rPr>
            </w:pPr>
            <w:r>
              <w:rPr>
                <w:rFonts w:ascii="Arial" w:cs="Arial" w:eastAsia="Arial" w:hAnsi="Arial"/>
                <w:sz w:val="13"/>
                <w:szCs w:val="13"/>
                <w:color w:val="auto"/>
              </w:rPr>
              <w:t>314,840</w:t>
            </w:r>
          </w:p>
        </w:tc>
        <w:tc>
          <w:tcPr>
            <w:tcW w:w="0" w:type="dxa"/>
            <w:vAlign w:val="bottom"/>
          </w:tcPr>
          <w:p>
            <w:pPr>
              <w:spacing w:after="0"/>
              <w:rPr>
                <w:sz w:val="1"/>
                <w:szCs w:val="1"/>
                <w:color w:val="auto"/>
              </w:rPr>
            </w:pPr>
          </w:p>
        </w:tc>
      </w:tr>
      <w:tr>
        <w:trPr>
          <w:trHeight w:val="170"/>
        </w:trPr>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2/20/2020</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ind w:right="257"/>
              <w:spacing w:after="0"/>
              <w:rPr>
                <w:sz w:val="20"/>
                <w:szCs w:val="20"/>
                <w:color w:val="auto"/>
              </w:rPr>
            </w:pPr>
            <w:r>
              <w:rPr>
                <w:rFonts w:ascii="Arial" w:cs="Arial" w:eastAsia="Arial" w:hAnsi="Arial"/>
                <w:sz w:val="13"/>
                <w:szCs w:val="13"/>
                <w:color w:val="auto"/>
              </w:rPr>
              <w:t>6,549</w:t>
            </w:r>
          </w:p>
        </w:tc>
        <w:tc>
          <w:tcPr>
            <w:tcW w:w="8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3"/>
                <w:szCs w:val="13"/>
                <w:color w:val="auto"/>
              </w:rPr>
              <w:t>$87.27</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2/20/2030</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2/20/2020</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ind w:right="117"/>
              <w:spacing w:after="0"/>
              <w:rPr>
                <w:sz w:val="20"/>
                <w:szCs w:val="20"/>
                <w:color w:val="auto"/>
              </w:rPr>
            </w:pPr>
            <w:r>
              <w:rPr>
                <w:rFonts w:ascii="Arial" w:cs="Arial" w:eastAsia="Arial" w:hAnsi="Arial"/>
                <w:sz w:val="13"/>
                <w:szCs w:val="13"/>
                <w:color w:val="auto"/>
              </w:rPr>
              <w:t>2,005</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192,280</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6"/>
        </w:trPr>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2/20/2020</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jc w:val="right"/>
              <w:ind w:right="97"/>
              <w:spacing w:after="0"/>
              <w:rPr>
                <w:sz w:val="20"/>
                <w:szCs w:val="20"/>
                <w:color w:val="auto"/>
              </w:rPr>
            </w:pPr>
            <w:r>
              <w:rPr>
                <w:rFonts w:ascii="Arial" w:cs="Arial" w:eastAsia="Arial" w:hAnsi="Arial"/>
                <w:sz w:val="13"/>
                <w:szCs w:val="13"/>
                <w:color w:val="auto"/>
              </w:rPr>
              <w:t>4,010</w:t>
            </w:r>
            <w:r>
              <w:rPr>
                <w:rFonts w:ascii="Arial" w:cs="Arial" w:eastAsia="Arial" w:hAnsi="Arial"/>
                <w:sz w:val="20"/>
                <w:szCs w:val="20"/>
                <w:color w:val="auto"/>
                <w:vertAlign w:val="superscript"/>
              </w:rPr>
              <w:t>(4)</w:t>
            </w:r>
          </w:p>
        </w:tc>
        <w:tc>
          <w:tcPr>
            <w:tcW w:w="80" w:type="dxa"/>
            <w:vAlign w:val="bottom"/>
          </w:tcPr>
          <w:p>
            <w:pPr>
              <w:spacing w:after="0"/>
              <w:rPr>
                <w:sz w:val="24"/>
                <w:szCs w:val="24"/>
                <w:color w:val="auto"/>
              </w:rPr>
            </w:pPr>
          </w:p>
        </w:tc>
        <w:tc>
          <w:tcPr>
            <w:tcW w:w="340" w:type="dxa"/>
            <w:vAlign w:val="bottom"/>
          </w:tcPr>
          <w:p>
            <w:pPr>
              <w:ind w:left="22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217"/>
              <w:spacing w:after="0"/>
              <w:rPr>
                <w:sz w:val="20"/>
                <w:szCs w:val="20"/>
                <w:color w:val="auto"/>
              </w:rPr>
            </w:pPr>
            <w:r>
              <w:rPr>
                <w:rFonts w:ascii="Arial" w:cs="Arial" w:eastAsia="Arial" w:hAnsi="Arial"/>
                <w:sz w:val="13"/>
                <w:szCs w:val="13"/>
                <w:color w:val="auto"/>
              </w:rPr>
              <w:t>384,559</w:t>
            </w:r>
          </w:p>
        </w:tc>
        <w:tc>
          <w:tcPr>
            <w:tcW w:w="0" w:type="dxa"/>
            <w:vAlign w:val="bottom"/>
          </w:tcPr>
          <w:p>
            <w:pPr>
              <w:spacing w:after="0"/>
              <w:rPr>
                <w:sz w:val="1"/>
                <w:szCs w:val="1"/>
                <w:color w:val="auto"/>
              </w:rPr>
            </w:pPr>
          </w:p>
        </w:tc>
      </w:tr>
      <w:tr>
        <w:trPr>
          <w:trHeight w:val="176"/>
        </w:trPr>
        <w:tc>
          <w:tcPr>
            <w:tcW w:w="1160" w:type="dxa"/>
            <w:vAlign w:val="bottom"/>
            <w:gridSpan w:val="2"/>
          </w:tcPr>
          <w:p>
            <w:pPr>
              <w:ind w:left="40"/>
              <w:spacing w:after="0"/>
              <w:rPr>
                <w:sz w:val="20"/>
                <w:szCs w:val="20"/>
                <w:color w:val="auto"/>
              </w:rPr>
            </w:pPr>
            <w:r>
              <w:rPr>
                <w:rFonts w:ascii="Arial" w:cs="Arial" w:eastAsia="Arial" w:hAnsi="Arial"/>
                <w:sz w:val="13"/>
                <w:szCs w:val="13"/>
                <w:color w:val="auto"/>
              </w:rPr>
              <w:t>Michel Cadieux</w:t>
            </w:r>
          </w:p>
        </w:tc>
        <w:tc>
          <w:tcPr>
            <w:tcW w:w="680" w:type="dxa"/>
            <w:vAlign w:val="bottom"/>
          </w:tcPr>
          <w:p>
            <w:pPr>
              <w:jc w:val="right"/>
              <w:spacing w:after="0"/>
              <w:rPr>
                <w:sz w:val="20"/>
                <w:szCs w:val="20"/>
                <w:color w:val="auto"/>
              </w:rPr>
            </w:pPr>
            <w:r>
              <w:rPr>
                <w:rFonts w:ascii="Arial" w:cs="Arial" w:eastAsia="Arial" w:hAnsi="Arial"/>
                <w:sz w:val="13"/>
                <w:szCs w:val="13"/>
                <w:color w:val="auto"/>
              </w:rPr>
              <w:t>2/23/2017</w:t>
            </w:r>
          </w:p>
        </w:tc>
        <w:tc>
          <w:tcPr>
            <w:tcW w:w="80" w:type="dxa"/>
            <w:vAlign w:val="bottom"/>
          </w:tcPr>
          <w:p>
            <w:pPr>
              <w:spacing w:after="0"/>
              <w:rPr>
                <w:sz w:val="15"/>
                <w:szCs w:val="15"/>
                <w:color w:val="auto"/>
              </w:rPr>
            </w:pPr>
          </w:p>
        </w:tc>
        <w:tc>
          <w:tcPr>
            <w:tcW w:w="760" w:type="dxa"/>
            <w:vAlign w:val="bottom"/>
          </w:tcPr>
          <w:p>
            <w:pPr>
              <w:jc w:val="right"/>
              <w:ind w:right="137"/>
              <w:spacing w:after="0"/>
              <w:rPr>
                <w:sz w:val="20"/>
                <w:szCs w:val="20"/>
                <w:color w:val="auto"/>
              </w:rPr>
            </w:pPr>
            <w:r>
              <w:rPr>
                <w:rFonts w:ascii="Arial" w:cs="Arial" w:eastAsia="Arial" w:hAnsi="Arial"/>
                <w:sz w:val="13"/>
                <w:szCs w:val="13"/>
                <w:color w:val="auto"/>
              </w:rPr>
              <w:t>9,080</w:t>
            </w: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jc w:val="center"/>
              <w:spacing w:after="0"/>
              <w:rPr>
                <w:sz w:val="20"/>
                <w:szCs w:val="20"/>
                <w:color w:val="auto"/>
              </w:rPr>
            </w:pPr>
            <w:r>
              <w:rPr>
                <w:rFonts w:ascii="Arial" w:cs="Arial" w:eastAsia="Arial" w:hAnsi="Arial"/>
                <w:sz w:val="13"/>
                <w:szCs w:val="13"/>
                <w:color w:val="auto"/>
              </w:rPr>
              <w:t>$65.55</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2/23/2027</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2/22/2018</w:t>
            </w:r>
          </w:p>
        </w:tc>
        <w:tc>
          <w:tcPr>
            <w:tcW w:w="80" w:type="dxa"/>
            <w:vAlign w:val="bottom"/>
          </w:tcPr>
          <w:p>
            <w:pPr>
              <w:spacing w:after="0"/>
              <w:rPr>
                <w:sz w:val="16"/>
                <w:szCs w:val="16"/>
                <w:color w:val="auto"/>
              </w:rPr>
            </w:pPr>
          </w:p>
        </w:tc>
        <w:tc>
          <w:tcPr>
            <w:tcW w:w="760" w:type="dxa"/>
            <w:vAlign w:val="bottom"/>
          </w:tcPr>
          <w:p>
            <w:pPr>
              <w:jc w:val="right"/>
              <w:ind w:right="137"/>
              <w:spacing w:after="0"/>
              <w:rPr>
                <w:sz w:val="20"/>
                <w:szCs w:val="20"/>
                <w:color w:val="auto"/>
              </w:rPr>
            </w:pPr>
            <w:r>
              <w:rPr>
                <w:rFonts w:ascii="Arial" w:cs="Arial" w:eastAsia="Arial" w:hAnsi="Arial"/>
                <w:sz w:val="13"/>
                <w:szCs w:val="13"/>
                <w:color w:val="auto"/>
              </w:rPr>
              <w:t>5,364</w:t>
            </w:r>
          </w:p>
        </w:tc>
        <w:tc>
          <w:tcPr>
            <w:tcW w:w="80" w:type="dxa"/>
            <w:vAlign w:val="bottom"/>
          </w:tcPr>
          <w:p>
            <w:pPr>
              <w:spacing w:after="0"/>
              <w:rPr>
                <w:sz w:val="16"/>
                <w:szCs w:val="16"/>
                <w:color w:val="auto"/>
              </w:rPr>
            </w:pPr>
          </w:p>
        </w:tc>
        <w:tc>
          <w:tcPr>
            <w:tcW w:w="1000" w:type="dxa"/>
            <w:vAlign w:val="bottom"/>
          </w:tcPr>
          <w:p>
            <w:pPr>
              <w:jc w:val="right"/>
              <w:ind w:right="257"/>
              <w:spacing w:after="0"/>
              <w:rPr>
                <w:sz w:val="20"/>
                <w:szCs w:val="20"/>
                <w:color w:val="auto"/>
              </w:rPr>
            </w:pPr>
            <w:r>
              <w:rPr>
                <w:rFonts w:ascii="Arial" w:cs="Arial" w:eastAsia="Arial" w:hAnsi="Arial"/>
                <w:sz w:val="13"/>
                <w:szCs w:val="13"/>
                <w:color w:val="auto"/>
              </w:rPr>
              <w:t>2,682</w:t>
            </w:r>
          </w:p>
        </w:tc>
        <w:tc>
          <w:tcPr>
            <w:tcW w:w="80" w:type="dxa"/>
            <w:vAlign w:val="bottom"/>
          </w:tcPr>
          <w:p>
            <w:pPr>
              <w:spacing w:after="0"/>
              <w:rPr>
                <w:sz w:val="16"/>
                <w:szCs w:val="16"/>
                <w:color w:val="auto"/>
              </w:rPr>
            </w:pPr>
          </w:p>
        </w:tc>
        <w:tc>
          <w:tcPr>
            <w:tcW w:w="520" w:type="dxa"/>
            <w:vAlign w:val="bottom"/>
          </w:tcPr>
          <w:p>
            <w:pPr>
              <w:jc w:val="center"/>
              <w:spacing w:after="0"/>
              <w:rPr>
                <w:sz w:val="20"/>
                <w:szCs w:val="20"/>
                <w:color w:val="auto"/>
              </w:rPr>
            </w:pPr>
            <w:r>
              <w:rPr>
                <w:rFonts w:ascii="Arial" w:cs="Arial" w:eastAsia="Arial" w:hAnsi="Arial"/>
                <w:sz w:val="13"/>
                <w:szCs w:val="13"/>
                <w:color w:val="auto"/>
              </w:rPr>
              <w:t>$69.30</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2/22/2028</w:t>
            </w: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2/22/2018</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ind w:right="117"/>
              <w:spacing w:after="0"/>
              <w:rPr>
                <w:sz w:val="20"/>
                <w:szCs w:val="20"/>
                <w:color w:val="auto"/>
              </w:rPr>
            </w:pPr>
            <w:r>
              <w:rPr>
                <w:rFonts w:ascii="Arial" w:cs="Arial" w:eastAsia="Arial" w:hAnsi="Arial"/>
                <w:sz w:val="13"/>
                <w:szCs w:val="13"/>
                <w:color w:val="auto"/>
              </w:rPr>
              <w:t>962</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92,256</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2/21/2019</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ind w:right="117"/>
              <w:spacing w:after="0"/>
              <w:rPr>
                <w:sz w:val="20"/>
                <w:szCs w:val="20"/>
                <w:color w:val="auto"/>
              </w:rPr>
            </w:pPr>
            <w:r>
              <w:rPr>
                <w:rFonts w:ascii="Arial" w:cs="Arial" w:eastAsia="Arial" w:hAnsi="Arial"/>
                <w:sz w:val="13"/>
                <w:szCs w:val="13"/>
                <w:color w:val="auto"/>
              </w:rPr>
              <w:t>4,378</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419,850</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2/21/2019</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ind w:right="97"/>
              <w:spacing w:after="0" w:line="208" w:lineRule="exact"/>
              <w:rPr>
                <w:sz w:val="20"/>
                <w:szCs w:val="20"/>
                <w:color w:val="auto"/>
              </w:rPr>
            </w:pPr>
            <w:r>
              <w:rPr>
                <w:rFonts w:ascii="Arial" w:cs="Arial" w:eastAsia="Arial" w:hAnsi="Arial"/>
                <w:sz w:val="13"/>
                <w:szCs w:val="13"/>
                <w:color w:val="auto"/>
              </w:rPr>
              <w:t>3,283</w:t>
            </w:r>
            <w:r>
              <w:rPr>
                <w:rFonts w:ascii="Arial" w:cs="Arial" w:eastAsia="Arial" w:hAnsi="Arial"/>
                <w:sz w:val="20"/>
                <w:szCs w:val="20"/>
                <w:color w:val="auto"/>
                <w:vertAlign w:val="superscript"/>
              </w:rPr>
              <w:t>(3)</w:t>
            </w:r>
          </w:p>
        </w:tc>
        <w:tc>
          <w:tcPr>
            <w:tcW w:w="80" w:type="dxa"/>
            <w:vAlign w:val="bottom"/>
          </w:tcPr>
          <w:p>
            <w:pPr>
              <w:spacing w:after="0"/>
              <w:rPr>
                <w:sz w:val="18"/>
                <w:szCs w:val="18"/>
                <w:color w:val="auto"/>
              </w:rPr>
            </w:pPr>
          </w:p>
        </w:tc>
        <w:tc>
          <w:tcPr>
            <w:tcW w:w="340" w:type="dxa"/>
            <w:vAlign w:val="bottom"/>
          </w:tcPr>
          <w:p>
            <w:pPr>
              <w:ind w:left="22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217"/>
              <w:spacing w:after="0"/>
              <w:rPr>
                <w:sz w:val="20"/>
                <w:szCs w:val="20"/>
                <w:color w:val="auto"/>
              </w:rPr>
            </w:pPr>
            <w:r>
              <w:rPr>
                <w:rFonts w:ascii="Arial" w:cs="Arial" w:eastAsia="Arial" w:hAnsi="Arial"/>
                <w:sz w:val="13"/>
                <w:szCs w:val="13"/>
                <w:color w:val="auto"/>
              </w:rPr>
              <w:t>314,840</w:t>
            </w:r>
          </w:p>
        </w:tc>
        <w:tc>
          <w:tcPr>
            <w:tcW w:w="0" w:type="dxa"/>
            <w:vAlign w:val="bottom"/>
          </w:tcPr>
          <w:p>
            <w:pPr>
              <w:spacing w:after="0"/>
              <w:rPr>
                <w:sz w:val="1"/>
                <w:szCs w:val="1"/>
                <w:color w:val="auto"/>
              </w:rPr>
            </w:pPr>
          </w:p>
        </w:tc>
      </w:tr>
      <w:tr>
        <w:trPr>
          <w:trHeight w:val="170"/>
        </w:trPr>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2/20/2020</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ind w:right="257"/>
              <w:spacing w:after="0"/>
              <w:rPr>
                <w:sz w:val="20"/>
                <w:szCs w:val="20"/>
                <w:color w:val="auto"/>
              </w:rPr>
            </w:pPr>
            <w:r>
              <w:rPr>
                <w:rFonts w:ascii="Arial" w:cs="Arial" w:eastAsia="Arial" w:hAnsi="Arial"/>
                <w:sz w:val="13"/>
                <w:szCs w:val="13"/>
                <w:color w:val="auto"/>
              </w:rPr>
              <w:t>7,485</w:t>
            </w:r>
          </w:p>
        </w:tc>
        <w:tc>
          <w:tcPr>
            <w:tcW w:w="8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3"/>
                <w:szCs w:val="13"/>
                <w:color w:val="auto"/>
              </w:rPr>
              <w:t>$87.27</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2/20/2030</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2/20/2020</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ind w:right="117"/>
              <w:spacing w:after="0"/>
              <w:rPr>
                <w:sz w:val="20"/>
                <w:szCs w:val="20"/>
                <w:color w:val="auto"/>
              </w:rPr>
            </w:pPr>
            <w:r>
              <w:rPr>
                <w:rFonts w:ascii="Arial" w:cs="Arial" w:eastAsia="Arial" w:hAnsi="Arial"/>
                <w:sz w:val="13"/>
                <w:szCs w:val="13"/>
                <w:color w:val="auto"/>
              </w:rPr>
              <w:t>2,291</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219,707</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6"/>
        </w:trPr>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2/20/2020</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jc w:val="right"/>
              <w:ind w:right="97"/>
              <w:spacing w:after="0"/>
              <w:rPr>
                <w:sz w:val="20"/>
                <w:szCs w:val="20"/>
                <w:color w:val="auto"/>
              </w:rPr>
            </w:pPr>
            <w:r>
              <w:rPr>
                <w:rFonts w:ascii="Arial" w:cs="Arial" w:eastAsia="Arial" w:hAnsi="Arial"/>
                <w:sz w:val="13"/>
                <w:szCs w:val="13"/>
                <w:color w:val="auto"/>
              </w:rPr>
              <w:t>4,583</w:t>
            </w:r>
            <w:r>
              <w:rPr>
                <w:rFonts w:ascii="Arial" w:cs="Arial" w:eastAsia="Arial" w:hAnsi="Arial"/>
                <w:sz w:val="20"/>
                <w:szCs w:val="20"/>
                <w:color w:val="auto"/>
                <w:vertAlign w:val="superscript"/>
              </w:rPr>
              <w:t>(4)</w:t>
            </w:r>
          </w:p>
        </w:tc>
        <w:tc>
          <w:tcPr>
            <w:tcW w:w="80" w:type="dxa"/>
            <w:vAlign w:val="bottom"/>
          </w:tcPr>
          <w:p>
            <w:pPr>
              <w:spacing w:after="0"/>
              <w:rPr>
                <w:sz w:val="24"/>
                <w:szCs w:val="24"/>
                <w:color w:val="auto"/>
              </w:rPr>
            </w:pPr>
          </w:p>
        </w:tc>
        <w:tc>
          <w:tcPr>
            <w:tcW w:w="340" w:type="dxa"/>
            <w:vAlign w:val="bottom"/>
          </w:tcPr>
          <w:p>
            <w:pPr>
              <w:ind w:left="22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217"/>
              <w:spacing w:after="0"/>
              <w:rPr>
                <w:sz w:val="20"/>
                <w:szCs w:val="20"/>
                <w:color w:val="auto"/>
              </w:rPr>
            </w:pPr>
            <w:r>
              <w:rPr>
                <w:rFonts w:ascii="Arial" w:cs="Arial" w:eastAsia="Arial" w:hAnsi="Arial"/>
                <w:sz w:val="13"/>
                <w:szCs w:val="13"/>
                <w:color w:val="auto"/>
              </w:rPr>
              <w:t>439,510</w:t>
            </w:r>
          </w:p>
        </w:tc>
        <w:tc>
          <w:tcPr>
            <w:tcW w:w="0" w:type="dxa"/>
            <w:vAlign w:val="bottom"/>
          </w:tcPr>
          <w:p>
            <w:pPr>
              <w:spacing w:after="0"/>
              <w:rPr>
                <w:sz w:val="1"/>
                <w:szCs w:val="1"/>
                <w:color w:val="auto"/>
              </w:rPr>
            </w:pPr>
          </w:p>
        </w:tc>
      </w:tr>
      <w:tr>
        <w:trPr>
          <w:trHeight w:val="176"/>
        </w:trPr>
        <w:tc>
          <w:tcPr>
            <w:tcW w:w="1160" w:type="dxa"/>
            <w:vAlign w:val="bottom"/>
            <w:gridSpan w:val="2"/>
          </w:tcPr>
          <w:p>
            <w:pPr>
              <w:ind w:left="40"/>
              <w:spacing w:after="0"/>
              <w:rPr>
                <w:sz w:val="20"/>
                <w:szCs w:val="20"/>
                <w:color w:val="auto"/>
              </w:rPr>
            </w:pPr>
            <w:r>
              <w:rPr>
                <w:rFonts w:ascii="Arial" w:cs="Arial" w:eastAsia="Arial" w:hAnsi="Arial"/>
                <w:sz w:val="13"/>
                <w:szCs w:val="13"/>
                <w:color w:val="auto"/>
              </w:rPr>
              <w:t>Donald Reeves</w:t>
            </w:r>
          </w:p>
        </w:tc>
        <w:tc>
          <w:tcPr>
            <w:tcW w:w="680" w:type="dxa"/>
            <w:vAlign w:val="bottom"/>
          </w:tcPr>
          <w:p>
            <w:pPr>
              <w:jc w:val="right"/>
              <w:spacing w:after="0"/>
              <w:rPr>
                <w:sz w:val="20"/>
                <w:szCs w:val="20"/>
                <w:color w:val="auto"/>
              </w:rPr>
            </w:pPr>
            <w:r>
              <w:rPr>
                <w:rFonts w:ascii="Arial" w:cs="Arial" w:eastAsia="Arial" w:hAnsi="Arial"/>
                <w:sz w:val="13"/>
                <w:szCs w:val="13"/>
                <w:color w:val="auto"/>
              </w:rPr>
              <w:t>4/10/2014</w:t>
            </w:r>
          </w:p>
        </w:tc>
        <w:tc>
          <w:tcPr>
            <w:tcW w:w="80" w:type="dxa"/>
            <w:vAlign w:val="bottom"/>
          </w:tcPr>
          <w:p>
            <w:pPr>
              <w:spacing w:after="0"/>
              <w:rPr>
                <w:sz w:val="15"/>
                <w:szCs w:val="15"/>
                <w:color w:val="auto"/>
              </w:rPr>
            </w:pPr>
          </w:p>
        </w:tc>
        <w:tc>
          <w:tcPr>
            <w:tcW w:w="760" w:type="dxa"/>
            <w:vAlign w:val="bottom"/>
          </w:tcPr>
          <w:p>
            <w:pPr>
              <w:jc w:val="right"/>
              <w:ind w:right="157"/>
              <w:spacing w:after="0"/>
              <w:rPr>
                <w:sz w:val="20"/>
                <w:szCs w:val="20"/>
                <w:color w:val="auto"/>
              </w:rPr>
            </w:pPr>
            <w:r>
              <w:rPr>
                <w:rFonts w:ascii="Arial" w:cs="Arial" w:eastAsia="Arial" w:hAnsi="Arial"/>
                <w:sz w:val="13"/>
                <w:szCs w:val="13"/>
                <w:color w:val="auto"/>
              </w:rPr>
              <w:t>983</w:t>
            </w: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jc w:val="center"/>
              <w:spacing w:after="0"/>
              <w:rPr>
                <w:sz w:val="20"/>
                <w:szCs w:val="20"/>
                <w:color w:val="auto"/>
              </w:rPr>
            </w:pPr>
            <w:r>
              <w:rPr>
                <w:rFonts w:ascii="Arial" w:cs="Arial" w:eastAsia="Arial" w:hAnsi="Arial"/>
                <w:sz w:val="13"/>
                <w:szCs w:val="13"/>
                <w:color w:val="auto"/>
              </w:rPr>
              <w:t>$63.16</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4/9/2024</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5/10/2016</w:t>
            </w:r>
          </w:p>
        </w:tc>
        <w:tc>
          <w:tcPr>
            <w:tcW w:w="80" w:type="dxa"/>
            <w:vAlign w:val="bottom"/>
          </w:tcPr>
          <w:p>
            <w:pPr>
              <w:spacing w:after="0"/>
              <w:rPr>
                <w:sz w:val="16"/>
                <w:szCs w:val="16"/>
                <w:color w:val="auto"/>
              </w:rPr>
            </w:pPr>
          </w:p>
        </w:tc>
        <w:tc>
          <w:tcPr>
            <w:tcW w:w="760" w:type="dxa"/>
            <w:vAlign w:val="bottom"/>
          </w:tcPr>
          <w:p>
            <w:pPr>
              <w:jc w:val="right"/>
              <w:ind w:right="137"/>
              <w:spacing w:after="0"/>
              <w:rPr>
                <w:sz w:val="20"/>
                <w:szCs w:val="20"/>
                <w:color w:val="auto"/>
              </w:rPr>
            </w:pPr>
            <w:r>
              <w:rPr>
                <w:rFonts w:ascii="Arial" w:cs="Arial" w:eastAsia="Arial" w:hAnsi="Arial"/>
                <w:sz w:val="13"/>
                <w:szCs w:val="13"/>
                <w:color w:val="auto"/>
              </w:rPr>
              <w:t>4,802</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jc w:val="center"/>
              <w:spacing w:after="0"/>
              <w:rPr>
                <w:sz w:val="20"/>
                <w:szCs w:val="20"/>
                <w:color w:val="auto"/>
              </w:rPr>
            </w:pPr>
            <w:r>
              <w:rPr>
                <w:rFonts w:ascii="Arial" w:cs="Arial" w:eastAsia="Arial" w:hAnsi="Arial"/>
                <w:sz w:val="13"/>
                <w:szCs w:val="13"/>
                <w:color w:val="auto"/>
              </w:rPr>
              <w:t>$55.49</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5/9/2026</w:t>
            </w: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9/12/2018</w:t>
            </w:r>
          </w:p>
        </w:tc>
        <w:tc>
          <w:tcPr>
            <w:tcW w:w="80" w:type="dxa"/>
            <w:vAlign w:val="bottom"/>
          </w:tcPr>
          <w:p>
            <w:pPr>
              <w:spacing w:after="0"/>
              <w:rPr>
                <w:sz w:val="16"/>
                <w:szCs w:val="16"/>
                <w:color w:val="auto"/>
              </w:rPr>
            </w:pPr>
          </w:p>
        </w:tc>
        <w:tc>
          <w:tcPr>
            <w:tcW w:w="760" w:type="dxa"/>
            <w:vAlign w:val="bottom"/>
          </w:tcPr>
          <w:p>
            <w:pPr>
              <w:jc w:val="right"/>
              <w:ind w:right="137"/>
              <w:spacing w:after="0"/>
              <w:rPr>
                <w:sz w:val="20"/>
                <w:szCs w:val="20"/>
                <w:color w:val="auto"/>
              </w:rPr>
            </w:pPr>
            <w:r>
              <w:rPr>
                <w:rFonts w:ascii="Arial" w:cs="Arial" w:eastAsia="Arial" w:hAnsi="Arial"/>
                <w:sz w:val="13"/>
                <w:szCs w:val="13"/>
                <w:color w:val="auto"/>
              </w:rPr>
              <w:t>2,200</w:t>
            </w:r>
          </w:p>
        </w:tc>
        <w:tc>
          <w:tcPr>
            <w:tcW w:w="80" w:type="dxa"/>
            <w:vAlign w:val="bottom"/>
          </w:tcPr>
          <w:p>
            <w:pPr>
              <w:spacing w:after="0"/>
              <w:rPr>
                <w:sz w:val="16"/>
                <w:szCs w:val="16"/>
                <w:color w:val="auto"/>
              </w:rPr>
            </w:pPr>
          </w:p>
        </w:tc>
        <w:tc>
          <w:tcPr>
            <w:tcW w:w="1000" w:type="dxa"/>
            <w:vAlign w:val="bottom"/>
          </w:tcPr>
          <w:p>
            <w:pPr>
              <w:jc w:val="right"/>
              <w:ind w:right="257"/>
              <w:spacing w:after="0"/>
              <w:rPr>
                <w:sz w:val="20"/>
                <w:szCs w:val="20"/>
                <w:color w:val="auto"/>
              </w:rPr>
            </w:pPr>
            <w:r>
              <w:rPr>
                <w:rFonts w:ascii="Arial" w:cs="Arial" w:eastAsia="Arial" w:hAnsi="Arial"/>
                <w:sz w:val="13"/>
                <w:szCs w:val="13"/>
                <w:color w:val="auto"/>
              </w:rPr>
              <w:t>1,100</w:t>
            </w:r>
          </w:p>
        </w:tc>
        <w:tc>
          <w:tcPr>
            <w:tcW w:w="80" w:type="dxa"/>
            <w:vAlign w:val="bottom"/>
          </w:tcPr>
          <w:p>
            <w:pPr>
              <w:spacing w:after="0"/>
              <w:rPr>
                <w:sz w:val="16"/>
                <w:szCs w:val="16"/>
                <w:color w:val="auto"/>
              </w:rPr>
            </w:pPr>
          </w:p>
        </w:tc>
        <w:tc>
          <w:tcPr>
            <w:tcW w:w="520" w:type="dxa"/>
            <w:vAlign w:val="bottom"/>
          </w:tcPr>
          <w:p>
            <w:pPr>
              <w:jc w:val="center"/>
              <w:spacing w:after="0"/>
              <w:rPr>
                <w:sz w:val="20"/>
                <w:szCs w:val="20"/>
                <w:color w:val="auto"/>
              </w:rPr>
            </w:pPr>
            <w:r>
              <w:rPr>
                <w:rFonts w:ascii="Arial" w:cs="Arial" w:eastAsia="Arial" w:hAnsi="Arial"/>
                <w:sz w:val="13"/>
                <w:szCs w:val="13"/>
                <w:color w:val="auto"/>
              </w:rPr>
              <w:t>$66.30</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9/12/2028</w:t>
            </w: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9/12/2018</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ind w:right="117"/>
              <w:spacing w:after="0"/>
              <w:rPr>
                <w:sz w:val="20"/>
                <w:szCs w:val="20"/>
                <w:color w:val="auto"/>
              </w:rPr>
            </w:pPr>
            <w:r>
              <w:rPr>
                <w:rFonts w:ascii="Arial" w:cs="Arial" w:eastAsia="Arial" w:hAnsi="Arial"/>
                <w:sz w:val="13"/>
                <w:szCs w:val="13"/>
                <w:color w:val="auto"/>
              </w:rPr>
              <w:t>377</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36,154</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7/1/2019</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ind w:right="117"/>
              <w:spacing w:after="0"/>
              <w:rPr>
                <w:sz w:val="20"/>
                <w:szCs w:val="20"/>
                <w:color w:val="auto"/>
              </w:rPr>
            </w:pPr>
            <w:r>
              <w:rPr>
                <w:rFonts w:ascii="Arial" w:cs="Arial" w:eastAsia="Arial" w:hAnsi="Arial"/>
                <w:sz w:val="13"/>
                <w:szCs w:val="13"/>
                <w:color w:val="auto"/>
              </w:rPr>
              <w:t>2,228</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213,665</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7/1/2019</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ind w:right="97"/>
              <w:spacing w:after="0" w:line="208" w:lineRule="exact"/>
              <w:rPr>
                <w:sz w:val="20"/>
                <w:szCs w:val="20"/>
                <w:color w:val="auto"/>
              </w:rPr>
            </w:pPr>
            <w:r>
              <w:rPr>
                <w:rFonts w:ascii="Arial" w:cs="Arial" w:eastAsia="Arial" w:hAnsi="Arial"/>
                <w:sz w:val="13"/>
                <w:szCs w:val="13"/>
                <w:color w:val="auto"/>
              </w:rPr>
              <w:t>1,670</w:t>
            </w:r>
            <w:r>
              <w:rPr>
                <w:rFonts w:ascii="Arial" w:cs="Arial" w:eastAsia="Arial" w:hAnsi="Arial"/>
                <w:sz w:val="20"/>
                <w:szCs w:val="20"/>
                <w:color w:val="auto"/>
                <w:vertAlign w:val="superscript"/>
              </w:rPr>
              <w:t>(3)</w:t>
            </w:r>
          </w:p>
        </w:tc>
        <w:tc>
          <w:tcPr>
            <w:tcW w:w="80" w:type="dxa"/>
            <w:vAlign w:val="bottom"/>
          </w:tcPr>
          <w:p>
            <w:pPr>
              <w:spacing w:after="0"/>
              <w:rPr>
                <w:sz w:val="18"/>
                <w:szCs w:val="18"/>
                <w:color w:val="auto"/>
              </w:rPr>
            </w:pPr>
          </w:p>
        </w:tc>
        <w:tc>
          <w:tcPr>
            <w:tcW w:w="340" w:type="dxa"/>
            <w:vAlign w:val="bottom"/>
          </w:tcPr>
          <w:p>
            <w:pPr>
              <w:ind w:left="22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217"/>
              <w:spacing w:after="0"/>
              <w:rPr>
                <w:sz w:val="20"/>
                <w:szCs w:val="20"/>
                <w:color w:val="auto"/>
              </w:rPr>
            </w:pPr>
            <w:r>
              <w:rPr>
                <w:rFonts w:ascii="Arial" w:cs="Arial" w:eastAsia="Arial" w:hAnsi="Arial"/>
                <w:sz w:val="13"/>
                <w:szCs w:val="13"/>
                <w:color w:val="auto"/>
              </w:rPr>
              <w:t>160,153</w:t>
            </w:r>
          </w:p>
        </w:tc>
        <w:tc>
          <w:tcPr>
            <w:tcW w:w="0" w:type="dxa"/>
            <w:vAlign w:val="bottom"/>
          </w:tcPr>
          <w:p>
            <w:pPr>
              <w:spacing w:after="0"/>
              <w:rPr>
                <w:sz w:val="1"/>
                <w:szCs w:val="1"/>
                <w:color w:val="auto"/>
              </w:rPr>
            </w:pPr>
          </w:p>
        </w:tc>
      </w:tr>
      <w:tr>
        <w:trPr>
          <w:trHeight w:val="170"/>
        </w:trPr>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2/20/2020</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ind w:right="257"/>
              <w:spacing w:after="0"/>
              <w:rPr>
                <w:sz w:val="20"/>
                <w:szCs w:val="20"/>
                <w:color w:val="auto"/>
              </w:rPr>
            </w:pPr>
            <w:r>
              <w:rPr>
                <w:rFonts w:ascii="Arial" w:cs="Arial" w:eastAsia="Arial" w:hAnsi="Arial"/>
                <w:sz w:val="13"/>
                <w:szCs w:val="13"/>
                <w:color w:val="auto"/>
              </w:rPr>
              <w:t>4,210</w:t>
            </w:r>
          </w:p>
        </w:tc>
        <w:tc>
          <w:tcPr>
            <w:tcW w:w="8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3"/>
                <w:szCs w:val="13"/>
                <w:color w:val="auto"/>
              </w:rPr>
              <w:t>$87.27</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2/20/2030</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2/20/2020</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ind w:right="117"/>
              <w:spacing w:after="0"/>
              <w:rPr>
                <w:sz w:val="20"/>
                <w:szCs w:val="20"/>
                <w:color w:val="auto"/>
              </w:rPr>
            </w:pPr>
            <w:r>
              <w:rPr>
                <w:rFonts w:ascii="Arial" w:cs="Arial" w:eastAsia="Arial" w:hAnsi="Arial"/>
                <w:sz w:val="13"/>
                <w:szCs w:val="13"/>
                <w:color w:val="auto"/>
              </w:rPr>
              <w:t>1,289</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123,615</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6"/>
        </w:trPr>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2/20/2020</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jc w:val="right"/>
              <w:ind w:right="97"/>
              <w:spacing w:after="0"/>
              <w:rPr>
                <w:sz w:val="20"/>
                <w:szCs w:val="20"/>
                <w:color w:val="auto"/>
              </w:rPr>
            </w:pPr>
            <w:r>
              <w:rPr>
                <w:rFonts w:ascii="Arial" w:cs="Arial" w:eastAsia="Arial" w:hAnsi="Arial"/>
                <w:sz w:val="13"/>
                <w:szCs w:val="13"/>
                <w:color w:val="auto"/>
              </w:rPr>
              <w:t>2,578</w:t>
            </w:r>
            <w:r>
              <w:rPr>
                <w:rFonts w:ascii="Arial" w:cs="Arial" w:eastAsia="Arial" w:hAnsi="Arial"/>
                <w:sz w:val="20"/>
                <w:szCs w:val="20"/>
                <w:color w:val="auto"/>
                <w:vertAlign w:val="superscript"/>
              </w:rPr>
              <w:t>(4)</w:t>
            </w:r>
          </w:p>
        </w:tc>
        <w:tc>
          <w:tcPr>
            <w:tcW w:w="80" w:type="dxa"/>
            <w:vAlign w:val="bottom"/>
          </w:tcPr>
          <w:p>
            <w:pPr>
              <w:spacing w:after="0"/>
              <w:rPr>
                <w:sz w:val="24"/>
                <w:szCs w:val="24"/>
                <w:color w:val="auto"/>
              </w:rPr>
            </w:pPr>
          </w:p>
        </w:tc>
        <w:tc>
          <w:tcPr>
            <w:tcW w:w="340" w:type="dxa"/>
            <w:vAlign w:val="bottom"/>
          </w:tcPr>
          <w:p>
            <w:pPr>
              <w:ind w:left="22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217"/>
              <w:spacing w:after="0"/>
              <w:rPr>
                <w:sz w:val="20"/>
                <w:szCs w:val="20"/>
                <w:color w:val="auto"/>
              </w:rPr>
            </w:pPr>
            <w:r>
              <w:rPr>
                <w:rFonts w:ascii="Arial" w:cs="Arial" w:eastAsia="Arial" w:hAnsi="Arial"/>
                <w:sz w:val="13"/>
                <w:szCs w:val="13"/>
                <w:color w:val="auto"/>
              </w:rPr>
              <w:t>247,230</w:t>
            </w:r>
          </w:p>
        </w:tc>
        <w:tc>
          <w:tcPr>
            <w:tcW w:w="0" w:type="dxa"/>
            <w:vAlign w:val="bottom"/>
          </w:tcPr>
          <w:p>
            <w:pPr>
              <w:spacing w:after="0"/>
              <w:rPr>
                <w:sz w:val="1"/>
                <w:szCs w:val="1"/>
                <w:color w:val="auto"/>
              </w:rPr>
            </w:pPr>
          </w:p>
        </w:tc>
      </w:tr>
    </w:tbl>
    <w:p>
      <w:pPr>
        <w:spacing w:after="0" w:line="2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165735</wp:posOffset>
            </wp:positionV>
            <wp:extent cx="699516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00"/>
          </w:cols>
          <w:pgMar w:left="1360" w:top="263" w:right="1439" w:bottom="1440" w:gutter="0" w:footer="0" w:header="0"/>
        </w:sectPr>
      </w:pPr>
    </w:p>
    <w:bookmarkStart w:id="43" w:name="page44"/>
    <w:bookmarkEnd w:id="43"/>
    <w:p>
      <w:pPr>
        <w:ind w:left="8"/>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102235</wp:posOffset>
            </wp:positionV>
            <wp:extent cx="82296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49" w:lineRule="exact"/>
        <w:rPr>
          <w:sz w:val="20"/>
          <w:szCs w:val="20"/>
          <w:color w:val="auto"/>
        </w:rPr>
      </w:pPr>
    </w:p>
    <w:p>
      <w:pPr>
        <w:ind w:left="348" w:right="20" w:hanging="348"/>
        <w:spacing w:after="0" w:line="258" w:lineRule="auto"/>
        <w:tabs>
          <w:tab w:leader="none" w:pos="348" w:val="left"/>
        </w:tabs>
        <w:numPr>
          <w:ilvl w:val="0"/>
          <w:numId w:val="49"/>
        </w:numPr>
        <w:rPr>
          <w:rFonts w:ascii="Arial" w:cs="Arial" w:eastAsia="Arial" w:hAnsi="Arial"/>
          <w:sz w:val="14"/>
          <w:szCs w:val="14"/>
          <w:color w:val="auto"/>
        </w:rPr>
      </w:pPr>
      <w:r>
        <w:rPr>
          <w:rFonts w:ascii="Arial" w:cs="Arial" w:eastAsia="Arial" w:hAnsi="Arial"/>
          <w:sz w:val="14"/>
          <w:szCs w:val="14"/>
          <w:color w:val="auto"/>
        </w:rPr>
        <w:t>One third of the options granted on February 22, 2018 vest on each of February 22, 2019, 2020, and 2021. One third of the options granted on September 12, 2018 vest on each of September 12, 2019, 2020, and 2021. One third of the options granted on September 19, 2019 vest on each of September 19, 2020, 2021, and 2022. One third of the options granted on February 20, 2020 vest on each of February 20, 2021, 2022, and 2023.</w:t>
      </w:r>
    </w:p>
    <w:p>
      <w:pPr>
        <w:spacing w:after="0" w:line="23" w:lineRule="exact"/>
        <w:rPr>
          <w:rFonts w:ascii="Arial" w:cs="Arial" w:eastAsia="Arial" w:hAnsi="Arial"/>
          <w:sz w:val="14"/>
          <w:szCs w:val="14"/>
          <w:color w:val="auto"/>
        </w:rPr>
      </w:pPr>
    </w:p>
    <w:p>
      <w:pPr>
        <w:ind w:left="368" w:right="80"/>
        <w:spacing w:after="0" w:line="291" w:lineRule="auto"/>
        <w:rPr>
          <w:rFonts w:ascii="Arial" w:cs="Arial" w:eastAsia="Arial" w:hAnsi="Arial"/>
          <w:sz w:val="14"/>
          <w:szCs w:val="14"/>
          <w:color w:val="auto"/>
        </w:rPr>
      </w:pPr>
      <w:r>
        <w:rPr>
          <w:rFonts w:ascii="Arial" w:cs="Arial" w:eastAsia="Arial" w:hAnsi="Arial"/>
          <w:sz w:val="14"/>
          <w:szCs w:val="14"/>
          <w:color w:val="auto"/>
        </w:rPr>
        <w:t>Vesting information for each outstanding option award for the named executive officers that is unvested as of December 31, 2020 is described in the table below.</w:t>
      </w:r>
    </w:p>
    <w:p>
      <w:pPr>
        <w:spacing w:after="0" w:line="53" w:lineRule="exact"/>
        <w:rPr>
          <w:sz w:val="20"/>
          <w:szCs w:val="20"/>
          <w:color w:val="auto"/>
        </w:rPr>
      </w:pPr>
    </w:p>
    <w:tbl>
      <w:tblPr>
        <w:tblLayout w:type="fixed"/>
        <w:tblInd w:w="428" w:type="dxa"/>
        <w:tblCellMar>
          <w:top w:w="0" w:type="dxa"/>
          <w:left w:w="0" w:type="dxa"/>
          <w:bottom w:w="0" w:type="dxa"/>
          <w:right w:w="0" w:type="dxa"/>
        </w:tblCellMar>
      </w:tblPr>
      <w:tr>
        <w:trPr>
          <w:trHeight w:val="162"/>
        </w:trPr>
        <w:tc>
          <w:tcPr>
            <w:tcW w:w="3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Exercise</w:t>
            </w:r>
          </w:p>
        </w:tc>
        <w:tc>
          <w:tcPr>
            <w:tcW w:w="9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Thomas</w:t>
            </w:r>
          </w:p>
        </w:tc>
        <w:tc>
          <w:tcPr>
            <w:tcW w:w="500" w:type="dxa"/>
            <w:vAlign w:val="bottom"/>
          </w:tcPr>
          <w:p>
            <w:pPr>
              <w:ind w:left="60"/>
              <w:spacing w:after="0"/>
              <w:rPr>
                <w:sz w:val="20"/>
                <w:szCs w:val="20"/>
                <w:color w:val="auto"/>
              </w:rPr>
            </w:pPr>
            <w:r>
              <w:rPr>
                <w:rFonts w:ascii="Arial" w:cs="Arial" w:eastAsia="Arial" w:hAnsi="Arial"/>
                <w:sz w:val="14"/>
                <w:szCs w:val="14"/>
                <w:b w:val="1"/>
                <w:bCs w:val="1"/>
                <w:color w:val="auto"/>
              </w:rPr>
              <w:t>Joan</w:t>
            </w:r>
          </w:p>
        </w:tc>
        <w:tc>
          <w:tcPr>
            <w:tcW w:w="36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rPr>
              <w:t>Sarah</w:t>
            </w:r>
          </w:p>
        </w:tc>
        <w:tc>
          <w:tcPr>
            <w:tcW w:w="360" w:type="dxa"/>
            <w:vAlign w:val="bottom"/>
          </w:tcPr>
          <w:p>
            <w:pPr>
              <w:spacing w:after="0"/>
              <w:rPr>
                <w:sz w:val="14"/>
                <w:szCs w:val="14"/>
                <w:color w:val="auto"/>
              </w:rPr>
            </w:pPr>
          </w:p>
        </w:tc>
        <w:tc>
          <w:tcPr>
            <w:tcW w:w="9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Michel</w:t>
            </w: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rPr>
              <w:t>Donald</w:t>
            </w:r>
          </w:p>
        </w:tc>
      </w:tr>
      <w:tr>
        <w:trPr>
          <w:trHeight w:val="203"/>
        </w:trPr>
        <w:tc>
          <w:tcPr>
            <w:tcW w:w="3400" w:type="dxa"/>
            <w:vAlign w:val="bottom"/>
            <w:gridSpan w:val="2"/>
          </w:tcPr>
          <w:p>
            <w:pPr>
              <w:ind w:left="20"/>
              <w:spacing w:after="0"/>
              <w:rPr>
                <w:sz w:val="20"/>
                <w:szCs w:val="20"/>
                <w:color w:val="auto"/>
              </w:rPr>
            </w:pPr>
            <w:r>
              <w:rPr>
                <w:rFonts w:ascii="Arial" w:cs="Arial" w:eastAsia="Arial" w:hAnsi="Arial"/>
                <w:sz w:val="14"/>
                <w:szCs w:val="14"/>
                <w:b w:val="1"/>
                <w:bCs w:val="1"/>
                <w:color w:val="auto"/>
              </w:rPr>
              <w:t>Vesting Date</w:t>
            </w:r>
          </w:p>
        </w:tc>
        <w:tc>
          <w:tcPr>
            <w:tcW w:w="11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Price</w:t>
            </w:r>
          </w:p>
        </w:tc>
        <w:tc>
          <w:tcPr>
            <w:tcW w:w="9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Deitrich</w:t>
            </w:r>
          </w:p>
        </w:tc>
        <w:tc>
          <w:tcPr>
            <w:tcW w:w="500" w:type="dxa"/>
            <w:vAlign w:val="bottom"/>
          </w:tcPr>
          <w:p>
            <w:pPr>
              <w:spacing w:after="0"/>
              <w:rPr>
                <w:sz w:val="20"/>
                <w:szCs w:val="20"/>
                <w:color w:val="auto"/>
              </w:rPr>
            </w:pPr>
            <w:r>
              <w:rPr>
                <w:rFonts w:ascii="Arial" w:cs="Arial" w:eastAsia="Arial" w:hAnsi="Arial"/>
                <w:sz w:val="14"/>
                <w:szCs w:val="14"/>
                <w:b w:val="1"/>
                <w:bCs w:val="1"/>
                <w:color w:val="auto"/>
                <w:w w:val="97"/>
              </w:rPr>
              <w:t>Hooper</w:t>
            </w:r>
          </w:p>
        </w:tc>
        <w:tc>
          <w:tcPr>
            <w:tcW w:w="940" w:type="dxa"/>
            <w:vAlign w:val="bottom"/>
            <w:gridSpan w:val="2"/>
          </w:tcPr>
          <w:p>
            <w:pPr>
              <w:jc w:val="center"/>
              <w:ind w:left="288"/>
              <w:spacing w:after="0"/>
              <w:rPr>
                <w:sz w:val="20"/>
                <w:szCs w:val="20"/>
                <w:color w:val="auto"/>
              </w:rPr>
            </w:pPr>
            <w:r>
              <w:rPr>
                <w:rFonts w:ascii="Arial" w:cs="Arial" w:eastAsia="Arial" w:hAnsi="Arial"/>
                <w:sz w:val="14"/>
                <w:szCs w:val="14"/>
                <w:b w:val="1"/>
                <w:bCs w:val="1"/>
                <w:color w:val="auto"/>
              </w:rPr>
              <w:t>Hlavinka</w:t>
            </w:r>
          </w:p>
        </w:tc>
        <w:tc>
          <w:tcPr>
            <w:tcW w:w="1280" w:type="dxa"/>
            <w:vAlign w:val="bottom"/>
            <w:gridSpan w:val="3"/>
          </w:tcPr>
          <w:p>
            <w:pPr>
              <w:jc w:val="center"/>
              <w:spacing w:after="0"/>
              <w:rPr>
                <w:sz w:val="20"/>
                <w:szCs w:val="20"/>
                <w:color w:val="auto"/>
              </w:rPr>
            </w:pPr>
            <w:r>
              <w:rPr>
                <w:rFonts w:ascii="Arial" w:cs="Arial" w:eastAsia="Arial" w:hAnsi="Arial"/>
                <w:sz w:val="14"/>
                <w:szCs w:val="14"/>
                <w:b w:val="1"/>
                <w:bCs w:val="1"/>
                <w:color w:val="auto"/>
              </w:rPr>
              <w:t>Cadieux</w:t>
            </w: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rPr>
              <w:t>Reeves</w:t>
            </w:r>
          </w:p>
        </w:tc>
      </w:tr>
      <w:tr>
        <w:trPr>
          <w:trHeight w:val="209"/>
        </w:trPr>
        <w:tc>
          <w:tcPr>
            <w:tcW w:w="302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r>
      <w:tr>
        <w:trPr>
          <w:trHeight w:val="210"/>
        </w:trPr>
        <w:tc>
          <w:tcPr>
            <w:tcW w:w="3020" w:type="dxa"/>
            <w:vAlign w:val="bottom"/>
          </w:tcPr>
          <w:p>
            <w:pPr>
              <w:ind w:left="20"/>
              <w:spacing w:after="0"/>
              <w:rPr>
                <w:sz w:val="20"/>
                <w:szCs w:val="20"/>
                <w:color w:val="auto"/>
              </w:rPr>
            </w:pPr>
            <w:r>
              <w:rPr>
                <w:rFonts w:ascii="Arial" w:cs="Arial" w:eastAsia="Arial" w:hAnsi="Arial"/>
                <w:sz w:val="14"/>
                <w:szCs w:val="14"/>
                <w:color w:val="auto"/>
              </w:rPr>
              <w:t>2/20/2021</w:t>
            </w:r>
          </w:p>
        </w:tc>
        <w:tc>
          <w:tcPr>
            <w:tcW w:w="38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$87.27</w:t>
            </w:r>
          </w:p>
        </w:tc>
        <w:tc>
          <w:tcPr>
            <w:tcW w:w="38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4"/>
                <w:szCs w:val="14"/>
                <w:color w:val="auto"/>
              </w:rPr>
              <w:t>9,356</w:t>
            </w:r>
          </w:p>
        </w:tc>
        <w:tc>
          <w:tcPr>
            <w:tcW w:w="360" w:type="dxa"/>
            <w:vAlign w:val="bottom"/>
          </w:tcPr>
          <w:p>
            <w:pPr>
              <w:spacing w:after="0"/>
              <w:rPr>
                <w:sz w:val="18"/>
                <w:szCs w:val="18"/>
                <w:color w:val="auto"/>
              </w:rPr>
            </w:pPr>
          </w:p>
        </w:tc>
        <w:tc>
          <w:tcPr>
            <w:tcW w:w="500" w:type="dxa"/>
            <w:vAlign w:val="bottom"/>
          </w:tcPr>
          <w:p>
            <w:pPr>
              <w:ind w:left="60"/>
              <w:spacing w:after="0"/>
              <w:rPr>
                <w:sz w:val="20"/>
                <w:szCs w:val="20"/>
                <w:color w:val="auto"/>
              </w:rPr>
            </w:pPr>
            <w:r>
              <w:rPr>
                <w:rFonts w:ascii="Arial" w:cs="Arial" w:eastAsia="Arial" w:hAnsi="Arial"/>
                <w:sz w:val="14"/>
                <w:szCs w:val="14"/>
                <w:color w:val="auto"/>
              </w:rPr>
              <w:t>3,898</w:t>
            </w:r>
          </w:p>
        </w:tc>
        <w:tc>
          <w:tcPr>
            <w:tcW w:w="940" w:type="dxa"/>
            <w:vAlign w:val="bottom"/>
            <w:gridSpan w:val="2"/>
          </w:tcPr>
          <w:p>
            <w:pPr>
              <w:jc w:val="center"/>
              <w:ind w:left="268"/>
              <w:spacing w:after="0"/>
              <w:rPr>
                <w:sz w:val="20"/>
                <w:szCs w:val="20"/>
                <w:color w:val="auto"/>
              </w:rPr>
            </w:pPr>
            <w:r>
              <w:rPr>
                <w:rFonts w:ascii="Arial" w:cs="Arial" w:eastAsia="Arial" w:hAnsi="Arial"/>
                <w:sz w:val="14"/>
                <w:szCs w:val="14"/>
                <w:color w:val="auto"/>
              </w:rPr>
              <w:t>2,183</w:t>
            </w:r>
          </w:p>
        </w:tc>
        <w:tc>
          <w:tcPr>
            <w:tcW w:w="920" w:type="dxa"/>
            <w:vAlign w:val="bottom"/>
            <w:gridSpan w:val="2"/>
          </w:tcPr>
          <w:p>
            <w:pPr>
              <w:jc w:val="center"/>
              <w:ind w:left="288"/>
              <w:spacing w:after="0"/>
              <w:rPr>
                <w:sz w:val="20"/>
                <w:szCs w:val="20"/>
                <w:color w:val="auto"/>
              </w:rPr>
            </w:pPr>
            <w:r>
              <w:rPr>
                <w:rFonts w:ascii="Arial" w:cs="Arial" w:eastAsia="Arial" w:hAnsi="Arial"/>
                <w:sz w:val="14"/>
                <w:szCs w:val="14"/>
                <w:color w:val="auto"/>
              </w:rPr>
              <w:t>2,495</w:t>
            </w:r>
          </w:p>
        </w:tc>
        <w:tc>
          <w:tcPr>
            <w:tcW w:w="36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Arial" w:cs="Arial" w:eastAsia="Arial" w:hAnsi="Arial"/>
                <w:sz w:val="14"/>
                <w:szCs w:val="14"/>
                <w:color w:val="auto"/>
              </w:rPr>
              <w:t>1,403</w:t>
            </w:r>
          </w:p>
        </w:tc>
      </w:tr>
      <w:tr>
        <w:trPr>
          <w:trHeight w:val="216"/>
        </w:trPr>
        <w:tc>
          <w:tcPr>
            <w:tcW w:w="3020" w:type="dxa"/>
            <w:vAlign w:val="bottom"/>
          </w:tcPr>
          <w:p>
            <w:pPr>
              <w:ind w:left="20"/>
              <w:spacing w:after="0"/>
              <w:rPr>
                <w:sz w:val="20"/>
                <w:szCs w:val="20"/>
                <w:color w:val="auto"/>
              </w:rPr>
            </w:pPr>
            <w:r>
              <w:rPr>
                <w:rFonts w:ascii="Arial" w:cs="Arial" w:eastAsia="Arial" w:hAnsi="Arial"/>
                <w:sz w:val="14"/>
                <w:szCs w:val="14"/>
                <w:color w:val="auto"/>
              </w:rPr>
              <w:t>2/22/2021</w:t>
            </w:r>
          </w:p>
        </w:tc>
        <w:tc>
          <w:tcPr>
            <w:tcW w:w="38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$69.30</w:t>
            </w:r>
          </w:p>
        </w:tc>
        <w:tc>
          <w:tcPr>
            <w:tcW w:w="38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4"/>
                <w:szCs w:val="14"/>
                <w:color w:val="auto"/>
              </w:rPr>
              <w:t>6,706</w:t>
            </w:r>
          </w:p>
        </w:tc>
        <w:tc>
          <w:tcPr>
            <w:tcW w:w="360" w:type="dxa"/>
            <w:vAlign w:val="bottom"/>
          </w:tcPr>
          <w:p>
            <w:pPr>
              <w:spacing w:after="0"/>
              <w:rPr>
                <w:sz w:val="18"/>
                <w:szCs w:val="18"/>
                <w:color w:val="auto"/>
              </w:rPr>
            </w:pPr>
          </w:p>
        </w:tc>
        <w:tc>
          <w:tcPr>
            <w:tcW w:w="500" w:type="dxa"/>
            <w:vAlign w:val="bottom"/>
          </w:tcPr>
          <w:p>
            <w:pPr>
              <w:ind w:left="60"/>
              <w:spacing w:after="0"/>
              <w:rPr>
                <w:sz w:val="20"/>
                <w:szCs w:val="20"/>
                <w:color w:val="auto"/>
              </w:rPr>
            </w:pPr>
            <w:r>
              <w:rPr>
                <w:rFonts w:ascii="Arial" w:cs="Arial" w:eastAsia="Arial" w:hAnsi="Arial"/>
                <w:sz w:val="14"/>
                <w:szCs w:val="14"/>
                <w:color w:val="auto"/>
              </w:rPr>
              <w:t>3,353</w:t>
            </w: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gridSpan w:val="2"/>
          </w:tcPr>
          <w:p>
            <w:pPr>
              <w:jc w:val="center"/>
              <w:ind w:left="288"/>
              <w:spacing w:after="0"/>
              <w:rPr>
                <w:sz w:val="20"/>
                <w:szCs w:val="20"/>
                <w:color w:val="auto"/>
              </w:rPr>
            </w:pPr>
            <w:r>
              <w:rPr>
                <w:rFonts w:ascii="Arial" w:cs="Arial" w:eastAsia="Arial" w:hAnsi="Arial"/>
                <w:sz w:val="14"/>
                <w:szCs w:val="14"/>
                <w:color w:val="auto"/>
              </w:rPr>
              <w:t>2,682</w:t>
            </w: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3020" w:type="dxa"/>
            <w:vAlign w:val="bottom"/>
          </w:tcPr>
          <w:p>
            <w:pPr>
              <w:ind w:left="20"/>
              <w:spacing w:after="0"/>
              <w:rPr>
                <w:sz w:val="20"/>
                <w:szCs w:val="20"/>
                <w:color w:val="auto"/>
              </w:rPr>
            </w:pPr>
            <w:r>
              <w:rPr>
                <w:rFonts w:ascii="Arial" w:cs="Arial" w:eastAsia="Arial" w:hAnsi="Arial"/>
                <w:sz w:val="14"/>
                <w:szCs w:val="14"/>
                <w:color w:val="auto"/>
              </w:rPr>
              <w:t>9/12/2021</w:t>
            </w: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gridSpan w:val="2"/>
          </w:tcPr>
          <w:p>
            <w:pPr>
              <w:jc w:val="center"/>
              <w:ind w:left="268"/>
              <w:spacing w:after="0"/>
              <w:rPr>
                <w:sz w:val="20"/>
                <w:szCs w:val="20"/>
                <w:color w:val="auto"/>
              </w:rPr>
            </w:pPr>
            <w:r>
              <w:rPr>
                <w:rFonts w:ascii="Arial" w:cs="Arial" w:eastAsia="Arial" w:hAnsi="Arial"/>
                <w:sz w:val="14"/>
                <w:szCs w:val="14"/>
                <w:color w:val="auto"/>
              </w:rPr>
              <w:t>2,934</w:t>
            </w: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Arial" w:cs="Arial" w:eastAsia="Arial" w:hAnsi="Arial"/>
                <w:sz w:val="14"/>
                <w:szCs w:val="14"/>
                <w:color w:val="auto"/>
              </w:rPr>
              <w:t>1,100</w:t>
            </w:r>
          </w:p>
        </w:tc>
      </w:tr>
      <w:tr>
        <w:trPr>
          <w:trHeight w:val="216"/>
        </w:trPr>
        <w:tc>
          <w:tcPr>
            <w:tcW w:w="3020" w:type="dxa"/>
            <w:vAlign w:val="bottom"/>
          </w:tcPr>
          <w:p>
            <w:pPr>
              <w:ind w:left="20"/>
              <w:spacing w:after="0"/>
              <w:rPr>
                <w:sz w:val="20"/>
                <w:szCs w:val="20"/>
                <w:color w:val="auto"/>
              </w:rPr>
            </w:pPr>
            <w:r>
              <w:rPr>
                <w:rFonts w:ascii="Arial" w:cs="Arial" w:eastAsia="Arial" w:hAnsi="Arial"/>
                <w:sz w:val="14"/>
                <w:szCs w:val="14"/>
                <w:color w:val="auto"/>
              </w:rPr>
              <w:t>9/19/2021</w:t>
            </w:r>
          </w:p>
        </w:tc>
        <w:tc>
          <w:tcPr>
            <w:tcW w:w="38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$76.55</w:t>
            </w:r>
          </w:p>
        </w:tc>
        <w:tc>
          <w:tcPr>
            <w:tcW w:w="38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4"/>
                <w:szCs w:val="14"/>
                <w:color w:val="auto"/>
              </w:rPr>
              <w:t>25,446</w:t>
            </w: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317"/>
        </w:trPr>
        <w:tc>
          <w:tcPr>
            <w:tcW w:w="3020" w:type="dxa"/>
            <w:vAlign w:val="bottom"/>
          </w:tcPr>
          <w:p>
            <w:pPr>
              <w:ind w:left="20"/>
              <w:spacing w:after="0"/>
              <w:rPr>
                <w:sz w:val="20"/>
                <w:szCs w:val="20"/>
                <w:color w:val="auto"/>
              </w:rPr>
            </w:pPr>
            <w:r>
              <w:rPr>
                <w:rFonts w:ascii="Arial" w:cs="Arial" w:eastAsia="Arial" w:hAnsi="Arial"/>
                <w:sz w:val="14"/>
                <w:szCs w:val="14"/>
                <w:b w:val="1"/>
                <w:bCs w:val="1"/>
                <w:color w:val="auto"/>
              </w:rPr>
              <w:t>2022</w:t>
            </w: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10"/>
        </w:trPr>
        <w:tc>
          <w:tcPr>
            <w:tcW w:w="3020" w:type="dxa"/>
            <w:vAlign w:val="bottom"/>
          </w:tcPr>
          <w:p>
            <w:pPr>
              <w:ind w:left="20"/>
              <w:spacing w:after="0"/>
              <w:rPr>
                <w:sz w:val="20"/>
                <w:szCs w:val="20"/>
                <w:color w:val="auto"/>
              </w:rPr>
            </w:pPr>
            <w:r>
              <w:rPr>
                <w:rFonts w:ascii="Arial" w:cs="Arial" w:eastAsia="Arial" w:hAnsi="Arial"/>
                <w:sz w:val="14"/>
                <w:szCs w:val="14"/>
                <w:color w:val="auto"/>
              </w:rPr>
              <w:t>2/20/2022</w:t>
            </w:r>
          </w:p>
        </w:tc>
        <w:tc>
          <w:tcPr>
            <w:tcW w:w="38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$87.27</w:t>
            </w:r>
          </w:p>
        </w:tc>
        <w:tc>
          <w:tcPr>
            <w:tcW w:w="38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4"/>
                <w:szCs w:val="14"/>
                <w:color w:val="auto"/>
              </w:rPr>
              <w:t>9,356</w:t>
            </w:r>
          </w:p>
        </w:tc>
        <w:tc>
          <w:tcPr>
            <w:tcW w:w="360" w:type="dxa"/>
            <w:vAlign w:val="bottom"/>
          </w:tcPr>
          <w:p>
            <w:pPr>
              <w:spacing w:after="0"/>
              <w:rPr>
                <w:sz w:val="18"/>
                <w:szCs w:val="18"/>
                <w:color w:val="auto"/>
              </w:rPr>
            </w:pPr>
          </w:p>
        </w:tc>
        <w:tc>
          <w:tcPr>
            <w:tcW w:w="500" w:type="dxa"/>
            <w:vAlign w:val="bottom"/>
          </w:tcPr>
          <w:p>
            <w:pPr>
              <w:ind w:left="60"/>
              <w:spacing w:after="0"/>
              <w:rPr>
                <w:sz w:val="20"/>
                <w:szCs w:val="20"/>
                <w:color w:val="auto"/>
              </w:rPr>
            </w:pPr>
            <w:r>
              <w:rPr>
                <w:rFonts w:ascii="Arial" w:cs="Arial" w:eastAsia="Arial" w:hAnsi="Arial"/>
                <w:sz w:val="14"/>
                <w:szCs w:val="14"/>
                <w:color w:val="auto"/>
              </w:rPr>
              <w:t>3,898</w:t>
            </w:r>
          </w:p>
        </w:tc>
        <w:tc>
          <w:tcPr>
            <w:tcW w:w="940" w:type="dxa"/>
            <w:vAlign w:val="bottom"/>
            <w:gridSpan w:val="2"/>
          </w:tcPr>
          <w:p>
            <w:pPr>
              <w:jc w:val="center"/>
              <w:ind w:left="268"/>
              <w:spacing w:after="0"/>
              <w:rPr>
                <w:sz w:val="20"/>
                <w:szCs w:val="20"/>
                <w:color w:val="auto"/>
              </w:rPr>
            </w:pPr>
            <w:r>
              <w:rPr>
                <w:rFonts w:ascii="Arial" w:cs="Arial" w:eastAsia="Arial" w:hAnsi="Arial"/>
                <w:sz w:val="14"/>
                <w:szCs w:val="14"/>
                <w:color w:val="auto"/>
              </w:rPr>
              <w:t>2,183</w:t>
            </w:r>
          </w:p>
        </w:tc>
        <w:tc>
          <w:tcPr>
            <w:tcW w:w="920" w:type="dxa"/>
            <w:vAlign w:val="bottom"/>
            <w:gridSpan w:val="2"/>
          </w:tcPr>
          <w:p>
            <w:pPr>
              <w:jc w:val="center"/>
              <w:ind w:left="288"/>
              <w:spacing w:after="0"/>
              <w:rPr>
                <w:sz w:val="20"/>
                <w:szCs w:val="20"/>
                <w:color w:val="auto"/>
              </w:rPr>
            </w:pPr>
            <w:r>
              <w:rPr>
                <w:rFonts w:ascii="Arial" w:cs="Arial" w:eastAsia="Arial" w:hAnsi="Arial"/>
                <w:sz w:val="14"/>
                <w:szCs w:val="14"/>
                <w:color w:val="auto"/>
              </w:rPr>
              <w:t>2,495</w:t>
            </w:r>
          </w:p>
        </w:tc>
        <w:tc>
          <w:tcPr>
            <w:tcW w:w="36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Arial" w:cs="Arial" w:eastAsia="Arial" w:hAnsi="Arial"/>
                <w:sz w:val="14"/>
                <w:szCs w:val="14"/>
                <w:color w:val="auto"/>
              </w:rPr>
              <w:t>1,403</w:t>
            </w:r>
          </w:p>
        </w:tc>
      </w:tr>
      <w:tr>
        <w:trPr>
          <w:trHeight w:val="216"/>
        </w:trPr>
        <w:tc>
          <w:tcPr>
            <w:tcW w:w="3020" w:type="dxa"/>
            <w:vAlign w:val="bottom"/>
          </w:tcPr>
          <w:p>
            <w:pPr>
              <w:ind w:left="20"/>
              <w:spacing w:after="0"/>
              <w:rPr>
                <w:sz w:val="20"/>
                <w:szCs w:val="20"/>
                <w:color w:val="auto"/>
              </w:rPr>
            </w:pPr>
            <w:r>
              <w:rPr>
                <w:rFonts w:ascii="Arial" w:cs="Arial" w:eastAsia="Arial" w:hAnsi="Arial"/>
                <w:sz w:val="14"/>
                <w:szCs w:val="14"/>
                <w:color w:val="auto"/>
              </w:rPr>
              <w:t>9/19/2022</w:t>
            </w:r>
          </w:p>
        </w:tc>
        <w:tc>
          <w:tcPr>
            <w:tcW w:w="38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$76.55</w:t>
            </w:r>
          </w:p>
        </w:tc>
        <w:tc>
          <w:tcPr>
            <w:tcW w:w="38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4"/>
                <w:szCs w:val="14"/>
                <w:color w:val="auto"/>
              </w:rPr>
              <w:t>25,446</w:t>
            </w: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317"/>
        </w:trPr>
        <w:tc>
          <w:tcPr>
            <w:tcW w:w="3020" w:type="dxa"/>
            <w:vAlign w:val="bottom"/>
          </w:tcPr>
          <w:p>
            <w:pPr>
              <w:ind w:left="20"/>
              <w:spacing w:after="0"/>
              <w:rPr>
                <w:sz w:val="20"/>
                <w:szCs w:val="20"/>
                <w:color w:val="auto"/>
              </w:rPr>
            </w:pPr>
            <w:r>
              <w:rPr>
                <w:rFonts w:ascii="Arial" w:cs="Arial" w:eastAsia="Arial" w:hAnsi="Arial"/>
                <w:sz w:val="14"/>
                <w:szCs w:val="14"/>
                <w:b w:val="1"/>
                <w:bCs w:val="1"/>
                <w:color w:val="auto"/>
              </w:rPr>
              <w:t>2023</w:t>
            </w: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10"/>
        </w:trPr>
        <w:tc>
          <w:tcPr>
            <w:tcW w:w="3020" w:type="dxa"/>
            <w:vAlign w:val="bottom"/>
          </w:tcPr>
          <w:p>
            <w:pPr>
              <w:ind w:left="20"/>
              <w:spacing w:after="0"/>
              <w:rPr>
                <w:sz w:val="20"/>
                <w:szCs w:val="20"/>
                <w:color w:val="auto"/>
              </w:rPr>
            </w:pPr>
            <w:r>
              <w:rPr>
                <w:rFonts w:ascii="Arial" w:cs="Arial" w:eastAsia="Arial" w:hAnsi="Arial"/>
                <w:sz w:val="14"/>
                <w:szCs w:val="14"/>
                <w:color w:val="auto"/>
              </w:rPr>
              <w:t>2/20/2023</w:t>
            </w:r>
          </w:p>
        </w:tc>
        <w:tc>
          <w:tcPr>
            <w:tcW w:w="38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$87.27</w:t>
            </w:r>
          </w:p>
        </w:tc>
        <w:tc>
          <w:tcPr>
            <w:tcW w:w="38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4"/>
                <w:szCs w:val="14"/>
                <w:color w:val="auto"/>
              </w:rPr>
              <w:t>9,357</w:t>
            </w:r>
          </w:p>
        </w:tc>
        <w:tc>
          <w:tcPr>
            <w:tcW w:w="360" w:type="dxa"/>
            <w:vAlign w:val="bottom"/>
          </w:tcPr>
          <w:p>
            <w:pPr>
              <w:spacing w:after="0"/>
              <w:rPr>
                <w:sz w:val="18"/>
                <w:szCs w:val="18"/>
                <w:color w:val="auto"/>
              </w:rPr>
            </w:pPr>
          </w:p>
        </w:tc>
        <w:tc>
          <w:tcPr>
            <w:tcW w:w="500" w:type="dxa"/>
            <w:vAlign w:val="bottom"/>
          </w:tcPr>
          <w:p>
            <w:pPr>
              <w:ind w:left="60"/>
              <w:spacing w:after="0"/>
              <w:rPr>
                <w:sz w:val="20"/>
                <w:szCs w:val="20"/>
                <w:color w:val="auto"/>
              </w:rPr>
            </w:pPr>
            <w:r>
              <w:rPr>
                <w:rFonts w:ascii="Arial" w:cs="Arial" w:eastAsia="Arial" w:hAnsi="Arial"/>
                <w:sz w:val="14"/>
                <w:szCs w:val="14"/>
                <w:color w:val="auto"/>
              </w:rPr>
              <w:t>3,899</w:t>
            </w:r>
          </w:p>
        </w:tc>
        <w:tc>
          <w:tcPr>
            <w:tcW w:w="940" w:type="dxa"/>
            <w:vAlign w:val="bottom"/>
            <w:gridSpan w:val="2"/>
          </w:tcPr>
          <w:p>
            <w:pPr>
              <w:jc w:val="center"/>
              <w:ind w:left="268"/>
              <w:spacing w:after="0"/>
              <w:rPr>
                <w:sz w:val="20"/>
                <w:szCs w:val="20"/>
                <w:color w:val="auto"/>
              </w:rPr>
            </w:pPr>
            <w:r>
              <w:rPr>
                <w:rFonts w:ascii="Arial" w:cs="Arial" w:eastAsia="Arial" w:hAnsi="Arial"/>
                <w:sz w:val="14"/>
                <w:szCs w:val="14"/>
                <w:color w:val="auto"/>
              </w:rPr>
              <w:t>2,183</w:t>
            </w:r>
          </w:p>
        </w:tc>
        <w:tc>
          <w:tcPr>
            <w:tcW w:w="920" w:type="dxa"/>
            <w:vAlign w:val="bottom"/>
            <w:gridSpan w:val="2"/>
          </w:tcPr>
          <w:p>
            <w:pPr>
              <w:jc w:val="center"/>
              <w:ind w:left="288"/>
              <w:spacing w:after="0"/>
              <w:rPr>
                <w:sz w:val="20"/>
                <w:szCs w:val="20"/>
                <w:color w:val="auto"/>
              </w:rPr>
            </w:pPr>
            <w:r>
              <w:rPr>
                <w:rFonts w:ascii="Arial" w:cs="Arial" w:eastAsia="Arial" w:hAnsi="Arial"/>
                <w:sz w:val="14"/>
                <w:szCs w:val="14"/>
                <w:color w:val="auto"/>
              </w:rPr>
              <w:t>2,495</w:t>
            </w:r>
          </w:p>
        </w:tc>
        <w:tc>
          <w:tcPr>
            <w:tcW w:w="36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Arial" w:cs="Arial" w:eastAsia="Arial" w:hAnsi="Arial"/>
                <w:sz w:val="14"/>
                <w:szCs w:val="14"/>
                <w:color w:val="auto"/>
              </w:rPr>
              <w:t>1,404</w:t>
            </w:r>
          </w:p>
        </w:tc>
      </w:tr>
    </w:tbl>
    <w:p>
      <w:pPr>
        <w:spacing w:after="0" w:line="103" w:lineRule="exact"/>
        <w:rPr>
          <w:sz w:val="20"/>
          <w:szCs w:val="20"/>
          <w:color w:val="auto"/>
        </w:rPr>
      </w:pPr>
    </w:p>
    <w:p>
      <w:pPr>
        <w:ind w:left="348" w:hanging="348"/>
        <w:spacing w:after="0" w:line="249" w:lineRule="auto"/>
        <w:tabs>
          <w:tab w:leader="none" w:pos="348" w:val="left"/>
        </w:tabs>
        <w:numPr>
          <w:ilvl w:val="0"/>
          <w:numId w:val="50"/>
        </w:numPr>
        <w:rPr>
          <w:rFonts w:ascii="Arial" w:cs="Arial" w:eastAsia="Arial" w:hAnsi="Arial"/>
          <w:sz w:val="14"/>
          <w:szCs w:val="14"/>
          <w:color w:val="auto"/>
        </w:rPr>
      </w:pPr>
      <w:r>
        <w:rPr>
          <w:rFonts w:ascii="Arial" w:cs="Arial" w:eastAsia="Arial" w:hAnsi="Arial"/>
          <w:sz w:val="14"/>
          <w:szCs w:val="14"/>
          <w:color w:val="auto"/>
        </w:rPr>
        <w:t>Represents time-vested RSUs granted under the Amended and Restated 2010 Plan. One third of the RSUs granted on February 22, 2018 will vest on each of February 22, 2019, 2020, and 2021. One third of the RSUs granted on May 9, 2018 vest on each of May 9, 2019, 2020, and 2021. One third of the RSUs granted on September 12, 2018 will vest on each of September 12, 2019, 2020, and 2021. One third of the RSUs granted on February 21, 2019 will vest on each of February 21, 2020, 2021, and 2022. One-third of the RSUs granted on May 17, 2019 vest on each of May 17, 2020, 2021, and 2022. One third of the RSUs granted on July 1, 2019 vest on each of July 1, 2020, 2021, and 2022. One third of the RSUs granted on September 19, 2019 vest on each of September 19, 2020, 2021, and 2022. One third of the RSUs granted on February 20, 2020 will vest on each of February 20, 2021, 2022, and 2023.</w:t>
      </w:r>
    </w:p>
    <w:p>
      <w:pPr>
        <w:spacing w:after="0" w:line="45" w:lineRule="exact"/>
        <w:rPr>
          <w:rFonts w:ascii="Arial" w:cs="Arial" w:eastAsia="Arial" w:hAnsi="Arial"/>
          <w:sz w:val="14"/>
          <w:szCs w:val="14"/>
          <w:color w:val="auto"/>
        </w:rPr>
      </w:pPr>
    </w:p>
    <w:p>
      <w:pPr>
        <w:ind w:left="368"/>
        <w:spacing w:after="0" w:line="291" w:lineRule="auto"/>
        <w:rPr>
          <w:rFonts w:ascii="Arial" w:cs="Arial" w:eastAsia="Arial" w:hAnsi="Arial"/>
          <w:sz w:val="14"/>
          <w:szCs w:val="14"/>
          <w:color w:val="auto"/>
        </w:rPr>
      </w:pPr>
      <w:r>
        <w:rPr>
          <w:rFonts w:ascii="Arial" w:cs="Arial" w:eastAsia="Arial" w:hAnsi="Arial"/>
          <w:sz w:val="14"/>
          <w:szCs w:val="14"/>
          <w:color w:val="auto"/>
        </w:rPr>
        <w:t>Vesting information for each restricted stock unit award for the named executive officers that is unvested as of December 31, 2020 is described in the table below.</w:t>
      </w:r>
    </w:p>
    <w:p>
      <w:pPr>
        <w:spacing w:after="0" w:line="53" w:lineRule="exact"/>
        <w:rPr>
          <w:sz w:val="20"/>
          <w:szCs w:val="20"/>
          <w:color w:val="auto"/>
        </w:rPr>
      </w:pPr>
    </w:p>
    <w:tbl>
      <w:tblPr>
        <w:tblLayout w:type="fixed"/>
        <w:tblInd w:w="428" w:type="dxa"/>
        <w:tblCellMar>
          <w:top w:w="0" w:type="dxa"/>
          <w:left w:w="0" w:type="dxa"/>
          <w:bottom w:w="0" w:type="dxa"/>
          <w:right w:w="0" w:type="dxa"/>
        </w:tblCellMar>
      </w:tblPr>
      <w:tr>
        <w:trPr>
          <w:trHeight w:val="162"/>
        </w:trPr>
        <w:tc>
          <w:tcPr>
            <w:tcW w:w="30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Thomas</w:t>
            </w:r>
          </w:p>
        </w:tc>
        <w:tc>
          <w:tcPr>
            <w:tcW w:w="500" w:type="dxa"/>
            <w:vAlign w:val="bottom"/>
          </w:tcPr>
          <w:p>
            <w:pPr>
              <w:ind w:left="60"/>
              <w:spacing w:after="0"/>
              <w:rPr>
                <w:sz w:val="20"/>
                <w:szCs w:val="20"/>
                <w:color w:val="auto"/>
              </w:rPr>
            </w:pPr>
            <w:r>
              <w:rPr>
                <w:rFonts w:ascii="Arial" w:cs="Arial" w:eastAsia="Arial" w:hAnsi="Arial"/>
                <w:sz w:val="14"/>
                <w:szCs w:val="14"/>
                <w:b w:val="1"/>
                <w:bCs w:val="1"/>
                <w:color w:val="auto"/>
              </w:rPr>
              <w:t>Joan</w:t>
            </w:r>
          </w:p>
        </w:tc>
        <w:tc>
          <w:tcPr>
            <w:tcW w:w="360" w:type="dxa"/>
            <w:vAlign w:val="bottom"/>
          </w:tcPr>
          <w:p>
            <w:pPr>
              <w:spacing w:after="0"/>
              <w:rPr>
                <w:sz w:val="14"/>
                <w:szCs w:val="14"/>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b w:val="1"/>
                <w:bCs w:val="1"/>
                <w:color w:val="auto"/>
              </w:rPr>
              <w:t>Sarah</w:t>
            </w:r>
          </w:p>
        </w:tc>
        <w:tc>
          <w:tcPr>
            <w:tcW w:w="360" w:type="dxa"/>
            <w:vAlign w:val="bottom"/>
          </w:tcPr>
          <w:p>
            <w:pPr>
              <w:spacing w:after="0"/>
              <w:rPr>
                <w:sz w:val="14"/>
                <w:szCs w:val="14"/>
                <w:color w:val="auto"/>
              </w:rPr>
            </w:pPr>
          </w:p>
        </w:tc>
        <w:tc>
          <w:tcPr>
            <w:tcW w:w="9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Michel</w:t>
            </w:r>
          </w:p>
        </w:tc>
        <w:tc>
          <w:tcPr>
            <w:tcW w:w="520" w:type="dxa"/>
            <w:vAlign w:val="bottom"/>
          </w:tcPr>
          <w:p>
            <w:pPr>
              <w:spacing w:after="0"/>
              <w:rPr>
                <w:sz w:val="20"/>
                <w:szCs w:val="20"/>
                <w:color w:val="auto"/>
              </w:rPr>
            </w:pPr>
            <w:r>
              <w:rPr>
                <w:rFonts w:ascii="Arial" w:cs="Arial" w:eastAsia="Arial" w:hAnsi="Arial"/>
                <w:sz w:val="14"/>
                <w:szCs w:val="14"/>
                <w:b w:val="1"/>
                <w:bCs w:val="1"/>
                <w:color w:val="auto"/>
              </w:rPr>
              <w:t>Donald</w:t>
            </w:r>
          </w:p>
        </w:tc>
      </w:tr>
      <w:tr>
        <w:trPr>
          <w:trHeight w:val="203"/>
        </w:trPr>
        <w:tc>
          <w:tcPr>
            <w:tcW w:w="4520" w:type="dxa"/>
            <w:vAlign w:val="bottom"/>
            <w:gridSpan w:val="2"/>
          </w:tcPr>
          <w:p>
            <w:pPr>
              <w:ind w:left="1060"/>
              <w:spacing w:after="0"/>
              <w:rPr>
                <w:sz w:val="20"/>
                <w:szCs w:val="20"/>
                <w:color w:val="auto"/>
              </w:rPr>
            </w:pPr>
            <w:r>
              <w:rPr>
                <w:rFonts w:ascii="Arial" w:cs="Arial" w:eastAsia="Arial" w:hAnsi="Arial"/>
                <w:sz w:val="14"/>
                <w:szCs w:val="14"/>
                <w:b w:val="1"/>
                <w:bCs w:val="1"/>
                <w:color w:val="auto"/>
              </w:rPr>
              <w:t>Vesting Date</w:t>
            </w:r>
          </w:p>
        </w:tc>
        <w:tc>
          <w:tcPr>
            <w:tcW w:w="9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Deitrich</w:t>
            </w:r>
          </w:p>
        </w:tc>
        <w:tc>
          <w:tcPr>
            <w:tcW w:w="500" w:type="dxa"/>
            <w:vAlign w:val="bottom"/>
          </w:tcPr>
          <w:p>
            <w:pPr>
              <w:spacing w:after="0"/>
              <w:rPr>
                <w:sz w:val="20"/>
                <w:szCs w:val="20"/>
                <w:color w:val="auto"/>
              </w:rPr>
            </w:pPr>
            <w:r>
              <w:rPr>
                <w:rFonts w:ascii="Arial" w:cs="Arial" w:eastAsia="Arial" w:hAnsi="Arial"/>
                <w:sz w:val="14"/>
                <w:szCs w:val="14"/>
                <w:b w:val="1"/>
                <w:bCs w:val="1"/>
                <w:color w:val="auto"/>
                <w:w w:val="97"/>
              </w:rPr>
              <w:t>Hooper</w:t>
            </w: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rPr>
              <w:t>Hlavinka</w:t>
            </w:r>
          </w:p>
        </w:tc>
        <w:tc>
          <w:tcPr>
            <w:tcW w:w="1280" w:type="dxa"/>
            <w:vAlign w:val="bottom"/>
            <w:gridSpan w:val="3"/>
          </w:tcPr>
          <w:p>
            <w:pPr>
              <w:jc w:val="center"/>
              <w:spacing w:after="0"/>
              <w:rPr>
                <w:sz w:val="20"/>
                <w:szCs w:val="20"/>
                <w:color w:val="auto"/>
              </w:rPr>
            </w:pPr>
            <w:r>
              <w:rPr>
                <w:rFonts w:ascii="Arial" w:cs="Arial" w:eastAsia="Arial" w:hAnsi="Arial"/>
                <w:sz w:val="14"/>
                <w:szCs w:val="14"/>
                <w:b w:val="1"/>
                <w:bCs w:val="1"/>
                <w:color w:val="auto"/>
              </w:rPr>
              <w:t>Cadieux</w:t>
            </w:r>
          </w:p>
        </w:tc>
        <w:tc>
          <w:tcPr>
            <w:tcW w:w="520" w:type="dxa"/>
            <w:vAlign w:val="bottom"/>
          </w:tcPr>
          <w:p>
            <w:pPr>
              <w:spacing w:after="0"/>
              <w:rPr>
                <w:sz w:val="20"/>
                <w:szCs w:val="20"/>
                <w:color w:val="auto"/>
              </w:rPr>
            </w:pPr>
            <w:r>
              <w:rPr>
                <w:rFonts w:ascii="Arial" w:cs="Arial" w:eastAsia="Arial" w:hAnsi="Arial"/>
                <w:sz w:val="14"/>
                <w:szCs w:val="14"/>
                <w:b w:val="1"/>
                <w:bCs w:val="1"/>
                <w:color w:val="auto"/>
              </w:rPr>
              <w:t>Reeves</w:t>
            </w:r>
          </w:p>
        </w:tc>
      </w:tr>
      <w:tr>
        <w:trPr>
          <w:trHeight w:val="208"/>
        </w:trPr>
        <w:tc>
          <w:tcPr>
            <w:tcW w:w="302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2021</w:t>
            </w:r>
          </w:p>
        </w:tc>
        <w:tc>
          <w:tcPr>
            <w:tcW w:w="15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r>
      <w:tr>
        <w:trPr>
          <w:trHeight w:val="210"/>
        </w:trPr>
        <w:tc>
          <w:tcPr>
            <w:tcW w:w="3020" w:type="dxa"/>
            <w:vAlign w:val="bottom"/>
          </w:tcPr>
          <w:p>
            <w:pPr>
              <w:ind w:left="20"/>
              <w:spacing w:after="0"/>
              <w:rPr>
                <w:sz w:val="20"/>
                <w:szCs w:val="20"/>
                <w:color w:val="auto"/>
              </w:rPr>
            </w:pPr>
            <w:r>
              <w:rPr>
                <w:rFonts w:ascii="Arial" w:cs="Arial" w:eastAsia="Arial" w:hAnsi="Arial"/>
                <w:sz w:val="14"/>
                <w:szCs w:val="14"/>
                <w:color w:val="auto"/>
              </w:rPr>
              <w:t>2/20/2021</w:t>
            </w:r>
          </w:p>
        </w:tc>
        <w:tc>
          <w:tcPr>
            <w:tcW w:w="150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4"/>
                <w:szCs w:val="14"/>
                <w:color w:val="auto"/>
              </w:rPr>
              <w:t>2,864</w:t>
            </w:r>
          </w:p>
        </w:tc>
        <w:tc>
          <w:tcPr>
            <w:tcW w:w="360" w:type="dxa"/>
            <w:vAlign w:val="bottom"/>
          </w:tcPr>
          <w:p>
            <w:pPr>
              <w:spacing w:after="0"/>
              <w:rPr>
                <w:sz w:val="18"/>
                <w:szCs w:val="18"/>
                <w:color w:val="auto"/>
              </w:rPr>
            </w:pPr>
          </w:p>
        </w:tc>
        <w:tc>
          <w:tcPr>
            <w:tcW w:w="500" w:type="dxa"/>
            <w:vAlign w:val="bottom"/>
          </w:tcPr>
          <w:p>
            <w:pPr>
              <w:ind w:left="60"/>
              <w:spacing w:after="0"/>
              <w:rPr>
                <w:sz w:val="20"/>
                <w:szCs w:val="20"/>
                <w:color w:val="auto"/>
              </w:rPr>
            </w:pPr>
            <w:r>
              <w:rPr>
                <w:rFonts w:ascii="Arial" w:cs="Arial" w:eastAsia="Arial" w:hAnsi="Arial"/>
                <w:sz w:val="14"/>
                <w:szCs w:val="14"/>
                <w:color w:val="auto"/>
              </w:rPr>
              <w:t>1,193</w:t>
            </w:r>
          </w:p>
        </w:tc>
        <w:tc>
          <w:tcPr>
            <w:tcW w:w="940" w:type="dxa"/>
            <w:vAlign w:val="bottom"/>
            <w:gridSpan w:val="2"/>
          </w:tcPr>
          <w:p>
            <w:pPr>
              <w:jc w:val="right"/>
              <w:ind w:right="48"/>
              <w:spacing w:after="0"/>
              <w:rPr>
                <w:sz w:val="20"/>
                <w:szCs w:val="20"/>
                <w:color w:val="auto"/>
              </w:rPr>
            </w:pPr>
            <w:r>
              <w:rPr>
                <w:rFonts w:ascii="Arial" w:cs="Arial" w:eastAsia="Arial" w:hAnsi="Arial"/>
                <w:sz w:val="14"/>
                <w:szCs w:val="14"/>
                <w:color w:val="auto"/>
              </w:rPr>
              <w:t>668</w:t>
            </w:r>
          </w:p>
        </w:tc>
        <w:tc>
          <w:tcPr>
            <w:tcW w:w="920" w:type="dxa"/>
            <w:vAlign w:val="bottom"/>
            <w:gridSpan w:val="2"/>
          </w:tcPr>
          <w:p>
            <w:pPr>
              <w:jc w:val="right"/>
              <w:ind w:right="48"/>
              <w:spacing w:after="0"/>
              <w:rPr>
                <w:sz w:val="20"/>
                <w:szCs w:val="20"/>
                <w:color w:val="auto"/>
              </w:rPr>
            </w:pPr>
            <w:r>
              <w:rPr>
                <w:rFonts w:ascii="Arial" w:cs="Arial" w:eastAsia="Arial" w:hAnsi="Arial"/>
                <w:sz w:val="14"/>
                <w:szCs w:val="14"/>
                <w:color w:val="auto"/>
              </w:rPr>
              <w:t>763</w:t>
            </w:r>
          </w:p>
        </w:tc>
        <w:tc>
          <w:tcPr>
            <w:tcW w:w="360" w:type="dxa"/>
            <w:vAlign w:val="bottom"/>
          </w:tcPr>
          <w:p>
            <w:pPr>
              <w:spacing w:after="0"/>
              <w:rPr>
                <w:sz w:val="18"/>
                <w:szCs w:val="18"/>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429</w:t>
            </w:r>
          </w:p>
        </w:tc>
      </w:tr>
      <w:tr>
        <w:trPr>
          <w:trHeight w:val="216"/>
        </w:trPr>
        <w:tc>
          <w:tcPr>
            <w:tcW w:w="3020" w:type="dxa"/>
            <w:vAlign w:val="bottom"/>
          </w:tcPr>
          <w:p>
            <w:pPr>
              <w:ind w:left="20"/>
              <w:spacing w:after="0"/>
              <w:rPr>
                <w:sz w:val="20"/>
                <w:szCs w:val="20"/>
                <w:color w:val="auto"/>
              </w:rPr>
            </w:pPr>
            <w:r>
              <w:rPr>
                <w:rFonts w:ascii="Arial" w:cs="Arial" w:eastAsia="Arial" w:hAnsi="Arial"/>
                <w:sz w:val="14"/>
                <w:szCs w:val="14"/>
                <w:color w:val="auto"/>
              </w:rPr>
              <w:t>2/21/2021</w:t>
            </w:r>
          </w:p>
        </w:tc>
        <w:tc>
          <w:tcPr>
            <w:tcW w:w="150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4"/>
                <w:szCs w:val="14"/>
                <w:color w:val="auto"/>
              </w:rPr>
              <w:t>5,472</w:t>
            </w:r>
          </w:p>
        </w:tc>
        <w:tc>
          <w:tcPr>
            <w:tcW w:w="360" w:type="dxa"/>
            <w:vAlign w:val="bottom"/>
          </w:tcPr>
          <w:p>
            <w:pPr>
              <w:spacing w:after="0"/>
              <w:rPr>
                <w:sz w:val="18"/>
                <w:szCs w:val="18"/>
                <w:color w:val="auto"/>
              </w:rPr>
            </w:pPr>
          </w:p>
        </w:tc>
        <w:tc>
          <w:tcPr>
            <w:tcW w:w="500" w:type="dxa"/>
            <w:vAlign w:val="bottom"/>
          </w:tcPr>
          <w:p>
            <w:pPr>
              <w:ind w:left="60"/>
              <w:spacing w:after="0"/>
              <w:rPr>
                <w:sz w:val="20"/>
                <w:szCs w:val="20"/>
                <w:color w:val="auto"/>
              </w:rPr>
            </w:pPr>
            <w:r>
              <w:rPr>
                <w:rFonts w:ascii="Arial" w:cs="Arial" w:eastAsia="Arial" w:hAnsi="Arial"/>
                <w:sz w:val="14"/>
                <w:szCs w:val="14"/>
                <w:color w:val="auto"/>
              </w:rPr>
              <w:t>3,420</w:t>
            </w:r>
          </w:p>
        </w:tc>
        <w:tc>
          <w:tcPr>
            <w:tcW w:w="940" w:type="dxa"/>
            <w:vAlign w:val="bottom"/>
            <w:gridSpan w:val="2"/>
          </w:tcPr>
          <w:p>
            <w:pPr>
              <w:jc w:val="right"/>
              <w:ind w:right="48"/>
              <w:spacing w:after="0"/>
              <w:rPr>
                <w:sz w:val="20"/>
                <w:szCs w:val="20"/>
                <w:color w:val="auto"/>
              </w:rPr>
            </w:pPr>
            <w:r>
              <w:rPr>
                <w:rFonts w:ascii="Arial" w:cs="Arial" w:eastAsia="Arial" w:hAnsi="Arial"/>
                <w:sz w:val="14"/>
                <w:szCs w:val="14"/>
                <w:color w:val="auto"/>
              </w:rPr>
              <w:t>2,189</w:t>
            </w:r>
          </w:p>
        </w:tc>
        <w:tc>
          <w:tcPr>
            <w:tcW w:w="920" w:type="dxa"/>
            <w:vAlign w:val="bottom"/>
            <w:gridSpan w:val="2"/>
          </w:tcPr>
          <w:p>
            <w:pPr>
              <w:jc w:val="right"/>
              <w:ind w:right="28"/>
              <w:spacing w:after="0"/>
              <w:rPr>
                <w:sz w:val="20"/>
                <w:szCs w:val="20"/>
                <w:color w:val="auto"/>
              </w:rPr>
            </w:pPr>
            <w:r>
              <w:rPr>
                <w:rFonts w:ascii="Arial" w:cs="Arial" w:eastAsia="Arial" w:hAnsi="Arial"/>
                <w:sz w:val="14"/>
                <w:szCs w:val="14"/>
                <w:color w:val="auto"/>
              </w:rPr>
              <w:t>2,189</w:t>
            </w: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3020" w:type="dxa"/>
            <w:vAlign w:val="bottom"/>
          </w:tcPr>
          <w:p>
            <w:pPr>
              <w:ind w:left="20"/>
              <w:spacing w:after="0"/>
              <w:rPr>
                <w:sz w:val="20"/>
                <w:szCs w:val="20"/>
                <w:color w:val="auto"/>
              </w:rPr>
            </w:pPr>
            <w:r>
              <w:rPr>
                <w:rFonts w:ascii="Arial" w:cs="Arial" w:eastAsia="Arial" w:hAnsi="Arial"/>
                <w:sz w:val="14"/>
                <w:szCs w:val="14"/>
                <w:color w:val="auto"/>
              </w:rPr>
              <w:t>2/22/2021</w:t>
            </w:r>
          </w:p>
        </w:tc>
        <w:tc>
          <w:tcPr>
            <w:tcW w:w="150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4"/>
                <w:szCs w:val="14"/>
                <w:color w:val="auto"/>
              </w:rPr>
              <w:t>2,405</w:t>
            </w:r>
          </w:p>
        </w:tc>
        <w:tc>
          <w:tcPr>
            <w:tcW w:w="360" w:type="dxa"/>
            <w:vAlign w:val="bottom"/>
          </w:tcPr>
          <w:p>
            <w:pPr>
              <w:spacing w:after="0"/>
              <w:rPr>
                <w:sz w:val="18"/>
                <w:szCs w:val="18"/>
                <w:color w:val="auto"/>
              </w:rPr>
            </w:pPr>
          </w:p>
        </w:tc>
        <w:tc>
          <w:tcPr>
            <w:tcW w:w="500" w:type="dxa"/>
            <w:vAlign w:val="bottom"/>
          </w:tcPr>
          <w:p>
            <w:pPr>
              <w:ind w:left="60"/>
              <w:spacing w:after="0"/>
              <w:rPr>
                <w:sz w:val="20"/>
                <w:szCs w:val="20"/>
                <w:color w:val="auto"/>
              </w:rPr>
            </w:pPr>
            <w:r>
              <w:rPr>
                <w:rFonts w:ascii="Arial" w:cs="Arial" w:eastAsia="Arial" w:hAnsi="Arial"/>
                <w:sz w:val="14"/>
                <w:szCs w:val="14"/>
                <w:color w:val="auto"/>
              </w:rPr>
              <w:t>1,203</w:t>
            </w: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gridSpan w:val="2"/>
          </w:tcPr>
          <w:p>
            <w:pPr>
              <w:jc w:val="right"/>
              <w:ind w:right="48"/>
              <w:spacing w:after="0"/>
              <w:rPr>
                <w:sz w:val="20"/>
                <w:szCs w:val="20"/>
                <w:color w:val="auto"/>
              </w:rPr>
            </w:pPr>
            <w:r>
              <w:rPr>
                <w:rFonts w:ascii="Arial" w:cs="Arial" w:eastAsia="Arial" w:hAnsi="Arial"/>
                <w:sz w:val="14"/>
                <w:szCs w:val="14"/>
                <w:color w:val="auto"/>
              </w:rPr>
              <w:t>962</w:t>
            </w: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3020" w:type="dxa"/>
            <w:vAlign w:val="bottom"/>
          </w:tcPr>
          <w:p>
            <w:pPr>
              <w:ind w:left="20"/>
              <w:spacing w:after="0"/>
              <w:rPr>
                <w:sz w:val="20"/>
                <w:szCs w:val="20"/>
                <w:color w:val="auto"/>
              </w:rPr>
            </w:pPr>
            <w:r>
              <w:rPr>
                <w:rFonts w:ascii="Arial" w:cs="Arial" w:eastAsia="Arial" w:hAnsi="Arial"/>
                <w:sz w:val="14"/>
                <w:szCs w:val="14"/>
                <w:color w:val="auto"/>
              </w:rPr>
              <w:t>5/9/2021</w:t>
            </w:r>
          </w:p>
        </w:tc>
        <w:tc>
          <w:tcPr>
            <w:tcW w:w="1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ind w:left="60"/>
              <w:spacing w:after="0"/>
              <w:rPr>
                <w:sz w:val="20"/>
                <w:szCs w:val="20"/>
                <w:color w:val="auto"/>
              </w:rPr>
            </w:pPr>
            <w:r>
              <w:rPr>
                <w:rFonts w:ascii="Arial" w:cs="Arial" w:eastAsia="Arial" w:hAnsi="Arial"/>
                <w:sz w:val="14"/>
                <w:szCs w:val="14"/>
                <w:color w:val="auto"/>
              </w:rPr>
              <w:t>1,239</w:t>
            </w: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3020" w:type="dxa"/>
            <w:vAlign w:val="bottom"/>
          </w:tcPr>
          <w:p>
            <w:pPr>
              <w:ind w:left="20"/>
              <w:spacing w:after="0"/>
              <w:rPr>
                <w:sz w:val="20"/>
                <w:szCs w:val="20"/>
                <w:color w:val="auto"/>
              </w:rPr>
            </w:pPr>
            <w:r>
              <w:rPr>
                <w:rFonts w:ascii="Arial" w:cs="Arial" w:eastAsia="Arial" w:hAnsi="Arial"/>
                <w:sz w:val="14"/>
                <w:szCs w:val="14"/>
                <w:color w:val="auto"/>
              </w:rPr>
              <w:t>5/17/2021</w:t>
            </w:r>
          </w:p>
        </w:tc>
        <w:tc>
          <w:tcPr>
            <w:tcW w:w="1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ind w:left="60"/>
              <w:spacing w:after="0"/>
              <w:rPr>
                <w:sz w:val="20"/>
                <w:szCs w:val="20"/>
                <w:color w:val="auto"/>
              </w:rPr>
            </w:pPr>
            <w:r>
              <w:rPr>
                <w:rFonts w:ascii="Arial" w:cs="Arial" w:eastAsia="Arial" w:hAnsi="Arial"/>
                <w:sz w:val="14"/>
                <w:szCs w:val="14"/>
                <w:color w:val="auto"/>
              </w:rPr>
              <w:t>1,465</w:t>
            </w: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3020" w:type="dxa"/>
            <w:vAlign w:val="bottom"/>
          </w:tcPr>
          <w:p>
            <w:pPr>
              <w:ind w:left="20"/>
              <w:spacing w:after="0"/>
              <w:rPr>
                <w:sz w:val="20"/>
                <w:szCs w:val="20"/>
                <w:color w:val="auto"/>
              </w:rPr>
            </w:pPr>
            <w:r>
              <w:rPr>
                <w:rFonts w:ascii="Arial" w:cs="Arial" w:eastAsia="Arial" w:hAnsi="Arial"/>
                <w:sz w:val="14"/>
                <w:szCs w:val="14"/>
                <w:color w:val="auto"/>
              </w:rPr>
              <w:t>7/1/2021</w:t>
            </w:r>
          </w:p>
        </w:tc>
        <w:tc>
          <w:tcPr>
            <w:tcW w:w="1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1,114</w:t>
            </w:r>
          </w:p>
        </w:tc>
      </w:tr>
      <w:tr>
        <w:trPr>
          <w:trHeight w:val="216"/>
        </w:trPr>
        <w:tc>
          <w:tcPr>
            <w:tcW w:w="3020" w:type="dxa"/>
            <w:vAlign w:val="bottom"/>
          </w:tcPr>
          <w:p>
            <w:pPr>
              <w:ind w:left="20"/>
              <w:spacing w:after="0"/>
              <w:rPr>
                <w:sz w:val="20"/>
                <w:szCs w:val="20"/>
                <w:color w:val="auto"/>
              </w:rPr>
            </w:pPr>
            <w:r>
              <w:rPr>
                <w:rFonts w:ascii="Arial" w:cs="Arial" w:eastAsia="Arial" w:hAnsi="Arial"/>
                <w:sz w:val="14"/>
                <w:szCs w:val="14"/>
                <w:color w:val="auto"/>
              </w:rPr>
              <w:t>9/12/2021</w:t>
            </w:r>
          </w:p>
        </w:tc>
        <w:tc>
          <w:tcPr>
            <w:tcW w:w="1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gridSpan w:val="2"/>
          </w:tcPr>
          <w:p>
            <w:pPr>
              <w:jc w:val="right"/>
              <w:ind w:right="48"/>
              <w:spacing w:after="0"/>
              <w:rPr>
                <w:sz w:val="20"/>
                <w:szCs w:val="20"/>
                <w:color w:val="auto"/>
              </w:rPr>
            </w:pPr>
            <w:r>
              <w:rPr>
                <w:rFonts w:ascii="Arial" w:cs="Arial" w:eastAsia="Arial" w:hAnsi="Arial"/>
                <w:sz w:val="14"/>
                <w:szCs w:val="14"/>
                <w:color w:val="auto"/>
              </w:rPr>
              <w:t>1,006</w:t>
            </w: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377</w:t>
            </w:r>
          </w:p>
        </w:tc>
      </w:tr>
      <w:tr>
        <w:trPr>
          <w:trHeight w:val="216"/>
        </w:trPr>
        <w:tc>
          <w:tcPr>
            <w:tcW w:w="3020" w:type="dxa"/>
            <w:vAlign w:val="bottom"/>
          </w:tcPr>
          <w:p>
            <w:pPr>
              <w:ind w:left="20"/>
              <w:spacing w:after="0"/>
              <w:rPr>
                <w:sz w:val="20"/>
                <w:szCs w:val="20"/>
                <w:color w:val="auto"/>
              </w:rPr>
            </w:pPr>
            <w:r>
              <w:rPr>
                <w:rFonts w:ascii="Arial" w:cs="Arial" w:eastAsia="Arial" w:hAnsi="Arial"/>
                <w:sz w:val="14"/>
                <w:szCs w:val="14"/>
                <w:color w:val="auto"/>
              </w:rPr>
              <w:t>9/19/2021</w:t>
            </w:r>
          </w:p>
        </w:tc>
        <w:tc>
          <w:tcPr>
            <w:tcW w:w="150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4"/>
                <w:szCs w:val="14"/>
                <w:color w:val="auto"/>
              </w:rPr>
              <w:t>6,532</w:t>
            </w: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317"/>
        </w:trPr>
        <w:tc>
          <w:tcPr>
            <w:tcW w:w="3020" w:type="dxa"/>
            <w:vAlign w:val="bottom"/>
          </w:tcPr>
          <w:p>
            <w:pPr>
              <w:ind w:left="20"/>
              <w:spacing w:after="0"/>
              <w:rPr>
                <w:sz w:val="20"/>
                <w:szCs w:val="20"/>
                <w:color w:val="auto"/>
              </w:rPr>
            </w:pPr>
            <w:r>
              <w:rPr>
                <w:rFonts w:ascii="Arial" w:cs="Arial" w:eastAsia="Arial" w:hAnsi="Arial"/>
                <w:sz w:val="14"/>
                <w:szCs w:val="14"/>
                <w:b w:val="1"/>
                <w:bCs w:val="1"/>
                <w:color w:val="auto"/>
              </w:rPr>
              <w:t>2022</w:t>
            </w:r>
          </w:p>
        </w:tc>
        <w:tc>
          <w:tcPr>
            <w:tcW w:w="1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10"/>
        </w:trPr>
        <w:tc>
          <w:tcPr>
            <w:tcW w:w="3020" w:type="dxa"/>
            <w:vAlign w:val="bottom"/>
          </w:tcPr>
          <w:p>
            <w:pPr>
              <w:ind w:left="20"/>
              <w:spacing w:after="0"/>
              <w:rPr>
                <w:sz w:val="20"/>
                <w:szCs w:val="20"/>
                <w:color w:val="auto"/>
              </w:rPr>
            </w:pPr>
            <w:r>
              <w:rPr>
                <w:rFonts w:ascii="Arial" w:cs="Arial" w:eastAsia="Arial" w:hAnsi="Arial"/>
                <w:sz w:val="14"/>
                <w:szCs w:val="14"/>
                <w:color w:val="auto"/>
              </w:rPr>
              <w:t>2/20/2022</w:t>
            </w:r>
          </w:p>
        </w:tc>
        <w:tc>
          <w:tcPr>
            <w:tcW w:w="150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4"/>
                <w:szCs w:val="14"/>
                <w:color w:val="auto"/>
              </w:rPr>
              <w:t>2,865</w:t>
            </w:r>
          </w:p>
        </w:tc>
        <w:tc>
          <w:tcPr>
            <w:tcW w:w="360" w:type="dxa"/>
            <w:vAlign w:val="bottom"/>
          </w:tcPr>
          <w:p>
            <w:pPr>
              <w:spacing w:after="0"/>
              <w:rPr>
                <w:sz w:val="18"/>
                <w:szCs w:val="18"/>
                <w:color w:val="auto"/>
              </w:rPr>
            </w:pPr>
          </w:p>
        </w:tc>
        <w:tc>
          <w:tcPr>
            <w:tcW w:w="500" w:type="dxa"/>
            <w:vAlign w:val="bottom"/>
          </w:tcPr>
          <w:p>
            <w:pPr>
              <w:ind w:left="60"/>
              <w:spacing w:after="0"/>
              <w:rPr>
                <w:sz w:val="20"/>
                <w:szCs w:val="20"/>
                <w:color w:val="auto"/>
              </w:rPr>
            </w:pPr>
            <w:r>
              <w:rPr>
                <w:rFonts w:ascii="Arial" w:cs="Arial" w:eastAsia="Arial" w:hAnsi="Arial"/>
                <w:sz w:val="14"/>
                <w:szCs w:val="14"/>
                <w:color w:val="auto"/>
              </w:rPr>
              <w:t>1,193</w:t>
            </w:r>
          </w:p>
        </w:tc>
        <w:tc>
          <w:tcPr>
            <w:tcW w:w="940" w:type="dxa"/>
            <w:vAlign w:val="bottom"/>
            <w:gridSpan w:val="2"/>
          </w:tcPr>
          <w:p>
            <w:pPr>
              <w:jc w:val="right"/>
              <w:ind w:right="48"/>
              <w:spacing w:after="0"/>
              <w:rPr>
                <w:sz w:val="20"/>
                <w:szCs w:val="20"/>
                <w:color w:val="auto"/>
              </w:rPr>
            </w:pPr>
            <w:r>
              <w:rPr>
                <w:rFonts w:ascii="Arial" w:cs="Arial" w:eastAsia="Arial" w:hAnsi="Arial"/>
                <w:sz w:val="14"/>
                <w:szCs w:val="14"/>
                <w:color w:val="auto"/>
              </w:rPr>
              <w:t>668</w:t>
            </w:r>
          </w:p>
        </w:tc>
        <w:tc>
          <w:tcPr>
            <w:tcW w:w="920" w:type="dxa"/>
            <w:vAlign w:val="bottom"/>
            <w:gridSpan w:val="2"/>
          </w:tcPr>
          <w:p>
            <w:pPr>
              <w:jc w:val="right"/>
              <w:ind w:right="48"/>
              <w:spacing w:after="0"/>
              <w:rPr>
                <w:sz w:val="20"/>
                <w:szCs w:val="20"/>
                <w:color w:val="auto"/>
              </w:rPr>
            </w:pPr>
            <w:r>
              <w:rPr>
                <w:rFonts w:ascii="Arial" w:cs="Arial" w:eastAsia="Arial" w:hAnsi="Arial"/>
                <w:sz w:val="14"/>
                <w:szCs w:val="14"/>
                <w:color w:val="auto"/>
              </w:rPr>
              <w:t>764</w:t>
            </w:r>
          </w:p>
        </w:tc>
        <w:tc>
          <w:tcPr>
            <w:tcW w:w="360" w:type="dxa"/>
            <w:vAlign w:val="bottom"/>
          </w:tcPr>
          <w:p>
            <w:pPr>
              <w:spacing w:after="0"/>
              <w:rPr>
                <w:sz w:val="18"/>
                <w:szCs w:val="18"/>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430</w:t>
            </w:r>
          </w:p>
        </w:tc>
      </w:tr>
      <w:tr>
        <w:trPr>
          <w:trHeight w:val="216"/>
        </w:trPr>
        <w:tc>
          <w:tcPr>
            <w:tcW w:w="3020" w:type="dxa"/>
            <w:vAlign w:val="bottom"/>
          </w:tcPr>
          <w:p>
            <w:pPr>
              <w:ind w:left="20"/>
              <w:spacing w:after="0"/>
              <w:rPr>
                <w:sz w:val="20"/>
                <w:szCs w:val="20"/>
                <w:color w:val="auto"/>
              </w:rPr>
            </w:pPr>
            <w:r>
              <w:rPr>
                <w:rFonts w:ascii="Arial" w:cs="Arial" w:eastAsia="Arial" w:hAnsi="Arial"/>
                <w:sz w:val="14"/>
                <w:szCs w:val="14"/>
                <w:color w:val="auto"/>
              </w:rPr>
              <w:t>2/21/2022</w:t>
            </w:r>
          </w:p>
        </w:tc>
        <w:tc>
          <w:tcPr>
            <w:tcW w:w="150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4"/>
                <w:szCs w:val="14"/>
                <w:color w:val="auto"/>
              </w:rPr>
              <w:t>5,473</w:t>
            </w:r>
          </w:p>
        </w:tc>
        <w:tc>
          <w:tcPr>
            <w:tcW w:w="360" w:type="dxa"/>
            <w:vAlign w:val="bottom"/>
          </w:tcPr>
          <w:p>
            <w:pPr>
              <w:spacing w:after="0"/>
              <w:rPr>
                <w:sz w:val="18"/>
                <w:szCs w:val="18"/>
                <w:color w:val="auto"/>
              </w:rPr>
            </w:pPr>
          </w:p>
        </w:tc>
        <w:tc>
          <w:tcPr>
            <w:tcW w:w="500" w:type="dxa"/>
            <w:vAlign w:val="bottom"/>
          </w:tcPr>
          <w:p>
            <w:pPr>
              <w:ind w:left="60"/>
              <w:spacing w:after="0"/>
              <w:rPr>
                <w:sz w:val="20"/>
                <w:szCs w:val="20"/>
                <w:color w:val="auto"/>
              </w:rPr>
            </w:pPr>
            <w:r>
              <w:rPr>
                <w:rFonts w:ascii="Arial" w:cs="Arial" w:eastAsia="Arial" w:hAnsi="Arial"/>
                <w:sz w:val="14"/>
                <w:szCs w:val="14"/>
                <w:color w:val="auto"/>
              </w:rPr>
              <w:t>3,421</w:t>
            </w:r>
          </w:p>
        </w:tc>
        <w:tc>
          <w:tcPr>
            <w:tcW w:w="940" w:type="dxa"/>
            <w:vAlign w:val="bottom"/>
            <w:gridSpan w:val="2"/>
          </w:tcPr>
          <w:p>
            <w:pPr>
              <w:jc w:val="right"/>
              <w:ind w:right="48"/>
              <w:spacing w:after="0"/>
              <w:rPr>
                <w:sz w:val="20"/>
                <w:szCs w:val="20"/>
                <w:color w:val="auto"/>
              </w:rPr>
            </w:pPr>
            <w:r>
              <w:rPr>
                <w:rFonts w:ascii="Arial" w:cs="Arial" w:eastAsia="Arial" w:hAnsi="Arial"/>
                <w:sz w:val="14"/>
                <w:szCs w:val="14"/>
                <w:color w:val="auto"/>
              </w:rPr>
              <w:t>2,189</w:t>
            </w:r>
          </w:p>
        </w:tc>
        <w:tc>
          <w:tcPr>
            <w:tcW w:w="920" w:type="dxa"/>
            <w:vAlign w:val="bottom"/>
            <w:gridSpan w:val="2"/>
          </w:tcPr>
          <w:p>
            <w:pPr>
              <w:jc w:val="right"/>
              <w:ind w:right="28"/>
              <w:spacing w:after="0"/>
              <w:rPr>
                <w:sz w:val="20"/>
                <w:szCs w:val="20"/>
                <w:color w:val="auto"/>
              </w:rPr>
            </w:pPr>
            <w:r>
              <w:rPr>
                <w:rFonts w:ascii="Arial" w:cs="Arial" w:eastAsia="Arial" w:hAnsi="Arial"/>
                <w:sz w:val="14"/>
                <w:szCs w:val="14"/>
                <w:color w:val="auto"/>
              </w:rPr>
              <w:t>2,189</w:t>
            </w: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3020" w:type="dxa"/>
            <w:vAlign w:val="bottom"/>
          </w:tcPr>
          <w:p>
            <w:pPr>
              <w:ind w:left="20"/>
              <w:spacing w:after="0"/>
              <w:rPr>
                <w:sz w:val="20"/>
                <w:szCs w:val="20"/>
                <w:color w:val="auto"/>
              </w:rPr>
            </w:pPr>
            <w:r>
              <w:rPr>
                <w:rFonts w:ascii="Arial" w:cs="Arial" w:eastAsia="Arial" w:hAnsi="Arial"/>
                <w:sz w:val="14"/>
                <w:szCs w:val="14"/>
                <w:color w:val="auto"/>
              </w:rPr>
              <w:t>5/17/2022</w:t>
            </w:r>
          </w:p>
        </w:tc>
        <w:tc>
          <w:tcPr>
            <w:tcW w:w="1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ind w:left="60"/>
              <w:spacing w:after="0"/>
              <w:rPr>
                <w:sz w:val="20"/>
                <w:szCs w:val="20"/>
                <w:color w:val="auto"/>
              </w:rPr>
            </w:pPr>
            <w:r>
              <w:rPr>
                <w:rFonts w:ascii="Arial" w:cs="Arial" w:eastAsia="Arial" w:hAnsi="Arial"/>
                <w:sz w:val="14"/>
                <w:szCs w:val="14"/>
                <w:color w:val="auto"/>
              </w:rPr>
              <w:t>1,465</w:t>
            </w: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3020" w:type="dxa"/>
            <w:vAlign w:val="bottom"/>
          </w:tcPr>
          <w:p>
            <w:pPr>
              <w:ind w:left="20"/>
              <w:spacing w:after="0"/>
              <w:rPr>
                <w:sz w:val="20"/>
                <w:szCs w:val="20"/>
                <w:color w:val="auto"/>
              </w:rPr>
            </w:pPr>
            <w:r>
              <w:rPr>
                <w:rFonts w:ascii="Arial" w:cs="Arial" w:eastAsia="Arial" w:hAnsi="Arial"/>
                <w:sz w:val="14"/>
                <w:szCs w:val="14"/>
                <w:color w:val="auto"/>
              </w:rPr>
              <w:t>7/1/2022</w:t>
            </w:r>
          </w:p>
        </w:tc>
        <w:tc>
          <w:tcPr>
            <w:tcW w:w="1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1,114</w:t>
            </w:r>
          </w:p>
        </w:tc>
      </w:tr>
      <w:tr>
        <w:trPr>
          <w:trHeight w:val="216"/>
        </w:trPr>
        <w:tc>
          <w:tcPr>
            <w:tcW w:w="3020" w:type="dxa"/>
            <w:vAlign w:val="bottom"/>
          </w:tcPr>
          <w:p>
            <w:pPr>
              <w:ind w:left="20"/>
              <w:spacing w:after="0"/>
              <w:rPr>
                <w:sz w:val="20"/>
                <w:szCs w:val="20"/>
                <w:color w:val="auto"/>
              </w:rPr>
            </w:pPr>
            <w:r>
              <w:rPr>
                <w:rFonts w:ascii="Arial" w:cs="Arial" w:eastAsia="Arial" w:hAnsi="Arial"/>
                <w:sz w:val="14"/>
                <w:szCs w:val="14"/>
                <w:color w:val="auto"/>
              </w:rPr>
              <w:t>9/19/2022</w:t>
            </w:r>
          </w:p>
        </w:tc>
        <w:tc>
          <w:tcPr>
            <w:tcW w:w="150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4"/>
                <w:szCs w:val="14"/>
                <w:color w:val="auto"/>
              </w:rPr>
              <w:t>6,532</w:t>
            </w: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317"/>
        </w:trPr>
        <w:tc>
          <w:tcPr>
            <w:tcW w:w="3020" w:type="dxa"/>
            <w:vAlign w:val="bottom"/>
          </w:tcPr>
          <w:p>
            <w:pPr>
              <w:ind w:left="20"/>
              <w:spacing w:after="0"/>
              <w:rPr>
                <w:sz w:val="20"/>
                <w:szCs w:val="20"/>
                <w:color w:val="auto"/>
              </w:rPr>
            </w:pPr>
            <w:r>
              <w:rPr>
                <w:rFonts w:ascii="Arial" w:cs="Arial" w:eastAsia="Arial" w:hAnsi="Arial"/>
                <w:sz w:val="14"/>
                <w:szCs w:val="14"/>
                <w:b w:val="1"/>
                <w:bCs w:val="1"/>
                <w:color w:val="auto"/>
              </w:rPr>
              <w:t>2023</w:t>
            </w:r>
          </w:p>
        </w:tc>
        <w:tc>
          <w:tcPr>
            <w:tcW w:w="1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10"/>
        </w:trPr>
        <w:tc>
          <w:tcPr>
            <w:tcW w:w="3020" w:type="dxa"/>
            <w:vAlign w:val="bottom"/>
          </w:tcPr>
          <w:p>
            <w:pPr>
              <w:ind w:left="20"/>
              <w:spacing w:after="0"/>
              <w:rPr>
                <w:sz w:val="20"/>
                <w:szCs w:val="20"/>
                <w:color w:val="auto"/>
              </w:rPr>
            </w:pPr>
            <w:r>
              <w:rPr>
                <w:rFonts w:ascii="Arial" w:cs="Arial" w:eastAsia="Arial" w:hAnsi="Arial"/>
                <w:sz w:val="14"/>
                <w:szCs w:val="14"/>
                <w:color w:val="auto"/>
              </w:rPr>
              <w:t>2/20/2023</w:t>
            </w:r>
          </w:p>
        </w:tc>
        <w:tc>
          <w:tcPr>
            <w:tcW w:w="150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4"/>
                <w:szCs w:val="14"/>
                <w:color w:val="auto"/>
              </w:rPr>
              <w:t>2,865</w:t>
            </w:r>
          </w:p>
        </w:tc>
        <w:tc>
          <w:tcPr>
            <w:tcW w:w="360" w:type="dxa"/>
            <w:vAlign w:val="bottom"/>
          </w:tcPr>
          <w:p>
            <w:pPr>
              <w:spacing w:after="0"/>
              <w:rPr>
                <w:sz w:val="18"/>
                <w:szCs w:val="18"/>
                <w:color w:val="auto"/>
              </w:rPr>
            </w:pPr>
          </w:p>
        </w:tc>
        <w:tc>
          <w:tcPr>
            <w:tcW w:w="500" w:type="dxa"/>
            <w:vAlign w:val="bottom"/>
          </w:tcPr>
          <w:p>
            <w:pPr>
              <w:ind w:left="60"/>
              <w:spacing w:after="0"/>
              <w:rPr>
                <w:sz w:val="20"/>
                <w:szCs w:val="20"/>
                <w:color w:val="auto"/>
              </w:rPr>
            </w:pPr>
            <w:r>
              <w:rPr>
                <w:rFonts w:ascii="Arial" w:cs="Arial" w:eastAsia="Arial" w:hAnsi="Arial"/>
                <w:sz w:val="14"/>
                <w:szCs w:val="14"/>
                <w:color w:val="auto"/>
              </w:rPr>
              <w:t>1,194</w:t>
            </w:r>
          </w:p>
        </w:tc>
        <w:tc>
          <w:tcPr>
            <w:tcW w:w="940" w:type="dxa"/>
            <w:vAlign w:val="bottom"/>
            <w:gridSpan w:val="2"/>
          </w:tcPr>
          <w:p>
            <w:pPr>
              <w:jc w:val="right"/>
              <w:ind w:right="48"/>
              <w:spacing w:after="0"/>
              <w:rPr>
                <w:sz w:val="20"/>
                <w:szCs w:val="20"/>
                <w:color w:val="auto"/>
              </w:rPr>
            </w:pPr>
            <w:r>
              <w:rPr>
                <w:rFonts w:ascii="Arial" w:cs="Arial" w:eastAsia="Arial" w:hAnsi="Arial"/>
                <w:sz w:val="14"/>
                <w:szCs w:val="14"/>
                <w:color w:val="auto"/>
              </w:rPr>
              <w:t>669</w:t>
            </w:r>
          </w:p>
        </w:tc>
        <w:tc>
          <w:tcPr>
            <w:tcW w:w="920" w:type="dxa"/>
            <w:vAlign w:val="bottom"/>
            <w:gridSpan w:val="2"/>
          </w:tcPr>
          <w:p>
            <w:pPr>
              <w:jc w:val="right"/>
              <w:ind w:right="48"/>
              <w:spacing w:after="0"/>
              <w:rPr>
                <w:sz w:val="20"/>
                <w:szCs w:val="20"/>
                <w:color w:val="auto"/>
              </w:rPr>
            </w:pPr>
            <w:r>
              <w:rPr>
                <w:rFonts w:ascii="Arial" w:cs="Arial" w:eastAsia="Arial" w:hAnsi="Arial"/>
                <w:sz w:val="14"/>
                <w:szCs w:val="14"/>
                <w:color w:val="auto"/>
              </w:rPr>
              <w:t>764</w:t>
            </w:r>
          </w:p>
        </w:tc>
        <w:tc>
          <w:tcPr>
            <w:tcW w:w="360" w:type="dxa"/>
            <w:vAlign w:val="bottom"/>
          </w:tcPr>
          <w:p>
            <w:pPr>
              <w:spacing w:after="0"/>
              <w:rPr>
                <w:sz w:val="18"/>
                <w:szCs w:val="18"/>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430</w:t>
            </w:r>
          </w:p>
        </w:tc>
      </w:tr>
    </w:tbl>
    <w:p>
      <w:pPr>
        <w:spacing w:after="0" w:line="103" w:lineRule="exact"/>
        <w:rPr>
          <w:sz w:val="20"/>
          <w:szCs w:val="20"/>
          <w:color w:val="auto"/>
        </w:rPr>
      </w:pPr>
    </w:p>
    <w:p>
      <w:pPr>
        <w:ind w:left="348" w:hanging="348"/>
        <w:spacing w:after="0"/>
        <w:tabs>
          <w:tab w:leader="none" w:pos="348" w:val="left"/>
        </w:tabs>
        <w:numPr>
          <w:ilvl w:val="0"/>
          <w:numId w:val="51"/>
        </w:numPr>
        <w:rPr>
          <w:rFonts w:ascii="Arial" w:cs="Arial" w:eastAsia="Arial" w:hAnsi="Arial"/>
          <w:sz w:val="14"/>
          <w:szCs w:val="14"/>
          <w:color w:val="auto"/>
        </w:rPr>
      </w:pPr>
      <w:r>
        <w:rPr>
          <w:rFonts w:ascii="Arial" w:cs="Arial" w:eastAsia="Arial" w:hAnsi="Arial"/>
          <w:sz w:val="14"/>
          <w:szCs w:val="14"/>
          <w:color w:val="auto"/>
        </w:rPr>
        <w:t>Represents PRSUs granted for the three-year performance cycle beginning in 2019 assuming achievement at target levels of performance.</w:t>
      </w:r>
    </w:p>
    <w:p>
      <w:pPr>
        <w:spacing w:after="0" w:line="68" w:lineRule="exact"/>
        <w:rPr>
          <w:rFonts w:ascii="Arial" w:cs="Arial" w:eastAsia="Arial" w:hAnsi="Arial"/>
          <w:sz w:val="14"/>
          <w:szCs w:val="14"/>
          <w:color w:val="auto"/>
        </w:rPr>
      </w:pPr>
    </w:p>
    <w:p>
      <w:pPr>
        <w:ind w:left="348" w:hanging="348"/>
        <w:spacing w:after="0"/>
        <w:tabs>
          <w:tab w:leader="none" w:pos="348" w:val="left"/>
        </w:tabs>
        <w:numPr>
          <w:ilvl w:val="0"/>
          <w:numId w:val="51"/>
        </w:numPr>
        <w:rPr>
          <w:rFonts w:ascii="Arial" w:cs="Arial" w:eastAsia="Arial" w:hAnsi="Arial"/>
          <w:sz w:val="14"/>
          <w:szCs w:val="14"/>
          <w:color w:val="auto"/>
        </w:rPr>
      </w:pPr>
      <w:r>
        <w:rPr>
          <w:rFonts w:ascii="Arial" w:cs="Arial" w:eastAsia="Arial" w:hAnsi="Arial"/>
          <w:sz w:val="14"/>
          <w:szCs w:val="14"/>
          <w:color w:val="auto"/>
        </w:rPr>
        <w:t>Represents PRSUs granted for the three-year performance cycle beginning in 2020 assuming achievement at target levels of performance.</w:t>
      </w:r>
    </w:p>
    <w:p>
      <w:pPr>
        <w:spacing w:after="0" w:line="82" w:lineRule="exact"/>
        <w:rPr>
          <w:rFonts w:ascii="Arial" w:cs="Arial" w:eastAsia="Arial" w:hAnsi="Arial"/>
          <w:sz w:val="14"/>
          <w:szCs w:val="14"/>
          <w:color w:val="auto"/>
        </w:rPr>
      </w:pPr>
    </w:p>
    <w:p>
      <w:pPr>
        <w:ind w:left="348" w:hanging="348"/>
        <w:spacing w:after="0"/>
        <w:tabs>
          <w:tab w:leader="none" w:pos="348" w:val="left"/>
        </w:tabs>
        <w:numPr>
          <w:ilvl w:val="0"/>
          <w:numId w:val="51"/>
        </w:numPr>
        <w:rPr>
          <w:rFonts w:ascii="Arial" w:cs="Arial" w:eastAsia="Arial" w:hAnsi="Arial"/>
          <w:sz w:val="14"/>
          <w:szCs w:val="14"/>
          <w:color w:val="auto"/>
        </w:rPr>
      </w:pPr>
      <w:r>
        <w:rPr>
          <w:rFonts w:ascii="Arial" w:cs="Arial" w:eastAsia="Arial" w:hAnsi="Arial"/>
          <w:sz w:val="14"/>
          <w:szCs w:val="14"/>
          <w:color w:val="auto"/>
        </w:rPr>
        <w:t>Based on the closing price of our common stock on December 31, 2020 ($95.90).</w:t>
      </w:r>
    </w:p>
    <w:p>
      <w:pPr>
        <w:spacing w:after="0" w:line="315" w:lineRule="exact"/>
        <w:rPr>
          <w:sz w:val="20"/>
          <w:szCs w:val="20"/>
          <w:color w:val="auto"/>
        </w:rPr>
      </w:pPr>
    </w:p>
    <w:p>
      <w:pPr>
        <w:jc w:val="center"/>
        <w:ind w:right="-87"/>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-479425</wp:posOffset>
            </wp:positionH>
            <wp:positionV relativeFrom="paragraph">
              <wp:posOffset>157480</wp:posOffset>
            </wp:positionV>
            <wp:extent cx="699516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48"/>
          </w:cols>
          <w:pgMar w:left="1192" w:top="263" w:right="1259" w:bottom="1440" w:gutter="0" w:footer="0" w:header="0"/>
        </w:sectPr>
      </w:pPr>
    </w:p>
    <w:bookmarkStart w:id="44" w:name="page45"/>
    <w:bookmarkEnd w:id="44"/>
    <w:p>
      <w:pPr>
        <w:ind w:left="8"/>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122"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2020 Option Exercises and Stock Vested Table</w:t>
      </w:r>
    </w:p>
    <w:p>
      <w:pPr>
        <w:spacing w:after="0" w:line="187" w:lineRule="exact"/>
        <w:rPr>
          <w:sz w:val="20"/>
          <w:szCs w:val="20"/>
          <w:color w:val="auto"/>
        </w:rPr>
      </w:pPr>
    </w:p>
    <w:p>
      <w:pPr>
        <w:ind w:left="8" w:right="400"/>
        <w:spacing w:after="0" w:line="276" w:lineRule="auto"/>
        <w:rPr>
          <w:sz w:val="20"/>
          <w:szCs w:val="20"/>
          <w:color w:val="auto"/>
        </w:rPr>
      </w:pPr>
      <w:r>
        <w:rPr>
          <w:rFonts w:ascii="Arial" w:cs="Arial" w:eastAsia="Arial" w:hAnsi="Arial"/>
          <w:sz w:val="18"/>
          <w:szCs w:val="18"/>
          <w:color w:val="auto"/>
        </w:rPr>
        <w:t>The following table provides information regarding stock option exercises and shares acquired upon the vesting of stock awards by the NEOs during the 2020 fiscal year.</w:t>
      </w:r>
    </w:p>
    <w:p>
      <w:pPr>
        <w:spacing w:after="0" w:line="18" w:lineRule="exact"/>
        <w:rPr>
          <w:sz w:val="20"/>
          <w:szCs w:val="20"/>
          <w:color w:val="auto"/>
        </w:rPr>
      </w:pPr>
    </w:p>
    <w:p>
      <w:pPr>
        <w:jc w:val="center"/>
        <w:ind w:right="-67"/>
        <w:spacing w:after="0"/>
        <w:rPr>
          <w:sz w:val="20"/>
          <w:szCs w:val="20"/>
          <w:color w:val="auto"/>
        </w:rPr>
      </w:pPr>
      <w:r>
        <w:rPr>
          <w:rFonts w:ascii="Arial" w:cs="Arial" w:eastAsia="Arial" w:hAnsi="Arial"/>
          <w:sz w:val="14"/>
          <w:szCs w:val="14"/>
          <w:b w:val="1"/>
          <w:bCs w:val="1"/>
          <w:color w:val="auto"/>
        </w:rPr>
        <w:t>ITRON,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61595</wp:posOffset>
            </wp:positionV>
            <wp:extent cx="595757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957570" cy="8890"/>
                    </a:xfrm>
                    <a:prstGeom prst="rect">
                      <a:avLst/>
                    </a:prstGeom>
                    <a:noFill/>
                  </pic:spPr>
                </pic:pic>
              </a:graphicData>
            </a:graphic>
          </wp:anchor>
        </w:drawing>
      </w:r>
    </w:p>
    <w:p>
      <w:pPr>
        <w:spacing w:after="0" w:line="157" w:lineRule="exact"/>
        <w:rPr>
          <w:sz w:val="20"/>
          <w:szCs w:val="20"/>
          <w:color w:val="auto"/>
        </w:rPr>
      </w:pPr>
    </w:p>
    <w:p>
      <w:pPr>
        <w:jc w:val="center"/>
        <w:ind w:right="-67"/>
        <w:spacing w:after="0"/>
        <w:rPr>
          <w:sz w:val="20"/>
          <w:szCs w:val="20"/>
          <w:color w:val="auto"/>
        </w:rPr>
      </w:pPr>
      <w:r>
        <w:rPr>
          <w:rFonts w:ascii="Arial" w:cs="Arial" w:eastAsia="Arial" w:hAnsi="Arial"/>
          <w:sz w:val="14"/>
          <w:szCs w:val="14"/>
          <w:b w:val="1"/>
          <w:bCs w:val="1"/>
          <w:color w:val="auto"/>
        </w:rPr>
        <w:t>Option Exercises and Stock 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61595</wp:posOffset>
            </wp:positionV>
            <wp:extent cx="595757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957570" cy="8890"/>
                    </a:xfrm>
                    <a:prstGeom prst="rect">
                      <a:avLst/>
                    </a:prstGeom>
                    <a:noFill/>
                  </pic:spPr>
                </pic:pic>
              </a:graphicData>
            </a:graphic>
          </wp:anchor>
        </w:drawing>
      </w:r>
    </w:p>
    <w:p>
      <w:pPr>
        <w:spacing w:after="0" w:line="157" w:lineRule="exact"/>
        <w:rPr>
          <w:sz w:val="20"/>
          <w:szCs w:val="20"/>
          <w:color w:val="auto"/>
        </w:rPr>
      </w:pPr>
    </w:p>
    <w:p>
      <w:pPr>
        <w:ind w:left="4648"/>
        <w:spacing w:after="0"/>
        <w:tabs>
          <w:tab w:leader="none" w:pos="7628" w:val="left"/>
        </w:tabs>
        <w:rPr>
          <w:sz w:val="20"/>
          <w:szCs w:val="20"/>
          <w:color w:val="auto"/>
        </w:rPr>
      </w:pPr>
      <w:r>
        <w:rPr>
          <w:rFonts w:ascii="Arial" w:cs="Arial" w:eastAsia="Arial" w:hAnsi="Arial"/>
          <w:sz w:val="14"/>
          <w:szCs w:val="14"/>
          <w:b w:val="1"/>
          <w:bCs w:val="1"/>
          <w:color w:val="auto"/>
        </w:rPr>
        <w:t>Option Awards</w:t>
      </w:r>
      <w:r>
        <w:rPr>
          <w:sz w:val="20"/>
          <w:szCs w:val="20"/>
          <w:color w:val="auto"/>
        </w:rPr>
        <w:tab/>
      </w:r>
      <w:r>
        <w:rPr>
          <w:rFonts w:ascii="Arial" w:cs="Arial" w:eastAsia="Arial" w:hAnsi="Arial"/>
          <w:sz w:val="14"/>
          <w:szCs w:val="14"/>
          <w:b w:val="1"/>
          <w:bCs w:val="1"/>
          <w:color w:val="auto"/>
        </w:rPr>
        <w:t>Stock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2408555</wp:posOffset>
            </wp:positionH>
            <wp:positionV relativeFrom="paragraph">
              <wp:posOffset>61595</wp:posOffset>
            </wp:positionV>
            <wp:extent cx="359156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591560" cy="8255"/>
                    </a:xfrm>
                    <a:prstGeom prst="rect">
                      <a:avLst/>
                    </a:prstGeom>
                    <a:noFill/>
                  </pic:spPr>
                </pic:pic>
              </a:graphicData>
            </a:graphic>
          </wp:anchor>
        </w:drawing>
      </w:r>
    </w:p>
    <w:p>
      <w:pPr>
        <w:sectPr>
          <w:pgSz w:w="11900" w:h="16838" w:orient="portrait"/>
          <w:cols w:equalWidth="0" w:num="1">
            <w:col w:w="9448"/>
          </w:cols>
          <w:pgMar w:left="1192" w:top="263" w:right="1259" w:bottom="1440" w:gutter="0" w:footer="0" w:header="0"/>
        </w:sectPr>
      </w:pPr>
    </w:p>
    <w:p>
      <w:pPr>
        <w:spacing w:after="0" w:line="177" w:lineRule="exact"/>
        <w:rPr>
          <w:sz w:val="20"/>
          <w:szCs w:val="20"/>
          <w:color w:val="auto"/>
        </w:rPr>
      </w:pPr>
    </w:p>
    <w:tbl>
      <w:tblPr>
        <w:tblLayout w:type="fixed"/>
        <w:tblInd w:w="1608" w:type="dxa"/>
        <w:tblCellMar>
          <w:top w:w="0" w:type="dxa"/>
          <w:left w:w="0" w:type="dxa"/>
          <w:bottom w:w="0" w:type="dxa"/>
          <w:right w:w="0" w:type="dxa"/>
        </w:tblCellMar>
      </w:tblPr>
      <w:tr>
        <w:trPr>
          <w:trHeight w:val="162"/>
        </w:trPr>
        <w:tc>
          <w:tcPr>
            <w:tcW w:w="1300" w:type="dxa"/>
            <w:vAlign w:val="bottom"/>
          </w:tcPr>
          <w:p>
            <w:pPr>
              <w:spacing w:after="0"/>
              <w:rPr>
                <w:sz w:val="14"/>
                <w:szCs w:val="14"/>
                <w:color w:val="auto"/>
              </w:rPr>
            </w:pPr>
          </w:p>
        </w:tc>
        <w:tc>
          <w:tcPr>
            <w:tcW w:w="2500" w:type="dxa"/>
            <w:vAlign w:val="bottom"/>
          </w:tcPr>
          <w:p>
            <w:pPr>
              <w:jc w:val="center"/>
              <w:ind w:left="668"/>
              <w:spacing w:after="0"/>
              <w:rPr>
                <w:sz w:val="20"/>
                <w:szCs w:val="20"/>
                <w:color w:val="auto"/>
              </w:rPr>
            </w:pPr>
            <w:r>
              <w:rPr>
                <w:rFonts w:ascii="Arial" w:cs="Arial" w:eastAsia="Arial" w:hAnsi="Arial"/>
                <w:sz w:val="14"/>
                <w:szCs w:val="14"/>
                <w:b w:val="1"/>
                <w:bCs w:val="1"/>
                <w:color w:val="auto"/>
              </w:rPr>
              <w:t>Number of Shares</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Value Realized</w:t>
            </w:r>
          </w:p>
        </w:tc>
        <w:tc>
          <w:tcPr>
            <w:tcW w:w="1520" w:type="dxa"/>
            <w:vAlign w:val="bottom"/>
          </w:tcPr>
          <w:p>
            <w:pPr>
              <w:jc w:val="center"/>
              <w:ind w:left="8"/>
              <w:spacing w:after="0"/>
              <w:rPr>
                <w:sz w:val="20"/>
                <w:szCs w:val="20"/>
                <w:color w:val="auto"/>
              </w:rPr>
            </w:pPr>
            <w:r>
              <w:rPr>
                <w:rFonts w:ascii="Arial" w:cs="Arial" w:eastAsia="Arial" w:hAnsi="Arial"/>
                <w:sz w:val="14"/>
                <w:szCs w:val="14"/>
                <w:b w:val="1"/>
                <w:bCs w:val="1"/>
                <w:color w:val="auto"/>
              </w:rPr>
              <w:t>Number of Shares</w:t>
            </w:r>
          </w:p>
        </w:tc>
      </w:tr>
      <w:tr>
        <w:trPr>
          <w:trHeight w:val="150"/>
        </w:trPr>
        <w:tc>
          <w:tcPr>
            <w:tcW w:w="1300" w:type="dxa"/>
            <w:vAlign w:val="bottom"/>
          </w:tcPr>
          <w:p>
            <w:pPr>
              <w:spacing w:after="0"/>
              <w:rPr>
                <w:sz w:val="13"/>
                <w:szCs w:val="13"/>
                <w:color w:val="auto"/>
              </w:rPr>
            </w:pPr>
          </w:p>
        </w:tc>
        <w:tc>
          <w:tcPr>
            <w:tcW w:w="2500" w:type="dxa"/>
            <w:vAlign w:val="bottom"/>
          </w:tcPr>
          <w:p>
            <w:pPr>
              <w:jc w:val="center"/>
              <w:ind w:left="688"/>
              <w:spacing w:after="0" w:line="150" w:lineRule="exact"/>
              <w:rPr>
                <w:sz w:val="20"/>
                <w:szCs w:val="20"/>
                <w:color w:val="auto"/>
              </w:rPr>
            </w:pPr>
            <w:r>
              <w:rPr>
                <w:rFonts w:ascii="Arial" w:cs="Arial" w:eastAsia="Arial" w:hAnsi="Arial"/>
                <w:sz w:val="14"/>
                <w:szCs w:val="14"/>
                <w:b w:val="1"/>
                <w:bCs w:val="1"/>
                <w:color w:val="auto"/>
              </w:rPr>
              <w:t>Acquired on Exercise</w:t>
            </w:r>
          </w:p>
        </w:tc>
        <w:tc>
          <w:tcPr>
            <w:tcW w:w="126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rPr>
              <w:t>Upon Exercise</w:t>
            </w:r>
          </w:p>
        </w:tc>
        <w:tc>
          <w:tcPr>
            <w:tcW w:w="1520" w:type="dxa"/>
            <w:vAlign w:val="bottom"/>
          </w:tcPr>
          <w:p>
            <w:pPr>
              <w:jc w:val="center"/>
              <w:ind w:left="48"/>
              <w:spacing w:after="0" w:line="150" w:lineRule="exact"/>
              <w:rPr>
                <w:sz w:val="20"/>
                <w:szCs w:val="20"/>
                <w:color w:val="auto"/>
              </w:rPr>
            </w:pPr>
            <w:r>
              <w:rPr>
                <w:rFonts w:ascii="Arial" w:cs="Arial" w:eastAsia="Arial" w:hAnsi="Arial"/>
                <w:sz w:val="14"/>
                <w:szCs w:val="14"/>
                <w:b w:val="1"/>
                <w:bCs w:val="1"/>
                <w:color w:val="auto"/>
              </w:rPr>
              <w:t>Acquired on Vesting</w:t>
            </w:r>
          </w:p>
        </w:tc>
      </w:tr>
      <w:tr>
        <w:trPr>
          <w:trHeight w:val="331"/>
        </w:trPr>
        <w:tc>
          <w:tcPr>
            <w:tcW w:w="130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2500" w:type="dxa"/>
            <w:vAlign w:val="bottom"/>
          </w:tcPr>
          <w:p>
            <w:pPr>
              <w:jc w:val="center"/>
              <w:ind w:left="688"/>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9"/>
              </w:rPr>
              <w:t>($)</w:t>
            </w:r>
            <w:r>
              <w:rPr>
                <w:rFonts w:ascii="Arial" w:cs="Arial" w:eastAsia="Arial" w:hAnsi="Arial"/>
                <w:sz w:val="23"/>
                <w:szCs w:val="23"/>
                <w:b w:val="1"/>
                <w:bCs w:val="1"/>
                <w:color w:val="auto"/>
                <w:w w:val="89"/>
                <w:vertAlign w:val="superscript"/>
              </w:rPr>
              <w:t>(1)</w:t>
            </w:r>
          </w:p>
        </w:tc>
        <w:tc>
          <w:tcPr>
            <w:tcW w:w="1520" w:type="dxa"/>
            <w:vAlign w:val="bottom"/>
          </w:tcPr>
          <w:p>
            <w:pPr>
              <w:jc w:val="center"/>
              <w:ind w:left="48"/>
              <w:spacing w:after="0"/>
              <w:rPr>
                <w:sz w:val="20"/>
                <w:szCs w:val="20"/>
                <w:color w:val="auto"/>
              </w:rPr>
            </w:pPr>
            <w:r>
              <w:rPr>
                <w:rFonts w:ascii="Arial" w:cs="Arial" w:eastAsia="Arial" w:hAnsi="Arial"/>
                <w:sz w:val="14"/>
                <w:szCs w:val="14"/>
                <w:b w:val="1"/>
                <w:bCs w:val="1"/>
                <w:color w:val="auto"/>
                <w:w w:val="89"/>
              </w:rPr>
              <w:t>(#)</w:t>
            </w:r>
            <w:r>
              <w:rPr>
                <w:rFonts w:ascii="Arial" w:cs="Arial" w:eastAsia="Arial" w:hAnsi="Arial"/>
                <w:sz w:val="23"/>
                <w:szCs w:val="23"/>
                <w:b w:val="1"/>
                <w:bCs w:val="1"/>
                <w:color w:val="auto"/>
                <w:w w:val="89"/>
                <w:vertAlign w:val="superscript"/>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-38100</wp:posOffset>
            </wp:positionV>
            <wp:extent cx="516064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606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Value Realized</w:t>
      </w:r>
    </w:p>
    <w:p>
      <w:pPr>
        <w:spacing w:after="0" w:line="21" w:lineRule="exact"/>
        <w:rPr>
          <w:sz w:val="20"/>
          <w:szCs w:val="20"/>
          <w:color w:val="auto"/>
        </w:rPr>
      </w:pPr>
    </w:p>
    <w:p>
      <w:pPr>
        <w:ind w:left="260" w:right="160" w:hanging="148"/>
        <w:spacing w:after="0" w:line="189" w:lineRule="auto"/>
        <w:rPr>
          <w:sz w:val="20"/>
          <w:szCs w:val="20"/>
          <w:color w:val="auto"/>
        </w:rPr>
      </w:pPr>
      <w:r>
        <w:rPr>
          <w:rFonts w:ascii="Arial" w:cs="Arial" w:eastAsia="Arial" w:hAnsi="Arial"/>
          <w:sz w:val="13"/>
          <w:szCs w:val="13"/>
          <w:b w:val="1"/>
          <w:bCs w:val="1"/>
          <w:color w:val="auto"/>
        </w:rPr>
        <w:t xml:space="preserve">on Vesting </w:t>
      </w:r>
      <w:r>
        <w:rPr>
          <w:rFonts w:ascii="Arial" w:cs="Arial" w:eastAsia="Arial" w:hAnsi="Arial"/>
          <w:sz w:val="25"/>
          <w:szCs w:val="25"/>
          <w:b w:val="1"/>
          <w:bCs w:val="1"/>
          <w:color w:val="auto"/>
          <w:vertAlign w:val="subscript"/>
        </w:rPr>
        <w:t>($)</w:t>
      </w:r>
      <w:r>
        <w:rPr>
          <w:rFonts w:ascii="Arial" w:cs="Arial" w:eastAsia="Arial" w:hAnsi="Arial"/>
          <w:sz w:val="10"/>
          <w:szCs w:val="10"/>
          <w:b w:val="1"/>
          <w:bCs w:val="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35560</wp:posOffset>
            </wp:positionV>
            <wp:extent cx="6426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42620" cy="8255"/>
                    </a:xfrm>
                    <a:prstGeom prst="rect">
                      <a:avLst/>
                    </a:prstGeom>
                    <a:noFill/>
                  </pic:spPr>
                </pic:pic>
              </a:graphicData>
            </a:graphic>
          </wp:anchor>
        </w:drawing>
      </w:r>
    </w:p>
    <w:p>
      <w:pPr>
        <w:spacing w:after="0" w:line="127" w:lineRule="exact"/>
        <w:rPr>
          <w:sz w:val="20"/>
          <w:szCs w:val="20"/>
          <w:color w:val="auto"/>
        </w:rPr>
      </w:pPr>
    </w:p>
    <w:p>
      <w:pPr>
        <w:sectPr>
          <w:pgSz w:w="11900" w:h="16838" w:orient="portrait"/>
          <w:cols w:equalWidth="0" w:num="2">
            <w:col w:w="8188" w:space="260"/>
            <w:col w:w="1000"/>
          </w:cols>
          <w:pgMar w:left="1192" w:top="263" w:right="1259" w:bottom="1440" w:gutter="0" w:footer="0" w:header="0"/>
          <w:type w:val="continuous"/>
        </w:sectPr>
      </w:pPr>
    </w:p>
    <w:tbl>
      <w:tblPr>
        <w:tblLayout w:type="fixed"/>
        <w:tblInd w:w="88" w:type="dxa"/>
        <w:tblCellMar>
          <w:top w:w="0" w:type="dxa"/>
          <w:left w:w="0" w:type="dxa"/>
          <w:bottom w:w="0" w:type="dxa"/>
          <w:right w:w="0" w:type="dxa"/>
        </w:tblCellMar>
      </w:tblPr>
      <w:tr>
        <w:trPr>
          <w:trHeight w:val="243"/>
        </w:trPr>
        <w:tc>
          <w:tcPr>
            <w:tcW w:w="2740" w:type="dxa"/>
            <w:vAlign w:val="bottom"/>
          </w:tcPr>
          <w:p>
            <w:pPr>
              <w:spacing w:after="0"/>
              <w:rPr>
                <w:sz w:val="20"/>
                <w:szCs w:val="20"/>
                <w:color w:val="auto"/>
              </w:rPr>
            </w:pPr>
            <w:r>
              <w:rPr>
                <w:rFonts w:ascii="Arial" w:cs="Arial" w:eastAsia="Arial" w:hAnsi="Arial"/>
                <w:sz w:val="18"/>
                <w:szCs w:val="18"/>
                <w:color w:val="auto"/>
              </w:rPr>
              <w:t>Thomas Deitrich</w:t>
            </w:r>
          </w:p>
        </w:tc>
        <w:tc>
          <w:tcPr>
            <w:tcW w:w="24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380" w:type="dxa"/>
            <w:vAlign w:val="bottom"/>
          </w:tcPr>
          <w:p>
            <w:pPr>
              <w:jc w:val="right"/>
              <w:ind w:right="310"/>
              <w:spacing w:after="0"/>
              <w:rPr>
                <w:sz w:val="20"/>
                <w:szCs w:val="20"/>
                <w:color w:val="auto"/>
              </w:rPr>
            </w:pPr>
            <w:r>
              <w:rPr>
                <w:rFonts w:ascii="Arial" w:cs="Arial" w:eastAsia="Arial" w:hAnsi="Arial"/>
                <w:sz w:val="18"/>
                <w:szCs w:val="18"/>
                <w:color w:val="auto"/>
              </w:rPr>
              <w:t>24,774</w:t>
            </w:r>
          </w:p>
        </w:tc>
        <w:tc>
          <w:tcPr>
            <w:tcW w:w="1200" w:type="dxa"/>
            <w:vAlign w:val="bottom"/>
          </w:tcPr>
          <w:p>
            <w:pPr>
              <w:jc w:val="right"/>
              <w:spacing w:after="0"/>
              <w:rPr>
                <w:sz w:val="20"/>
                <w:szCs w:val="20"/>
                <w:color w:val="auto"/>
              </w:rPr>
            </w:pPr>
            <w:r>
              <w:rPr>
                <w:rFonts w:ascii="Arial" w:cs="Arial" w:eastAsia="Arial" w:hAnsi="Arial"/>
                <w:sz w:val="18"/>
                <w:szCs w:val="18"/>
                <w:color w:val="auto"/>
              </w:rPr>
              <w:t>2,018,706</w:t>
            </w:r>
          </w:p>
        </w:tc>
      </w:tr>
      <w:tr>
        <w:trPr>
          <w:trHeight w:val="364"/>
        </w:trPr>
        <w:tc>
          <w:tcPr>
            <w:tcW w:w="2740" w:type="dxa"/>
            <w:vAlign w:val="bottom"/>
          </w:tcPr>
          <w:p>
            <w:pPr>
              <w:spacing w:after="0"/>
              <w:rPr>
                <w:sz w:val="20"/>
                <w:szCs w:val="20"/>
                <w:color w:val="auto"/>
              </w:rPr>
            </w:pPr>
            <w:r>
              <w:rPr>
                <w:rFonts w:ascii="Arial" w:cs="Arial" w:eastAsia="Arial" w:hAnsi="Arial"/>
                <w:sz w:val="18"/>
                <w:szCs w:val="18"/>
                <w:color w:val="auto"/>
              </w:rPr>
              <w:t>Joan Hooper</w:t>
            </w:r>
          </w:p>
        </w:tc>
        <w:tc>
          <w:tcPr>
            <w:tcW w:w="24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80" w:type="dxa"/>
            <w:vAlign w:val="bottom"/>
          </w:tcPr>
          <w:p>
            <w:pPr>
              <w:jc w:val="right"/>
              <w:ind w:right="310"/>
              <w:spacing w:after="0"/>
              <w:rPr>
                <w:sz w:val="20"/>
                <w:szCs w:val="20"/>
                <w:color w:val="auto"/>
              </w:rPr>
            </w:pPr>
            <w:r>
              <w:rPr>
                <w:rFonts w:ascii="Arial" w:cs="Arial" w:eastAsia="Arial" w:hAnsi="Arial"/>
                <w:sz w:val="18"/>
                <w:szCs w:val="18"/>
                <w:color w:val="auto"/>
              </w:rPr>
              <w:t>12,455</w:t>
            </w:r>
          </w:p>
        </w:tc>
        <w:tc>
          <w:tcPr>
            <w:tcW w:w="1200" w:type="dxa"/>
            <w:vAlign w:val="bottom"/>
          </w:tcPr>
          <w:p>
            <w:pPr>
              <w:jc w:val="right"/>
              <w:spacing w:after="0"/>
              <w:rPr>
                <w:sz w:val="20"/>
                <w:szCs w:val="20"/>
                <w:color w:val="auto"/>
              </w:rPr>
            </w:pPr>
            <w:r>
              <w:rPr>
                <w:rFonts w:ascii="Arial" w:cs="Arial" w:eastAsia="Arial" w:hAnsi="Arial"/>
                <w:sz w:val="18"/>
                <w:szCs w:val="18"/>
                <w:color w:val="auto"/>
              </w:rPr>
              <w:t>1,010,805</w:t>
            </w:r>
          </w:p>
        </w:tc>
      </w:tr>
      <w:tr>
        <w:trPr>
          <w:trHeight w:val="365"/>
        </w:trPr>
        <w:tc>
          <w:tcPr>
            <w:tcW w:w="2740" w:type="dxa"/>
            <w:vAlign w:val="bottom"/>
          </w:tcPr>
          <w:p>
            <w:pPr>
              <w:spacing w:after="0"/>
              <w:rPr>
                <w:sz w:val="20"/>
                <w:szCs w:val="20"/>
                <w:color w:val="auto"/>
              </w:rPr>
            </w:pPr>
            <w:r>
              <w:rPr>
                <w:rFonts w:ascii="Arial" w:cs="Arial" w:eastAsia="Arial" w:hAnsi="Arial"/>
                <w:sz w:val="18"/>
                <w:szCs w:val="18"/>
                <w:color w:val="auto"/>
              </w:rPr>
              <w:t>Sarah Hlavinka</w:t>
            </w:r>
          </w:p>
        </w:tc>
        <w:tc>
          <w:tcPr>
            <w:tcW w:w="24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80" w:type="dxa"/>
            <w:vAlign w:val="bottom"/>
          </w:tcPr>
          <w:p>
            <w:pPr>
              <w:jc w:val="right"/>
              <w:ind w:right="310"/>
              <w:spacing w:after="0"/>
              <w:rPr>
                <w:sz w:val="20"/>
                <w:szCs w:val="20"/>
                <w:color w:val="auto"/>
              </w:rPr>
            </w:pPr>
            <w:r>
              <w:rPr>
                <w:rFonts w:ascii="Arial" w:cs="Arial" w:eastAsia="Arial" w:hAnsi="Arial"/>
                <w:sz w:val="18"/>
                <w:szCs w:val="18"/>
                <w:color w:val="auto"/>
              </w:rPr>
              <w:t>5,459</w:t>
            </w:r>
          </w:p>
        </w:tc>
        <w:tc>
          <w:tcPr>
            <w:tcW w:w="1200" w:type="dxa"/>
            <w:vAlign w:val="bottom"/>
          </w:tcPr>
          <w:p>
            <w:pPr>
              <w:jc w:val="right"/>
              <w:spacing w:after="0"/>
              <w:rPr>
                <w:sz w:val="20"/>
                <w:szCs w:val="20"/>
                <w:color w:val="auto"/>
              </w:rPr>
            </w:pPr>
            <w:r>
              <w:rPr>
                <w:rFonts w:ascii="Arial" w:cs="Arial" w:eastAsia="Arial" w:hAnsi="Arial"/>
                <w:sz w:val="18"/>
                <w:szCs w:val="18"/>
                <w:color w:val="auto"/>
              </w:rPr>
              <w:t>499,767</w:t>
            </w:r>
          </w:p>
        </w:tc>
      </w:tr>
      <w:tr>
        <w:trPr>
          <w:trHeight w:val="364"/>
        </w:trPr>
        <w:tc>
          <w:tcPr>
            <w:tcW w:w="2740" w:type="dxa"/>
            <w:vAlign w:val="bottom"/>
          </w:tcPr>
          <w:p>
            <w:pPr>
              <w:spacing w:after="0"/>
              <w:rPr>
                <w:sz w:val="20"/>
                <w:szCs w:val="20"/>
                <w:color w:val="auto"/>
              </w:rPr>
            </w:pPr>
            <w:r>
              <w:rPr>
                <w:rFonts w:ascii="Arial" w:cs="Arial" w:eastAsia="Arial" w:hAnsi="Arial"/>
                <w:sz w:val="18"/>
                <w:szCs w:val="18"/>
                <w:color w:val="auto"/>
              </w:rPr>
              <w:t>Michel Cadieux</w:t>
            </w:r>
          </w:p>
        </w:tc>
        <w:tc>
          <w:tcPr>
            <w:tcW w:w="2420" w:type="dxa"/>
            <w:vAlign w:val="bottom"/>
          </w:tcPr>
          <w:p>
            <w:pPr>
              <w:jc w:val="right"/>
              <w:ind w:right="350"/>
              <w:spacing w:after="0"/>
              <w:rPr>
                <w:sz w:val="20"/>
                <w:szCs w:val="20"/>
                <w:color w:val="auto"/>
              </w:rPr>
            </w:pPr>
            <w:r>
              <w:rPr>
                <w:rFonts w:ascii="Arial" w:cs="Arial" w:eastAsia="Arial" w:hAnsi="Arial"/>
                <w:sz w:val="18"/>
                <w:szCs w:val="18"/>
                <w:color w:val="auto"/>
              </w:rPr>
              <w:t>15,182</w:t>
            </w:r>
          </w:p>
        </w:tc>
        <w:tc>
          <w:tcPr>
            <w:tcW w:w="1520" w:type="dxa"/>
            <w:vAlign w:val="bottom"/>
          </w:tcPr>
          <w:p>
            <w:pPr>
              <w:jc w:val="right"/>
              <w:ind w:right="330"/>
              <w:spacing w:after="0"/>
              <w:rPr>
                <w:sz w:val="20"/>
                <w:szCs w:val="20"/>
                <w:color w:val="auto"/>
              </w:rPr>
            </w:pPr>
            <w:r>
              <w:rPr>
                <w:rFonts w:ascii="Arial" w:cs="Arial" w:eastAsia="Arial" w:hAnsi="Arial"/>
                <w:sz w:val="18"/>
                <w:szCs w:val="18"/>
                <w:color w:val="auto"/>
              </w:rPr>
              <w:t>378,791</w:t>
            </w:r>
          </w:p>
        </w:tc>
        <w:tc>
          <w:tcPr>
            <w:tcW w:w="1380" w:type="dxa"/>
            <w:vAlign w:val="bottom"/>
          </w:tcPr>
          <w:p>
            <w:pPr>
              <w:jc w:val="right"/>
              <w:ind w:right="310"/>
              <w:spacing w:after="0"/>
              <w:rPr>
                <w:sz w:val="20"/>
                <w:szCs w:val="20"/>
                <w:color w:val="auto"/>
              </w:rPr>
            </w:pPr>
            <w:r>
              <w:rPr>
                <w:rFonts w:ascii="Arial" w:cs="Arial" w:eastAsia="Arial" w:hAnsi="Arial"/>
                <w:sz w:val="18"/>
                <w:szCs w:val="18"/>
                <w:color w:val="auto"/>
              </w:rPr>
              <w:t>7,297</w:t>
            </w:r>
          </w:p>
        </w:tc>
        <w:tc>
          <w:tcPr>
            <w:tcW w:w="1200" w:type="dxa"/>
            <w:vAlign w:val="bottom"/>
          </w:tcPr>
          <w:p>
            <w:pPr>
              <w:jc w:val="right"/>
              <w:spacing w:after="0"/>
              <w:rPr>
                <w:sz w:val="20"/>
                <w:szCs w:val="20"/>
                <w:color w:val="auto"/>
              </w:rPr>
            </w:pPr>
            <w:r>
              <w:rPr>
                <w:rFonts w:ascii="Arial" w:cs="Arial" w:eastAsia="Arial" w:hAnsi="Arial"/>
                <w:sz w:val="18"/>
                <w:szCs w:val="18"/>
                <w:color w:val="auto"/>
              </w:rPr>
              <w:t>654,560</w:t>
            </w:r>
          </w:p>
        </w:tc>
      </w:tr>
      <w:tr>
        <w:trPr>
          <w:trHeight w:val="364"/>
        </w:trPr>
        <w:tc>
          <w:tcPr>
            <w:tcW w:w="2740" w:type="dxa"/>
            <w:vAlign w:val="bottom"/>
          </w:tcPr>
          <w:p>
            <w:pPr>
              <w:spacing w:after="0"/>
              <w:rPr>
                <w:sz w:val="20"/>
                <w:szCs w:val="20"/>
                <w:color w:val="auto"/>
              </w:rPr>
            </w:pPr>
            <w:r>
              <w:rPr>
                <w:rFonts w:ascii="Arial" w:cs="Arial" w:eastAsia="Arial" w:hAnsi="Arial"/>
                <w:sz w:val="18"/>
                <w:szCs w:val="18"/>
                <w:color w:val="auto"/>
              </w:rPr>
              <w:t>Donald Reeves</w:t>
            </w:r>
          </w:p>
        </w:tc>
        <w:tc>
          <w:tcPr>
            <w:tcW w:w="24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80" w:type="dxa"/>
            <w:vAlign w:val="bottom"/>
          </w:tcPr>
          <w:p>
            <w:pPr>
              <w:jc w:val="right"/>
              <w:ind w:right="310"/>
              <w:spacing w:after="0"/>
              <w:rPr>
                <w:sz w:val="20"/>
                <w:szCs w:val="20"/>
                <w:color w:val="auto"/>
              </w:rPr>
            </w:pPr>
            <w:r>
              <w:rPr>
                <w:rFonts w:ascii="Arial" w:cs="Arial" w:eastAsia="Arial" w:hAnsi="Arial"/>
                <w:sz w:val="18"/>
                <w:szCs w:val="18"/>
                <w:color w:val="auto"/>
              </w:rPr>
              <w:t>6,921</w:t>
            </w:r>
          </w:p>
        </w:tc>
        <w:tc>
          <w:tcPr>
            <w:tcW w:w="1200" w:type="dxa"/>
            <w:vAlign w:val="bottom"/>
          </w:tcPr>
          <w:p>
            <w:pPr>
              <w:jc w:val="right"/>
              <w:spacing w:after="0"/>
              <w:rPr>
                <w:sz w:val="20"/>
                <w:szCs w:val="20"/>
                <w:color w:val="auto"/>
              </w:rPr>
            </w:pPr>
            <w:r>
              <w:rPr>
                <w:rFonts w:ascii="Arial" w:cs="Arial" w:eastAsia="Arial" w:hAnsi="Arial"/>
                <w:sz w:val="18"/>
                <w:szCs w:val="18"/>
                <w:color w:val="auto"/>
              </w:rPr>
              <w:t>495,873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125730</wp:posOffset>
            </wp:positionV>
            <wp:extent cx="82296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87" w:lineRule="exact"/>
        <w:rPr>
          <w:sz w:val="20"/>
          <w:szCs w:val="20"/>
          <w:color w:val="auto"/>
        </w:rPr>
      </w:pPr>
    </w:p>
    <w:p>
      <w:pPr>
        <w:ind w:left="348" w:hanging="348"/>
        <w:spacing w:after="0"/>
        <w:tabs>
          <w:tab w:leader="none" w:pos="348" w:val="left"/>
        </w:tabs>
        <w:numPr>
          <w:ilvl w:val="0"/>
          <w:numId w:val="52"/>
        </w:numPr>
        <w:rPr>
          <w:rFonts w:ascii="Arial" w:cs="Arial" w:eastAsia="Arial" w:hAnsi="Arial"/>
          <w:sz w:val="14"/>
          <w:szCs w:val="14"/>
          <w:color w:val="auto"/>
        </w:rPr>
      </w:pPr>
      <w:r>
        <w:rPr>
          <w:rFonts w:ascii="Arial" w:cs="Arial" w:eastAsia="Arial" w:hAnsi="Arial"/>
          <w:sz w:val="14"/>
          <w:szCs w:val="14"/>
          <w:color w:val="auto"/>
        </w:rPr>
        <w:t>Represents the difference between the exercise price and the fair market value of our common stock on the date of exercise.</w:t>
      </w:r>
    </w:p>
    <w:p>
      <w:pPr>
        <w:spacing w:after="0" w:line="68" w:lineRule="exact"/>
        <w:rPr>
          <w:rFonts w:ascii="Arial" w:cs="Arial" w:eastAsia="Arial" w:hAnsi="Arial"/>
          <w:sz w:val="14"/>
          <w:szCs w:val="14"/>
          <w:color w:val="auto"/>
        </w:rPr>
      </w:pPr>
    </w:p>
    <w:p>
      <w:pPr>
        <w:ind w:left="348" w:right="200" w:hanging="348"/>
        <w:spacing w:after="0" w:line="266" w:lineRule="auto"/>
        <w:tabs>
          <w:tab w:leader="none" w:pos="348" w:val="left"/>
        </w:tabs>
        <w:numPr>
          <w:ilvl w:val="0"/>
          <w:numId w:val="52"/>
        </w:numPr>
        <w:rPr>
          <w:rFonts w:ascii="Arial" w:cs="Arial" w:eastAsia="Arial" w:hAnsi="Arial"/>
          <w:sz w:val="14"/>
          <w:szCs w:val="14"/>
          <w:color w:val="auto"/>
        </w:rPr>
      </w:pPr>
      <w:r>
        <w:rPr>
          <w:rFonts w:ascii="Arial" w:cs="Arial" w:eastAsia="Arial" w:hAnsi="Arial"/>
          <w:sz w:val="14"/>
          <w:szCs w:val="14"/>
          <w:color w:val="auto"/>
        </w:rPr>
        <w:t>Value includes PRSUs earned based on financial results as originally reported for the three-year performance cycle beginning in 2018 and vested on December 31, 2020. See “</w:t>
      </w:r>
      <w:r>
        <w:rPr>
          <w:rFonts w:ascii="Arial" w:cs="Arial" w:eastAsia="Arial" w:hAnsi="Arial"/>
          <w:sz w:val="14"/>
          <w:szCs w:val="14"/>
          <w:i w:val="1"/>
          <w:iCs w:val="1"/>
          <w:color w:val="auto"/>
        </w:rPr>
        <w:t>Long-Term Incentives — A Closer Look at Performance−Based Restricted Stock Units (PRSUs)</w:t>
      </w:r>
      <w:r>
        <w:rPr>
          <w:rFonts w:ascii="Arial" w:cs="Arial" w:eastAsia="Arial" w:hAnsi="Arial"/>
          <w:sz w:val="14"/>
          <w:szCs w:val="14"/>
          <w:color w:val="auto"/>
        </w:rPr>
        <w:t>” in this Proxy Statement for more detail.</w:t>
      </w:r>
    </w:p>
    <w:p>
      <w:pPr>
        <w:spacing w:after="0" w:line="18" w:lineRule="exact"/>
        <w:rPr>
          <w:rFonts w:ascii="Arial" w:cs="Arial" w:eastAsia="Arial" w:hAnsi="Arial"/>
          <w:sz w:val="14"/>
          <w:szCs w:val="14"/>
          <w:color w:val="auto"/>
        </w:rPr>
      </w:pPr>
    </w:p>
    <w:p>
      <w:pPr>
        <w:ind w:left="348" w:hanging="348"/>
        <w:spacing w:after="0"/>
        <w:tabs>
          <w:tab w:leader="none" w:pos="348" w:val="left"/>
        </w:tabs>
        <w:numPr>
          <w:ilvl w:val="0"/>
          <w:numId w:val="52"/>
        </w:numPr>
        <w:rPr>
          <w:rFonts w:ascii="Arial" w:cs="Arial" w:eastAsia="Arial" w:hAnsi="Arial"/>
          <w:sz w:val="14"/>
          <w:szCs w:val="14"/>
          <w:color w:val="auto"/>
        </w:rPr>
      </w:pPr>
      <w:r>
        <w:rPr>
          <w:rFonts w:ascii="Arial" w:cs="Arial" w:eastAsia="Arial" w:hAnsi="Arial"/>
          <w:sz w:val="14"/>
          <w:szCs w:val="14"/>
          <w:color w:val="auto"/>
        </w:rPr>
        <w:t>Based on the fair market value of our common stock on the vest date.</w:t>
      </w:r>
    </w:p>
    <w:p>
      <w:pPr>
        <w:spacing w:after="0" w:line="192"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2020 Nonqualified Deferred Compensation Table</w:t>
      </w:r>
    </w:p>
    <w:p>
      <w:pPr>
        <w:spacing w:after="0" w:line="173" w:lineRule="exact"/>
        <w:rPr>
          <w:sz w:val="20"/>
          <w:szCs w:val="20"/>
          <w:color w:val="auto"/>
        </w:rPr>
      </w:pPr>
    </w:p>
    <w:p>
      <w:pPr>
        <w:ind w:left="8" w:right="20"/>
        <w:spacing w:after="0" w:line="276" w:lineRule="auto"/>
        <w:rPr>
          <w:sz w:val="20"/>
          <w:szCs w:val="20"/>
          <w:color w:val="auto"/>
        </w:rPr>
      </w:pPr>
      <w:r>
        <w:rPr>
          <w:rFonts w:ascii="Arial" w:cs="Arial" w:eastAsia="Arial" w:hAnsi="Arial"/>
          <w:sz w:val="18"/>
          <w:szCs w:val="18"/>
          <w:color w:val="auto"/>
        </w:rPr>
        <w:t>The following table provides information regarding the nonqualified deferred compensation of each of the NEOs for the 2020 fiscal year.</w:t>
      </w:r>
    </w:p>
    <w:p>
      <w:pPr>
        <w:spacing w:after="0" w:line="72" w:lineRule="exact"/>
        <w:rPr>
          <w:sz w:val="20"/>
          <w:szCs w:val="20"/>
          <w:color w:val="auto"/>
        </w:rPr>
      </w:pPr>
    </w:p>
    <w:p>
      <w:pPr>
        <w:jc w:val="center"/>
        <w:ind w:right="-47"/>
        <w:spacing w:after="0"/>
        <w:rPr>
          <w:sz w:val="20"/>
          <w:szCs w:val="20"/>
          <w:color w:val="auto"/>
        </w:rPr>
      </w:pPr>
      <w:r>
        <w:rPr>
          <w:rFonts w:ascii="Arial" w:cs="Arial" w:eastAsia="Arial" w:hAnsi="Arial"/>
          <w:sz w:val="14"/>
          <w:szCs w:val="14"/>
          <w:b w:val="1"/>
          <w:bCs w:val="1"/>
          <w:color w:val="auto"/>
        </w:rPr>
        <w:t>ITRON,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61595</wp:posOffset>
            </wp:positionV>
            <wp:extent cx="595757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957570" cy="8255"/>
                    </a:xfrm>
                    <a:prstGeom prst="rect">
                      <a:avLst/>
                    </a:prstGeom>
                    <a:noFill/>
                  </pic:spPr>
                </pic:pic>
              </a:graphicData>
            </a:graphic>
          </wp:anchor>
        </w:drawing>
      </w:r>
    </w:p>
    <w:p>
      <w:pPr>
        <w:spacing w:after="0" w:line="157" w:lineRule="exact"/>
        <w:rPr>
          <w:sz w:val="20"/>
          <w:szCs w:val="20"/>
          <w:color w:val="auto"/>
        </w:rPr>
      </w:pPr>
    </w:p>
    <w:p>
      <w:pPr>
        <w:jc w:val="center"/>
        <w:ind w:right="-47"/>
        <w:spacing w:after="0"/>
        <w:rPr>
          <w:sz w:val="20"/>
          <w:szCs w:val="20"/>
          <w:color w:val="auto"/>
        </w:rPr>
      </w:pPr>
      <w:r>
        <w:rPr>
          <w:rFonts w:ascii="Arial" w:cs="Arial" w:eastAsia="Arial" w:hAnsi="Arial"/>
          <w:sz w:val="14"/>
          <w:szCs w:val="14"/>
          <w:b w:val="1"/>
          <w:bCs w:val="1"/>
          <w:color w:val="auto"/>
        </w:rPr>
        <w:t>Nonqualified Deferred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61595</wp:posOffset>
            </wp:positionV>
            <wp:extent cx="595757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957570" cy="8255"/>
                    </a:xfrm>
                    <a:prstGeom prst="rect">
                      <a:avLst/>
                    </a:prstGeom>
                    <a:noFill/>
                  </pic:spPr>
                </pic:pic>
              </a:graphicData>
            </a:graphic>
          </wp:anchor>
        </w:drawing>
      </w:r>
    </w:p>
    <w:p>
      <w:pPr>
        <w:spacing w:after="0" w:line="157" w:lineRule="exact"/>
        <w:rPr>
          <w:sz w:val="20"/>
          <w:szCs w:val="20"/>
          <w:color w:val="auto"/>
        </w:rPr>
      </w:pPr>
    </w:p>
    <w:tbl>
      <w:tblPr>
        <w:tblLayout w:type="fixed"/>
        <w:tblInd w:w="48" w:type="dxa"/>
        <w:tblCellMar>
          <w:top w:w="0" w:type="dxa"/>
          <w:left w:w="0" w:type="dxa"/>
          <w:bottom w:w="0" w:type="dxa"/>
          <w:right w:w="0" w:type="dxa"/>
        </w:tblCellMar>
      </w:tblPr>
      <w:tr>
        <w:trPr>
          <w:trHeight w:val="162"/>
        </w:trPr>
        <w:tc>
          <w:tcPr>
            <w:tcW w:w="2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Executive</w:t>
            </w: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Registrant</w:t>
            </w: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Aggregate</w:t>
            </w: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Aggregate</w:t>
            </w:r>
          </w:p>
        </w:tc>
        <w:tc>
          <w:tcPr>
            <w:tcW w:w="1300" w:type="dxa"/>
            <w:vAlign w:val="bottom"/>
          </w:tcPr>
          <w:p>
            <w:pPr>
              <w:spacing w:after="0"/>
              <w:rPr>
                <w:sz w:val="14"/>
                <w:szCs w:val="14"/>
                <w:color w:val="auto"/>
              </w:rPr>
            </w:pPr>
          </w:p>
        </w:tc>
      </w:tr>
      <w:tr>
        <w:trPr>
          <w:trHeight w:val="162"/>
        </w:trPr>
        <w:tc>
          <w:tcPr>
            <w:tcW w:w="2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Contributions in</w:t>
            </w: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Contributions in</w:t>
            </w: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Earnings in</w:t>
            </w: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Withdrawals /</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Aggregate</w:t>
            </w:r>
          </w:p>
        </w:tc>
      </w:tr>
      <w:tr>
        <w:trPr>
          <w:trHeight w:val="150"/>
        </w:trPr>
        <w:tc>
          <w:tcPr>
            <w:tcW w:w="2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jc w:val="center"/>
              <w:ind w:right="200"/>
              <w:spacing w:after="0" w:line="150" w:lineRule="exact"/>
              <w:rPr>
                <w:sz w:val="20"/>
                <w:szCs w:val="20"/>
                <w:color w:val="auto"/>
              </w:rPr>
            </w:pPr>
            <w:r>
              <w:rPr>
                <w:rFonts w:ascii="Arial" w:cs="Arial" w:eastAsia="Arial" w:hAnsi="Arial"/>
                <w:sz w:val="14"/>
                <w:szCs w:val="14"/>
                <w:b w:val="1"/>
                <w:bCs w:val="1"/>
                <w:color w:val="auto"/>
              </w:rPr>
              <w:t>Last Fiscal Year</w:t>
            </w:r>
          </w:p>
        </w:tc>
        <w:tc>
          <w:tcPr>
            <w:tcW w:w="1300" w:type="dxa"/>
            <w:vAlign w:val="bottom"/>
            <w:gridSpan w:val="2"/>
          </w:tcPr>
          <w:p>
            <w:pPr>
              <w:jc w:val="center"/>
              <w:ind w:right="200"/>
              <w:spacing w:after="0" w:line="150" w:lineRule="exact"/>
              <w:rPr>
                <w:sz w:val="20"/>
                <w:szCs w:val="20"/>
                <w:color w:val="auto"/>
              </w:rPr>
            </w:pPr>
            <w:r>
              <w:rPr>
                <w:rFonts w:ascii="Arial" w:cs="Arial" w:eastAsia="Arial" w:hAnsi="Arial"/>
                <w:sz w:val="14"/>
                <w:szCs w:val="14"/>
                <w:b w:val="1"/>
                <w:bCs w:val="1"/>
                <w:color w:val="auto"/>
              </w:rPr>
              <w:t>Last Fiscal Year</w:t>
            </w:r>
          </w:p>
        </w:tc>
        <w:tc>
          <w:tcPr>
            <w:tcW w:w="1300" w:type="dxa"/>
            <w:vAlign w:val="bottom"/>
            <w:gridSpan w:val="2"/>
          </w:tcPr>
          <w:p>
            <w:pPr>
              <w:jc w:val="center"/>
              <w:ind w:right="180"/>
              <w:spacing w:after="0" w:line="150" w:lineRule="exact"/>
              <w:rPr>
                <w:sz w:val="20"/>
                <w:szCs w:val="20"/>
                <w:color w:val="auto"/>
              </w:rPr>
            </w:pPr>
            <w:r>
              <w:rPr>
                <w:rFonts w:ascii="Arial" w:cs="Arial" w:eastAsia="Arial" w:hAnsi="Arial"/>
                <w:sz w:val="14"/>
                <w:szCs w:val="14"/>
                <w:b w:val="1"/>
                <w:bCs w:val="1"/>
                <w:color w:val="auto"/>
              </w:rPr>
              <w:t>Last Fiscal Year</w:t>
            </w:r>
          </w:p>
        </w:tc>
        <w:tc>
          <w:tcPr>
            <w:tcW w:w="1120" w:type="dxa"/>
            <w:vAlign w:val="bottom"/>
            <w:gridSpan w:val="2"/>
          </w:tcPr>
          <w:p>
            <w:pPr>
              <w:jc w:val="center"/>
              <w:ind w:right="240"/>
              <w:spacing w:after="0" w:line="150" w:lineRule="exact"/>
              <w:rPr>
                <w:sz w:val="20"/>
                <w:szCs w:val="20"/>
                <w:color w:val="auto"/>
              </w:rPr>
            </w:pPr>
            <w:r>
              <w:rPr>
                <w:rFonts w:ascii="Arial" w:cs="Arial" w:eastAsia="Arial" w:hAnsi="Arial"/>
                <w:sz w:val="14"/>
                <w:szCs w:val="14"/>
                <w:b w:val="1"/>
                <w:bCs w:val="1"/>
                <w:color w:val="auto"/>
              </w:rPr>
              <w:t>Distributions</w:t>
            </w:r>
          </w:p>
        </w:tc>
        <w:tc>
          <w:tcPr>
            <w:tcW w:w="130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rPr>
              <w:t>Balance at</w:t>
            </w:r>
          </w:p>
        </w:tc>
      </w:tr>
      <w:tr>
        <w:trPr>
          <w:trHeight w:val="270"/>
        </w:trPr>
        <w:tc>
          <w:tcPr>
            <w:tcW w:w="2860" w:type="dxa"/>
            <w:vAlign w:val="bottom"/>
            <w:tcBorders>
              <w:bottom w:val="single" w:sz="8" w:color="auto"/>
            </w:tcBorders>
          </w:tcPr>
          <w:p>
            <w:pPr>
              <w:ind w:left="1240"/>
              <w:spacing w:after="0"/>
              <w:rPr>
                <w:sz w:val="20"/>
                <w:szCs w:val="20"/>
                <w:color w:val="auto"/>
              </w:rPr>
            </w:pPr>
            <w:r>
              <w:rPr>
                <w:rFonts w:ascii="Arial" w:cs="Arial" w:eastAsia="Arial" w:hAnsi="Arial"/>
                <w:sz w:val="14"/>
                <w:szCs w:val="14"/>
                <w:b w:val="1"/>
                <w:bCs w:val="1"/>
                <w:color w:val="auto"/>
              </w:rPr>
              <w:t>Name</w:t>
            </w:r>
          </w:p>
        </w:tc>
        <w:tc>
          <w:tcPr>
            <w:tcW w:w="180" w:type="dxa"/>
            <w:vAlign w:val="bottom"/>
          </w:tcPr>
          <w:p>
            <w:pPr>
              <w:spacing w:after="0"/>
              <w:rPr>
                <w:sz w:val="23"/>
                <w:szCs w:val="23"/>
                <w:color w:val="auto"/>
              </w:rPr>
            </w:pPr>
          </w:p>
        </w:tc>
        <w:tc>
          <w:tcPr>
            <w:tcW w:w="1120" w:type="dxa"/>
            <w:vAlign w:val="bottom"/>
            <w:tcBorders>
              <w:bottom w:val="single" w:sz="8" w:color="auto"/>
            </w:tcBorders>
          </w:tcPr>
          <w:p>
            <w:pPr>
              <w:jc w:val="center"/>
              <w:spacing w:after="0" w:line="270" w:lineRule="exact"/>
              <w:rPr>
                <w:sz w:val="20"/>
                <w:szCs w:val="20"/>
                <w:color w:val="auto"/>
              </w:rPr>
            </w:pPr>
            <w:r>
              <w:rPr>
                <w:rFonts w:ascii="Arial" w:cs="Arial" w:eastAsia="Arial" w:hAnsi="Arial"/>
                <w:sz w:val="28"/>
                <w:szCs w:val="28"/>
                <w:b w:val="1"/>
                <w:bCs w:val="1"/>
                <w:color w:val="auto"/>
                <w:w w:val="85"/>
                <w:vertAlign w:val="subscript"/>
              </w:rPr>
              <w:t>($)</w:t>
            </w:r>
            <w:r>
              <w:rPr>
                <w:rFonts w:ascii="Arial" w:cs="Arial" w:eastAsia="Arial" w:hAnsi="Arial"/>
                <w:sz w:val="12"/>
                <w:szCs w:val="12"/>
                <w:b w:val="1"/>
                <w:bCs w:val="1"/>
                <w:color w:val="auto"/>
                <w:w w:val="85"/>
              </w:rPr>
              <w:t>(1)</w:t>
            </w:r>
          </w:p>
        </w:tc>
        <w:tc>
          <w:tcPr>
            <w:tcW w:w="200" w:type="dxa"/>
            <w:vAlign w:val="bottom"/>
          </w:tcPr>
          <w:p>
            <w:pPr>
              <w:spacing w:after="0"/>
              <w:rPr>
                <w:sz w:val="23"/>
                <w:szCs w:val="23"/>
                <w:color w:val="auto"/>
              </w:rPr>
            </w:pPr>
          </w:p>
        </w:tc>
        <w:tc>
          <w:tcPr>
            <w:tcW w:w="1120" w:type="dxa"/>
            <w:vAlign w:val="bottom"/>
            <w:tcBorders>
              <w:bottom w:val="single" w:sz="8" w:color="auto"/>
            </w:tcBorders>
          </w:tcPr>
          <w:p>
            <w:pPr>
              <w:jc w:val="center"/>
              <w:spacing w:after="0" w:line="270" w:lineRule="exact"/>
              <w:rPr>
                <w:sz w:val="20"/>
                <w:szCs w:val="20"/>
                <w:color w:val="auto"/>
              </w:rPr>
            </w:pPr>
            <w:r>
              <w:rPr>
                <w:rFonts w:ascii="Arial" w:cs="Arial" w:eastAsia="Arial" w:hAnsi="Arial"/>
                <w:sz w:val="28"/>
                <w:szCs w:val="28"/>
                <w:b w:val="1"/>
                <w:bCs w:val="1"/>
                <w:color w:val="auto"/>
                <w:w w:val="85"/>
                <w:vertAlign w:val="subscript"/>
              </w:rPr>
              <w:t>($)</w:t>
            </w:r>
            <w:r>
              <w:rPr>
                <w:rFonts w:ascii="Arial" w:cs="Arial" w:eastAsia="Arial" w:hAnsi="Arial"/>
                <w:sz w:val="12"/>
                <w:szCs w:val="12"/>
                <w:b w:val="1"/>
                <w:bCs w:val="1"/>
                <w:color w:val="auto"/>
                <w:w w:val="85"/>
              </w:rPr>
              <w:t>(2)</w:t>
            </w:r>
          </w:p>
        </w:tc>
        <w:tc>
          <w:tcPr>
            <w:tcW w:w="180" w:type="dxa"/>
            <w:vAlign w:val="bottom"/>
          </w:tcPr>
          <w:p>
            <w:pPr>
              <w:spacing w:after="0"/>
              <w:rPr>
                <w:sz w:val="23"/>
                <w:szCs w:val="23"/>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3"/>
                <w:szCs w:val="23"/>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3"/>
                <w:szCs w:val="23"/>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Fiscal Year End ($)</w:t>
            </w:r>
          </w:p>
        </w:tc>
      </w:tr>
      <w:tr>
        <w:trPr>
          <w:trHeight w:val="294"/>
        </w:trPr>
        <w:tc>
          <w:tcPr>
            <w:tcW w:w="3040" w:type="dxa"/>
            <w:vAlign w:val="bottom"/>
            <w:gridSpan w:val="2"/>
          </w:tcPr>
          <w:p>
            <w:pPr>
              <w:ind w:left="40"/>
              <w:spacing w:after="0"/>
              <w:rPr>
                <w:sz w:val="20"/>
                <w:szCs w:val="20"/>
                <w:color w:val="auto"/>
              </w:rPr>
            </w:pPr>
            <w:r>
              <w:rPr>
                <w:rFonts w:ascii="Arial" w:cs="Arial" w:eastAsia="Arial" w:hAnsi="Arial"/>
                <w:sz w:val="18"/>
                <w:szCs w:val="18"/>
                <w:color w:val="auto"/>
              </w:rPr>
              <w:t>Thomas Deitrich</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257"/>
              <w:spacing w:after="0"/>
              <w:rPr>
                <w:sz w:val="20"/>
                <w:szCs w:val="20"/>
                <w:color w:val="auto"/>
              </w:rPr>
            </w:pPr>
            <w:r>
              <w:rPr>
                <w:rFonts w:ascii="Arial" w:cs="Arial" w:eastAsia="Arial" w:hAnsi="Arial"/>
                <w:sz w:val="18"/>
                <w:szCs w:val="18"/>
                <w:color w:val="auto"/>
              </w:rPr>
              <w:t>—</w:t>
            </w:r>
          </w:p>
        </w:tc>
      </w:tr>
      <w:tr>
        <w:trPr>
          <w:trHeight w:val="365"/>
        </w:trPr>
        <w:tc>
          <w:tcPr>
            <w:tcW w:w="3040" w:type="dxa"/>
            <w:vAlign w:val="bottom"/>
            <w:gridSpan w:val="2"/>
          </w:tcPr>
          <w:p>
            <w:pPr>
              <w:ind w:left="40"/>
              <w:spacing w:after="0"/>
              <w:rPr>
                <w:sz w:val="20"/>
                <w:szCs w:val="20"/>
                <w:color w:val="auto"/>
              </w:rPr>
            </w:pPr>
            <w:r>
              <w:rPr>
                <w:rFonts w:ascii="Arial" w:cs="Arial" w:eastAsia="Arial" w:hAnsi="Arial"/>
                <w:sz w:val="18"/>
                <w:szCs w:val="18"/>
                <w:color w:val="auto"/>
              </w:rPr>
              <w:t>Joan Hooper</w:t>
            </w:r>
          </w:p>
        </w:tc>
        <w:tc>
          <w:tcPr>
            <w:tcW w:w="1120" w:type="dxa"/>
            <w:vAlign w:val="bottom"/>
          </w:tcPr>
          <w:p>
            <w:pPr>
              <w:jc w:val="right"/>
              <w:ind w:right="159"/>
              <w:spacing w:after="0"/>
              <w:rPr>
                <w:sz w:val="20"/>
                <w:szCs w:val="20"/>
                <w:color w:val="auto"/>
              </w:rPr>
            </w:pPr>
            <w:r>
              <w:rPr>
                <w:rFonts w:ascii="Arial" w:cs="Arial" w:eastAsia="Arial" w:hAnsi="Arial"/>
                <w:sz w:val="18"/>
                <w:szCs w:val="18"/>
                <w:color w:val="auto"/>
              </w:rPr>
              <w:t>127,644</w:t>
            </w:r>
          </w:p>
        </w:tc>
        <w:tc>
          <w:tcPr>
            <w:tcW w:w="200" w:type="dxa"/>
            <w:vAlign w:val="bottom"/>
          </w:tcPr>
          <w:p>
            <w:pPr>
              <w:spacing w:after="0"/>
              <w:rPr>
                <w:sz w:val="24"/>
                <w:szCs w:val="24"/>
                <w:color w:val="auto"/>
              </w:rPr>
            </w:pPr>
          </w:p>
        </w:tc>
        <w:tc>
          <w:tcPr>
            <w:tcW w:w="1120" w:type="dxa"/>
            <w:vAlign w:val="bottom"/>
          </w:tcPr>
          <w:p>
            <w:pPr>
              <w:jc w:val="right"/>
              <w:ind w:right="219"/>
              <w:spacing w:after="0"/>
              <w:rPr>
                <w:sz w:val="20"/>
                <w:szCs w:val="20"/>
                <w:color w:val="auto"/>
              </w:rPr>
            </w:pPr>
            <w:r>
              <w:rPr>
                <w:rFonts w:ascii="Arial" w:cs="Arial" w:eastAsia="Arial" w:hAnsi="Arial"/>
                <w:sz w:val="18"/>
                <w:szCs w:val="18"/>
                <w:color w:val="auto"/>
              </w:rPr>
              <w:t>23,681</w:t>
            </w:r>
          </w:p>
        </w:tc>
        <w:tc>
          <w:tcPr>
            <w:tcW w:w="180" w:type="dxa"/>
            <w:vAlign w:val="bottom"/>
          </w:tcPr>
          <w:p>
            <w:pPr>
              <w:spacing w:after="0"/>
              <w:rPr>
                <w:sz w:val="24"/>
                <w:szCs w:val="24"/>
                <w:color w:val="auto"/>
              </w:rPr>
            </w:pPr>
          </w:p>
        </w:tc>
        <w:tc>
          <w:tcPr>
            <w:tcW w:w="1100" w:type="dxa"/>
            <w:vAlign w:val="bottom"/>
          </w:tcPr>
          <w:p>
            <w:pPr>
              <w:jc w:val="right"/>
              <w:ind w:right="198"/>
              <w:spacing w:after="0"/>
              <w:rPr>
                <w:sz w:val="20"/>
                <w:szCs w:val="20"/>
                <w:color w:val="auto"/>
              </w:rPr>
            </w:pPr>
            <w:r>
              <w:rPr>
                <w:rFonts w:ascii="Arial" w:cs="Arial" w:eastAsia="Arial" w:hAnsi="Arial"/>
                <w:sz w:val="18"/>
                <w:szCs w:val="18"/>
                <w:color w:val="auto"/>
              </w:rPr>
              <w:t>84,374</w:t>
            </w:r>
          </w:p>
        </w:tc>
        <w:tc>
          <w:tcPr>
            <w:tcW w:w="200" w:type="dxa"/>
            <w:vAlign w:val="bottom"/>
          </w:tcPr>
          <w:p>
            <w:pPr>
              <w:spacing w:after="0"/>
              <w:rPr>
                <w:sz w:val="24"/>
                <w:szCs w:val="2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257"/>
              <w:spacing w:after="0"/>
              <w:rPr>
                <w:sz w:val="20"/>
                <w:szCs w:val="20"/>
                <w:color w:val="auto"/>
              </w:rPr>
            </w:pPr>
            <w:r>
              <w:rPr>
                <w:rFonts w:ascii="Arial" w:cs="Arial" w:eastAsia="Arial" w:hAnsi="Arial"/>
                <w:sz w:val="18"/>
                <w:szCs w:val="18"/>
                <w:color w:val="auto"/>
              </w:rPr>
              <w:t>608,545</w:t>
            </w:r>
          </w:p>
        </w:tc>
      </w:tr>
      <w:tr>
        <w:trPr>
          <w:trHeight w:val="365"/>
        </w:trPr>
        <w:tc>
          <w:tcPr>
            <w:tcW w:w="3040" w:type="dxa"/>
            <w:vAlign w:val="bottom"/>
            <w:gridSpan w:val="2"/>
          </w:tcPr>
          <w:p>
            <w:pPr>
              <w:ind w:left="40"/>
              <w:spacing w:after="0"/>
              <w:rPr>
                <w:sz w:val="20"/>
                <w:szCs w:val="20"/>
                <w:color w:val="auto"/>
              </w:rPr>
            </w:pPr>
            <w:r>
              <w:rPr>
                <w:rFonts w:ascii="Arial" w:cs="Arial" w:eastAsia="Arial" w:hAnsi="Arial"/>
                <w:sz w:val="18"/>
                <w:szCs w:val="18"/>
                <w:color w:val="auto"/>
              </w:rPr>
              <w:t>Sarah Hlavinka</w:t>
            </w:r>
          </w:p>
        </w:tc>
        <w:tc>
          <w:tcPr>
            <w:tcW w:w="1120" w:type="dxa"/>
            <w:vAlign w:val="bottom"/>
          </w:tcPr>
          <w:p>
            <w:pPr>
              <w:jc w:val="right"/>
              <w:ind w:right="159"/>
              <w:spacing w:after="0"/>
              <w:rPr>
                <w:sz w:val="20"/>
                <w:szCs w:val="20"/>
                <w:color w:val="auto"/>
              </w:rPr>
            </w:pPr>
            <w:r>
              <w:rPr>
                <w:rFonts w:ascii="Arial" w:cs="Arial" w:eastAsia="Arial" w:hAnsi="Arial"/>
                <w:sz w:val="18"/>
                <w:szCs w:val="18"/>
                <w:color w:val="auto"/>
              </w:rPr>
              <w:t>152,742</w:t>
            </w:r>
          </w:p>
        </w:tc>
        <w:tc>
          <w:tcPr>
            <w:tcW w:w="200" w:type="dxa"/>
            <w:vAlign w:val="bottom"/>
          </w:tcPr>
          <w:p>
            <w:pPr>
              <w:spacing w:after="0"/>
              <w:rPr>
                <w:sz w:val="24"/>
                <w:szCs w:val="24"/>
                <w:color w:val="auto"/>
              </w:rPr>
            </w:pPr>
          </w:p>
        </w:tc>
        <w:tc>
          <w:tcPr>
            <w:tcW w:w="1120" w:type="dxa"/>
            <w:vAlign w:val="bottom"/>
          </w:tcPr>
          <w:p>
            <w:pPr>
              <w:jc w:val="right"/>
              <w:ind w:right="219"/>
              <w:spacing w:after="0"/>
              <w:rPr>
                <w:sz w:val="20"/>
                <w:szCs w:val="20"/>
                <w:color w:val="auto"/>
              </w:rPr>
            </w:pPr>
            <w:r>
              <w:rPr>
                <w:rFonts w:ascii="Arial" w:cs="Arial" w:eastAsia="Arial" w:hAnsi="Arial"/>
                <w:sz w:val="18"/>
                <w:szCs w:val="18"/>
                <w:color w:val="auto"/>
              </w:rPr>
              <w:t>19,732</w:t>
            </w:r>
          </w:p>
        </w:tc>
        <w:tc>
          <w:tcPr>
            <w:tcW w:w="180" w:type="dxa"/>
            <w:vAlign w:val="bottom"/>
          </w:tcPr>
          <w:p>
            <w:pPr>
              <w:spacing w:after="0"/>
              <w:rPr>
                <w:sz w:val="24"/>
                <w:szCs w:val="24"/>
                <w:color w:val="auto"/>
              </w:rPr>
            </w:pPr>
          </w:p>
        </w:tc>
        <w:tc>
          <w:tcPr>
            <w:tcW w:w="1100" w:type="dxa"/>
            <w:vAlign w:val="bottom"/>
          </w:tcPr>
          <w:p>
            <w:pPr>
              <w:jc w:val="right"/>
              <w:ind w:right="198"/>
              <w:spacing w:after="0"/>
              <w:rPr>
                <w:sz w:val="20"/>
                <w:szCs w:val="20"/>
                <w:color w:val="auto"/>
              </w:rPr>
            </w:pPr>
            <w:r>
              <w:rPr>
                <w:rFonts w:ascii="Arial" w:cs="Arial" w:eastAsia="Arial" w:hAnsi="Arial"/>
                <w:sz w:val="18"/>
                <w:szCs w:val="18"/>
                <w:color w:val="auto"/>
              </w:rPr>
              <w:t>86,231</w:t>
            </w:r>
          </w:p>
        </w:tc>
        <w:tc>
          <w:tcPr>
            <w:tcW w:w="200" w:type="dxa"/>
            <w:vAlign w:val="bottom"/>
          </w:tcPr>
          <w:p>
            <w:pPr>
              <w:spacing w:after="0"/>
              <w:rPr>
                <w:sz w:val="24"/>
                <w:szCs w:val="2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257"/>
              <w:spacing w:after="0"/>
              <w:rPr>
                <w:sz w:val="20"/>
                <w:szCs w:val="20"/>
                <w:color w:val="auto"/>
              </w:rPr>
            </w:pPr>
            <w:r>
              <w:rPr>
                <w:rFonts w:ascii="Arial" w:cs="Arial" w:eastAsia="Arial" w:hAnsi="Arial"/>
                <w:sz w:val="18"/>
                <w:szCs w:val="18"/>
                <w:color w:val="auto"/>
              </w:rPr>
              <w:t>305,056</w:t>
            </w:r>
          </w:p>
        </w:tc>
      </w:tr>
      <w:tr>
        <w:trPr>
          <w:trHeight w:val="365"/>
        </w:trPr>
        <w:tc>
          <w:tcPr>
            <w:tcW w:w="3040" w:type="dxa"/>
            <w:vAlign w:val="bottom"/>
            <w:gridSpan w:val="2"/>
          </w:tcPr>
          <w:p>
            <w:pPr>
              <w:ind w:left="40"/>
              <w:spacing w:after="0"/>
              <w:rPr>
                <w:sz w:val="20"/>
                <w:szCs w:val="20"/>
                <w:color w:val="auto"/>
              </w:rPr>
            </w:pPr>
            <w:r>
              <w:rPr>
                <w:rFonts w:ascii="Arial" w:cs="Arial" w:eastAsia="Arial" w:hAnsi="Arial"/>
                <w:sz w:val="18"/>
                <w:szCs w:val="18"/>
                <w:color w:val="auto"/>
              </w:rPr>
              <w:t>Michel Cadieux</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257"/>
              <w:spacing w:after="0"/>
              <w:rPr>
                <w:sz w:val="20"/>
                <w:szCs w:val="20"/>
                <w:color w:val="auto"/>
              </w:rPr>
            </w:pPr>
            <w:r>
              <w:rPr>
                <w:rFonts w:ascii="Arial" w:cs="Arial" w:eastAsia="Arial" w:hAnsi="Arial"/>
                <w:sz w:val="18"/>
                <w:szCs w:val="18"/>
                <w:color w:val="auto"/>
              </w:rPr>
              <w:t>—</w:t>
            </w:r>
          </w:p>
        </w:tc>
      </w:tr>
      <w:tr>
        <w:trPr>
          <w:trHeight w:val="364"/>
        </w:trPr>
        <w:tc>
          <w:tcPr>
            <w:tcW w:w="3040" w:type="dxa"/>
            <w:vAlign w:val="bottom"/>
            <w:gridSpan w:val="2"/>
          </w:tcPr>
          <w:p>
            <w:pPr>
              <w:ind w:left="40"/>
              <w:spacing w:after="0"/>
              <w:rPr>
                <w:sz w:val="20"/>
                <w:szCs w:val="20"/>
                <w:color w:val="auto"/>
              </w:rPr>
            </w:pPr>
            <w:r>
              <w:rPr>
                <w:rFonts w:ascii="Arial" w:cs="Arial" w:eastAsia="Arial" w:hAnsi="Arial"/>
                <w:sz w:val="18"/>
                <w:szCs w:val="18"/>
                <w:color w:val="auto"/>
              </w:rPr>
              <w:t>Donald Reeves</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257"/>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82296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73" w:lineRule="exact"/>
        <w:rPr>
          <w:sz w:val="20"/>
          <w:szCs w:val="20"/>
          <w:color w:val="auto"/>
        </w:rPr>
      </w:pPr>
    </w:p>
    <w:p>
      <w:pPr>
        <w:ind w:left="348" w:hanging="348"/>
        <w:spacing w:after="0"/>
        <w:tabs>
          <w:tab w:leader="none" w:pos="348" w:val="left"/>
        </w:tabs>
        <w:numPr>
          <w:ilvl w:val="0"/>
          <w:numId w:val="53"/>
        </w:numPr>
        <w:rPr>
          <w:rFonts w:ascii="Arial" w:cs="Arial" w:eastAsia="Arial" w:hAnsi="Arial"/>
          <w:sz w:val="14"/>
          <w:szCs w:val="14"/>
          <w:color w:val="auto"/>
        </w:rPr>
      </w:pPr>
      <w:r>
        <w:rPr>
          <w:rFonts w:ascii="Arial" w:cs="Arial" w:eastAsia="Arial" w:hAnsi="Arial"/>
          <w:sz w:val="14"/>
          <w:szCs w:val="14"/>
          <w:color w:val="auto"/>
        </w:rPr>
        <w:t xml:space="preserve">This deferred compensation represents amounts that are reported as compensation earned in 2020 in the </w:t>
      </w:r>
      <w:r>
        <w:rPr>
          <w:rFonts w:ascii="Arial" w:cs="Arial" w:eastAsia="Arial" w:hAnsi="Arial"/>
          <w:sz w:val="14"/>
          <w:szCs w:val="14"/>
          <w:i w:val="1"/>
          <w:iCs w:val="1"/>
          <w:color w:val="auto"/>
        </w:rPr>
        <w:t>Summary Compensation Table</w:t>
      </w:r>
      <w:r>
        <w:rPr>
          <w:rFonts w:ascii="Arial" w:cs="Arial" w:eastAsia="Arial" w:hAnsi="Arial"/>
          <w:sz w:val="14"/>
          <w:szCs w:val="14"/>
          <w:color w:val="auto"/>
        </w:rPr>
        <w:t>.</w:t>
      </w:r>
    </w:p>
    <w:p>
      <w:pPr>
        <w:spacing w:after="0" w:line="68" w:lineRule="exact"/>
        <w:rPr>
          <w:rFonts w:ascii="Arial" w:cs="Arial" w:eastAsia="Arial" w:hAnsi="Arial"/>
          <w:sz w:val="14"/>
          <w:szCs w:val="14"/>
          <w:color w:val="auto"/>
        </w:rPr>
      </w:pPr>
    </w:p>
    <w:p>
      <w:pPr>
        <w:ind w:left="348" w:hanging="348"/>
        <w:spacing w:after="0"/>
        <w:tabs>
          <w:tab w:leader="none" w:pos="348" w:val="left"/>
        </w:tabs>
        <w:numPr>
          <w:ilvl w:val="0"/>
          <w:numId w:val="53"/>
        </w:numPr>
        <w:rPr>
          <w:rFonts w:ascii="Arial" w:cs="Arial" w:eastAsia="Arial" w:hAnsi="Arial"/>
          <w:sz w:val="14"/>
          <w:szCs w:val="14"/>
          <w:color w:val="auto"/>
        </w:rPr>
      </w:pPr>
      <w:r>
        <w:rPr>
          <w:rFonts w:ascii="Arial" w:cs="Arial" w:eastAsia="Arial" w:hAnsi="Arial"/>
          <w:sz w:val="14"/>
          <w:szCs w:val="14"/>
          <w:color w:val="auto"/>
        </w:rPr>
        <w:t xml:space="preserve">This amount has been included in the “All Other Compensation” column of the </w:t>
      </w:r>
      <w:r>
        <w:rPr>
          <w:rFonts w:ascii="Arial" w:cs="Arial" w:eastAsia="Arial" w:hAnsi="Arial"/>
          <w:sz w:val="14"/>
          <w:szCs w:val="14"/>
          <w:i w:val="1"/>
          <w:iCs w:val="1"/>
          <w:color w:val="auto"/>
        </w:rPr>
        <w:t>Summary Compensation Table</w:t>
      </w:r>
      <w:r>
        <w:rPr>
          <w:rFonts w:ascii="Arial" w:cs="Arial" w:eastAsia="Arial" w:hAnsi="Arial"/>
          <w:sz w:val="14"/>
          <w:szCs w:val="14"/>
          <w:color w:val="auto"/>
        </w:rPr>
        <w:t>.</w:t>
      </w:r>
    </w:p>
    <w:p>
      <w:pPr>
        <w:spacing w:after="0" w:line="315" w:lineRule="exact"/>
        <w:rPr>
          <w:sz w:val="20"/>
          <w:szCs w:val="20"/>
          <w:color w:val="auto"/>
        </w:rPr>
      </w:pPr>
    </w:p>
    <w:p>
      <w:pPr>
        <w:jc w:val="center"/>
        <w:ind w:right="-87"/>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-479425</wp:posOffset>
            </wp:positionH>
            <wp:positionV relativeFrom="paragraph">
              <wp:posOffset>165735</wp:posOffset>
            </wp:positionV>
            <wp:extent cx="699516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48"/>
          </w:cols>
          <w:pgMar w:left="1192" w:top="263" w:right="1259" w:bottom="1440" w:gutter="0" w:footer="0" w:header="0"/>
          <w:type w:val="continuous"/>
        </w:sectPr>
      </w:pPr>
    </w:p>
    <w:bookmarkStart w:id="45" w:name="page46"/>
    <w:bookmarkEnd w:id="45"/>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Executive Deferred Compensation Plan</w:t>
      </w:r>
    </w:p>
    <w:p>
      <w:pPr>
        <w:spacing w:after="0" w:line="18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Executive officers located in the U.S. are eligible to participate in the Company’s Executive Deferred Compensation Plan (EDCP). We offer the EDCP to our highly-compensated employees to give them the benefit of being able to defer some of their taxable income, which also encourages their retention with the Company. Participants may defer up to 50% of their base salary and up to 50% of their annual cash incentive into a nonqualified account.</w:t>
      </w:r>
    </w:p>
    <w:p>
      <w:pPr>
        <w:spacing w:after="0" w:line="112"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Executive officers are also permitted to elect to defer an additional portion of their base salary under the EDCP equal to the amount of any contributions returned to them during the year from the Company’s 401(k) Plan. In 2020, the Company made matching contributions to the account of each participating executive at the rate of 75% of the first 6% of base salary and annual incentive deferred by the executive officer during that year, which is the same matching formula as the Company’s 401(k) Plan. The employer match into the EDCP starts after the employee reaches IRS limits on the 401(k) Plan and is no longer eligible for the 401(k) match. The executive officers’ account balances are adjusted for hypothetical investment earnings or losses according to the returns of the “measurement funds” selected by the executives. The measurement funds correspond to the mutual funds available for investment under the Company’s 401(k) plan (but currently do not include a Company stock fund).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Potential Payments upon Termination</w:t>
      </w:r>
    </w:p>
    <w:p>
      <w:pPr>
        <w:spacing w:after="0" w:line="173" w:lineRule="exact"/>
        <w:rPr>
          <w:sz w:val="20"/>
          <w:szCs w:val="20"/>
          <w:color w:val="auto"/>
        </w:rPr>
      </w:pPr>
    </w:p>
    <w:p>
      <w:pPr>
        <w:ind w:right="120"/>
        <w:spacing w:after="0" w:line="276" w:lineRule="auto"/>
        <w:rPr>
          <w:sz w:val="20"/>
          <w:szCs w:val="20"/>
          <w:color w:val="auto"/>
        </w:rPr>
      </w:pPr>
      <w:r>
        <w:rPr>
          <w:rFonts w:ascii="Arial" w:cs="Arial" w:eastAsia="Arial" w:hAnsi="Arial"/>
          <w:sz w:val="18"/>
          <w:szCs w:val="18"/>
          <w:color w:val="auto"/>
        </w:rPr>
        <w:t>The following describes certain actions and payments upon termination in accordance with Company policies and the provisions of our Second A&amp;R 2010 Plan, pursuant to which all of our equity awards are granted.</w:t>
      </w:r>
    </w:p>
    <w:p>
      <w:pPr>
        <w:spacing w:after="0" w:line="118" w:lineRule="exact"/>
        <w:rPr>
          <w:sz w:val="20"/>
          <w:szCs w:val="20"/>
          <w:color w:val="auto"/>
        </w:rPr>
      </w:pPr>
    </w:p>
    <w:p>
      <w:pPr>
        <w:ind w:right="600"/>
        <w:spacing w:after="0" w:line="276" w:lineRule="auto"/>
        <w:rPr>
          <w:sz w:val="20"/>
          <w:szCs w:val="20"/>
          <w:color w:val="auto"/>
        </w:rPr>
      </w:pPr>
      <w:r>
        <w:rPr>
          <w:rFonts w:ascii="Arial" w:cs="Arial" w:eastAsia="Arial" w:hAnsi="Arial"/>
          <w:sz w:val="18"/>
          <w:szCs w:val="18"/>
          <w:color w:val="auto"/>
        </w:rPr>
        <w:t>Upon any termination of employment, our NEOs are entitled to receive any accrued and unpaid base salary through the date of termination.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Termination for Cause</w:t>
      </w:r>
    </w:p>
    <w:p>
      <w:pPr>
        <w:spacing w:after="0" w:line="17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executive is entitled to receive any accrued and unpaid base salary through the date of termination. All options granted automatically expire when terminated for cause and all unvested time-vested RSUs and all unvested awards under the LTIP and the EMIP are forfeited in the event of termination for cause.</w:t>
      </w: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157480</wp:posOffset>
            </wp:positionV>
            <wp:extent cx="699516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40"/>
          </w:cols>
          <w:pgMar w:left="1360" w:top="263" w:right="1399" w:bottom="1440" w:gutter="0" w:footer="0" w:header="0"/>
        </w:sectPr>
      </w:pPr>
    </w:p>
    <w:bookmarkStart w:id="46" w:name="page47"/>
    <w:bookmarkEnd w:id="46"/>
    <w:p>
      <w:pPr>
        <w:ind w:left="6"/>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122" w:lineRule="exact"/>
        <w:rPr>
          <w:sz w:val="20"/>
          <w:szCs w:val="20"/>
          <w:color w:val="auto"/>
        </w:rPr>
      </w:pPr>
    </w:p>
    <w:p>
      <w:pPr>
        <w:ind w:left="6"/>
        <w:spacing w:after="0"/>
        <w:rPr>
          <w:sz w:val="20"/>
          <w:szCs w:val="20"/>
          <w:color w:val="auto"/>
        </w:rPr>
      </w:pPr>
      <w:r>
        <w:rPr>
          <w:rFonts w:ascii="Arial" w:cs="Arial" w:eastAsia="Arial" w:hAnsi="Arial"/>
          <w:sz w:val="18"/>
          <w:szCs w:val="18"/>
          <w:b w:val="1"/>
          <w:bCs w:val="1"/>
          <w:u w:val="single" w:color="auto"/>
          <w:color w:val="auto"/>
        </w:rPr>
        <w:t>Termination Due to Death, Disability, or Retirement</w:t>
      </w:r>
    </w:p>
    <w:p>
      <w:pPr>
        <w:spacing w:after="0" w:line="214" w:lineRule="exact"/>
        <w:rPr>
          <w:sz w:val="20"/>
          <w:szCs w:val="20"/>
          <w:color w:val="auto"/>
        </w:rPr>
      </w:pPr>
    </w:p>
    <w:p>
      <w:pPr>
        <w:ind w:left="6"/>
        <w:spacing w:after="0"/>
        <w:rPr>
          <w:sz w:val="20"/>
          <w:szCs w:val="20"/>
          <w:color w:val="auto"/>
        </w:rPr>
      </w:pPr>
      <w:r>
        <w:rPr>
          <w:rFonts w:ascii="Arial" w:cs="Arial" w:eastAsia="Arial" w:hAnsi="Arial"/>
          <w:sz w:val="18"/>
          <w:szCs w:val="18"/>
          <w:color w:val="auto"/>
        </w:rPr>
        <w:t>What happens if termination is due to:</w:t>
      </w:r>
    </w:p>
    <w:p>
      <w:pPr>
        <w:spacing w:after="0" w:line="66" w:lineRule="exact"/>
        <w:rPr>
          <w:sz w:val="20"/>
          <w:szCs w:val="20"/>
          <w:color w:val="auto"/>
        </w:rPr>
      </w:pPr>
    </w:p>
    <w:tbl>
      <w:tblPr>
        <w:tblLayout w:type="fixed"/>
        <w:tblInd w:w="16" w:type="dxa"/>
        <w:tblCellMar>
          <w:top w:w="0" w:type="dxa"/>
          <w:left w:w="0" w:type="dxa"/>
          <w:bottom w:w="0" w:type="dxa"/>
          <w:right w:w="0" w:type="dxa"/>
        </w:tblCellMar>
      </w:tblPr>
      <w:tr>
        <w:trPr>
          <w:trHeight w:val="297"/>
        </w:trPr>
        <w:tc>
          <w:tcPr>
            <w:tcW w:w="1180" w:type="dxa"/>
            <w:vAlign w:val="bottom"/>
            <w:tcBorders>
              <w:top w:val="single" w:sz="8" w:color="auto"/>
              <w:left w:val="single" w:sz="8" w:color="auto"/>
              <w:right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00" w:type="dxa"/>
            <w:vAlign w:val="bottom"/>
            <w:tcBorders>
              <w:top w:val="single" w:sz="8" w:color="auto"/>
              <w:bottom w:val="single" w:sz="8" w:color="auto"/>
              <w:right w:val="single" w:sz="8" w:color="auto"/>
            </w:tcBorders>
            <w:gridSpan w:val="5"/>
            <w:vMerge w:val="restart"/>
          </w:tcPr>
          <w:p>
            <w:pPr>
              <w:ind w:left="140"/>
              <w:spacing w:after="0"/>
              <w:rPr>
                <w:sz w:val="20"/>
                <w:szCs w:val="20"/>
                <w:color w:val="auto"/>
              </w:rPr>
            </w:pPr>
            <w:r>
              <w:rPr>
                <w:rFonts w:ascii="Arial" w:cs="Arial" w:eastAsia="Arial" w:hAnsi="Arial"/>
                <w:sz w:val="13"/>
                <w:szCs w:val="13"/>
                <w:b w:val="1"/>
                <w:bCs w:val="1"/>
                <w:color w:val="auto"/>
              </w:rPr>
              <w:t>Death or Disability</w:t>
            </w:r>
          </w:p>
        </w:tc>
        <w:tc>
          <w:tcPr>
            <w:tcW w:w="38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1420" w:type="dxa"/>
            <w:vAlign w:val="bottom"/>
            <w:tcBorders>
              <w:top w:val="single" w:sz="8" w:color="auto"/>
              <w:bottom w:val="single" w:sz="8" w:color="auto"/>
            </w:tcBorders>
            <w:gridSpan w:val="3"/>
          </w:tcPr>
          <w:p>
            <w:pPr>
              <w:ind w:left="440"/>
              <w:spacing w:after="0"/>
              <w:rPr>
                <w:sz w:val="20"/>
                <w:szCs w:val="20"/>
                <w:color w:val="auto"/>
              </w:rPr>
            </w:pPr>
            <w:r>
              <w:rPr>
                <w:rFonts w:ascii="Arial" w:cs="Arial" w:eastAsia="Arial" w:hAnsi="Arial"/>
                <w:sz w:val="13"/>
                <w:szCs w:val="13"/>
                <w:b w:val="1"/>
                <w:bCs w:val="1"/>
                <w:color w:val="auto"/>
              </w:rPr>
              <w:t>Retirement</w:t>
            </w:r>
            <w:r>
              <w:rPr>
                <w:rFonts w:ascii="Arial" w:cs="Arial" w:eastAsia="Arial" w:hAnsi="Arial"/>
                <w:sz w:val="22"/>
                <w:szCs w:val="22"/>
                <w:b w:val="1"/>
                <w:bCs w:val="1"/>
                <w:color w:val="auto"/>
                <w:vertAlign w:val="superscript"/>
              </w:rPr>
              <w:t>(1)</w:t>
            </w:r>
          </w:p>
        </w:tc>
        <w:tc>
          <w:tcPr>
            <w:tcW w:w="8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1180" w:type="dxa"/>
            <w:vAlign w:val="bottom"/>
            <w:tcBorders>
              <w:left w:val="single" w:sz="8" w:color="auto"/>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600" w:type="dxa"/>
            <w:vAlign w:val="bottom"/>
            <w:tcBorders>
              <w:right w:val="single" w:sz="8" w:color="auto"/>
            </w:tcBorders>
            <w:gridSpan w:val="5"/>
            <w:vMerge w:val="continue"/>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0" w:type="dxa"/>
            <w:vAlign w:val="bottom"/>
            <w:tcBorders>
              <w:right w:val="single" w:sz="8" w:color="auto"/>
            </w:tcBorders>
            <w:gridSpan w:val="3"/>
            <w:vMerge w:val="restart"/>
          </w:tcPr>
          <w:p>
            <w:pPr>
              <w:jc w:val="center"/>
              <w:ind w:right="500"/>
              <w:spacing w:after="0"/>
              <w:rPr>
                <w:sz w:val="20"/>
                <w:szCs w:val="20"/>
                <w:color w:val="auto"/>
              </w:rPr>
            </w:pPr>
            <w:r>
              <w:rPr>
                <w:rFonts w:ascii="Arial" w:cs="Arial" w:eastAsia="Arial" w:hAnsi="Arial"/>
                <w:sz w:val="13"/>
                <w:szCs w:val="13"/>
                <w:b w:val="1"/>
                <w:bCs w:val="1"/>
                <w:color w:val="auto"/>
              </w:rPr>
              <w:t>2018 Awards</w:t>
            </w: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420" w:type="dxa"/>
            <w:vAlign w:val="bottom"/>
            <w:tcBorders>
              <w:right w:val="single" w:sz="8" w:color="auto"/>
            </w:tcBorders>
            <w:gridSpan w:val="3"/>
            <w:vMerge w:val="restart"/>
          </w:tcPr>
          <w:p>
            <w:pPr>
              <w:jc w:val="center"/>
              <w:ind w:right="440"/>
              <w:spacing w:after="0"/>
              <w:rPr>
                <w:sz w:val="20"/>
                <w:szCs w:val="20"/>
                <w:color w:val="auto"/>
              </w:rPr>
            </w:pPr>
            <w:r>
              <w:rPr>
                <w:rFonts w:ascii="Arial" w:cs="Arial" w:eastAsia="Arial" w:hAnsi="Arial"/>
                <w:sz w:val="13"/>
                <w:szCs w:val="13"/>
                <w:b w:val="1"/>
                <w:bCs w:val="1"/>
                <w:color w:val="auto"/>
              </w:rPr>
              <w:t>2019 Awards</w:t>
            </w: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60" w:type="dxa"/>
            <w:vAlign w:val="bottom"/>
            <w:tcBorders>
              <w:right w:val="single" w:sz="8" w:color="auto"/>
            </w:tcBorders>
            <w:gridSpan w:val="3"/>
            <w:vMerge w:val="restart"/>
          </w:tcPr>
          <w:p>
            <w:pPr>
              <w:jc w:val="center"/>
              <w:ind w:right="720"/>
              <w:spacing w:after="0"/>
              <w:rPr>
                <w:sz w:val="20"/>
                <w:szCs w:val="20"/>
                <w:color w:val="auto"/>
              </w:rPr>
            </w:pPr>
            <w:r>
              <w:rPr>
                <w:rFonts w:ascii="Arial" w:cs="Arial" w:eastAsia="Arial" w:hAnsi="Arial"/>
                <w:sz w:val="13"/>
                <w:szCs w:val="13"/>
                <w:b w:val="1"/>
                <w:bCs w:val="1"/>
                <w:color w:val="auto"/>
              </w:rPr>
              <w:t>2020 Awards</w:t>
            </w:r>
          </w:p>
        </w:tc>
        <w:tc>
          <w:tcPr>
            <w:tcW w:w="0" w:type="dxa"/>
            <w:vAlign w:val="bottom"/>
          </w:tcPr>
          <w:p>
            <w:pPr>
              <w:spacing w:after="0"/>
              <w:rPr>
                <w:sz w:val="1"/>
                <w:szCs w:val="1"/>
                <w:color w:val="auto"/>
              </w:rPr>
            </w:pPr>
          </w:p>
        </w:tc>
      </w:tr>
      <w:tr>
        <w:trPr>
          <w:trHeight w:val="135"/>
        </w:trPr>
        <w:tc>
          <w:tcPr>
            <w:tcW w:w="1180" w:type="dxa"/>
            <w:vAlign w:val="bottom"/>
            <w:tcBorders>
              <w:left w:val="single" w:sz="8" w:color="auto"/>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Borders>
              <w:right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tcBorders>
              <w:right w:val="single" w:sz="8" w:color="auto"/>
            </w:tcBorders>
            <w:gridSpan w:val="3"/>
            <w:vMerge w:val="continue"/>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20" w:type="dxa"/>
            <w:vAlign w:val="bottom"/>
            <w:tcBorders>
              <w:right w:val="single" w:sz="8" w:color="auto"/>
            </w:tcBorders>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60" w:type="dxa"/>
            <w:vAlign w:val="bottom"/>
            <w:tcBorders>
              <w:right w:val="single" w:sz="8" w:color="auto"/>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1"/>
        </w:trPr>
        <w:tc>
          <w:tcPr>
            <w:tcW w:w="1180" w:type="dxa"/>
            <w:vAlign w:val="bottom"/>
            <w:tcBorders>
              <w:left w:val="single" w:sz="8" w:color="auto"/>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7"/>
        </w:trPr>
        <w:tc>
          <w:tcPr>
            <w:tcW w:w="1180" w:type="dxa"/>
            <w:vAlign w:val="bottom"/>
            <w:tcBorders>
              <w:left w:val="single" w:sz="8" w:color="auto"/>
              <w:right w:val="single" w:sz="8" w:color="auto"/>
            </w:tcBorders>
          </w:tcPr>
          <w:p>
            <w:pPr>
              <w:ind w:left="320"/>
              <w:spacing w:after="0"/>
              <w:rPr>
                <w:sz w:val="20"/>
                <w:szCs w:val="20"/>
                <w:color w:val="auto"/>
              </w:rPr>
            </w:pPr>
            <w:r>
              <w:rPr>
                <w:rFonts w:ascii="Arial" w:cs="Arial" w:eastAsia="Arial" w:hAnsi="Arial"/>
                <w:sz w:val="13"/>
                <w:szCs w:val="13"/>
                <w:b w:val="1"/>
                <w:bCs w:val="1"/>
                <w:color w:val="auto"/>
              </w:rPr>
              <w:t>Annual</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Borders>
              <w:right w:val="single" w:sz="8" w:color="auto"/>
            </w:tcBorders>
            <w:gridSpan w:val="4"/>
            <w:vMerge w:val="restart"/>
          </w:tcPr>
          <w:p>
            <w:pPr>
              <w:jc w:val="center"/>
              <w:ind w:right="280"/>
              <w:spacing w:after="0"/>
              <w:rPr>
                <w:sz w:val="20"/>
                <w:szCs w:val="20"/>
                <w:color w:val="auto"/>
              </w:rPr>
            </w:pPr>
            <w:r>
              <w:rPr>
                <w:rFonts w:ascii="Arial" w:cs="Arial" w:eastAsia="Arial" w:hAnsi="Arial"/>
                <w:sz w:val="13"/>
                <w:szCs w:val="13"/>
                <w:b w:val="1"/>
                <w:bCs w:val="1"/>
                <w:color w:val="auto"/>
              </w:rPr>
              <w:t>Prorated</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Borders>
              <w:right w:val="single" w:sz="8" w:color="auto"/>
            </w:tcBorders>
            <w:gridSpan w:val="3"/>
            <w:vMerge w:val="restart"/>
          </w:tcPr>
          <w:p>
            <w:pPr>
              <w:jc w:val="center"/>
              <w:ind w:right="480"/>
              <w:spacing w:after="0"/>
              <w:rPr>
                <w:sz w:val="20"/>
                <w:szCs w:val="20"/>
                <w:color w:val="auto"/>
              </w:rPr>
            </w:pPr>
            <w:r>
              <w:rPr>
                <w:rFonts w:ascii="Arial" w:cs="Arial" w:eastAsia="Arial" w:hAnsi="Arial"/>
                <w:sz w:val="13"/>
                <w:szCs w:val="13"/>
                <w:b w:val="1"/>
                <w:bCs w:val="1"/>
                <w:color w:val="auto"/>
              </w:rPr>
              <w:t>Prorated</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Borders>
              <w:right w:val="single" w:sz="8" w:color="auto"/>
            </w:tcBorders>
            <w:gridSpan w:val="3"/>
            <w:vMerge w:val="restart"/>
          </w:tcPr>
          <w:p>
            <w:pPr>
              <w:jc w:val="center"/>
              <w:ind w:right="460"/>
              <w:spacing w:after="0"/>
              <w:rPr>
                <w:sz w:val="20"/>
                <w:szCs w:val="20"/>
                <w:color w:val="auto"/>
              </w:rPr>
            </w:pPr>
            <w:r>
              <w:rPr>
                <w:rFonts w:ascii="Arial" w:cs="Arial" w:eastAsia="Arial" w:hAnsi="Arial"/>
                <w:sz w:val="13"/>
                <w:szCs w:val="13"/>
                <w:b w:val="1"/>
                <w:bCs w:val="1"/>
                <w:color w:val="auto"/>
              </w:rPr>
              <w:t>Prorated</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20" w:type="dxa"/>
            <w:vAlign w:val="bottom"/>
            <w:tcBorders>
              <w:right w:val="single" w:sz="8" w:color="auto"/>
            </w:tcBorders>
            <w:gridSpan w:val="2"/>
            <w:vMerge w:val="restart"/>
          </w:tcPr>
          <w:p>
            <w:pPr>
              <w:jc w:val="center"/>
              <w:ind w:right="980"/>
              <w:spacing w:after="0"/>
              <w:rPr>
                <w:sz w:val="20"/>
                <w:szCs w:val="20"/>
                <w:color w:val="auto"/>
              </w:rPr>
            </w:pPr>
            <w:r>
              <w:rPr>
                <w:rFonts w:ascii="Arial" w:cs="Arial" w:eastAsia="Arial" w:hAnsi="Arial"/>
                <w:sz w:val="13"/>
                <w:szCs w:val="13"/>
                <w:b w:val="1"/>
                <w:bCs w:val="1"/>
                <w:color w:val="auto"/>
              </w:rPr>
              <w:t>Prorated</w:t>
            </w:r>
          </w:p>
        </w:tc>
        <w:tc>
          <w:tcPr>
            <w:tcW w:w="0" w:type="dxa"/>
            <w:vAlign w:val="bottom"/>
          </w:tcPr>
          <w:p>
            <w:pPr>
              <w:spacing w:after="0"/>
              <w:rPr>
                <w:sz w:val="1"/>
                <w:szCs w:val="1"/>
                <w:color w:val="auto"/>
              </w:rPr>
            </w:pPr>
          </w:p>
        </w:tc>
      </w:tr>
      <w:tr>
        <w:trPr>
          <w:trHeight w:val="144"/>
        </w:trPr>
        <w:tc>
          <w:tcPr>
            <w:tcW w:w="1180" w:type="dxa"/>
            <w:vAlign w:val="bottom"/>
            <w:tcBorders>
              <w:left w:val="single" w:sz="8" w:color="auto"/>
              <w:right w:val="single" w:sz="8" w:color="auto"/>
            </w:tcBorders>
          </w:tcPr>
          <w:p>
            <w:pPr>
              <w:jc w:val="center"/>
              <w:ind w:right="54"/>
              <w:spacing w:after="0" w:line="144" w:lineRule="exact"/>
              <w:rPr>
                <w:sz w:val="20"/>
                <w:szCs w:val="20"/>
                <w:color w:val="auto"/>
              </w:rPr>
            </w:pPr>
            <w:r>
              <w:rPr>
                <w:rFonts w:ascii="Arial" w:cs="Arial" w:eastAsia="Arial" w:hAnsi="Arial"/>
                <w:sz w:val="13"/>
                <w:szCs w:val="13"/>
                <w:b w:val="1"/>
                <w:bCs w:val="1"/>
                <w:color w:val="auto"/>
              </w:rPr>
              <w:t>Incentive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tcBorders>
              <w:right w:val="single" w:sz="8" w:color="auto"/>
            </w:tcBorders>
            <w:gridSpan w:val="4"/>
            <w:vMerge w:val="continue"/>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Borders>
              <w:right w:val="single" w:sz="8" w:color="auto"/>
            </w:tcBorders>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tcBorders>
              <w:right w:val="single" w:sz="8" w:color="auto"/>
            </w:tcBorders>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20" w:type="dxa"/>
            <w:vAlign w:val="bottom"/>
            <w:tcBorders>
              <w:right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6"/>
        </w:trPr>
        <w:tc>
          <w:tcPr>
            <w:tcW w:w="1180" w:type="dxa"/>
            <w:vAlign w:val="bottom"/>
            <w:tcBorders>
              <w:left w:val="single" w:sz="8" w:color="auto"/>
              <w:bottom w:val="single" w:sz="8" w:color="auto"/>
              <w:right w:val="single" w:sz="8" w:color="auto"/>
            </w:tcBorders>
          </w:tcPr>
          <w:p>
            <w:pPr>
              <w:jc w:val="center"/>
              <w:ind w:right="14"/>
              <w:spacing w:after="0" w:line="226" w:lineRule="exact"/>
              <w:rPr>
                <w:sz w:val="20"/>
                <w:szCs w:val="20"/>
                <w:color w:val="auto"/>
              </w:rPr>
            </w:pPr>
            <w:r>
              <w:rPr>
                <w:rFonts w:ascii="Arial" w:cs="Arial" w:eastAsia="Arial" w:hAnsi="Arial"/>
                <w:sz w:val="13"/>
                <w:szCs w:val="13"/>
                <w:b w:val="1"/>
                <w:bCs w:val="1"/>
                <w:color w:val="auto"/>
                <w:w w:val="92"/>
              </w:rPr>
              <w:t>Plan</w:t>
            </w:r>
            <w:r>
              <w:rPr>
                <w:rFonts w:ascii="Arial" w:cs="Arial" w:eastAsia="Arial" w:hAnsi="Arial"/>
                <w:sz w:val="22"/>
                <w:szCs w:val="22"/>
                <w:b w:val="1"/>
                <w:bCs w:val="1"/>
                <w:color w:val="auto"/>
                <w:w w:val="92"/>
                <w:vertAlign w:val="superscript"/>
              </w:rPr>
              <w:t>(2)</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right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1180" w:type="dxa"/>
            <w:vAlign w:val="bottom"/>
            <w:tcBorders>
              <w:left w:val="single" w:sz="8" w:color="auto"/>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Borders>
              <w:right w:val="single" w:sz="8" w:color="auto"/>
            </w:tcBorders>
          </w:tcPr>
          <w:p>
            <w:pPr>
              <w:spacing w:after="0"/>
              <w:rPr>
                <w:sz w:val="15"/>
                <w:szCs w:val="15"/>
                <w:color w:val="auto"/>
              </w:rPr>
            </w:pPr>
          </w:p>
        </w:tc>
        <w:tc>
          <w:tcPr>
            <w:tcW w:w="1860" w:type="dxa"/>
            <w:vAlign w:val="bottom"/>
            <w:tcBorders>
              <w:right w:val="single" w:sz="8" w:color="auto"/>
            </w:tcBorders>
            <w:gridSpan w:val="5"/>
          </w:tcPr>
          <w:p>
            <w:pPr>
              <w:jc w:val="center"/>
              <w:ind w:right="60"/>
              <w:spacing w:after="0"/>
              <w:rPr>
                <w:sz w:val="20"/>
                <w:szCs w:val="20"/>
                <w:color w:val="auto"/>
              </w:rPr>
            </w:pPr>
            <w:r>
              <w:rPr>
                <w:rFonts w:ascii="Arial" w:cs="Arial" w:eastAsia="Arial" w:hAnsi="Arial"/>
                <w:sz w:val="13"/>
                <w:szCs w:val="13"/>
                <w:color w:val="auto"/>
              </w:rPr>
              <w:t>If retire after 18 months</w:t>
            </w:r>
          </w:p>
        </w:tc>
        <w:tc>
          <w:tcPr>
            <w:tcW w:w="1840" w:type="dxa"/>
            <w:vAlign w:val="bottom"/>
            <w:tcBorders>
              <w:right w:val="single" w:sz="8" w:color="auto"/>
            </w:tcBorders>
            <w:gridSpan w:val="5"/>
          </w:tcPr>
          <w:p>
            <w:pPr>
              <w:jc w:val="center"/>
              <w:ind w:right="80"/>
              <w:spacing w:after="0"/>
              <w:rPr>
                <w:sz w:val="20"/>
                <w:szCs w:val="20"/>
                <w:color w:val="auto"/>
              </w:rPr>
            </w:pPr>
            <w:r>
              <w:rPr>
                <w:rFonts w:ascii="Arial" w:cs="Arial" w:eastAsia="Arial" w:hAnsi="Arial"/>
                <w:sz w:val="13"/>
                <w:szCs w:val="13"/>
                <w:color w:val="auto"/>
              </w:rPr>
              <w:t>If retire after 12 months</w:t>
            </w:r>
          </w:p>
        </w:tc>
        <w:tc>
          <w:tcPr>
            <w:tcW w:w="80" w:type="dxa"/>
            <w:vAlign w:val="bottom"/>
          </w:tcPr>
          <w:p>
            <w:pPr>
              <w:spacing w:after="0"/>
              <w:rPr>
                <w:sz w:val="15"/>
                <w:szCs w:val="15"/>
                <w:color w:val="auto"/>
              </w:rPr>
            </w:pPr>
          </w:p>
        </w:tc>
        <w:tc>
          <w:tcPr>
            <w:tcW w:w="2520" w:type="dxa"/>
            <w:vAlign w:val="bottom"/>
            <w:tcBorders>
              <w:right w:val="single" w:sz="8" w:color="auto"/>
            </w:tcBorders>
            <w:gridSpan w:val="4"/>
          </w:tcPr>
          <w:p>
            <w:pPr>
              <w:jc w:val="center"/>
              <w:ind w:right="120"/>
              <w:spacing w:after="0"/>
              <w:rPr>
                <w:sz w:val="20"/>
                <w:szCs w:val="20"/>
                <w:color w:val="auto"/>
              </w:rPr>
            </w:pPr>
            <w:r>
              <w:rPr>
                <w:rFonts w:ascii="Arial" w:cs="Arial" w:eastAsia="Arial" w:hAnsi="Arial"/>
                <w:sz w:val="13"/>
                <w:szCs w:val="13"/>
                <w:color w:val="auto"/>
              </w:rPr>
              <w:t>If retire after 12 months</w:t>
            </w:r>
          </w:p>
        </w:tc>
        <w:tc>
          <w:tcPr>
            <w:tcW w:w="0" w:type="dxa"/>
            <w:vAlign w:val="bottom"/>
          </w:tcPr>
          <w:p>
            <w:pPr>
              <w:spacing w:after="0"/>
              <w:rPr>
                <w:sz w:val="1"/>
                <w:szCs w:val="1"/>
                <w:color w:val="auto"/>
              </w:rPr>
            </w:pPr>
          </w:p>
        </w:tc>
      </w:tr>
      <w:tr>
        <w:trPr>
          <w:trHeight w:val="148"/>
        </w:trPr>
        <w:tc>
          <w:tcPr>
            <w:tcW w:w="1180" w:type="dxa"/>
            <w:vAlign w:val="bottom"/>
            <w:tcBorders>
              <w:left w:val="single" w:sz="8" w:color="auto"/>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1860" w:type="dxa"/>
            <w:vAlign w:val="bottom"/>
            <w:tcBorders>
              <w:right w:val="single" w:sz="8" w:color="auto"/>
            </w:tcBorders>
            <w:gridSpan w:val="5"/>
          </w:tcPr>
          <w:p>
            <w:pPr>
              <w:jc w:val="center"/>
              <w:ind w:right="60"/>
              <w:spacing w:after="0"/>
              <w:rPr>
                <w:sz w:val="20"/>
                <w:szCs w:val="20"/>
                <w:color w:val="auto"/>
              </w:rPr>
            </w:pPr>
            <w:r>
              <w:rPr>
                <w:rFonts w:ascii="Arial" w:cs="Arial" w:eastAsia="Arial" w:hAnsi="Arial"/>
                <w:sz w:val="13"/>
                <w:szCs w:val="13"/>
                <w:color w:val="auto"/>
              </w:rPr>
              <w:t>following grant date,</w:t>
            </w:r>
          </w:p>
        </w:tc>
        <w:tc>
          <w:tcPr>
            <w:tcW w:w="1840" w:type="dxa"/>
            <w:vAlign w:val="bottom"/>
            <w:tcBorders>
              <w:right w:val="single" w:sz="8" w:color="auto"/>
            </w:tcBorders>
            <w:gridSpan w:val="5"/>
          </w:tcPr>
          <w:p>
            <w:pPr>
              <w:jc w:val="center"/>
              <w:ind w:right="80"/>
              <w:spacing w:after="0"/>
              <w:rPr>
                <w:sz w:val="20"/>
                <w:szCs w:val="20"/>
                <w:color w:val="auto"/>
              </w:rPr>
            </w:pPr>
            <w:r>
              <w:rPr>
                <w:rFonts w:ascii="Arial" w:cs="Arial" w:eastAsia="Arial" w:hAnsi="Arial"/>
                <w:sz w:val="13"/>
                <w:szCs w:val="13"/>
                <w:color w:val="auto"/>
              </w:rPr>
              <w:t>following grant date,</w:t>
            </w:r>
          </w:p>
        </w:tc>
        <w:tc>
          <w:tcPr>
            <w:tcW w:w="80" w:type="dxa"/>
            <w:vAlign w:val="bottom"/>
          </w:tcPr>
          <w:p>
            <w:pPr>
              <w:spacing w:after="0"/>
              <w:rPr>
                <w:sz w:val="12"/>
                <w:szCs w:val="12"/>
                <w:color w:val="auto"/>
              </w:rPr>
            </w:pPr>
          </w:p>
        </w:tc>
        <w:tc>
          <w:tcPr>
            <w:tcW w:w="2520" w:type="dxa"/>
            <w:vAlign w:val="bottom"/>
            <w:tcBorders>
              <w:right w:val="single" w:sz="8" w:color="auto"/>
            </w:tcBorders>
            <w:gridSpan w:val="4"/>
          </w:tcPr>
          <w:p>
            <w:pPr>
              <w:jc w:val="center"/>
              <w:ind w:right="100"/>
              <w:spacing w:after="0"/>
              <w:rPr>
                <w:sz w:val="20"/>
                <w:szCs w:val="20"/>
                <w:color w:val="auto"/>
              </w:rPr>
            </w:pPr>
            <w:r>
              <w:rPr>
                <w:rFonts w:ascii="Arial" w:cs="Arial" w:eastAsia="Arial" w:hAnsi="Arial"/>
                <w:sz w:val="13"/>
                <w:szCs w:val="13"/>
                <w:color w:val="auto"/>
              </w:rPr>
              <w:t>following grant date,</w:t>
            </w:r>
          </w:p>
        </w:tc>
        <w:tc>
          <w:tcPr>
            <w:tcW w:w="0" w:type="dxa"/>
            <w:vAlign w:val="bottom"/>
          </w:tcPr>
          <w:p>
            <w:pPr>
              <w:spacing w:after="0"/>
              <w:rPr>
                <w:sz w:val="1"/>
                <w:szCs w:val="1"/>
                <w:color w:val="auto"/>
              </w:rPr>
            </w:pPr>
          </w:p>
        </w:tc>
      </w:tr>
      <w:tr>
        <w:trPr>
          <w:trHeight w:val="148"/>
        </w:trPr>
        <w:tc>
          <w:tcPr>
            <w:tcW w:w="1180" w:type="dxa"/>
            <w:vAlign w:val="bottom"/>
            <w:tcBorders>
              <w:left w:val="single" w:sz="8" w:color="auto"/>
              <w:right w:val="single" w:sz="8" w:color="auto"/>
            </w:tcBorders>
            <w:vMerge w:val="restart"/>
          </w:tcPr>
          <w:p>
            <w:pPr>
              <w:jc w:val="center"/>
              <w:ind w:right="14"/>
              <w:spacing w:after="0"/>
              <w:rPr>
                <w:sz w:val="20"/>
                <w:szCs w:val="20"/>
                <w:color w:val="auto"/>
              </w:rPr>
            </w:pPr>
            <w:r>
              <w:rPr>
                <w:rFonts w:ascii="Arial" w:cs="Arial" w:eastAsia="Arial" w:hAnsi="Arial"/>
                <w:sz w:val="13"/>
                <w:szCs w:val="13"/>
                <w:color w:val="auto"/>
              </w:rPr>
              <w:t>Time-vested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1860" w:type="dxa"/>
            <w:vAlign w:val="bottom"/>
            <w:tcBorders>
              <w:right w:val="single" w:sz="8" w:color="auto"/>
            </w:tcBorders>
            <w:gridSpan w:val="5"/>
          </w:tcPr>
          <w:p>
            <w:pPr>
              <w:jc w:val="center"/>
              <w:ind w:right="20"/>
              <w:spacing w:after="0"/>
              <w:rPr>
                <w:sz w:val="20"/>
                <w:szCs w:val="20"/>
                <w:color w:val="auto"/>
              </w:rPr>
            </w:pPr>
            <w:r>
              <w:rPr>
                <w:rFonts w:ascii="Arial" w:cs="Arial" w:eastAsia="Arial" w:hAnsi="Arial"/>
                <w:sz w:val="13"/>
                <w:szCs w:val="13"/>
                <w:color w:val="auto"/>
              </w:rPr>
              <w:t>continued vesting subject</w:t>
            </w:r>
          </w:p>
        </w:tc>
        <w:tc>
          <w:tcPr>
            <w:tcW w:w="1840" w:type="dxa"/>
            <w:vAlign w:val="bottom"/>
            <w:tcBorders>
              <w:right w:val="single" w:sz="8" w:color="auto"/>
            </w:tcBorders>
            <w:gridSpan w:val="5"/>
          </w:tcPr>
          <w:p>
            <w:pPr>
              <w:jc w:val="center"/>
              <w:ind w:right="80"/>
              <w:spacing w:after="0"/>
              <w:rPr>
                <w:sz w:val="20"/>
                <w:szCs w:val="20"/>
                <w:color w:val="auto"/>
              </w:rPr>
            </w:pPr>
            <w:r>
              <w:rPr>
                <w:rFonts w:ascii="Arial" w:cs="Arial" w:eastAsia="Arial" w:hAnsi="Arial"/>
                <w:sz w:val="13"/>
                <w:szCs w:val="13"/>
                <w:color w:val="auto"/>
              </w:rPr>
              <w:t>continued vesting subject</w:t>
            </w:r>
          </w:p>
        </w:tc>
        <w:tc>
          <w:tcPr>
            <w:tcW w:w="80" w:type="dxa"/>
            <w:vAlign w:val="bottom"/>
          </w:tcPr>
          <w:p>
            <w:pPr>
              <w:spacing w:after="0"/>
              <w:rPr>
                <w:sz w:val="12"/>
                <w:szCs w:val="12"/>
                <w:color w:val="auto"/>
              </w:rPr>
            </w:pPr>
          </w:p>
        </w:tc>
        <w:tc>
          <w:tcPr>
            <w:tcW w:w="2520" w:type="dxa"/>
            <w:vAlign w:val="bottom"/>
            <w:tcBorders>
              <w:right w:val="single" w:sz="8" w:color="auto"/>
            </w:tcBorders>
            <w:gridSpan w:val="4"/>
          </w:tcPr>
          <w:p>
            <w:pPr>
              <w:jc w:val="center"/>
              <w:ind w:right="120"/>
              <w:spacing w:after="0"/>
              <w:rPr>
                <w:sz w:val="20"/>
                <w:szCs w:val="20"/>
                <w:color w:val="auto"/>
              </w:rPr>
            </w:pPr>
            <w:r>
              <w:rPr>
                <w:rFonts w:ascii="Arial" w:cs="Arial" w:eastAsia="Arial" w:hAnsi="Arial"/>
                <w:sz w:val="13"/>
                <w:szCs w:val="13"/>
                <w:color w:val="auto"/>
              </w:rPr>
              <w:t>continued vesting subject</w:t>
            </w:r>
          </w:p>
        </w:tc>
        <w:tc>
          <w:tcPr>
            <w:tcW w:w="0" w:type="dxa"/>
            <w:vAlign w:val="bottom"/>
          </w:tcPr>
          <w:p>
            <w:pPr>
              <w:spacing w:after="0"/>
              <w:rPr>
                <w:sz w:val="1"/>
                <w:szCs w:val="1"/>
                <w:color w:val="auto"/>
              </w:rPr>
            </w:pPr>
          </w:p>
        </w:tc>
      </w:tr>
      <w:tr>
        <w:trPr>
          <w:trHeight w:val="63"/>
        </w:trPr>
        <w:tc>
          <w:tcPr>
            <w:tcW w:w="1180" w:type="dxa"/>
            <w:vAlign w:val="bottom"/>
            <w:tcBorders>
              <w:left w:val="single" w:sz="8" w:color="auto"/>
              <w:right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60" w:type="dxa"/>
            <w:vAlign w:val="bottom"/>
            <w:tcBorders>
              <w:right w:val="single" w:sz="8" w:color="auto"/>
            </w:tcBorders>
            <w:gridSpan w:val="4"/>
            <w:vMerge w:val="restart"/>
          </w:tcPr>
          <w:p>
            <w:pPr>
              <w:jc w:val="center"/>
              <w:ind w:right="280"/>
              <w:spacing w:after="0"/>
              <w:rPr>
                <w:sz w:val="20"/>
                <w:szCs w:val="20"/>
                <w:color w:val="auto"/>
              </w:rPr>
            </w:pPr>
            <w:r>
              <w:rPr>
                <w:rFonts w:ascii="Arial" w:cs="Arial" w:eastAsia="Arial" w:hAnsi="Arial"/>
                <w:sz w:val="13"/>
                <w:szCs w:val="13"/>
                <w:color w:val="auto"/>
              </w:rPr>
              <w:t>Fully accelerated</w:t>
            </w:r>
          </w:p>
        </w:tc>
        <w:tc>
          <w:tcPr>
            <w:tcW w:w="1860" w:type="dxa"/>
            <w:vAlign w:val="bottom"/>
            <w:tcBorders>
              <w:right w:val="single" w:sz="8" w:color="auto"/>
            </w:tcBorders>
            <w:gridSpan w:val="5"/>
            <w:vMerge w:val="restart"/>
          </w:tcPr>
          <w:p>
            <w:pPr>
              <w:jc w:val="center"/>
              <w:ind w:right="60"/>
              <w:spacing w:after="0"/>
              <w:rPr>
                <w:sz w:val="20"/>
                <w:szCs w:val="20"/>
                <w:color w:val="auto"/>
              </w:rPr>
            </w:pPr>
            <w:r>
              <w:rPr>
                <w:rFonts w:ascii="Arial" w:cs="Arial" w:eastAsia="Arial" w:hAnsi="Arial"/>
                <w:sz w:val="13"/>
                <w:szCs w:val="13"/>
                <w:color w:val="auto"/>
              </w:rPr>
              <w:t>to completion of new</w:t>
            </w:r>
          </w:p>
        </w:tc>
        <w:tc>
          <w:tcPr>
            <w:tcW w:w="1840" w:type="dxa"/>
            <w:vAlign w:val="bottom"/>
            <w:tcBorders>
              <w:right w:val="single" w:sz="8" w:color="auto"/>
            </w:tcBorders>
            <w:gridSpan w:val="5"/>
            <w:vMerge w:val="restart"/>
          </w:tcPr>
          <w:p>
            <w:pPr>
              <w:jc w:val="center"/>
              <w:ind w:right="80"/>
              <w:spacing w:after="0"/>
              <w:rPr>
                <w:sz w:val="20"/>
                <w:szCs w:val="20"/>
                <w:color w:val="auto"/>
              </w:rPr>
            </w:pPr>
            <w:r>
              <w:rPr>
                <w:rFonts w:ascii="Arial" w:cs="Arial" w:eastAsia="Arial" w:hAnsi="Arial"/>
                <w:sz w:val="13"/>
                <w:szCs w:val="13"/>
                <w:color w:val="auto"/>
              </w:rPr>
              <w:t>to completion of new</w:t>
            </w:r>
          </w:p>
        </w:tc>
        <w:tc>
          <w:tcPr>
            <w:tcW w:w="80" w:type="dxa"/>
            <w:vAlign w:val="bottom"/>
          </w:tcPr>
          <w:p>
            <w:pPr>
              <w:spacing w:after="0"/>
              <w:rPr>
                <w:sz w:val="5"/>
                <w:szCs w:val="5"/>
                <w:color w:val="auto"/>
              </w:rPr>
            </w:pPr>
          </w:p>
        </w:tc>
        <w:tc>
          <w:tcPr>
            <w:tcW w:w="2520" w:type="dxa"/>
            <w:vAlign w:val="bottom"/>
            <w:tcBorders>
              <w:right w:val="single" w:sz="8" w:color="auto"/>
            </w:tcBorders>
            <w:gridSpan w:val="4"/>
            <w:vMerge w:val="restart"/>
          </w:tcPr>
          <w:p>
            <w:pPr>
              <w:jc w:val="center"/>
              <w:ind w:right="120"/>
              <w:spacing w:after="0"/>
              <w:rPr>
                <w:sz w:val="20"/>
                <w:szCs w:val="20"/>
                <w:color w:val="auto"/>
              </w:rPr>
            </w:pPr>
            <w:r>
              <w:rPr>
                <w:rFonts w:ascii="Arial" w:cs="Arial" w:eastAsia="Arial" w:hAnsi="Arial"/>
                <w:sz w:val="13"/>
                <w:szCs w:val="13"/>
                <w:color w:val="auto"/>
              </w:rPr>
              <w:t>to completion of new</w:t>
            </w:r>
          </w:p>
        </w:tc>
        <w:tc>
          <w:tcPr>
            <w:tcW w:w="0" w:type="dxa"/>
            <w:vAlign w:val="bottom"/>
          </w:tcPr>
          <w:p>
            <w:pPr>
              <w:spacing w:after="0"/>
              <w:rPr>
                <w:sz w:val="1"/>
                <w:szCs w:val="1"/>
                <w:color w:val="auto"/>
              </w:rPr>
            </w:pPr>
          </w:p>
        </w:tc>
      </w:tr>
      <w:tr>
        <w:trPr>
          <w:trHeight w:val="86"/>
        </w:trPr>
        <w:tc>
          <w:tcPr>
            <w:tcW w:w="1180" w:type="dxa"/>
            <w:vAlign w:val="bottom"/>
            <w:tcBorders>
              <w:left w:val="single" w:sz="8" w:color="auto"/>
              <w:right w:val="single" w:sz="8" w:color="auto"/>
            </w:tcBorders>
            <w:vMerge w:val="restart"/>
          </w:tcPr>
          <w:p>
            <w:pPr>
              <w:jc w:val="center"/>
              <w:ind w:right="14"/>
              <w:spacing w:after="0" w:line="224" w:lineRule="exact"/>
              <w:rPr>
                <w:sz w:val="20"/>
                <w:szCs w:val="20"/>
                <w:color w:val="auto"/>
              </w:rPr>
            </w:pPr>
            <w:r>
              <w:rPr>
                <w:rFonts w:ascii="Arial" w:cs="Arial" w:eastAsia="Arial" w:hAnsi="Arial"/>
                <w:sz w:val="13"/>
                <w:szCs w:val="13"/>
                <w:color w:val="auto"/>
                <w:w w:val="96"/>
              </w:rPr>
              <w:t>RSUs</w:t>
            </w:r>
            <w:r>
              <w:rPr>
                <w:rFonts w:ascii="Arial" w:cs="Arial" w:eastAsia="Arial" w:hAnsi="Arial"/>
                <w:sz w:val="22"/>
                <w:szCs w:val="22"/>
                <w:color w:val="auto"/>
                <w:w w:val="96"/>
                <w:vertAlign w:val="superscript"/>
              </w:rPr>
              <w:t>(3)</w:t>
            </w: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60" w:type="dxa"/>
            <w:vAlign w:val="bottom"/>
            <w:tcBorders>
              <w:right w:val="single" w:sz="8" w:color="auto"/>
            </w:tcBorders>
            <w:gridSpan w:val="4"/>
            <w:vMerge w:val="continue"/>
          </w:tcPr>
          <w:p>
            <w:pPr>
              <w:spacing w:after="0"/>
              <w:rPr>
                <w:sz w:val="7"/>
                <w:szCs w:val="7"/>
                <w:color w:val="auto"/>
              </w:rPr>
            </w:pPr>
          </w:p>
        </w:tc>
        <w:tc>
          <w:tcPr>
            <w:tcW w:w="1860" w:type="dxa"/>
            <w:vAlign w:val="bottom"/>
            <w:tcBorders>
              <w:right w:val="single" w:sz="8" w:color="auto"/>
            </w:tcBorders>
            <w:gridSpan w:val="5"/>
            <w:vMerge w:val="continue"/>
          </w:tcPr>
          <w:p>
            <w:pPr>
              <w:spacing w:after="0"/>
              <w:rPr>
                <w:sz w:val="7"/>
                <w:szCs w:val="7"/>
                <w:color w:val="auto"/>
              </w:rPr>
            </w:pPr>
          </w:p>
        </w:tc>
        <w:tc>
          <w:tcPr>
            <w:tcW w:w="1840" w:type="dxa"/>
            <w:vAlign w:val="bottom"/>
            <w:tcBorders>
              <w:right w:val="single" w:sz="8" w:color="auto"/>
            </w:tcBorders>
            <w:gridSpan w:val="5"/>
            <w:vMerge w:val="continue"/>
          </w:tcPr>
          <w:p>
            <w:pPr>
              <w:spacing w:after="0"/>
              <w:rPr>
                <w:sz w:val="7"/>
                <w:szCs w:val="7"/>
                <w:color w:val="auto"/>
              </w:rPr>
            </w:pPr>
          </w:p>
        </w:tc>
        <w:tc>
          <w:tcPr>
            <w:tcW w:w="80" w:type="dxa"/>
            <w:vAlign w:val="bottom"/>
          </w:tcPr>
          <w:p>
            <w:pPr>
              <w:spacing w:after="0"/>
              <w:rPr>
                <w:sz w:val="7"/>
                <w:szCs w:val="7"/>
                <w:color w:val="auto"/>
              </w:rPr>
            </w:pPr>
          </w:p>
        </w:tc>
        <w:tc>
          <w:tcPr>
            <w:tcW w:w="2520" w:type="dxa"/>
            <w:vAlign w:val="bottom"/>
            <w:tcBorders>
              <w:right w:val="single" w:sz="8" w:color="auto"/>
            </w:tcBorders>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1180" w:type="dxa"/>
            <w:vAlign w:val="bottom"/>
            <w:tcBorders>
              <w:left w:val="single" w:sz="8" w:color="auto"/>
              <w:right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1860" w:type="dxa"/>
            <w:vAlign w:val="bottom"/>
            <w:tcBorders>
              <w:right w:val="single" w:sz="8" w:color="auto"/>
            </w:tcBorders>
            <w:gridSpan w:val="5"/>
          </w:tcPr>
          <w:p>
            <w:pPr>
              <w:jc w:val="center"/>
              <w:ind w:right="60"/>
              <w:spacing w:after="0"/>
              <w:rPr>
                <w:sz w:val="20"/>
                <w:szCs w:val="20"/>
                <w:color w:val="auto"/>
              </w:rPr>
            </w:pPr>
            <w:r>
              <w:rPr>
                <w:rFonts w:ascii="Arial" w:cs="Arial" w:eastAsia="Arial" w:hAnsi="Arial"/>
                <w:sz w:val="13"/>
                <w:szCs w:val="13"/>
                <w:color w:val="auto"/>
              </w:rPr>
              <w:t>non-compete/non-solicit</w:t>
            </w:r>
          </w:p>
        </w:tc>
        <w:tc>
          <w:tcPr>
            <w:tcW w:w="1840" w:type="dxa"/>
            <w:vAlign w:val="bottom"/>
            <w:tcBorders>
              <w:right w:val="single" w:sz="8" w:color="auto"/>
            </w:tcBorders>
            <w:gridSpan w:val="5"/>
          </w:tcPr>
          <w:p>
            <w:pPr>
              <w:jc w:val="center"/>
              <w:ind w:right="80"/>
              <w:spacing w:after="0"/>
              <w:rPr>
                <w:sz w:val="20"/>
                <w:szCs w:val="20"/>
                <w:color w:val="auto"/>
              </w:rPr>
            </w:pPr>
            <w:r>
              <w:rPr>
                <w:rFonts w:ascii="Arial" w:cs="Arial" w:eastAsia="Arial" w:hAnsi="Arial"/>
                <w:sz w:val="13"/>
                <w:szCs w:val="13"/>
                <w:color w:val="auto"/>
              </w:rPr>
              <w:t>non-compete/non-solicit</w:t>
            </w:r>
          </w:p>
        </w:tc>
        <w:tc>
          <w:tcPr>
            <w:tcW w:w="80" w:type="dxa"/>
            <w:vAlign w:val="bottom"/>
          </w:tcPr>
          <w:p>
            <w:pPr>
              <w:spacing w:after="0"/>
              <w:rPr>
                <w:sz w:val="12"/>
                <w:szCs w:val="12"/>
                <w:color w:val="auto"/>
              </w:rPr>
            </w:pPr>
          </w:p>
        </w:tc>
        <w:tc>
          <w:tcPr>
            <w:tcW w:w="2520" w:type="dxa"/>
            <w:vAlign w:val="bottom"/>
            <w:tcBorders>
              <w:right w:val="single" w:sz="8" w:color="auto"/>
            </w:tcBorders>
            <w:gridSpan w:val="4"/>
          </w:tcPr>
          <w:p>
            <w:pPr>
              <w:jc w:val="center"/>
              <w:ind w:right="120"/>
              <w:spacing w:after="0"/>
              <w:rPr>
                <w:sz w:val="20"/>
                <w:szCs w:val="20"/>
                <w:color w:val="auto"/>
              </w:rPr>
            </w:pPr>
            <w:r>
              <w:rPr>
                <w:rFonts w:ascii="Arial" w:cs="Arial" w:eastAsia="Arial" w:hAnsi="Arial"/>
                <w:sz w:val="13"/>
                <w:szCs w:val="13"/>
                <w:color w:val="auto"/>
              </w:rPr>
              <w:t>non-compete/non-solicit</w:t>
            </w:r>
          </w:p>
        </w:tc>
        <w:tc>
          <w:tcPr>
            <w:tcW w:w="0" w:type="dxa"/>
            <w:vAlign w:val="bottom"/>
          </w:tcPr>
          <w:p>
            <w:pPr>
              <w:spacing w:after="0"/>
              <w:rPr>
                <w:sz w:val="1"/>
                <w:szCs w:val="1"/>
                <w:color w:val="auto"/>
              </w:rPr>
            </w:pPr>
          </w:p>
        </w:tc>
      </w:tr>
      <w:tr>
        <w:trPr>
          <w:trHeight w:val="148"/>
        </w:trPr>
        <w:tc>
          <w:tcPr>
            <w:tcW w:w="1180" w:type="dxa"/>
            <w:vAlign w:val="bottom"/>
            <w:tcBorders>
              <w:left w:val="single" w:sz="8" w:color="auto"/>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480" w:type="dxa"/>
            <w:vAlign w:val="bottom"/>
            <w:tcBorders>
              <w:right w:val="single" w:sz="8" w:color="auto"/>
            </w:tcBorders>
            <w:gridSpan w:val="4"/>
          </w:tcPr>
          <w:p>
            <w:pPr>
              <w:jc w:val="center"/>
              <w:ind w:right="460"/>
              <w:spacing w:after="0"/>
              <w:rPr>
                <w:sz w:val="20"/>
                <w:szCs w:val="20"/>
                <w:color w:val="auto"/>
              </w:rPr>
            </w:pPr>
            <w:r>
              <w:rPr>
                <w:rFonts w:ascii="Arial" w:cs="Arial" w:eastAsia="Arial" w:hAnsi="Arial"/>
                <w:sz w:val="13"/>
                <w:szCs w:val="13"/>
                <w:color w:val="auto"/>
              </w:rPr>
              <w:t>agreement and</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tcBorders>
              <w:right w:val="single" w:sz="8" w:color="auto"/>
            </w:tcBorders>
            <w:gridSpan w:val="3"/>
          </w:tcPr>
          <w:p>
            <w:pPr>
              <w:jc w:val="center"/>
              <w:ind w:right="480"/>
              <w:spacing w:after="0"/>
              <w:rPr>
                <w:sz w:val="20"/>
                <w:szCs w:val="20"/>
                <w:color w:val="auto"/>
              </w:rPr>
            </w:pPr>
            <w:r>
              <w:rPr>
                <w:rFonts w:ascii="Arial" w:cs="Arial" w:eastAsia="Arial" w:hAnsi="Arial"/>
                <w:sz w:val="13"/>
                <w:szCs w:val="13"/>
                <w:color w:val="auto"/>
              </w:rPr>
              <w:t>agreement and</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60" w:type="dxa"/>
            <w:vAlign w:val="bottom"/>
            <w:tcBorders>
              <w:right w:val="single" w:sz="8" w:color="auto"/>
            </w:tcBorders>
            <w:gridSpan w:val="3"/>
          </w:tcPr>
          <w:p>
            <w:pPr>
              <w:jc w:val="center"/>
              <w:ind w:right="760"/>
              <w:spacing w:after="0"/>
              <w:rPr>
                <w:sz w:val="20"/>
                <w:szCs w:val="20"/>
                <w:color w:val="auto"/>
              </w:rPr>
            </w:pPr>
            <w:r>
              <w:rPr>
                <w:rFonts w:ascii="Arial" w:cs="Arial" w:eastAsia="Arial" w:hAnsi="Arial"/>
                <w:sz w:val="13"/>
                <w:szCs w:val="13"/>
                <w:color w:val="auto"/>
              </w:rPr>
              <w:t>agreement and</w:t>
            </w:r>
          </w:p>
        </w:tc>
        <w:tc>
          <w:tcPr>
            <w:tcW w:w="0" w:type="dxa"/>
            <w:vAlign w:val="bottom"/>
          </w:tcPr>
          <w:p>
            <w:pPr>
              <w:spacing w:after="0"/>
              <w:rPr>
                <w:sz w:val="1"/>
                <w:szCs w:val="1"/>
                <w:color w:val="auto"/>
              </w:rPr>
            </w:pPr>
          </w:p>
        </w:tc>
      </w:tr>
      <w:tr>
        <w:trPr>
          <w:trHeight w:val="180"/>
        </w:trPr>
        <w:tc>
          <w:tcPr>
            <w:tcW w:w="1180" w:type="dxa"/>
            <w:vAlign w:val="bottom"/>
            <w:tcBorders>
              <w:left w:val="single" w:sz="8" w:color="auto"/>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Borders>
              <w:right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1480" w:type="dxa"/>
            <w:vAlign w:val="bottom"/>
            <w:tcBorders>
              <w:right w:val="single" w:sz="8" w:color="auto"/>
            </w:tcBorders>
            <w:gridSpan w:val="4"/>
          </w:tcPr>
          <w:p>
            <w:pPr>
              <w:jc w:val="center"/>
              <w:ind w:right="420"/>
              <w:spacing w:after="0"/>
              <w:rPr>
                <w:sz w:val="20"/>
                <w:szCs w:val="20"/>
                <w:color w:val="auto"/>
              </w:rPr>
            </w:pPr>
            <w:r>
              <w:rPr>
                <w:rFonts w:ascii="Arial" w:cs="Arial" w:eastAsia="Arial" w:hAnsi="Arial"/>
                <w:sz w:val="13"/>
                <w:szCs w:val="13"/>
                <w:color w:val="auto"/>
              </w:rPr>
              <w:t>reasonable notice</w:t>
            </w:r>
          </w:p>
        </w:tc>
        <w:tc>
          <w:tcPr>
            <w:tcW w:w="340" w:type="dxa"/>
            <w:vAlign w:val="bottom"/>
          </w:tcPr>
          <w:p>
            <w:pPr>
              <w:spacing w:after="0"/>
              <w:rPr>
                <w:sz w:val="15"/>
                <w:szCs w:val="15"/>
                <w:color w:val="auto"/>
              </w:rPr>
            </w:pPr>
          </w:p>
        </w:tc>
        <w:tc>
          <w:tcPr>
            <w:tcW w:w="1500" w:type="dxa"/>
            <w:vAlign w:val="bottom"/>
            <w:tcBorders>
              <w:right w:val="single" w:sz="8" w:color="auto"/>
            </w:tcBorders>
            <w:gridSpan w:val="4"/>
          </w:tcPr>
          <w:p>
            <w:pPr>
              <w:jc w:val="center"/>
              <w:ind w:right="360"/>
              <w:spacing w:after="0"/>
              <w:rPr>
                <w:sz w:val="20"/>
                <w:szCs w:val="20"/>
                <w:color w:val="auto"/>
              </w:rPr>
            </w:pPr>
            <w:r>
              <w:rPr>
                <w:rFonts w:ascii="Arial" w:cs="Arial" w:eastAsia="Arial" w:hAnsi="Arial"/>
                <w:sz w:val="13"/>
                <w:szCs w:val="13"/>
                <w:color w:val="auto"/>
              </w:rPr>
              <w:t>reasonable notice</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60" w:type="dxa"/>
            <w:vAlign w:val="bottom"/>
            <w:tcBorders>
              <w:right w:val="single" w:sz="8" w:color="auto"/>
            </w:tcBorders>
            <w:gridSpan w:val="3"/>
          </w:tcPr>
          <w:p>
            <w:pPr>
              <w:jc w:val="center"/>
              <w:ind w:right="720"/>
              <w:spacing w:after="0"/>
              <w:rPr>
                <w:sz w:val="20"/>
                <w:szCs w:val="20"/>
                <w:color w:val="auto"/>
              </w:rPr>
            </w:pPr>
            <w:r>
              <w:rPr>
                <w:rFonts w:ascii="Arial" w:cs="Arial" w:eastAsia="Arial" w:hAnsi="Arial"/>
                <w:sz w:val="13"/>
                <w:szCs w:val="13"/>
                <w:color w:val="auto"/>
              </w:rPr>
              <w:t>reasonable notice</w:t>
            </w:r>
          </w:p>
        </w:tc>
        <w:tc>
          <w:tcPr>
            <w:tcW w:w="0" w:type="dxa"/>
            <w:vAlign w:val="bottom"/>
          </w:tcPr>
          <w:p>
            <w:pPr>
              <w:spacing w:after="0"/>
              <w:rPr>
                <w:sz w:val="1"/>
                <w:szCs w:val="1"/>
                <w:color w:val="auto"/>
              </w:rPr>
            </w:pPr>
          </w:p>
        </w:tc>
      </w:tr>
      <w:tr>
        <w:trPr>
          <w:trHeight w:val="39"/>
        </w:trPr>
        <w:tc>
          <w:tcPr>
            <w:tcW w:w="1180" w:type="dxa"/>
            <w:vAlign w:val="bottom"/>
            <w:tcBorders>
              <w:left w:val="single" w:sz="8" w:color="auto"/>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80" w:type="dxa"/>
            <w:vAlign w:val="bottom"/>
            <w:tcBorders>
              <w:bottom w:val="single" w:sz="8" w:color="auto"/>
              <w:right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right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2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1180" w:type="dxa"/>
            <w:vAlign w:val="bottom"/>
            <w:tcBorders>
              <w:left w:val="single" w:sz="8" w:color="auto"/>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Borders>
              <w:right w:val="single" w:sz="8" w:color="auto"/>
            </w:tcBorders>
          </w:tcPr>
          <w:p>
            <w:pPr>
              <w:spacing w:after="0"/>
              <w:rPr>
                <w:sz w:val="15"/>
                <w:szCs w:val="15"/>
                <w:color w:val="auto"/>
              </w:rPr>
            </w:pPr>
          </w:p>
        </w:tc>
        <w:tc>
          <w:tcPr>
            <w:tcW w:w="380" w:type="dxa"/>
            <w:vAlign w:val="bottom"/>
            <w:vMerge w:val="restart"/>
          </w:tcPr>
          <w:p>
            <w:pPr>
              <w:ind w:left="200"/>
              <w:spacing w:after="0"/>
              <w:rPr>
                <w:sz w:val="20"/>
                <w:szCs w:val="20"/>
                <w:color w:val="auto"/>
              </w:rPr>
            </w:pPr>
            <w:r>
              <w:rPr>
                <w:rFonts w:ascii="Arial" w:cs="Arial" w:eastAsia="Arial" w:hAnsi="Arial"/>
                <w:sz w:val="13"/>
                <w:szCs w:val="13"/>
                <w:color w:val="auto"/>
              </w:rPr>
              <w:t>If</w:t>
            </w:r>
          </w:p>
        </w:tc>
        <w:tc>
          <w:tcPr>
            <w:tcW w:w="1080" w:type="dxa"/>
            <w:vAlign w:val="bottom"/>
            <w:gridSpan w:val="3"/>
          </w:tcPr>
          <w:p>
            <w:pPr>
              <w:jc w:val="center"/>
              <w:spacing w:after="0"/>
              <w:rPr>
                <w:sz w:val="20"/>
                <w:szCs w:val="20"/>
                <w:color w:val="auto"/>
              </w:rPr>
            </w:pPr>
            <w:r>
              <w:rPr>
                <w:rFonts w:ascii="Arial" w:cs="Arial" w:eastAsia="Arial" w:hAnsi="Arial"/>
                <w:sz w:val="13"/>
                <w:szCs w:val="13"/>
                <w:color w:val="auto"/>
              </w:rPr>
              <w:t>Unvested Options</w:t>
            </w:r>
          </w:p>
        </w:tc>
        <w:tc>
          <w:tcPr>
            <w:tcW w:w="400" w:type="dxa"/>
            <w:vAlign w:val="bottom"/>
            <w:tcBorders>
              <w:right w:val="single" w:sz="8" w:color="auto"/>
            </w:tcBorders>
          </w:tcPr>
          <w:p>
            <w:pPr>
              <w:spacing w:after="0"/>
              <w:rPr>
                <w:sz w:val="15"/>
                <w:szCs w:val="15"/>
                <w:color w:val="auto"/>
              </w:rPr>
            </w:pPr>
          </w:p>
        </w:tc>
        <w:tc>
          <w:tcPr>
            <w:tcW w:w="340" w:type="dxa"/>
            <w:vAlign w:val="bottom"/>
            <w:vMerge w:val="restart"/>
          </w:tcPr>
          <w:p>
            <w:pPr>
              <w:ind w:left="180"/>
              <w:spacing w:after="0"/>
              <w:rPr>
                <w:sz w:val="20"/>
                <w:szCs w:val="20"/>
                <w:color w:val="auto"/>
              </w:rPr>
            </w:pPr>
            <w:r>
              <w:rPr>
                <w:rFonts w:ascii="Arial" w:cs="Arial" w:eastAsia="Arial" w:hAnsi="Arial"/>
                <w:sz w:val="13"/>
                <w:szCs w:val="13"/>
                <w:color w:val="auto"/>
              </w:rPr>
              <w:t>If</w:t>
            </w:r>
          </w:p>
        </w:tc>
        <w:tc>
          <w:tcPr>
            <w:tcW w:w="1500" w:type="dxa"/>
            <w:vAlign w:val="bottom"/>
            <w:tcBorders>
              <w:right w:val="single" w:sz="8" w:color="auto"/>
            </w:tcBorders>
            <w:gridSpan w:val="4"/>
          </w:tcPr>
          <w:p>
            <w:pPr>
              <w:jc w:val="center"/>
              <w:ind w:right="420"/>
              <w:spacing w:after="0"/>
              <w:rPr>
                <w:sz w:val="20"/>
                <w:szCs w:val="20"/>
                <w:color w:val="auto"/>
              </w:rPr>
            </w:pPr>
            <w:r>
              <w:rPr>
                <w:rFonts w:ascii="Arial" w:cs="Arial" w:eastAsia="Arial" w:hAnsi="Arial"/>
                <w:sz w:val="13"/>
                <w:szCs w:val="13"/>
                <w:color w:val="auto"/>
              </w:rPr>
              <w:t>Unvested Options</w:t>
            </w:r>
          </w:p>
        </w:tc>
        <w:tc>
          <w:tcPr>
            <w:tcW w:w="80" w:type="dxa"/>
            <w:vAlign w:val="bottom"/>
          </w:tcPr>
          <w:p>
            <w:pPr>
              <w:spacing w:after="0"/>
              <w:rPr>
                <w:sz w:val="15"/>
                <w:szCs w:val="15"/>
                <w:color w:val="auto"/>
              </w:rPr>
            </w:pPr>
          </w:p>
        </w:tc>
        <w:tc>
          <w:tcPr>
            <w:tcW w:w="660" w:type="dxa"/>
            <w:vAlign w:val="bottom"/>
            <w:vMerge w:val="restart"/>
          </w:tcPr>
          <w:p>
            <w:pPr>
              <w:ind w:left="500"/>
              <w:spacing w:after="0"/>
              <w:rPr>
                <w:sz w:val="20"/>
                <w:szCs w:val="20"/>
                <w:color w:val="auto"/>
              </w:rPr>
            </w:pPr>
            <w:r>
              <w:rPr>
                <w:rFonts w:ascii="Arial" w:cs="Arial" w:eastAsia="Arial" w:hAnsi="Arial"/>
                <w:sz w:val="13"/>
                <w:szCs w:val="13"/>
                <w:color w:val="auto"/>
              </w:rPr>
              <w:t>If</w:t>
            </w:r>
          </w:p>
        </w:tc>
        <w:tc>
          <w:tcPr>
            <w:tcW w:w="1860" w:type="dxa"/>
            <w:vAlign w:val="bottom"/>
            <w:tcBorders>
              <w:right w:val="single" w:sz="8" w:color="auto"/>
            </w:tcBorders>
            <w:gridSpan w:val="3"/>
          </w:tcPr>
          <w:p>
            <w:pPr>
              <w:jc w:val="center"/>
              <w:ind w:right="780"/>
              <w:spacing w:after="0"/>
              <w:rPr>
                <w:sz w:val="20"/>
                <w:szCs w:val="20"/>
                <w:color w:val="auto"/>
              </w:rPr>
            </w:pPr>
            <w:r>
              <w:rPr>
                <w:rFonts w:ascii="Arial" w:cs="Arial" w:eastAsia="Arial" w:hAnsi="Arial"/>
                <w:sz w:val="13"/>
                <w:szCs w:val="13"/>
                <w:color w:val="auto"/>
              </w:rPr>
              <w:t>Unvested Options</w:t>
            </w:r>
          </w:p>
        </w:tc>
        <w:tc>
          <w:tcPr>
            <w:tcW w:w="0" w:type="dxa"/>
            <w:vAlign w:val="bottom"/>
          </w:tcPr>
          <w:p>
            <w:pPr>
              <w:spacing w:after="0"/>
              <w:rPr>
                <w:sz w:val="1"/>
                <w:szCs w:val="1"/>
                <w:color w:val="auto"/>
              </w:rPr>
            </w:pPr>
          </w:p>
        </w:tc>
      </w:tr>
      <w:tr>
        <w:trPr>
          <w:trHeight w:val="20"/>
        </w:trPr>
        <w:tc>
          <w:tcPr>
            <w:tcW w:w="118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380" w:type="dxa"/>
            <w:vAlign w:val="bottom"/>
            <w:vMerge w:val="continue"/>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340" w:type="dxa"/>
            <w:vAlign w:val="bottom"/>
            <w:vMerge w:val="continue"/>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1180" w:type="dxa"/>
            <w:vAlign w:val="bottom"/>
            <w:tcBorders>
              <w:left w:val="single" w:sz="8" w:color="auto"/>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380" w:type="dxa"/>
            <w:vAlign w:val="bottom"/>
            <w:vMerge w:val="continue"/>
          </w:tcPr>
          <w:p>
            <w:pPr>
              <w:spacing w:after="0"/>
              <w:rPr>
                <w:sz w:val="10"/>
                <w:szCs w:val="10"/>
                <w:color w:val="auto"/>
              </w:rPr>
            </w:pPr>
          </w:p>
        </w:tc>
        <w:tc>
          <w:tcPr>
            <w:tcW w:w="1480" w:type="dxa"/>
            <w:vAlign w:val="bottom"/>
            <w:tcBorders>
              <w:right w:val="single" w:sz="8" w:color="auto"/>
            </w:tcBorders>
            <w:gridSpan w:val="4"/>
          </w:tcPr>
          <w:p>
            <w:pPr>
              <w:spacing w:after="0" w:line="126" w:lineRule="exact"/>
              <w:rPr>
                <w:sz w:val="20"/>
                <w:szCs w:val="20"/>
                <w:color w:val="auto"/>
              </w:rPr>
            </w:pPr>
            <w:r>
              <w:rPr>
                <w:rFonts w:ascii="Arial" w:cs="Arial" w:eastAsia="Arial" w:hAnsi="Arial"/>
                <w:sz w:val="13"/>
                <w:szCs w:val="13"/>
                <w:color w:val="auto"/>
              </w:rPr>
              <w:t>retire after 18 months</w:t>
            </w:r>
          </w:p>
        </w:tc>
        <w:tc>
          <w:tcPr>
            <w:tcW w:w="340" w:type="dxa"/>
            <w:vAlign w:val="bottom"/>
            <w:vMerge w:val="continue"/>
          </w:tcPr>
          <w:p>
            <w:pPr>
              <w:spacing w:after="0"/>
              <w:rPr>
                <w:sz w:val="10"/>
                <w:szCs w:val="10"/>
                <w:color w:val="auto"/>
              </w:rPr>
            </w:pPr>
          </w:p>
        </w:tc>
        <w:tc>
          <w:tcPr>
            <w:tcW w:w="1500" w:type="dxa"/>
            <w:vAlign w:val="bottom"/>
            <w:tcBorders>
              <w:right w:val="single" w:sz="8" w:color="auto"/>
            </w:tcBorders>
            <w:gridSpan w:val="4"/>
          </w:tcPr>
          <w:p>
            <w:pPr>
              <w:spacing w:after="0" w:line="126" w:lineRule="exact"/>
              <w:rPr>
                <w:sz w:val="20"/>
                <w:szCs w:val="20"/>
                <w:color w:val="auto"/>
              </w:rPr>
            </w:pPr>
            <w:r>
              <w:rPr>
                <w:rFonts w:ascii="Arial" w:cs="Arial" w:eastAsia="Arial" w:hAnsi="Arial"/>
                <w:sz w:val="13"/>
                <w:szCs w:val="13"/>
                <w:color w:val="auto"/>
              </w:rPr>
              <w:t>retire after 12 months</w:t>
            </w:r>
          </w:p>
        </w:tc>
        <w:tc>
          <w:tcPr>
            <w:tcW w:w="8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860" w:type="dxa"/>
            <w:vAlign w:val="bottom"/>
            <w:tcBorders>
              <w:right w:val="single" w:sz="8" w:color="auto"/>
            </w:tcBorders>
            <w:gridSpan w:val="3"/>
          </w:tcPr>
          <w:p>
            <w:pPr>
              <w:spacing w:after="0" w:line="126" w:lineRule="exact"/>
              <w:rPr>
                <w:sz w:val="20"/>
                <w:szCs w:val="20"/>
                <w:color w:val="auto"/>
              </w:rPr>
            </w:pPr>
            <w:r>
              <w:rPr>
                <w:rFonts w:ascii="Arial" w:cs="Arial" w:eastAsia="Arial" w:hAnsi="Arial"/>
                <w:sz w:val="13"/>
                <w:szCs w:val="13"/>
                <w:color w:val="auto"/>
              </w:rPr>
              <w:t>retire after 12 months</w:t>
            </w:r>
          </w:p>
        </w:tc>
        <w:tc>
          <w:tcPr>
            <w:tcW w:w="0" w:type="dxa"/>
            <w:vAlign w:val="bottom"/>
          </w:tcPr>
          <w:p>
            <w:pPr>
              <w:spacing w:after="0"/>
              <w:rPr>
                <w:sz w:val="1"/>
                <w:szCs w:val="1"/>
                <w:color w:val="auto"/>
              </w:rPr>
            </w:pPr>
          </w:p>
        </w:tc>
      </w:tr>
      <w:tr>
        <w:trPr>
          <w:trHeight w:val="148"/>
        </w:trPr>
        <w:tc>
          <w:tcPr>
            <w:tcW w:w="1180" w:type="dxa"/>
            <w:vAlign w:val="bottom"/>
            <w:tcBorders>
              <w:left w:val="single" w:sz="8" w:color="auto"/>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1860" w:type="dxa"/>
            <w:vAlign w:val="bottom"/>
            <w:tcBorders>
              <w:right w:val="single" w:sz="8" w:color="auto"/>
            </w:tcBorders>
            <w:gridSpan w:val="5"/>
          </w:tcPr>
          <w:p>
            <w:pPr>
              <w:jc w:val="center"/>
              <w:ind w:right="60"/>
              <w:spacing w:after="0"/>
              <w:rPr>
                <w:sz w:val="20"/>
                <w:szCs w:val="20"/>
                <w:color w:val="auto"/>
              </w:rPr>
            </w:pPr>
            <w:r>
              <w:rPr>
                <w:rFonts w:ascii="Arial" w:cs="Arial" w:eastAsia="Arial" w:hAnsi="Arial"/>
                <w:sz w:val="13"/>
                <w:szCs w:val="13"/>
                <w:color w:val="auto"/>
              </w:rPr>
              <w:t>following grant date,</w:t>
            </w:r>
          </w:p>
        </w:tc>
        <w:tc>
          <w:tcPr>
            <w:tcW w:w="1840" w:type="dxa"/>
            <w:vAlign w:val="bottom"/>
            <w:tcBorders>
              <w:right w:val="single" w:sz="8" w:color="auto"/>
            </w:tcBorders>
            <w:gridSpan w:val="5"/>
          </w:tcPr>
          <w:p>
            <w:pPr>
              <w:jc w:val="center"/>
              <w:ind w:right="80"/>
              <w:spacing w:after="0"/>
              <w:rPr>
                <w:sz w:val="20"/>
                <w:szCs w:val="20"/>
                <w:color w:val="auto"/>
              </w:rPr>
            </w:pPr>
            <w:r>
              <w:rPr>
                <w:rFonts w:ascii="Arial" w:cs="Arial" w:eastAsia="Arial" w:hAnsi="Arial"/>
                <w:sz w:val="13"/>
                <w:szCs w:val="13"/>
                <w:color w:val="auto"/>
              </w:rPr>
              <w:t>following grant date,</w:t>
            </w:r>
          </w:p>
        </w:tc>
        <w:tc>
          <w:tcPr>
            <w:tcW w:w="80" w:type="dxa"/>
            <w:vAlign w:val="bottom"/>
          </w:tcPr>
          <w:p>
            <w:pPr>
              <w:spacing w:after="0"/>
              <w:rPr>
                <w:sz w:val="12"/>
                <w:szCs w:val="12"/>
                <w:color w:val="auto"/>
              </w:rPr>
            </w:pPr>
          </w:p>
        </w:tc>
        <w:tc>
          <w:tcPr>
            <w:tcW w:w="2520" w:type="dxa"/>
            <w:vAlign w:val="bottom"/>
            <w:tcBorders>
              <w:right w:val="single" w:sz="8" w:color="auto"/>
            </w:tcBorders>
            <w:gridSpan w:val="4"/>
          </w:tcPr>
          <w:p>
            <w:pPr>
              <w:jc w:val="center"/>
              <w:ind w:right="100"/>
              <w:spacing w:after="0"/>
              <w:rPr>
                <w:sz w:val="20"/>
                <w:szCs w:val="20"/>
                <w:color w:val="auto"/>
              </w:rPr>
            </w:pPr>
            <w:r>
              <w:rPr>
                <w:rFonts w:ascii="Arial" w:cs="Arial" w:eastAsia="Arial" w:hAnsi="Arial"/>
                <w:sz w:val="13"/>
                <w:szCs w:val="13"/>
                <w:color w:val="auto"/>
              </w:rPr>
              <w:t>following grant date,</w:t>
            </w:r>
          </w:p>
        </w:tc>
        <w:tc>
          <w:tcPr>
            <w:tcW w:w="0" w:type="dxa"/>
            <w:vAlign w:val="bottom"/>
          </w:tcPr>
          <w:p>
            <w:pPr>
              <w:spacing w:after="0"/>
              <w:rPr>
                <w:sz w:val="1"/>
                <w:szCs w:val="1"/>
                <w:color w:val="auto"/>
              </w:rPr>
            </w:pPr>
          </w:p>
        </w:tc>
      </w:tr>
      <w:tr>
        <w:trPr>
          <w:trHeight w:val="149"/>
        </w:trPr>
        <w:tc>
          <w:tcPr>
            <w:tcW w:w="1180" w:type="dxa"/>
            <w:vAlign w:val="bottom"/>
            <w:tcBorders>
              <w:left w:val="single" w:sz="8" w:color="auto"/>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1860" w:type="dxa"/>
            <w:vAlign w:val="bottom"/>
            <w:tcBorders>
              <w:right w:val="single" w:sz="8" w:color="auto"/>
            </w:tcBorders>
            <w:gridSpan w:val="5"/>
          </w:tcPr>
          <w:p>
            <w:pPr>
              <w:jc w:val="center"/>
              <w:ind w:right="60"/>
              <w:spacing w:after="0"/>
              <w:rPr>
                <w:sz w:val="20"/>
                <w:szCs w:val="20"/>
                <w:color w:val="auto"/>
              </w:rPr>
            </w:pPr>
            <w:r>
              <w:rPr>
                <w:rFonts w:ascii="Arial" w:cs="Arial" w:eastAsia="Arial" w:hAnsi="Arial"/>
                <w:sz w:val="13"/>
                <w:szCs w:val="13"/>
                <w:color w:val="auto"/>
              </w:rPr>
              <w:t>continued vesting subject</w:t>
            </w:r>
          </w:p>
        </w:tc>
        <w:tc>
          <w:tcPr>
            <w:tcW w:w="1840" w:type="dxa"/>
            <w:vAlign w:val="bottom"/>
            <w:tcBorders>
              <w:right w:val="single" w:sz="8" w:color="auto"/>
            </w:tcBorders>
            <w:gridSpan w:val="5"/>
          </w:tcPr>
          <w:p>
            <w:pPr>
              <w:jc w:val="center"/>
              <w:ind w:right="80"/>
              <w:spacing w:after="0"/>
              <w:rPr>
                <w:sz w:val="20"/>
                <w:szCs w:val="20"/>
                <w:color w:val="auto"/>
              </w:rPr>
            </w:pPr>
            <w:r>
              <w:rPr>
                <w:rFonts w:ascii="Arial" w:cs="Arial" w:eastAsia="Arial" w:hAnsi="Arial"/>
                <w:sz w:val="13"/>
                <w:szCs w:val="13"/>
                <w:color w:val="auto"/>
              </w:rPr>
              <w:t>continued vesting subject</w:t>
            </w:r>
          </w:p>
        </w:tc>
        <w:tc>
          <w:tcPr>
            <w:tcW w:w="80" w:type="dxa"/>
            <w:vAlign w:val="bottom"/>
          </w:tcPr>
          <w:p>
            <w:pPr>
              <w:spacing w:after="0"/>
              <w:rPr>
                <w:sz w:val="12"/>
                <w:szCs w:val="12"/>
                <w:color w:val="auto"/>
              </w:rPr>
            </w:pPr>
          </w:p>
        </w:tc>
        <w:tc>
          <w:tcPr>
            <w:tcW w:w="2520" w:type="dxa"/>
            <w:vAlign w:val="bottom"/>
            <w:tcBorders>
              <w:right w:val="single" w:sz="8" w:color="auto"/>
            </w:tcBorders>
            <w:gridSpan w:val="4"/>
          </w:tcPr>
          <w:p>
            <w:pPr>
              <w:jc w:val="center"/>
              <w:ind w:right="120"/>
              <w:spacing w:after="0"/>
              <w:rPr>
                <w:sz w:val="20"/>
                <w:szCs w:val="20"/>
                <w:color w:val="auto"/>
              </w:rPr>
            </w:pPr>
            <w:r>
              <w:rPr>
                <w:rFonts w:ascii="Arial" w:cs="Arial" w:eastAsia="Arial" w:hAnsi="Arial"/>
                <w:sz w:val="13"/>
                <w:szCs w:val="13"/>
                <w:color w:val="auto"/>
              </w:rPr>
              <w:t>continued vesting subject</w:t>
            </w:r>
          </w:p>
        </w:tc>
        <w:tc>
          <w:tcPr>
            <w:tcW w:w="0" w:type="dxa"/>
            <w:vAlign w:val="bottom"/>
          </w:tcPr>
          <w:p>
            <w:pPr>
              <w:spacing w:after="0"/>
              <w:rPr>
                <w:sz w:val="1"/>
                <w:szCs w:val="1"/>
                <w:color w:val="auto"/>
              </w:rPr>
            </w:pPr>
          </w:p>
        </w:tc>
      </w:tr>
      <w:tr>
        <w:trPr>
          <w:trHeight w:val="148"/>
        </w:trPr>
        <w:tc>
          <w:tcPr>
            <w:tcW w:w="1180" w:type="dxa"/>
            <w:vAlign w:val="bottom"/>
            <w:tcBorders>
              <w:left w:val="single" w:sz="8" w:color="auto"/>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1860" w:type="dxa"/>
            <w:vAlign w:val="bottom"/>
            <w:tcBorders>
              <w:right w:val="single" w:sz="8" w:color="auto"/>
            </w:tcBorders>
            <w:gridSpan w:val="5"/>
          </w:tcPr>
          <w:p>
            <w:pPr>
              <w:jc w:val="center"/>
              <w:ind w:right="60"/>
              <w:spacing w:after="0"/>
              <w:rPr>
                <w:sz w:val="20"/>
                <w:szCs w:val="20"/>
                <w:color w:val="auto"/>
              </w:rPr>
            </w:pPr>
            <w:r>
              <w:rPr>
                <w:rFonts w:ascii="Arial" w:cs="Arial" w:eastAsia="Arial" w:hAnsi="Arial"/>
                <w:sz w:val="13"/>
                <w:szCs w:val="13"/>
                <w:color w:val="auto"/>
              </w:rPr>
              <w:t>to completion of new</w:t>
            </w:r>
          </w:p>
        </w:tc>
        <w:tc>
          <w:tcPr>
            <w:tcW w:w="1840" w:type="dxa"/>
            <w:vAlign w:val="bottom"/>
            <w:tcBorders>
              <w:right w:val="single" w:sz="8" w:color="auto"/>
            </w:tcBorders>
            <w:gridSpan w:val="5"/>
          </w:tcPr>
          <w:p>
            <w:pPr>
              <w:jc w:val="center"/>
              <w:ind w:right="80"/>
              <w:spacing w:after="0"/>
              <w:rPr>
                <w:sz w:val="20"/>
                <w:szCs w:val="20"/>
                <w:color w:val="auto"/>
              </w:rPr>
            </w:pPr>
            <w:r>
              <w:rPr>
                <w:rFonts w:ascii="Arial" w:cs="Arial" w:eastAsia="Arial" w:hAnsi="Arial"/>
                <w:sz w:val="13"/>
                <w:szCs w:val="13"/>
                <w:color w:val="auto"/>
              </w:rPr>
              <w:t>to completion of new</w:t>
            </w:r>
          </w:p>
        </w:tc>
        <w:tc>
          <w:tcPr>
            <w:tcW w:w="80" w:type="dxa"/>
            <w:vAlign w:val="bottom"/>
          </w:tcPr>
          <w:p>
            <w:pPr>
              <w:spacing w:after="0"/>
              <w:rPr>
                <w:sz w:val="12"/>
                <w:szCs w:val="12"/>
                <w:color w:val="auto"/>
              </w:rPr>
            </w:pPr>
          </w:p>
        </w:tc>
        <w:tc>
          <w:tcPr>
            <w:tcW w:w="2520" w:type="dxa"/>
            <w:vAlign w:val="bottom"/>
            <w:tcBorders>
              <w:right w:val="single" w:sz="8" w:color="auto"/>
            </w:tcBorders>
            <w:gridSpan w:val="4"/>
          </w:tcPr>
          <w:p>
            <w:pPr>
              <w:jc w:val="center"/>
              <w:ind w:right="120"/>
              <w:spacing w:after="0"/>
              <w:rPr>
                <w:sz w:val="20"/>
                <w:szCs w:val="20"/>
                <w:color w:val="auto"/>
              </w:rPr>
            </w:pPr>
            <w:r>
              <w:rPr>
                <w:rFonts w:ascii="Arial" w:cs="Arial" w:eastAsia="Arial" w:hAnsi="Arial"/>
                <w:sz w:val="13"/>
                <w:szCs w:val="13"/>
                <w:color w:val="auto"/>
              </w:rPr>
              <w:t>to completion of new</w:t>
            </w:r>
          </w:p>
        </w:tc>
        <w:tc>
          <w:tcPr>
            <w:tcW w:w="0" w:type="dxa"/>
            <w:vAlign w:val="bottom"/>
          </w:tcPr>
          <w:p>
            <w:pPr>
              <w:spacing w:after="0"/>
              <w:rPr>
                <w:sz w:val="1"/>
                <w:szCs w:val="1"/>
                <w:color w:val="auto"/>
              </w:rPr>
            </w:pPr>
          </w:p>
        </w:tc>
      </w:tr>
      <w:tr>
        <w:trPr>
          <w:trHeight w:val="148"/>
        </w:trPr>
        <w:tc>
          <w:tcPr>
            <w:tcW w:w="1180" w:type="dxa"/>
            <w:vAlign w:val="bottom"/>
            <w:tcBorders>
              <w:left w:val="single" w:sz="8" w:color="auto"/>
              <w:right w:val="single" w:sz="8" w:color="auto"/>
            </w:tcBorders>
            <w:vMerge w:val="restart"/>
          </w:tcPr>
          <w:p>
            <w:pPr>
              <w:jc w:val="center"/>
              <w:ind w:right="14"/>
              <w:spacing w:after="0"/>
              <w:rPr>
                <w:sz w:val="20"/>
                <w:szCs w:val="20"/>
                <w:color w:val="auto"/>
              </w:rPr>
            </w:pPr>
            <w:r>
              <w:rPr>
                <w:rFonts w:ascii="Arial" w:cs="Arial" w:eastAsia="Arial" w:hAnsi="Arial"/>
                <w:sz w:val="13"/>
                <w:szCs w:val="13"/>
                <w:color w:val="auto"/>
                <w:w w:val="99"/>
              </w:rPr>
              <w:t>Stock Options</w:t>
            </w:r>
            <w:r>
              <w:rPr>
                <w:rFonts w:ascii="Arial" w:cs="Arial" w:eastAsia="Arial" w:hAnsi="Arial"/>
                <w:sz w:val="22"/>
                <w:szCs w:val="22"/>
                <w:color w:val="auto"/>
                <w:w w:val="99"/>
                <w:vertAlign w:val="superscript"/>
              </w:rPr>
              <w:t>(4)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1860" w:type="dxa"/>
            <w:vAlign w:val="bottom"/>
            <w:tcBorders>
              <w:right w:val="single" w:sz="8" w:color="auto"/>
            </w:tcBorders>
            <w:gridSpan w:val="5"/>
          </w:tcPr>
          <w:p>
            <w:pPr>
              <w:jc w:val="center"/>
              <w:ind w:right="60"/>
              <w:spacing w:after="0"/>
              <w:rPr>
                <w:sz w:val="20"/>
                <w:szCs w:val="20"/>
                <w:color w:val="auto"/>
              </w:rPr>
            </w:pPr>
            <w:r>
              <w:rPr>
                <w:rFonts w:ascii="Arial" w:cs="Arial" w:eastAsia="Arial" w:hAnsi="Arial"/>
                <w:sz w:val="13"/>
                <w:szCs w:val="13"/>
                <w:color w:val="auto"/>
              </w:rPr>
              <w:t>non-compete/non-solicit</w:t>
            </w:r>
          </w:p>
        </w:tc>
        <w:tc>
          <w:tcPr>
            <w:tcW w:w="1840" w:type="dxa"/>
            <w:vAlign w:val="bottom"/>
            <w:tcBorders>
              <w:right w:val="single" w:sz="8" w:color="auto"/>
            </w:tcBorders>
            <w:gridSpan w:val="5"/>
          </w:tcPr>
          <w:p>
            <w:pPr>
              <w:jc w:val="center"/>
              <w:ind w:right="80"/>
              <w:spacing w:after="0"/>
              <w:rPr>
                <w:sz w:val="20"/>
                <w:szCs w:val="20"/>
                <w:color w:val="auto"/>
              </w:rPr>
            </w:pPr>
            <w:r>
              <w:rPr>
                <w:rFonts w:ascii="Arial" w:cs="Arial" w:eastAsia="Arial" w:hAnsi="Arial"/>
                <w:sz w:val="13"/>
                <w:szCs w:val="13"/>
                <w:color w:val="auto"/>
              </w:rPr>
              <w:t>non-compete/non-solicit</w:t>
            </w:r>
          </w:p>
        </w:tc>
        <w:tc>
          <w:tcPr>
            <w:tcW w:w="80" w:type="dxa"/>
            <w:vAlign w:val="bottom"/>
          </w:tcPr>
          <w:p>
            <w:pPr>
              <w:spacing w:after="0"/>
              <w:rPr>
                <w:sz w:val="12"/>
                <w:szCs w:val="12"/>
                <w:color w:val="auto"/>
              </w:rPr>
            </w:pPr>
          </w:p>
        </w:tc>
        <w:tc>
          <w:tcPr>
            <w:tcW w:w="2520" w:type="dxa"/>
            <w:vAlign w:val="bottom"/>
            <w:tcBorders>
              <w:right w:val="single" w:sz="8" w:color="auto"/>
            </w:tcBorders>
            <w:gridSpan w:val="4"/>
          </w:tcPr>
          <w:p>
            <w:pPr>
              <w:jc w:val="center"/>
              <w:ind w:right="120"/>
              <w:spacing w:after="0"/>
              <w:rPr>
                <w:sz w:val="20"/>
                <w:szCs w:val="20"/>
                <w:color w:val="auto"/>
              </w:rPr>
            </w:pPr>
            <w:r>
              <w:rPr>
                <w:rFonts w:ascii="Arial" w:cs="Arial" w:eastAsia="Arial" w:hAnsi="Arial"/>
                <w:sz w:val="13"/>
                <w:szCs w:val="13"/>
                <w:color w:val="auto"/>
              </w:rPr>
              <w:t>non-compete/non-solicit</w:t>
            </w:r>
          </w:p>
        </w:tc>
        <w:tc>
          <w:tcPr>
            <w:tcW w:w="0" w:type="dxa"/>
            <w:vAlign w:val="bottom"/>
          </w:tcPr>
          <w:p>
            <w:pPr>
              <w:spacing w:after="0"/>
              <w:rPr>
                <w:sz w:val="1"/>
                <w:szCs w:val="1"/>
                <w:color w:val="auto"/>
              </w:rPr>
            </w:pPr>
          </w:p>
        </w:tc>
      </w:tr>
      <w:tr>
        <w:trPr>
          <w:trHeight w:val="148"/>
        </w:trPr>
        <w:tc>
          <w:tcPr>
            <w:tcW w:w="1180" w:type="dxa"/>
            <w:vAlign w:val="bottom"/>
            <w:tcBorders>
              <w:left w:val="single" w:sz="8" w:color="auto"/>
              <w:right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tcBorders>
              <w:right w:val="single" w:sz="8" w:color="auto"/>
            </w:tcBorders>
            <w:gridSpan w:val="4"/>
          </w:tcPr>
          <w:p>
            <w:pPr>
              <w:jc w:val="center"/>
              <w:ind w:right="280"/>
              <w:spacing w:after="0"/>
              <w:rPr>
                <w:sz w:val="20"/>
                <w:szCs w:val="20"/>
                <w:color w:val="auto"/>
              </w:rPr>
            </w:pPr>
            <w:r>
              <w:rPr>
                <w:rFonts w:ascii="Arial" w:cs="Arial" w:eastAsia="Arial" w:hAnsi="Arial"/>
                <w:sz w:val="13"/>
                <w:szCs w:val="13"/>
                <w:color w:val="auto"/>
              </w:rPr>
              <w:t>Fully accelerated</w:t>
            </w:r>
          </w:p>
        </w:tc>
        <w:tc>
          <w:tcPr>
            <w:tcW w:w="380" w:type="dxa"/>
            <w:vAlign w:val="bottom"/>
          </w:tcPr>
          <w:p>
            <w:pPr>
              <w:spacing w:after="0"/>
              <w:rPr>
                <w:sz w:val="12"/>
                <w:szCs w:val="12"/>
                <w:color w:val="auto"/>
              </w:rPr>
            </w:pPr>
          </w:p>
        </w:tc>
        <w:tc>
          <w:tcPr>
            <w:tcW w:w="1480" w:type="dxa"/>
            <w:vAlign w:val="bottom"/>
            <w:tcBorders>
              <w:right w:val="single" w:sz="8" w:color="auto"/>
            </w:tcBorders>
            <w:gridSpan w:val="4"/>
          </w:tcPr>
          <w:p>
            <w:pPr>
              <w:jc w:val="center"/>
              <w:ind w:right="460"/>
              <w:spacing w:after="0"/>
              <w:rPr>
                <w:sz w:val="20"/>
                <w:szCs w:val="20"/>
                <w:color w:val="auto"/>
              </w:rPr>
            </w:pPr>
            <w:r>
              <w:rPr>
                <w:rFonts w:ascii="Arial" w:cs="Arial" w:eastAsia="Arial" w:hAnsi="Arial"/>
                <w:sz w:val="13"/>
                <w:szCs w:val="13"/>
                <w:color w:val="auto"/>
              </w:rPr>
              <w:t>agreement and</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tcBorders>
              <w:right w:val="single" w:sz="8" w:color="auto"/>
            </w:tcBorders>
            <w:gridSpan w:val="3"/>
          </w:tcPr>
          <w:p>
            <w:pPr>
              <w:jc w:val="center"/>
              <w:ind w:right="480"/>
              <w:spacing w:after="0"/>
              <w:rPr>
                <w:sz w:val="20"/>
                <w:szCs w:val="20"/>
                <w:color w:val="auto"/>
              </w:rPr>
            </w:pPr>
            <w:r>
              <w:rPr>
                <w:rFonts w:ascii="Arial" w:cs="Arial" w:eastAsia="Arial" w:hAnsi="Arial"/>
                <w:sz w:val="13"/>
                <w:szCs w:val="13"/>
                <w:color w:val="auto"/>
              </w:rPr>
              <w:t>agreement and</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60" w:type="dxa"/>
            <w:vAlign w:val="bottom"/>
            <w:tcBorders>
              <w:right w:val="single" w:sz="8" w:color="auto"/>
            </w:tcBorders>
            <w:gridSpan w:val="3"/>
          </w:tcPr>
          <w:p>
            <w:pPr>
              <w:jc w:val="center"/>
              <w:ind w:right="760"/>
              <w:spacing w:after="0"/>
              <w:rPr>
                <w:sz w:val="20"/>
                <w:szCs w:val="20"/>
                <w:color w:val="auto"/>
              </w:rPr>
            </w:pPr>
            <w:r>
              <w:rPr>
                <w:rFonts w:ascii="Arial" w:cs="Arial" w:eastAsia="Arial" w:hAnsi="Arial"/>
                <w:sz w:val="13"/>
                <w:szCs w:val="13"/>
                <w:color w:val="auto"/>
              </w:rPr>
              <w:t>agreement and</w:t>
            </w:r>
          </w:p>
        </w:tc>
        <w:tc>
          <w:tcPr>
            <w:tcW w:w="0" w:type="dxa"/>
            <w:vAlign w:val="bottom"/>
          </w:tcPr>
          <w:p>
            <w:pPr>
              <w:spacing w:after="0"/>
              <w:rPr>
                <w:sz w:val="1"/>
                <w:szCs w:val="1"/>
                <w:color w:val="auto"/>
              </w:rPr>
            </w:pPr>
          </w:p>
        </w:tc>
      </w:tr>
      <w:tr>
        <w:trPr>
          <w:trHeight w:val="180"/>
        </w:trPr>
        <w:tc>
          <w:tcPr>
            <w:tcW w:w="1180" w:type="dxa"/>
            <w:vAlign w:val="bottom"/>
            <w:tcBorders>
              <w:left w:val="single" w:sz="8" w:color="auto"/>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Borders>
              <w:right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1480" w:type="dxa"/>
            <w:vAlign w:val="bottom"/>
            <w:tcBorders>
              <w:right w:val="single" w:sz="8" w:color="auto"/>
            </w:tcBorders>
            <w:gridSpan w:val="4"/>
          </w:tcPr>
          <w:p>
            <w:pPr>
              <w:jc w:val="center"/>
              <w:ind w:right="420"/>
              <w:spacing w:after="0"/>
              <w:rPr>
                <w:sz w:val="20"/>
                <w:szCs w:val="20"/>
                <w:color w:val="auto"/>
              </w:rPr>
            </w:pPr>
            <w:r>
              <w:rPr>
                <w:rFonts w:ascii="Arial" w:cs="Arial" w:eastAsia="Arial" w:hAnsi="Arial"/>
                <w:sz w:val="13"/>
                <w:szCs w:val="13"/>
                <w:color w:val="auto"/>
              </w:rPr>
              <w:t>reasonable notice</w:t>
            </w:r>
          </w:p>
        </w:tc>
        <w:tc>
          <w:tcPr>
            <w:tcW w:w="340" w:type="dxa"/>
            <w:vAlign w:val="bottom"/>
          </w:tcPr>
          <w:p>
            <w:pPr>
              <w:spacing w:after="0"/>
              <w:rPr>
                <w:sz w:val="15"/>
                <w:szCs w:val="15"/>
                <w:color w:val="auto"/>
              </w:rPr>
            </w:pPr>
          </w:p>
        </w:tc>
        <w:tc>
          <w:tcPr>
            <w:tcW w:w="1500" w:type="dxa"/>
            <w:vAlign w:val="bottom"/>
            <w:tcBorders>
              <w:right w:val="single" w:sz="8" w:color="auto"/>
            </w:tcBorders>
            <w:gridSpan w:val="4"/>
          </w:tcPr>
          <w:p>
            <w:pPr>
              <w:jc w:val="center"/>
              <w:ind w:right="360"/>
              <w:spacing w:after="0"/>
              <w:rPr>
                <w:sz w:val="20"/>
                <w:szCs w:val="20"/>
                <w:color w:val="auto"/>
              </w:rPr>
            </w:pPr>
            <w:r>
              <w:rPr>
                <w:rFonts w:ascii="Arial" w:cs="Arial" w:eastAsia="Arial" w:hAnsi="Arial"/>
                <w:sz w:val="13"/>
                <w:szCs w:val="13"/>
                <w:color w:val="auto"/>
              </w:rPr>
              <w:t>reasonable notice</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60" w:type="dxa"/>
            <w:vAlign w:val="bottom"/>
            <w:tcBorders>
              <w:right w:val="single" w:sz="8" w:color="auto"/>
            </w:tcBorders>
            <w:gridSpan w:val="3"/>
          </w:tcPr>
          <w:p>
            <w:pPr>
              <w:jc w:val="center"/>
              <w:ind w:right="720"/>
              <w:spacing w:after="0"/>
              <w:rPr>
                <w:sz w:val="20"/>
                <w:szCs w:val="20"/>
                <w:color w:val="auto"/>
              </w:rPr>
            </w:pPr>
            <w:r>
              <w:rPr>
                <w:rFonts w:ascii="Arial" w:cs="Arial" w:eastAsia="Arial" w:hAnsi="Arial"/>
                <w:sz w:val="13"/>
                <w:szCs w:val="13"/>
                <w:color w:val="auto"/>
              </w:rPr>
              <w:t>reasonable notice</w:t>
            </w:r>
          </w:p>
        </w:tc>
        <w:tc>
          <w:tcPr>
            <w:tcW w:w="0" w:type="dxa"/>
            <w:vAlign w:val="bottom"/>
          </w:tcPr>
          <w:p>
            <w:pPr>
              <w:spacing w:after="0"/>
              <w:rPr>
                <w:sz w:val="1"/>
                <w:szCs w:val="1"/>
                <w:color w:val="auto"/>
              </w:rPr>
            </w:pPr>
          </w:p>
        </w:tc>
      </w:tr>
      <w:tr>
        <w:trPr>
          <w:trHeight w:val="269"/>
        </w:trPr>
        <w:tc>
          <w:tcPr>
            <w:tcW w:w="1180" w:type="dxa"/>
            <w:vAlign w:val="bottom"/>
            <w:tcBorders>
              <w:left w:val="single" w:sz="8" w:color="auto"/>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80" w:type="dxa"/>
            <w:vAlign w:val="bottom"/>
            <w:tcBorders>
              <w:right w:val="single" w:sz="8" w:color="auto"/>
            </w:tcBorders>
          </w:tcPr>
          <w:p>
            <w:pPr>
              <w:spacing w:after="0"/>
              <w:rPr>
                <w:sz w:val="23"/>
                <w:szCs w:val="23"/>
                <w:color w:val="auto"/>
              </w:rPr>
            </w:pP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rPr>
              <w:t>Vested Options</w:t>
            </w:r>
          </w:p>
        </w:tc>
        <w:tc>
          <w:tcPr>
            <w:tcW w:w="480" w:type="dxa"/>
            <w:vAlign w:val="bottom"/>
            <w:tcBorders>
              <w:right w:val="single" w:sz="8" w:color="auto"/>
            </w:tcBorders>
            <w:gridSpan w:val="2"/>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20" w:type="dxa"/>
            <w:vAlign w:val="bottom"/>
            <w:tcBorders>
              <w:right w:val="single" w:sz="8" w:color="auto"/>
            </w:tcBorders>
            <w:gridSpan w:val="3"/>
          </w:tcPr>
          <w:p>
            <w:pPr>
              <w:jc w:val="center"/>
              <w:ind w:right="500"/>
              <w:spacing w:after="0"/>
              <w:rPr>
                <w:sz w:val="20"/>
                <w:szCs w:val="20"/>
                <w:color w:val="auto"/>
              </w:rPr>
            </w:pPr>
            <w:r>
              <w:rPr>
                <w:rFonts w:ascii="Arial" w:cs="Arial" w:eastAsia="Arial" w:hAnsi="Arial"/>
                <w:sz w:val="13"/>
                <w:szCs w:val="13"/>
                <w:color w:val="auto"/>
              </w:rPr>
              <w:t>Vested Options</w:t>
            </w:r>
          </w:p>
        </w:tc>
        <w:tc>
          <w:tcPr>
            <w:tcW w:w="80" w:type="dxa"/>
            <w:vAlign w:val="bottom"/>
          </w:tcPr>
          <w:p>
            <w:pPr>
              <w:spacing w:after="0"/>
              <w:rPr>
                <w:sz w:val="23"/>
                <w:szCs w:val="23"/>
                <w:color w:val="auto"/>
              </w:rPr>
            </w:pPr>
          </w:p>
        </w:tc>
        <w:tc>
          <w:tcPr>
            <w:tcW w:w="2520" w:type="dxa"/>
            <w:vAlign w:val="bottom"/>
            <w:tcBorders>
              <w:right w:val="single" w:sz="8" w:color="auto"/>
            </w:tcBorders>
            <w:gridSpan w:val="4"/>
          </w:tcPr>
          <w:p>
            <w:pPr>
              <w:jc w:val="center"/>
              <w:ind w:right="100"/>
              <w:spacing w:after="0"/>
              <w:rPr>
                <w:sz w:val="20"/>
                <w:szCs w:val="20"/>
                <w:color w:val="auto"/>
              </w:rPr>
            </w:pPr>
            <w:r>
              <w:rPr>
                <w:rFonts w:ascii="Arial" w:cs="Arial" w:eastAsia="Arial" w:hAnsi="Arial"/>
                <w:sz w:val="13"/>
                <w:szCs w:val="13"/>
                <w:color w:val="auto"/>
              </w:rPr>
              <w:t>Vested Options Remain exercisable until</w:t>
            </w:r>
          </w:p>
        </w:tc>
        <w:tc>
          <w:tcPr>
            <w:tcW w:w="0" w:type="dxa"/>
            <w:vAlign w:val="bottom"/>
          </w:tcPr>
          <w:p>
            <w:pPr>
              <w:spacing w:after="0"/>
              <w:rPr>
                <w:sz w:val="1"/>
                <w:szCs w:val="1"/>
                <w:color w:val="auto"/>
              </w:rPr>
            </w:pPr>
          </w:p>
        </w:tc>
      </w:tr>
      <w:tr>
        <w:trPr>
          <w:trHeight w:val="20"/>
        </w:trPr>
        <w:tc>
          <w:tcPr>
            <w:tcW w:w="118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gridSpan w:val="2"/>
            <w:vMerge w:val="restart"/>
          </w:tcPr>
          <w:p>
            <w:pPr>
              <w:spacing w:after="0" w:line="146" w:lineRule="exact"/>
              <w:rPr>
                <w:sz w:val="20"/>
                <w:szCs w:val="20"/>
                <w:color w:val="auto"/>
              </w:rPr>
            </w:pPr>
            <w:r>
              <w:rPr>
                <w:rFonts w:ascii="Arial" w:cs="Arial" w:eastAsia="Arial" w:hAnsi="Arial"/>
                <w:sz w:val="13"/>
                <w:szCs w:val="13"/>
                <w:color w:val="auto"/>
              </w:rPr>
              <w:t>until</w:t>
            </w: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1180" w:type="dxa"/>
            <w:vAlign w:val="bottom"/>
            <w:tcBorders>
              <w:left w:val="single" w:sz="8" w:color="auto"/>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1380" w:type="dxa"/>
            <w:vAlign w:val="bottom"/>
            <w:gridSpan w:val="3"/>
          </w:tcPr>
          <w:p>
            <w:pPr>
              <w:ind w:left="160"/>
              <w:spacing w:after="0" w:line="126" w:lineRule="exact"/>
              <w:rPr>
                <w:sz w:val="20"/>
                <w:szCs w:val="20"/>
                <w:color w:val="auto"/>
              </w:rPr>
            </w:pPr>
            <w:r>
              <w:rPr>
                <w:rFonts w:ascii="Arial" w:cs="Arial" w:eastAsia="Arial" w:hAnsi="Arial"/>
                <w:sz w:val="13"/>
                <w:szCs w:val="13"/>
                <w:color w:val="auto"/>
              </w:rPr>
              <w:t>Remain exercisable</w:t>
            </w:r>
          </w:p>
        </w:tc>
        <w:tc>
          <w:tcPr>
            <w:tcW w:w="480" w:type="dxa"/>
            <w:vAlign w:val="bottom"/>
            <w:tcBorders>
              <w:right w:val="single" w:sz="8" w:color="auto"/>
            </w:tcBorders>
            <w:gridSpan w:val="2"/>
            <w:vMerge w:val="continue"/>
          </w:tcPr>
          <w:p>
            <w:pPr>
              <w:spacing w:after="0"/>
              <w:rPr>
                <w:sz w:val="10"/>
                <w:szCs w:val="10"/>
                <w:color w:val="auto"/>
              </w:rPr>
            </w:pPr>
          </w:p>
        </w:tc>
        <w:tc>
          <w:tcPr>
            <w:tcW w:w="1840" w:type="dxa"/>
            <w:vAlign w:val="bottom"/>
            <w:tcBorders>
              <w:right w:val="single" w:sz="8" w:color="auto"/>
            </w:tcBorders>
            <w:gridSpan w:val="5"/>
          </w:tcPr>
          <w:p>
            <w:pPr>
              <w:jc w:val="center"/>
              <w:ind w:right="80"/>
              <w:spacing w:after="0" w:line="126" w:lineRule="exact"/>
              <w:rPr>
                <w:sz w:val="20"/>
                <w:szCs w:val="20"/>
                <w:color w:val="auto"/>
              </w:rPr>
            </w:pPr>
            <w:r>
              <w:rPr>
                <w:rFonts w:ascii="Arial" w:cs="Arial" w:eastAsia="Arial" w:hAnsi="Arial"/>
                <w:sz w:val="13"/>
                <w:szCs w:val="13"/>
                <w:color w:val="auto"/>
              </w:rPr>
              <w:t>Remain exercisable until</w:t>
            </w:r>
          </w:p>
        </w:tc>
        <w:tc>
          <w:tcPr>
            <w:tcW w:w="80" w:type="dxa"/>
            <w:vAlign w:val="bottom"/>
          </w:tcPr>
          <w:p>
            <w:pPr>
              <w:spacing w:after="0"/>
              <w:rPr>
                <w:sz w:val="10"/>
                <w:szCs w:val="10"/>
                <w:color w:val="auto"/>
              </w:rPr>
            </w:pPr>
          </w:p>
        </w:tc>
        <w:tc>
          <w:tcPr>
            <w:tcW w:w="2520" w:type="dxa"/>
            <w:vAlign w:val="bottom"/>
            <w:tcBorders>
              <w:right w:val="single" w:sz="8" w:color="auto"/>
            </w:tcBorders>
            <w:gridSpan w:val="4"/>
          </w:tcPr>
          <w:p>
            <w:pPr>
              <w:jc w:val="center"/>
              <w:ind w:right="120"/>
              <w:spacing w:after="0" w:line="126" w:lineRule="exact"/>
              <w:rPr>
                <w:sz w:val="20"/>
                <w:szCs w:val="20"/>
                <w:color w:val="auto"/>
              </w:rPr>
            </w:pPr>
            <w:r>
              <w:rPr>
                <w:rFonts w:ascii="Arial" w:cs="Arial" w:eastAsia="Arial" w:hAnsi="Arial"/>
                <w:sz w:val="13"/>
                <w:szCs w:val="13"/>
                <w:color w:val="auto"/>
              </w:rPr>
              <w:t>the original expiration</w:t>
            </w:r>
          </w:p>
        </w:tc>
        <w:tc>
          <w:tcPr>
            <w:tcW w:w="0" w:type="dxa"/>
            <w:vAlign w:val="bottom"/>
          </w:tcPr>
          <w:p>
            <w:pPr>
              <w:spacing w:after="0"/>
              <w:rPr>
                <w:sz w:val="1"/>
                <w:szCs w:val="1"/>
                <w:color w:val="auto"/>
              </w:rPr>
            </w:pPr>
          </w:p>
        </w:tc>
      </w:tr>
      <w:tr>
        <w:trPr>
          <w:trHeight w:val="148"/>
        </w:trPr>
        <w:tc>
          <w:tcPr>
            <w:tcW w:w="1180" w:type="dxa"/>
            <w:vAlign w:val="bottom"/>
            <w:tcBorders>
              <w:left w:val="single" w:sz="8" w:color="auto"/>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1860" w:type="dxa"/>
            <w:vAlign w:val="bottom"/>
            <w:tcBorders>
              <w:right w:val="single" w:sz="8" w:color="auto"/>
            </w:tcBorders>
            <w:gridSpan w:val="5"/>
          </w:tcPr>
          <w:p>
            <w:pPr>
              <w:jc w:val="center"/>
              <w:ind w:right="60"/>
              <w:spacing w:after="0"/>
              <w:rPr>
                <w:sz w:val="20"/>
                <w:szCs w:val="20"/>
                <w:color w:val="auto"/>
              </w:rPr>
            </w:pPr>
            <w:r>
              <w:rPr>
                <w:rFonts w:ascii="Arial" w:cs="Arial" w:eastAsia="Arial" w:hAnsi="Arial"/>
                <w:sz w:val="13"/>
                <w:szCs w:val="13"/>
                <w:color w:val="auto"/>
              </w:rPr>
              <w:t>the original expiration</w:t>
            </w:r>
          </w:p>
        </w:tc>
        <w:tc>
          <w:tcPr>
            <w:tcW w:w="1840" w:type="dxa"/>
            <w:vAlign w:val="bottom"/>
            <w:tcBorders>
              <w:right w:val="single" w:sz="8" w:color="auto"/>
            </w:tcBorders>
            <w:gridSpan w:val="5"/>
          </w:tcPr>
          <w:p>
            <w:pPr>
              <w:jc w:val="center"/>
              <w:ind w:right="80"/>
              <w:spacing w:after="0"/>
              <w:rPr>
                <w:sz w:val="20"/>
                <w:szCs w:val="20"/>
                <w:color w:val="auto"/>
              </w:rPr>
            </w:pPr>
            <w:r>
              <w:rPr>
                <w:rFonts w:ascii="Arial" w:cs="Arial" w:eastAsia="Arial" w:hAnsi="Arial"/>
                <w:sz w:val="13"/>
                <w:szCs w:val="13"/>
                <w:color w:val="auto"/>
              </w:rPr>
              <w:t>the original expiration</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60" w:type="dxa"/>
            <w:vAlign w:val="bottom"/>
            <w:tcBorders>
              <w:right w:val="single" w:sz="8" w:color="auto"/>
            </w:tcBorders>
            <w:gridSpan w:val="3"/>
          </w:tcPr>
          <w:p>
            <w:pPr>
              <w:jc w:val="center"/>
              <w:ind w:right="720"/>
              <w:spacing w:after="0"/>
              <w:rPr>
                <w:sz w:val="20"/>
                <w:szCs w:val="20"/>
                <w:color w:val="auto"/>
              </w:rPr>
            </w:pPr>
            <w:r>
              <w:rPr>
                <w:rFonts w:ascii="Arial" w:cs="Arial" w:eastAsia="Arial" w:hAnsi="Arial"/>
                <w:sz w:val="13"/>
                <w:szCs w:val="13"/>
                <w:color w:val="auto"/>
              </w:rPr>
              <w:t>date of the grant</w:t>
            </w:r>
          </w:p>
        </w:tc>
        <w:tc>
          <w:tcPr>
            <w:tcW w:w="0" w:type="dxa"/>
            <w:vAlign w:val="bottom"/>
          </w:tcPr>
          <w:p>
            <w:pPr>
              <w:spacing w:after="0"/>
              <w:rPr>
                <w:sz w:val="1"/>
                <w:szCs w:val="1"/>
                <w:color w:val="auto"/>
              </w:rPr>
            </w:pPr>
          </w:p>
        </w:tc>
      </w:tr>
      <w:tr>
        <w:trPr>
          <w:trHeight w:val="180"/>
        </w:trPr>
        <w:tc>
          <w:tcPr>
            <w:tcW w:w="1180" w:type="dxa"/>
            <w:vAlign w:val="bottom"/>
            <w:tcBorders>
              <w:left w:val="single" w:sz="8" w:color="auto"/>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Borders>
              <w:right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1480" w:type="dxa"/>
            <w:vAlign w:val="bottom"/>
            <w:tcBorders>
              <w:right w:val="single" w:sz="8" w:color="auto"/>
            </w:tcBorders>
            <w:gridSpan w:val="4"/>
          </w:tcPr>
          <w:p>
            <w:pPr>
              <w:jc w:val="center"/>
              <w:ind w:right="420"/>
              <w:spacing w:after="0"/>
              <w:rPr>
                <w:sz w:val="20"/>
                <w:szCs w:val="20"/>
                <w:color w:val="auto"/>
              </w:rPr>
            </w:pPr>
            <w:r>
              <w:rPr>
                <w:rFonts w:ascii="Arial" w:cs="Arial" w:eastAsia="Arial" w:hAnsi="Arial"/>
                <w:sz w:val="13"/>
                <w:szCs w:val="13"/>
                <w:color w:val="auto"/>
              </w:rPr>
              <w:t>date of the grant</w:t>
            </w:r>
          </w:p>
        </w:tc>
        <w:tc>
          <w:tcPr>
            <w:tcW w:w="340" w:type="dxa"/>
            <w:vAlign w:val="bottom"/>
          </w:tcPr>
          <w:p>
            <w:pPr>
              <w:spacing w:after="0"/>
              <w:rPr>
                <w:sz w:val="15"/>
                <w:szCs w:val="15"/>
                <w:color w:val="auto"/>
              </w:rPr>
            </w:pPr>
          </w:p>
        </w:tc>
        <w:tc>
          <w:tcPr>
            <w:tcW w:w="1500" w:type="dxa"/>
            <w:vAlign w:val="bottom"/>
            <w:tcBorders>
              <w:right w:val="single" w:sz="8" w:color="auto"/>
            </w:tcBorders>
            <w:gridSpan w:val="4"/>
          </w:tcPr>
          <w:p>
            <w:pPr>
              <w:jc w:val="center"/>
              <w:ind w:right="360"/>
              <w:spacing w:after="0"/>
              <w:rPr>
                <w:sz w:val="20"/>
                <w:szCs w:val="20"/>
                <w:color w:val="auto"/>
              </w:rPr>
            </w:pPr>
            <w:r>
              <w:rPr>
                <w:rFonts w:ascii="Arial" w:cs="Arial" w:eastAsia="Arial" w:hAnsi="Arial"/>
                <w:sz w:val="13"/>
                <w:szCs w:val="13"/>
                <w:color w:val="auto"/>
              </w:rPr>
              <w:t>date of the grant</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1180" w:type="dxa"/>
            <w:vAlign w:val="bottom"/>
            <w:tcBorders>
              <w:left w:val="single" w:sz="8" w:color="auto"/>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80" w:type="dxa"/>
            <w:vAlign w:val="bottom"/>
            <w:tcBorders>
              <w:bottom w:val="single" w:sz="8" w:color="auto"/>
              <w:right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right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2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1180" w:type="dxa"/>
            <w:vAlign w:val="bottom"/>
            <w:tcBorders>
              <w:left w:val="single" w:sz="8" w:color="auto"/>
              <w:right w:val="single" w:sz="8" w:color="auto"/>
            </w:tcBorders>
          </w:tcPr>
          <w:p>
            <w:pPr>
              <w:spacing w:after="0"/>
              <w:rPr>
                <w:sz w:val="15"/>
                <w:szCs w:val="15"/>
                <w:color w:val="auto"/>
              </w:rPr>
            </w:pPr>
          </w:p>
        </w:tc>
        <w:tc>
          <w:tcPr>
            <w:tcW w:w="1420" w:type="dxa"/>
            <w:vAlign w:val="bottom"/>
            <w:gridSpan w:val="5"/>
          </w:tcPr>
          <w:p>
            <w:pPr>
              <w:jc w:val="center"/>
              <w:ind w:left="133"/>
              <w:spacing w:after="0"/>
              <w:rPr>
                <w:sz w:val="20"/>
                <w:szCs w:val="20"/>
                <w:color w:val="auto"/>
              </w:rPr>
            </w:pPr>
            <w:r>
              <w:rPr>
                <w:rFonts w:ascii="Arial" w:cs="Arial" w:eastAsia="Arial" w:hAnsi="Arial"/>
                <w:sz w:val="13"/>
                <w:szCs w:val="13"/>
                <w:color w:val="auto"/>
              </w:rPr>
              <w:t>2018, 2019 &amp; 2020</w:t>
            </w:r>
          </w:p>
        </w:tc>
        <w:tc>
          <w:tcPr>
            <w:tcW w:w="280" w:type="dxa"/>
            <w:vAlign w:val="bottom"/>
            <w:tcBorders>
              <w:right w:val="single" w:sz="8" w:color="auto"/>
            </w:tcBorders>
          </w:tcPr>
          <w:p>
            <w:pPr>
              <w:spacing w:after="0"/>
              <w:rPr>
                <w:sz w:val="15"/>
                <w:szCs w:val="15"/>
                <w:color w:val="auto"/>
              </w:rPr>
            </w:pPr>
          </w:p>
        </w:tc>
        <w:tc>
          <w:tcPr>
            <w:tcW w:w="1860" w:type="dxa"/>
            <w:vAlign w:val="bottom"/>
            <w:tcBorders>
              <w:right w:val="single" w:sz="8" w:color="auto"/>
            </w:tcBorders>
            <w:gridSpan w:val="5"/>
          </w:tcPr>
          <w:p>
            <w:pPr>
              <w:jc w:val="center"/>
              <w:ind w:right="60"/>
              <w:spacing w:after="0"/>
              <w:rPr>
                <w:sz w:val="20"/>
                <w:szCs w:val="20"/>
                <w:color w:val="auto"/>
              </w:rPr>
            </w:pPr>
            <w:r>
              <w:rPr>
                <w:rFonts w:ascii="Arial" w:cs="Arial" w:eastAsia="Arial" w:hAnsi="Arial"/>
                <w:sz w:val="13"/>
                <w:szCs w:val="13"/>
                <w:color w:val="auto"/>
              </w:rPr>
              <w:t>If retire after 18 months</w:t>
            </w:r>
          </w:p>
        </w:tc>
        <w:tc>
          <w:tcPr>
            <w:tcW w:w="1840" w:type="dxa"/>
            <w:vAlign w:val="bottom"/>
            <w:tcBorders>
              <w:right w:val="single" w:sz="8" w:color="auto"/>
            </w:tcBorders>
            <w:gridSpan w:val="5"/>
          </w:tcPr>
          <w:p>
            <w:pPr>
              <w:jc w:val="center"/>
              <w:ind w:right="80"/>
              <w:spacing w:after="0"/>
              <w:rPr>
                <w:sz w:val="20"/>
                <w:szCs w:val="20"/>
                <w:color w:val="auto"/>
              </w:rPr>
            </w:pPr>
            <w:r>
              <w:rPr>
                <w:rFonts w:ascii="Arial" w:cs="Arial" w:eastAsia="Arial" w:hAnsi="Arial"/>
                <w:sz w:val="13"/>
                <w:szCs w:val="13"/>
                <w:color w:val="auto"/>
              </w:rPr>
              <w:t>If retire after 12 months</w:t>
            </w:r>
          </w:p>
        </w:tc>
        <w:tc>
          <w:tcPr>
            <w:tcW w:w="80" w:type="dxa"/>
            <w:vAlign w:val="bottom"/>
          </w:tcPr>
          <w:p>
            <w:pPr>
              <w:spacing w:after="0"/>
              <w:rPr>
                <w:sz w:val="15"/>
                <w:szCs w:val="15"/>
                <w:color w:val="auto"/>
              </w:rPr>
            </w:pPr>
          </w:p>
        </w:tc>
        <w:tc>
          <w:tcPr>
            <w:tcW w:w="2520" w:type="dxa"/>
            <w:vAlign w:val="bottom"/>
            <w:tcBorders>
              <w:right w:val="single" w:sz="8" w:color="auto"/>
            </w:tcBorders>
            <w:gridSpan w:val="4"/>
          </w:tcPr>
          <w:p>
            <w:pPr>
              <w:jc w:val="center"/>
              <w:ind w:right="120"/>
              <w:spacing w:after="0"/>
              <w:rPr>
                <w:sz w:val="20"/>
                <w:szCs w:val="20"/>
                <w:color w:val="auto"/>
              </w:rPr>
            </w:pPr>
            <w:r>
              <w:rPr>
                <w:rFonts w:ascii="Arial" w:cs="Arial" w:eastAsia="Arial" w:hAnsi="Arial"/>
                <w:sz w:val="13"/>
                <w:szCs w:val="13"/>
                <w:color w:val="auto"/>
              </w:rPr>
              <w:t>If retire after 12 months</w:t>
            </w:r>
          </w:p>
        </w:tc>
        <w:tc>
          <w:tcPr>
            <w:tcW w:w="0" w:type="dxa"/>
            <w:vAlign w:val="bottom"/>
          </w:tcPr>
          <w:p>
            <w:pPr>
              <w:spacing w:after="0"/>
              <w:rPr>
                <w:sz w:val="1"/>
                <w:szCs w:val="1"/>
                <w:color w:val="auto"/>
              </w:rPr>
            </w:pPr>
          </w:p>
        </w:tc>
      </w:tr>
      <w:tr>
        <w:trPr>
          <w:trHeight w:val="128"/>
        </w:trPr>
        <w:tc>
          <w:tcPr>
            <w:tcW w:w="1180" w:type="dxa"/>
            <w:vAlign w:val="bottom"/>
            <w:tcBorders>
              <w:left w:val="single" w:sz="8" w:color="auto"/>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center"/>
              <w:spacing w:after="0" w:line="129" w:lineRule="exact"/>
              <w:rPr>
                <w:sz w:val="20"/>
                <w:szCs w:val="20"/>
                <w:color w:val="auto"/>
              </w:rPr>
            </w:pPr>
            <w:r>
              <w:rPr>
                <w:rFonts w:ascii="Arial" w:cs="Arial" w:eastAsia="Arial" w:hAnsi="Arial"/>
                <w:sz w:val="13"/>
                <w:szCs w:val="13"/>
                <w:color w:val="auto"/>
              </w:rPr>
              <w:t>Awards</w:t>
            </w:r>
          </w:p>
        </w:tc>
        <w:tc>
          <w:tcPr>
            <w:tcW w:w="380" w:type="dxa"/>
            <w:vAlign w:val="bottom"/>
            <w:tcBorders>
              <w:top w:val="single" w:sz="8" w:color="auto"/>
            </w:tcBorders>
          </w:tcPr>
          <w:p>
            <w:pPr>
              <w:spacing w:after="0"/>
              <w:rPr>
                <w:sz w:val="11"/>
                <w:szCs w:val="11"/>
                <w:color w:val="auto"/>
              </w:rPr>
            </w:pPr>
          </w:p>
        </w:tc>
        <w:tc>
          <w:tcPr>
            <w:tcW w:w="280" w:type="dxa"/>
            <w:vAlign w:val="bottom"/>
            <w:tcBorders>
              <w:right w:val="single" w:sz="8" w:color="auto"/>
            </w:tcBorders>
          </w:tcPr>
          <w:p>
            <w:pPr>
              <w:spacing w:after="0"/>
              <w:rPr>
                <w:sz w:val="11"/>
                <w:szCs w:val="11"/>
                <w:color w:val="auto"/>
              </w:rPr>
            </w:pPr>
          </w:p>
        </w:tc>
        <w:tc>
          <w:tcPr>
            <w:tcW w:w="1860" w:type="dxa"/>
            <w:vAlign w:val="bottom"/>
            <w:tcBorders>
              <w:right w:val="single" w:sz="8" w:color="auto"/>
            </w:tcBorders>
            <w:gridSpan w:val="5"/>
          </w:tcPr>
          <w:p>
            <w:pPr>
              <w:jc w:val="center"/>
              <w:ind w:right="60"/>
              <w:spacing w:after="0" w:line="129" w:lineRule="exact"/>
              <w:rPr>
                <w:sz w:val="20"/>
                <w:szCs w:val="20"/>
                <w:color w:val="auto"/>
              </w:rPr>
            </w:pPr>
            <w:r>
              <w:rPr>
                <w:rFonts w:ascii="Arial" w:cs="Arial" w:eastAsia="Arial" w:hAnsi="Arial"/>
                <w:sz w:val="13"/>
                <w:szCs w:val="13"/>
                <w:color w:val="auto"/>
              </w:rPr>
              <w:t>following grant date, shares</w:t>
            </w:r>
          </w:p>
        </w:tc>
        <w:tc>
          <w:tcPr>
            <w:tcW w:w="1840" w:type="dxa"/>
            <w:vAlign w:val="bottom"/>
            <w:tcBorders>
              <w:right w:val="single" w:sz="8" w:color="auto"/>
            </w:tcBorders>
            <w:gridSpan w:val="5"/>
          </w:tcPr>
          <w:p>
            <w:pPr>
              <w:jc w:val="center"/>
              <w:ind w:right="60"/>
              <w:spacing w:after="0" w:line="129" w:lineRule="exact"/>
              <w:rPr>
                <w:sz w:val="20"/>
                <w:szCs w:val="20"/>
                <w:color w:val="auto"/>
              </w:rPr>
            </w:pPr>
            <w:r>
              <w:rPr>
                <w:rFonts w:ascii="Arial" w:cs="Arial" w:eastAsia="Arial" w:hAnsi="Arial"/>
                <w:sz w:val="13"/>
                <w:szCs w:val="13"/>
                <w:color w:val="auto"/>
              </w:rPr>
              <w:t>following grant date, shares</w:t>
            </w:r>
          </w:p>
        </w:tc>
        <w:tc>
          <w:tcPr>
            <w:tcW w:w="80" w:type="dxa"/>
            <w:vAlign w:val="bottom"/>
          </w:tcPr>
          <w:p>
            <w:pPr>
              <w:spacing w:after="0"/>
              <w:rPr>
                <w:sz w:val="11"/>
                <w:szCs w:val="11"/>
                <w:color w:val="auto"/>
              </w:rPr>
            </w:pPr>
          </w:p>
        </w:tc>
        <w:tc>
          <w:tcPr>
            <w:tcW w:w="2520" w:type="dxa"/>
            <w:vAlign w:val="bottom"/>
            <w:tcBorders>
              <w:right w:val="single" w:sz="8" w:color="auto"/>
            </w:tcBorders>
            <w:gridSpan w:val="4"/>
          </w:tcPr>
          <w:p>
            <w:pPr>
              <w:jc w:val="center"/>
              <w:ind w:right="100"/>
              <w:spacing w:after="0" w:line="129" w:lineRule="exact"/>
              <w:rPr>
                <w:sz w:val="20"/>
                <w:szCs w:val="20"/>
                <w:color w:val="auto"/>
              </w:rPr>
            </w:pPr>
            <w:r>
              <w:rPr>
                <w:rFonts w:ascii="Arial" w:cs="Arial" w:eastAsia="Arial" w:hAnsi="Arial"/>
                <w:sz w:val="13"/>
                <w:szCs w:val="13"/>
                <w:color w:val="auto"/>
              </w:rPr>
              <w:t>following grant date, shares</w:t>
            </w:r>
          </w:p>
        </w:tc>
        <w:tc>
          <w:tcPr>
            <w:tcW w:w="0" w:type="dxa"/>
            <w:vAlign w:val="bottom"/>
          </w:tcPr>
          <w:p>
            <w:pPr>
              <w:spacing w:after="0"/>
              <w:rPr>
                <w:sz w:val="1"/>
                <w:szCs w:val="1"/>
                <w:color w:val="auto"/>
              </w:rPr>
            </w:pPr>
          </w:p>
        </w:tc>
      </w:tr>
      <w:tr>
        <w:trPr>
          <w:trHeight w:val="125"/>
        </w:trPr>
        <w:tc>
          <w:tcPr>
            <w:tcW w:w="1180" w:type="dxa"/>
            <w:vAlign w:val="bottom"/>
            <w:tcBorders>
              <w:left w:val="single" w:sz="8" w:color="auto"/>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gridSpan w:val="2"/>
          </w:tcPr>
          <w:p>
            <w:pPr>
              <w:ind w:left="100"/>
              <w:spacing w:after="0" w:line="126" w:lineRule="exact"/>
              <w:rPr>
                <w:sz w:val="20"/>
                <w:szCs w:val="20"/>
                <w:color w:val="auto"/>
              </w:rPr>
            </w:pPr>
            <w:r>
              <w:rPr>
                <w:rFonts w:ascii="Arial" w:cs="Arial" w:eastAsia="Arial" w:hAnsi="Arial"/>
                <w:sz w:val="13"/>
                <w:szCs w:val="13"/>
                <w:color w:val="auto"/>
                <w:w w:val="87"/>
              </w:rPr>
              <w:t>Shares</w:t>
            </w:r>
          </w:p>
        </w:tc>
        <w:tc>
          <w:tcPr>
            <w:tcW w:w="1120" w:type="dxa"/>
            <w:vAlign w:val="bottom"/>
            <w:tcBorders>
              <w:right w:val="single" w:sz="8" w:color="auto"/>
            </w:tcBorders>
            <w:gridSpan w:val="3"/>
          </w:tcPr>
          <w:p>
            <w:pPr>
              <w:ind w:left="80"/>
              <w:spacing w:after="0" w:line="126" w:lineRule="exact"/>
              <w:rPr>
                <w:sz w:val="20"/>
                <w:szCs w:val="20"/>
                <w:color w:val="auto"/>
              </w:rPr>
            </w:pPr>
            <w:r>
              <w:rPr>
                <w:rFonts w:ascii="Arial" w:cs="Arial" w:eastAsia="Arial" w:hAnsi="Arial"/>
                <w:sz w:val="13"/>
                <w:szCs w:val="13"/>
                <w:color w:val="auto"/>
              </w:rPr>
              <w:t>awarded and</w:t>
            </w:r>
          </w:p>
        </w:tc>
        <w:tc>
          <w:tcPr>
            <w:tcW w:w="1860" w:type="dxa"/>
            <w:vAlign w:val="bottom"/>
            <w:tcBorders>
              <w:right w:val="single" w:sz="8" w:color="auto"/>
            </w:tcBorders>
            <w:gridSpan w:val="5"/>
          </w:tcPr>
          <w:p>
            <w:pPr>
              <w:jc w:val="center"/>
              <w:ind w:right="60"/>
              <w:spacing w:after="0" w:line="126" w:lineRule="exact"/>
              <w:rPr>
                <w:sz w:val="20"/>
                <w:szCs w:val="20"/>
                <w:color w:val="auto"/>
              </w:rPr>
            </w:pPr>
            <w:r>
              <w:rPr>
                <w:rFonts w:ascii="Arial" w:cs="Arial" w:eastAsia="Arial" w:hAnsi="Arial"/>
                <w:sz w:val="13"/>
                <w:szCs w:val="13"/>
                <w:color w:val="auto"/>
              </w:rPr>
              <w:t>awarded at the end of the</w:t>
            </w:r>
          </w:p>
        </w:tc>
        <w:tc>
          <w:tcPr>
            <w:tcW w:w="1840" w:type="dxa"/>
            <w:vAlign w:val="bottom"/>
            <w:tcBorders>
              <w:right w:val="single" w:sz="8" w:color="auto"/>
            </w:tcBorders>
            <w:gridSpan w:val="5"/>
          </w:tcPr>
          <w:p>
            <w:pPr>
              <w:jc w:val="center"/>
              <w:ind w:right="60"/>
              <w:spacing w:after="0" w:line="126" w:lineRule="exact"/>
              <w:rPr>
                <w:sz w:val="20"/>
                <w:szCs w:val="20"/>
                <w:color w:val="auto"/>
              </w:rPr>
            </w:pPr>
            <w:r>
              <w:rPr>
                <w:rFonts w:ascii="Arial" w:cs="Arial" w:eastAsia="Arial" w:hAnsi="Arial"/>
                <w:sz w:val="13"/>
                <w:szCs w:val="13"/>
                <w:color w:val="auto"/>
              </w:rPr>
              <w:t>awarded at the end of the</w:t>
            </w:r>
          </w:p>
        </w:tc>
        <w:tc>
          <w:tcPr>
            <w:tcW w:w="80" w:type="dxa"/>
            <w:vAlign w:val="bottom"/>
          </w:tcPr>
          <w:p>
            <w:pPr>
              <w:spacing w:after="0"/>
              <w:rPr>
                <w:sz w:val="10"/>
                <w:szCs w:val="10"/>
                <w:color w:val="auto"/>
              </w:rPr>
            </w:pPr>
          </w:p>
        </w:tc>
        <w:tc>
          <w:tcPr>
            <w:tcW w:w="2520" w:type="dxa"/>
            <w:vAlign w:val="bottom"/>
            <w:tcBorders>
              <w:right w:val="single" w:sz="8" w:color="auto"/>
            </w:tcBorders>
            <w:gridSpan w:val="4"/>
          </w:tcPr>
          <w:p>
            <w:pPr>
              <w:jc w:val="center"/>
              <w:ind w:right="100"/>
              <w:spacing w:after="0" w:line="126" w:lineRule="exact"/>
              <w:rPr>
                <w:sz w:val="20"/>
                <w:szCs w:val="20"/>
                <w:color w:val="auto"/>
              </w:rPr>
            </w:pPr>
            <w:r>
              <w:rPr>
                <w:rFonts w:ascii="Arial" w:cs="Arial" w:eastAsia="Arial" w:hAnsi="Arial"/>
                <w:sz w:val="13"/>
                <w:szCs w:val="13"/>
                <w:color w:val="auto"/>
              </w:rPr>
              <w:t>awarded at the end of the</w:t>
            </w:r>
          </w:p>
        </w:tc>
        <w:tc>
          <w:tcPr>
            <w:tcW w:w="0" w:type="dxa"/>
            <w:vAlign w:val="bottom"/>
          </w:tcPr>
          <w:p>
            <w:pPr>
              <w:spacing w:after="0"/>
              <w:rPr>
                <w:sz w:val="1"/>
                <w:szCs w:val="1"/>
                <w:color w:val="auto"/>
              </w:rPr>
            </w:pPr>
          </w:p>
        </w:tc>
      </w:tr>
      <w:tr>
        <w:trPr>
          <w:trHeight w:val="148"/>
        </w:trPr>
        <w:tc>
          <w:tcPr>
            <w:tcW w:w="1180" w:type="dxa"/>
            <w:vAlign w:val="bottom"/>
            <w:tcBorders>
              <w:left w:val="single" w:sz="8" w:color="auto"/>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tcBorders>
              <w:right w:val="single" w:sz="8" w:color="auto"/>
            </w:tcBorders>
            <w:gridSpan w:val="4"/>
          </w:tcPr>
          <w:p>
            <w:pPr>
              <w:jc w:val="center"/>
              <w:ind w:right="320"/>
              <w:spacing w:after="0"/>
              <w:rPr>
                <w:sz w:val="20"/>
                <w:szCs w:val="20"/>
                <w:color w:val="auto"/>
              </w:rPr>
            </w:pPr>
            <w:r>
              <w:rPr>
                <w:rFonts w:ascii="Arial" w:cs="Arial" w:eastAsia="Arial" w:hAnsi="Arial"/>
                <w:sz w:val="13"/>
                <w:szCs w:val="13"/>
                <w:color w:val="auto"/>
              </w:rPr>
              <w:t>settled based on</w:t>
            </w:r>
          </w:p>
        </w:tc>
        <w:tc>
          <w:tcPr>
            <w:tcW w:w="1860" w:type="dxa"/>
            <w:vAlign w:val="bottom"/>
            <w:tcBorders>
              <w:right w:val="single" w:sz="8" w:color="auto"/>
            </w:tcBorders>
            <w:gridSpan w:val="5"/>
          </w:tcPr>
          <w:p>
            <w:pPr>
              <w:jc w:val="center"/>
              <w:ind w:right="80"/>
              <w:spacing w:after="0"/>
              <w:rPr>
                <w:sz w:val="20"/>
                <w:szCs w:val="20"/>
                <w:color w:val="auto"/>
              </w:rPr>
            </w:pPr>
            <w:r>
              <w:rPr>
                <w:rFonts w:ascii="Arial" w:cs="Arial" w:eastAsia="Arial" w:hAnsi="Arial"/>
                <w:sz w:val="13"/>
                <w:szCs w:val="13"/>
                <w:color w:val="auto"/>
              </w:rPr>
              <w:t>performance period based</w:t>
            </w:r>
          </w:p>
        </w:tc>
        <w:tc>
          <w:tcPr>
            <w:tcW w:w="1840" w:type="dxa"/>
            <w:vAlign w:val="bottom"/>
            <w:tcBorders>
              <w:right w:val="single" w:sz="8" w:color="auto"/>
            </w:tcBorders>
            <w:gridSpan w:val="5"/>
          </w:tcPr>
          <w:p>
            <w:pPr>
              <w:jc w:val="center"/>
              <w:ind w:right="60"/>
              <w:spacing w:after="0"/>
              <w:rPr>
                <w:sz w:val="20"/>
                <w:szCs w:val="20"/>
                <w:color w:val="auto"/>
              </w:rPr>
            </w:pPr>
            <w:r>
              <w:rPr>
                <w:rFonts w:ascii="Arial" w:cs="Arial" w:eastAsia="Arial" w:hAnsi="Arial"/>
                <w:sz w:val="13"/>
                <w:szCs w:val="13"/>
                <w:color w:val="auto"/>
              </w:rPr>
              <w:t>performance period based</w:t>
            </w:r>
          </w:p>
        </w:tc>
        <w:tc>
          <w:tcPr>
            <w:tcW w:w="80" w:type="dxa"/>
            <w:vAlign w:val="bottom"/>
          </w:tcPr>
          <w:p>
            <w:pPr>
              <w:spacing w:after="0"/>
              <w:rPr>
                <w:sz w:val="12"/>
                <w:szCs w:val="12"/>
                <w:color w:val="auto"/>
              </w:rPr>
            </w:pPr>
          </w:p>
        </w:tc>
        <w:tc>
          <w:tcPr>
            <w:tcW w:w="2520" w:type="dxa"/>
            <w:vAlign w:val="bottom"/>
            <w:tcBorders>
              <w:right w:val="single" w:sz="8" w:color="auto"/>
            </w:tcBorders>
            <w:gridSpan w:val="4"/>
          </w:tcPr>
          <w:p>
            <w:pPr>
              <w:jc w:val="center"/>
              <w:ind w:right="100"/>
              <w:spacing w:after="0"/>
              <w:rPr>
                <w:sz w:val="20"/>
                <w:szCs w:val="20"/>
                <w:color w:val="auto"/>
              </w:rPr>
            </w:pPr>
            <w:r>
              <w:rPr>
                <w:rFonts w:ascii="Arial" w:cs="Arial" w:eastAsia="Arial" w:hAnsi="Arial"/>
                <w:sz w:val="13"/>
                <w:szCs w:val="13"/>
                <w:color w:val="auto"/>
              </w:rPr>
              <w:t>performance period based</w:t>
            </w:r>
          </w:p>
        </w:tc>
        <w:tc>
          <w:tcPr>
            <w:tcW w:w="0" w:type="dxa"/>
            <w:vAlign w:val="bottom"/>
          </w:tcPr>
          <w:p>
            <w:pPr>
              <w:spacing w:after="0"/>
              <w:rPr>
                <w:sz w:val="1"/>
                <w:szCs w:val="1"/>
                <w:color w:val="auto"/>
              </w:rPr>
            </w:pPr>
          </w:p>
        </w:tc>
      </w:tr>
      <w:tr>
        <w:trPr>
          <w:trHeight w:val="148"/>
        </w:trPr>
        <w:tc>
          <w:tcPr>
            <w:tcW w:w="1180" w:type="dxa"/>
            <w:vAlign w:val="bottom"/>
            <w:tcBorders>
              <w:left w:val="single" w:sz="8" w:color="auto"/>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Borders>
              <w:right w:val="single" w:sz="8" w:color="auto"/>
            </w:tcBorders>
            <w:gridSpan w:val="5"/>
          </w:tcPr>
          <w:p>
            <w:pPr>
              <w:ind w:left="120"/>
              <w:spacing w:after="0"/>
              <w:rPr>
                <w:sz w:val="20"/>
                <w:szCs w:val="20"/>
                <w:color w:val="auto"/>
              </w:rPr>
            </w:pPr>
            <w:r>
              <w:rPr>
                <w:rFonts w:ascii="Arial" w:cs="Arial" w:eastAsia="Arial" w:hAnsi="Arial"/>
                <w:sz w:val="13"/>
                <w:szCs w:val="13"/>
                <w:color w:val="auto"/>
              </w:rPr>
              <w:t>actual attainment of</w:t>
            </w:r>
          </w:p>
        </w:tc>
        <w:tc>
          <w:tcPr>
            <w:tcW w:w="1860" w:type="dxa"/>
            <w:vAlign w:val="bottom"/>
            <w:tcBorders>
              <w:right w:val="single" w:sz="8" w:color="auto"/>
            </w:tcBorders>
            <w:gridSpan w:val="5"/>
          </w:tcPr>
          <w:p>
            <w:pPr>
              <w:jc w:val="center"/>
              <w:ind w:right="60"/>
              <w:spacing w:after="0"/>
              <w:rPr>
                <w:sz w:val="20"/>
                <w:szCs w:val="20"/>
                <w:color w:val="auto"/>
              </w:rPr>
            </w:pPr>
            <w:r>
              <w:rPr>
                <w:rFonts w:ascii="Arial" w:cs="Arial" w:eastAsia="Arial" w:hAnsi="Arial"/>
                <w:sz w:val="13"/>
                <w:szCs w:val="13"/>
                <w:color w:val="auto"/>
              </w:rPr>
              <w:t>on actual attainment of</w:t>
            </w:r>
          </w:p>
        </w:tc>
        <w:tc>
          <w:tcPr>
            <w:tcW w:w="1840" w:type="dxa"/>
            <w:vAlign w:val="bottom"/>
            <w:tcBorders>
              <w:right w:val="single" w:sz="8" w:color="auto"/>
            </w:tcBorders>
            <w:gridSpan w:val="5"/>
          </w:tcPr>
          <w:p>
            <w:pPr>
              <w:jc w:val="center"/>
              <w:ind w:right="80"/>
              <w:spacing w:after="0"/>
              <w:rPr>
                <w:sz w:val="20"/>
                <w:szCs w:val="20"/>
                <w:color w:val="auto"/>
              </w:rPr>
            </w:pPr>
            <w:r>
              <w:rPr>
                <w:rFonts w:ascii="Arial" w:cs="Arial" w:eastAsia="Arial" w:hAnsi="Arial"/>
                <w:sz w:val="13"/>
                <w:szCs w:val="13"/>
                <w:color w:val="auto"/>
              </w:rPr>
              <w:t>on actual attainment of</w:t>
            </w:r>
          </w:p>
        </w:tc>
        <w:tc>
          <w:tcPr>
            <w:tcW w:w="80" w:type="dxa"/>
            <w:vAlign w:val="bottom"/>
          </w:tcPr>
          <w:p>
            <w:pPr>
              <w:spacing w:after="0"/>
              <w:rPr>
                <w:sz w:val="12"/>
                <w:szCs w:val="12"/>
                <w:color w:val="auto"/>
              </w:rPr>
            </w:pPr>
          </w:p>
        </w:tc>
        <w:tc>
          <w:tcPr>
            <w:tcW w:w="2520" w:type="dxa"/>
            <w:vAlign w:val="bottom"/>
            <w:tcBorders>
              <w:right w:val="single" w:sz="8" w:color="auto"/>
            </w:tcBorders>
            <w:gridSpan w:val="4"/>
          </w:tcPr>
          <w:p>
            <w:pPr>
              <w:jc w:val="center"/>
              <w:ind w:right="120"/>
              <w:spacing w:after="0"/>
              <w:rPr>
                <w:sz w:val="20"/>
                <w:szCs w:val="20"/>
                <w:color w:val="auto"/>
              </w:rPr>
            </w:pPr>
            <w:r>
              <w:rPr>
                <w:rFonts w:ascii="Arial" w:cs="Arial" w:eastAsia="Arial" w:hAnsi="Arial"/>
                <w:sz w:val="13"/>
                <w:szCs w:val="13"/>
                <w:color w:val="auto"/>
              </w:rPr>
              <w:t>on actual attainment of</w:t>
            </w:r>
          </w:p>
        </w:tc>
        <w:tc>
          <w:tcPr>
            <w:tcW w:w="0" w:type="dxa"/>
            <w:vAlign w:val="bottom"/>
          </w:tcPr>
          <w:p>
            <w:pPr>
              <w:spacing w:after="0"/>
              <w:rPr>
                <w:sz w:val="1"/>
                <w:szCs w:val="1"/>
                <w:color w:val="auto"/>
              </w:rPr>
            </w:pPr>
          </w:p>
        </w:tc>
      </w:tr>
      <w:tr>
        <w:trPr>
          <w:trHeight w:val="148"/>
        </w:trPr>
        <w:tc>
          <w:tcPr>
            <w:tcW w:w="1180" w:type="dxa"/>
            <w:vAlign w:val="bottom"/>
            <w:tcBorders>
              <w:left w:val="single" w:sz="8" w:color="auto"/>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Borders>
              <w:right w:val="single" w:sz="8" w:color="auto"/>
            </w:tcBorders>
            <w:gridSpan w:val="5"/>
          </w:tcPr>
          <w:p>
            <w:pPr>
              <w:ind w:left="20"/>
              <w:spacing w:after="0"/>
              <w:rPr>
                <w:sz w:val="20"/>
                <w:szCs w:val="20"/>
                <w:color w:val="auto"/>
              </w:rPr>
            </w:pPr>
            <w:r>
              <w:rPr>
                <w:rFonts w:ascii="Arial" w:cs="Arial" w:eastAsia="Arial" w:hAnsi="Arial"/>
                <w:sz w:val="13"/>
                <w:szCs w:val="13"/>
                <w:color w:val="auto"/>
              </w:rPr>
              <w:t>performance results as</w:t>
            </w:r>
          </w:p>
        </w:tc>
        <w:tc>
          <w:tcPr>
            <w:tcW w:w="1860" w:type="dxa"/>
            <w:vAlign w:val="bottom"/>
            <w:tcBorders>
              <w:right w:val="single" w:sz="8" w:color="auto"/>
            </w:tcBorders>
            <w:gridSpan w:val="5"/>
          </w:tcPr>
          <w:p>
            <w:pPr>
              <w:jc w:val="center"/>
              <w:ind w:right="80"/>
              <w:spacing w:after="0"/>
              <w:rPr>
                <w:sz w:val="20"/>
                <w:szCs w:val="20"/>
                <w:color w:val="auto"/>
              </w:rPr>
            </w:pPr>
            <w:r>
              <w:rPr>
                <w:rFonts w:ascii="Arial" w:cs="Arial" w:eastAsia="Arial" w:hAnsi="Arial"/>
                <w:sz w:val="13"/>
                <w:szCs w:val="13"/>
                <w:color w:val="auto"/>
              </w:rPr>
              <w:t>performance results as</w:t>
            </w:r>
          </w:p>
        </w:tc>
        <w:tc>
          <w:tcPr>
            <w:tcW w:w="1840" w:type="dxa"/>
            <w:vAlign w:val="bottom"/>
            <w:tcBorders>
              <w:right w:val="single" w:sz="8" w:color="auto"/>
            </w:tcBorders>
            <w:gridSpan w:val="5"/>
          </w:tcPr>
          <w:p>
            <w:pPr>
              <w:jc w:val="center"/>
              <w:ind w:right="60"/>
              <w:spacing w:after="0"/>
              <w:rPr>
                <w:sz w:val="20"/>
                <w:szCs w:val="20"/>
                <w:color w:val="auto"/>
              </w:rPr>
            </w:pPr>
            <w:r>
              <w:rPr>
                <w:rFonts w:ascii="Arial" w:cs="Arial" w:eastAsia="Arial" w:hAnsi="Arial"/>
                <w:sz w:val="13"/>
                <w:szCs w:val="13"/>
                <w:color w:val="auto"/>
              </w:rPr>
              <w:t>performance results as</w:t>
            </w:r>
          </w:p>
        </w:tc>
        <w:tc>
          <w:tcPr>
            <w:tcW w:w="80" w:type="dxa"/>
            <w:vAlign w:val="bottom"/>
          </w:tcPr>
          <w:p>
            <w:pPr>
              <w:spacing w:after="0"/>
              <w:rPr>
                <w:sz w:val="12"/>
                <w:szCs w:val="12"/>
                <w:color w:val="auto"/>
              </w:rPr>
            </w:pPr>
          </w:p>
        </w:tc>
        <w:tc>
          <w:tcPr>
            <w:tcW w:w="2520" w:type="dxa"/>
            <w:vAlign w:val="bottom"/>
            <w:tcBorders>
              <w:right w:val="single" w:sz="8" w:color="auto"/>
            </w:tcBorders>
            <w:gridSpan w:val="4"/>
          </w:tcPr>
          <w:p>
            <w:pPr>
              <w:jc w:val="center"/>
              <w:ind w:right="100"/>
              <w:spacing w:after="0"/>
              <w:rPr>
                <w:sz w:val="20"/>
                <w:szCs w:val="20"/>
                <w:color w:val="auto"/>
              </w:rPr>
            </w:pPr>
            <w:r>
              <w:rPr>
                <w:rFonts w:ascii="Arial" w:cs="Arial" w:eastAsia="Arial" w:hAnsi="Arial"/>
                <w:sz w:val="13"/>
                <w:szCs w:val="13"/>
                <w:color w:val="auto"/>
              </w:rPr>
              <w:t>performance results as</w:t>
            </w:r>
          </w:p>
        </w:tc>
        <w:tc>
          <w:tcPr>
            <w:tcW w:w="0" w:type="dxa"/>
            <w:vAlign w:val="bottom"/>
          </w:tcPr>
          <w:p>
            <w:pPr>
              <w:spacing w:after="0"/>
              <w:rPr>
                <w:sz w:val="1"/>
                <w:szCs w:val="1"/>
                <w:color w:val="auto"/>
              </w:rPr>
            </w:pPr>
          </w:p>
        </w:tc>
      </w:tr>
      <w:tr>
        <w:trPr>
          <w:trHeight w:val="149"/>
        </w:trPr>
        <w:tc>
          <w:tcPr>
            <w:tcW w:w="1180" w:type="dxa"/>
            <w:vAlign w:val="bottom"/>
            <w:tcBorders>
              <w:left w:val="single" w:sz="8" w:color="auto"/>
              <w:right w:val="single" w:sz="8" w:color="auto"/>
            </w:tcBorders>
          </w:tcPr>
          <w:p>
            <w:pPr>
              <w:jc w:val="center"/>
              <w:ind w:right="14"/>
              <w:spacing w:after="0"/>
              <w:rPr>
                <w:sz w:val="20"/>
                <w:szCs w:val="20"/>
                <w:color w:val="auto"/>
              </w:rPr>
            </w:pPr>
            <w:r>
              <w:rPr>
                <w:rFonts w:ascii="Arial" w:cs="Arial" w:eastAsia="Arial" w:hAnsi="Arial"/>
                <w:sz w:val="13"/>
                <w:szCs w:val="13"/>
                <w:color w:val="auto"/>
              </w:rPr>
              <w:t>Performance-</w:t>
            </w:r>
          </w:p>
        </w:tc>
        <w:tc>
          <w:tcPr>
            <w:tcW w:w="100" w:type="dxa"/>
            <w:vAlign w:val="bottom"/>
          </w:tcPr>
          <w:p>
            <w:pPr>
              <w:spacing w:after="0"/>
              <w:rPr>
                <w:sz w:val="12"/>
                <w:szCs w:val="12"/>
                <w:color w:val="auto"/>
              </w:rPr>
            </w:pPr>
          </w:p>
        </w:tc>
        <w:tc>
          <w:tcPr>
            <w:tcW w:w="1600" w:type="dxa"/>
            <w:vAlign w:val="bottom"/>
            <w:tcBorders>
              <w:right w:val="single" w:sz="8" w:color="auto"/>
            </w:tcBorders>
            <w:gridSpan w:val="5"/>
          </w:tcPr>
          <w:p>
            <w:pPr>
              <w:jc w:val="center"/>
              <w:ind w:right="160"/>
              <w:spacing w:after="0"/>
              <w:rPr>
                <w:sz w:val="20"/>
                <w:szCs w:val="20"/>
                <w:color w:val="auto"/>
              </w:rPr>
            </w:pPr>
            <w:r>
              <w:rPr>
                <w:rFonts w:ascii="Arial" w:cs="Arial" w:eastAsia="Arial" w:hAnsi="Arial"/>
                <w:sz w:val="13"/>
                <w:szCs w:val="13"/>
                <w:color w:val="auto"/>
              </w:rPr>
              <w:t>measured at the end</w:t>
            </w:r>
          </w:p>
        </w:tc>
        <w:tc>
          <w:tcPr>
            <w:tcW w:w="1860" w:type="dxa"/>
            <w:vAlign w:val="bottom"/>
            <w:tcBorders>
              <w:right w:val="single" w:sz="8" w:color="auto"/>
            </w:tcBorders>
            <w:gridSpan w:val="5"/>
          </w:tcPr>
          <w:p>
            <w:pPr>
              <w:jc w:val="center"/>
              <w:ind w:right="60"/>
              <w:spacing w:after="0"/>
              <w:rPr>
                <w:sz w:val="20"/>
                <w:szCs w:val="20"/>
                <w:color w:val="auto"/>
              </w:rPr>
            </w:pPr>
            <w:r>
              <w:rPr>
                <w:rFonts w:ascii="Arial" w:cs="Arial" w:eastAsia="Arial" w:hAnsi="Arial"/>
                <w:sz w:val="13"/>
                <w:szCs w:val="13"/>
                <w:color w:val="auto"/>
              </w:rPr>
              <w:t>measured at the end</w:t>
            </w:r>
          </w:p>
        </w:tc>
        <w:tc>
          <w:tcPr>
            <w:tcW w:w="1840" w:type="dxa"/>
            <w:vAlign w:val="bottom"/>
            <w:tcBorders>
              <w:right w:val="single" w:sz="8" w:color="auto"/>
            </w:tcBorders>
            <w:gridSpan w:val="5"/>
          </w:tcPr>
          <w:p>
            <w:pPr>
              <w:jc w:val="center"/>
              <w:ind w:right="80"/>
              <w:spacing w:after="0"/>
              <w:rPr>
                <w:sz w:val="20"/>
                <w:szCs w:val="20"/>
                <w:color w:val="auto"/>
              </w:rPr>
            </w:pPr>
            <w:r>
              <w:rPr>
                <w:rFonts w:ascii="Arial" w:cs="Arial" w:eastAsia="Arial" w:hAnsi="Arial"/>
                <w:sz w:val="13"/>
                <w:szCs w:val="13"/>
                <w:color w:val="auto"/>
              </w:rPr>
              <w:t>measured at the end</w:t>
            </w:r>
          </w:p>
        </w:tc>
        <w:tc>
          <w:tcPr>
            <w:tcW w:w="80" w:type="dxa"/>
            <w:vAlign w:val="bottom"/>
          </w:tcPr>
          <w:p>
            <w:pPr>
              <w:spacing w:after="0"/>
              <w:rPr>
                <w:sz w:val="12"/>
                <w:szCs w:val="12"/>
                <w:color w:val="auto"/>
              </w:rPr>
            </w:pPr>
          </w:p>
        </w:tc>
        <w:tc>
          <w:tcPr>
            <w:tcW w:w="2520" w:type="dxa"/>
            <w:vAlign w:val="bottom"/>
            <w:tcBorders>
              <w:right w:val="single" w:sz="8" w:color="auto"/>
            </w:tcBorders>
            <w:gridSpan w:val="4"/>
          </w:tcPr>
          <w:p>
            <w:pPr>
              <w:jc w:val="center"/>
              <w:ind w:right="120"/>
              <w:spacing w:after="0"/>
              <w:rPr>
                <w:sz w:val="20"/>
                <w:szCs w:val="20"/>
                <w:color w:val="auto"/>
              </w:rPr>
            </w:pPr>
            <w:r>
              <w:rPr>
                <w:rFonts w:ascii="Arial" w:cs="Arial" w:eastAsia="Arial" w:hAnsi="Arial"/>
                <w:sz w:val="13"/>
                <w:szCs w:val="13"/>
                <w:color w:val="auto"/>
              </w:rPr>
              <w:t>measured at the end</w:t>
            </w:r>
          </w:p>
        </w:tc>
        <w:tc>
          <w:tcPr>
            <w:tcW w:w="0" w:type="dxa"/>
            <w:vAlign w:val="bottom"/>
          </w:tcPr>
          <w:p>
            <w:pPr>
              <w:spacing w:after="0"/>
              <w:rPr>
                <w:sz w:val="1"/>
                <w:szCs w:val="1"/>
                <w:color w:val="auto"/>
              </w:rPr>
            </w:pPr>
          </w:p>
        </w:tc>
      </w:tr>
      <w:tr>
        <w:trPr>
          <w:trHeight w:val="144"/>
        </w:trPr>
        <w:tc>
          <w:tcPr>
            <w:tcW w:w="1180" w:type="dxa"/>
            <w:vAlign w:val="bottom"/>
            <w:tcBorders>
              <w:left w:val="single" w:sz="8" w:color="auto"/>
              <w:right w:val="single" w:sz="8" w:color="auto"/>
            </w:tcBorders>
          </w:tcPr>
          <w:p>
            <w:pPr>
              <w:jc w:val="center"/>
              <w:ind w:right="54"/>
              <w:spacing w:after="0" w:line="144" w:lineRule="exact"/>
              <w:rPr>
                <w:sz w:val="20"/>
                <w:szCs w:val="20"/>
                <w:color w:val="auto"/>
              </w:rPr>
            </w:pPr>
            <w:r>
              <w:rPr>
                <w:rFonts w:ascii="Arial" w:cs="Arial" w:eastAsia="Arial" w:hAnsi="Arial"/>
                <w:sz w:val="13"/>
                <w:szCs w:val="13"/>
                <w:color w:val="auto"/>
              </w:rPr>
              <w:t>Based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tcBorders>
              <w:right w:val="single" w:sz="8" w:color="auto"/>
            </w:tcBorders>
            <w:gridSpan w:val="4"/>
          </w:tcPr>
          <w:p>
            <w:pPr>
              <w:jc w:val="center"/>
              <w:ind w:right="320"/>
              <w:spacing w:after="0" w:line="144" w:lineRule="exact"/>
              <w:rPr>
                <w:sz w:val="20"/>
                <w:szCs w:val="20"/>
                <w:color w:val="auto"/>
              </w:rPr>
            </w:pPr>
            <w:r>
              <w:rPr>
                <w:rFonts w:ascii="Arial" w:cs="Arial" w:eastAsia="Arial" w:hAnsi="Arial"/>
                <w:sz w:val="13"/>
                <w:szCs w:val="13"/>
                <w:color w:val="auto"/>
              </w:rPr>
              <w:t>of the performance</w:t>
            </w:r>
          </w:p>
        </w:tc>
        <w:tc>
          <w:tcPr>
            <w:tcW w:w="1860" w:type="dxa"/>
            <w:vAlign w:val="bottom"/>
            <w:tcBorders>
              <w:right w:val="single" w:sz="8" w:color="auto"/>
            </w:tcBorders>
            <w:gridSpan w:val="5"/>
          </w:tcPr>
          <w:p>
            <w:pPr>
              <w:jc w:val="center"/>
              <w:ind w:right="80"/>
              <w:spacing w:after="0" w:line="144" w:lineRule="exact"/>
              <w:rPr>
                <w:sz w:val="20"/>
                <w:szCs w:val="20"/>
                <w:color w:val="auto"/>
              </w:rPr>
            </w:pPr>
            <w:r>
              <w:rPr>
                <w:rFonts w:ascii="Arial" w:cs="Arial" w:eastAsia="Arial" w:hAnsi="Arial"/>
                <w:sz w:val="13"/>
                <w:szCs w:val="13"/>
                <w:color w:val="auto"/>
              </w:rPr>
              <w:t>of the performance</w:t>
            </w:r>
          </w:p>
        </w:tc>
        <w:tc>
          <w:tcPr>
            <w:tcW w:w="1840" w:type="dxa"/>
            <w:vAlign w:val="bottom"/>
            <w:tcBorders>
              <w:right w:val="single" w:sz="8" w:color="auto"/>
            </w:tcBorders>
            <w:gridSpan w:val="5"/>
          </w:tcPr>
          <w:p>
            <w:pPr>
              <w:jc w:val="center"/>
              <w:ind w:right="60"/>
              <w:spacing w:after="0" w:line="144" w:lineRule="exact"/>
              <w:rPr>
                <w:sz w:val="20"/>
                <w:szCs w:val="20"/>
                <w:color w:val="auto"/>
              </w:rPr>
            </w:pPr>
            <w:r>
              <w:rPr>
                <w:rFonts w:ascii="Arial" w:cs="Arial" w:eastAsia="Arial" w:hAnsi="Arial"/>
                <w:sz w:val="13"/>
                <w:szCs w:val="13"/>
                <w:color w:val="auto"/>
              </w:rPr>
              <w:t>of the performance</w:t>
            </w:r>
          </w:p>
        </w:tc>
        <w:tc>
          <w:tcPr>
            <w:tcW w:w="80" w:type="dxa"/>
            <w:vAlign w:val="bottom"/>
          </w:tcPr>
          <w:p>
            <w:pPr>
              <w:spacing w:after="0"/>
              <w:rPr>
                <w:sz w:val="12"/>
                <w:szCs w:val="12"/>
                <w:color w:val="auto"/>
              </w:rPr>
            </w:pPr>
          </w:p>
        </w:tc>
        <w:tc>
          <w:tcPr>
            <w:tcW w:w="2520" w:type="dxa"/>
            <w:vAlign w:val="bottom"/>
            <w:tcBorders>
              <w:right w:val="single" w:sz="8" w:color="auto"/>
            </w:tcBorders>
            <w:gridSpan w:val="4"/>
          </w:tcPr>
          <w:p>
            <w:pPr>
              <w:jc w:val="center"/>
              <w:ind w:right="100"/>
              <w:spacing w:after="0" w:line="144" w:lineRule="exact"/>
              <w:rPr>
                <w:sz w:val="20"/>
                <w:szCs w:val="20"/>
                <w:color w:val="auto"/>
              </w:rPr>
            </w:pPr>
            <w:r>
              <w:rPr>
                <w:rFonts w:ascii="Arial" w:cs="Arial" w:eastAsia="Arial" w:hAnsi="Arial"/>
                <w:sz w:val="13"/>
                <w:szCs w:val="13"/>
                <w:color w:val="auto"/>
              </w:rPr>
              <w:t>of the performance</w:t>
            </w:r>
          </w:p>
        </w:tc>
        <w:tc>
          <w:tcPr>
            <w:tcW w:w="0" w:type="dxa"/>
            <w:vAlign w:val="bottom"/>
          </w:tcPr>
          <w:p>
            <w:pPr>
              <w:spacing w:after="0"/>
              <w:rPr>
                <w:sz w:val="1"/>
                <w:szCs w:val="1"/>
                <w:color w:val="auto"/>
              </w:rPr>
            </w:pPr>
          </w:p>
        </w:tc>
      </w:tr>
      <w:tr>
        <w:trPr>
          <w:trHeight w:val="153"/>
        </w:trPr>
        <w:tc>
          <w:tcPr>
            <w:tcW w:w="1180" w:type="dxa"/>
            <w:vAlign w:val="bottom"/>
            <w:tcBorders>
              <w:left w:val="single" w:sz="8" w:color="auto"/>
              <w:right w:val="single" w:sz="8" w:color="auto"/>
            </w:tcBorders>
          </w:tcPr>
          <w:p>
            <w:pPr>
              <w:jc w:val="center"/>
              <w:ind w:right="14"/>
              <w:spacing w:after="0" w:line="153" w:lineRule="exact"/>
              <w:rPr>
                <w:sz w:val="20"/>
                <w:szCs w:val="20"/>
                <w:color w:val="auto"/>
              </w:rPr>
            </w:pPr>
            <w:r>
              <w:rPr>
                <w:rFonts w:ascii="Arial" w:cs="Arial" w:eastAsia="Arial" w:hAnsi="Arial"/>
                <w:sz w:val="11"/>
                <w:szCs w:val="11"/>
                <w:color w:val="auto"/>
              </w:rPr>
              <w:t>RSUs (PRSUs)</w:t>
            </w:r>
            <w:r>
              <w:rPr>
                <w:rFonts w:ascii="Arial" w:cs="Arial" w:eastAsia="Arial" w:hAnsi="Arial"/>
                <w:sz w:val="17"/>
                <w:szCs w:val="17"/>
                <w:color w:val="auto"/>
                <w:vertAlign w:val="superscript"/>
              </w:rPr>
              <w:t>(5)</w:t>
            </w:r>
          </w:p>
        </w:tc>
        <w:tc>
          <w:tcPr>
            <w:tcW w:w="100" w:type="dxa"/>
            <w:vAlign w:val="bottom"/>
          </w:tcPr>
          <w:p>
            <w:pPr>
              <w:spacing w:after="0"/>
              <w:rPr>
                <w:sz w:val="13"/>
                <w:szCs w:val="13"/>
                <w:color w:val="auto"/>
              </w:rPr>
            </w:pPr>
          </w:p>
        </w:tc>
        <w:tc>
          <w:tcPr>
            <w:tcW w:w="1600" w:type="dxa"/>
            <w:vAlign w:val="bottom"/>
            <w:tcBorders>
              <w:right w:val="single" w:sz="8" w:color="auto"/>
            </w:tcBorders>
            <w:gridSpan w:val="5"/>
          </w:tcPr>
          <w:p>
            <w:pPr>
              <w:jc w:val="center"/>
              <w:ind w:right="180"/>
              <w:spacing w:after="0"/>
              <w:rPr>
                <w:sz w:val="20"/>
                <w:szCs w:val="20"/>
                <w:color w:val="auto"/>
              </w:rPr>
            </w:pPr>
            <w:r>
              <w:rPr>
                <w:rFonts w:ascii="Arial" w:cs="Arial" w:eastAsia="Arial" w:hAnsi="Arial"/>
                <w:sz w:val="13"/>
                <w:szCs w:val="13"/>
                <w:color w:val="auto"/>
              </w:rPr>
              <w:t>period ending in the</w:t>
            </w:r>
          </w:p>
        </w:tc>
        <w:tc>
          <w:tcPr>
            <w:tcW w:w="1860" w:type="dxa"/>
            <w:vAlign w:val="bottom"/>
            <w:tcBorders>
              <w:right w:val="single" w:sz="8" w:color="auto"/>
            </w:tcBorders>
            <w:gridSpan w:val="5"/>
          </w:tcPr>
          <w:p>
            <w:pPr>
              <w:jc w:val="center"/>
              <w:ind w:right="60"/>
              <w:spacing w:after="0"/>
              <w:rPr>
                <w:sz w:val="20"/>
                <w:szCs w:val="20"/>
                <w:color w:val="auto"/>
              </w:rPr>
            </w:pPr>
            <w:r>
              <w:rPr>
                <w:rFonts w:ascii="Arial" w:cs="Arial" w:eastAsia="Arial" w:hAnsi="Arial"/>
                <w:sz w:val="13"/>
                <w:szCs w:val="13"/>
                <w:color w:val="auto"/>
              </w:rPr>
              <w:t>period. Number of</w:t>
            </w:r>
          </w:p>
        </w:tc>
        <w:tc>
          <w:tcPr>
            <w:tcW w:w="1840" w:type="dxa"/>
            <w:vAlign w:val="bottom"/>
            <w:tcBorders>
              <w:right w:val="single" w:sz="8" w:color="auto"/>
            </w:tcBorders>
            <w:gridSpan w:val="5"/>
          </w:tcPr>
          <w:p>
            <w:pPr>
              <w:jc w:val="center"/>
              <w:ind w:right="80"/>
              <w:spacing w:after="0"/>
              <w:rPr>
                <w:sz w:val="20"/>
                <w:szCs w:val="20"/>
                <w:color w:val="auto"/>
              </w:rPr>
            </w:pPr>
            <w:r>
              <w:rPr>
                <w:rFonts w:ascii="Arial" w:cs="Arial" w:eastAsia="Arial" w:hAnsi="Arial"/>
                <w:sz w:val="13"/>
                <w:szCs w:val="13"/>
                <w:color w:val="auto"/>
              </w:rPr>
              <w:t>period. Number of</w:t>
            </w:r>
          </w:p>
        </w:tc>
        <w:tc>
          <w:tcPr>
            <w:tcW w:w="80" w:type="dxa"/>
            <w:vAlign w:val="bottom"/>
          </w:tcPr>
          <w:p>
            <w:pPr>
              <w:spacing w:after="0"/>
              <w:rPr>
                <w:sz w:val="13"/>
                <w:szCs w:val="13"/>
                <w:color w:val="auto"/>
              </w:rPr>
            </w:pPr>
          </w:p>
        </w:tc>
        <w:tc>
          <w:tcPr>
            <w:tcW w:w="2520" w:type="dxa"/>
            <w:vAlign w:val="bottom"/>
            <w:tcBorders>
              <w:right w:val="single" w:sz="8" w:color="auto"/>
            </w:tcBorders>
            <w:gridSpan w:val="4"/>
          </w:tcPr>
          <w:p>
            <w:pPr>
              <w:jc w:val="center"/>
              <w:ind w:right="120"/>
              <w:spacing w:after="0"/>
              <w:rPr>
                <w:sz w:val="20"/>
                <w:szCs w:val="20"/>
                <w:color w:val="auto"/>
              </w:rPr>
            </w:pPr>
            <w:r>
              <w:rPr>
                <w:rFonts w:ascii="Arial" w:cs="Arial" w:eastAsia="Arial" w:hAnsi="Arial"/>
                <w:sz w:val="13"/>
                <w:szCs w:val="13"/>
                <w:color w:val="auto"/>
              </w:rPr>
              <w:t>period. Number of</w:t>
            </w:r>
          </w:p>
        </w:tc>
        <w:tc>
          <w:tcPr>
            <w:tcW w:w="0" w:type="dxa"/>
            <w:vAlign w:val="bottom"/>
          </w:tcPr>
          <w:p>
            <w:pPr>
              <w:spacing w:after="0"/>
              <w:rPr>
                <w:sz w:val="1"/>
                <w:szCs w:val="1"/>
                <w:color w:val="auto"/>
              </w:rPr>
            </w:pPr>
          </w:p>
        </w:tc>
      </w:tr>
      <w:tr>
        <w:trPr>
          <w:trHeight w:val="148"/>
        </w:trPr>
        <w:tc>
          <w:tcPr>
            <w:tcW w:w="1180" w:type="dxa"/>
            <w:vAlign w:val="bottom"/>
            <w:tcBorders>
              <w:left w:val="single" w:sz="8" w:color="auto"/>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tcBorders>
              <w:right w:val="single" w:sz="8" w:color="auto"/>
            </w:tcBorders>
            <w:gridSpan w:val="4"/>
          </w:tcPr>
          <w:p>
            <w:pPr>
              <w:jc w:val="center"/>
              <w:ind w:right="320"/>
              <w:spacing w:after="0"/>
              <w:rPr>
                <w:sz w:val="20"/>
                <w:szCs w:val="20"/>
                <w:color w:val="auto"/>
              </w:rPr>
            </w:pPr>
            <w:r>
              <w:rPr>
                <w:rFonts w:ascii="Arial" w:cs="Arial" w:eastAsia="Arial" w:hAnsi="Arial"/>
                <w:sz w:val="13"/>
                <w:szCs w:val="13"/>
                <w:color w:val="auto"/>
              </w:rPr>
              <w:t>year of death or</w:t>
            </w:r>
          </w:p>
        </w:tc>
        <w:tc>
          <w:tcPr>
            <w:tcW w:w="1860" w:type="dxa"/>
            <w:vAlign w:val="bottom"/>
            <w:tcBorders>
              <w:right w:val="single" w:sz="8" w:color="auto"/>
            </w:tcBorders>
            <w:gridSpan w:val="5"/>
          </w:tcPr>
          <w:p>
            <w:pPr>
              <w:jc w:val="center"/>
              <w:ind w:right="60"/>
              <w:spacing w:after="0"/>
              <w:rPr>
                <w:sz w:val="20"/>
                <w:szCs w:val="20"/>
                <w:color w:val="auto"/>
              </w:rPr>
            </w:pPr>
            <w:r>
              <w:rPr>
                <w:rFonts w:ascii="Arial" w:cs="Arial" w:eastAsia="Arial" w:hAnsi="Arial"/>
                <w:sz w:val="13"/>
                <w:szCs w:val="13"/>
                <w:color w:val="auto"/>
              </w:rPr>
              <w:t>shares awarded is not</w:t>
            </w:r>
          </w:p>
        </w:tc>
        <w:tc>
          <w:tcPr>
            <w:tcW w:w="1840" w:type="dxa"/>
            <w:vAlign w:val="bottom"/>
            <w:tcBorders>
              <w:right w:val="single" w:sz="8" w:color="auto"/>
            </w:tcBorders>
            <w:gridSpan w:val="5"/>
          </w:tcPr>
          <w:p>
            <w:pPr>
              <w:jc w:val="center"/>
              <w:ind w:right="80"/>
              <w:spacing w:after="0"/>
              <w:rPr>
                <w:sz w:val="20"/>
                <w:szCs w:val="20"/>
                <w:color w:val="auto"/>
              </w:rPr>
            </w:pPr>
            <w:r>
              <w:rPr>
                <w:rFonts w:ascii="Arial" w:cs="Arial" w:eastAsia="Arial" w:hAnsi="Arial"/>
                <w:sz w:val="13"/>
                <w:szCs w:val="13"/>
                <w:color w:val="auto"/>
              </w:rPr>
              <w:t>shares awarded is not</w:t>
            </w:r>
          </w:p>
        </w:tc>
        <w:tc>
          <w:tcPr>
            <w:tcW w:w="80" w:type="dxa"/>
            <w:vAlign w:val="bottom"/>
          </w:tcPr>
          <w:p>
            <w:pPr>
              <w:spacing w:after="0"/>
              <w:rPr>
                <w:sz w:val="12"/>
                <w:szCs w:val="12"/>
                <w:color w:val="auto"/>
              </w:rPr>
            </w:pPr>
          </w:p>
        </w:tc>
        <w:tc>
          <w:tcPr>
            <w:tcW w:w="2520" w:type="dxa"/>
            <w:vAlign w:val="bottom"/>
            <w:tcBorders>
              <w:right w:val="single" w:sz="8" w:color="auto"/>
            </w:tcBorders>
            <w:gridSpan w:val="4"/>
          </w:tcPr>
          <w:p>
            <w:pPr>
              <w:jc w:val="center"/>
              <w:ind w:right="120"/>
              <w:spacing w:after="0"/>
              <w:rPr>
                <w:sz w:val="20"/>
                <w:szCs w:val="20"/>
                <w:color w:val="auto"/>
              </w:rPr>
            </w:pPr>
            <w:r>
              <w:rPr>
                <w:rFonts w:ascii="Arial" w:cs="Arial" w:eastAsia="Arial" w:hAnsi="Arial"/>
                <w:sz w:val="13"/>
                <w:szCs w:val="13"/>
                <w:color w:val="auto"/>
              </w:rPr>
              <w:t>shares awarded is not</w:t>
            </w:r>
          </w:p>
        </w:tc>
        <w:tc>
          <w:tcPr>
            <w:tcW w:w="0" w:type="dxa"/>
            <w:vAlign w:val="bottom"/>
          </w:tcPr>
          <w:p>
            <w:pPr>
              <w:spacing w:after="0"/>
              <w:rPr>
                <w:sz w:val="1"/>
                <w:szCs w:val="1"/>
                <w:color w:val="auto"/>
              </w:rPr>
            </w:pPr>
          </w:p>
        </w:tc>
      </w:tr>
      <w:tr>
        <w:trPr>
          <w:trHeight w:val="148"/>
        </w:trPr>
        <w:tc>
          <w:tcPr>
            <w:tcW w:w="1180" w:type="dxa"/>
            <w:vAlign w:val="bottom"/>
            <w:tcBorders>
              <w:left w:val="single" w:sz="8" w:color="auto"/>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Borders>
              <w:right w:val="single" w:sz="8" w:color="auto"/>
            </w:tcBorders>
            <w:gridSpan w:val="5"/>
          </w:tcPr>
          <w:p>
            <w:pPr>
              <w:jc w:val="center"/>
              <w:ind w:right="180"/>
              <w:spacing w:after="0"/>
              <w:rPr>
                <w:sz w:val="20"/>
                <w:szCs w:val="20"/>
                <w:color w:val="auto"/>
              </w:rPr>
            </w:pPr>
            <w:r>
              <w:rPr>
                <w:rFonts w:ascii="Arial" w:cs="Arial" w:eastAsia="Arial" w:hAnsi="Arial"/>
                <w:sz w:val="13"/>
                <w:szCs w:val="13"/>
                <w:color w:val="auto"/>
              </w:rPr>
              <w:t>disability. Number of</w:t>
            </w:r>
          </w:p>
        </w:tc>
        <w:tc>
          <w:tcPr>
            <w:tcW w:w="1860" w:type="dxa"/>
            <w:vAlign w:val="bottom"/>
            <w:tcBorders>
              <w:right w:val="single" w:sz="8" w:color="auto"/>
            </w:tcBorders>
            <w:gridSpan w:val="5"/>
          </w:tcPr>
          <w:p>
            <w:pPr>
              <w:jc w:val="center"/>
              <w:ind w:right="80"/>
              <w:spacing w:after="0"/>
              <w:rPr>
                <w:sz w:val="20"/>
                <w:szCs w:val="20"/>
                <w:color w:val="auto"/>
              </w:rPr>
            </w:pPr>
            <w:r>
              <w:rPr>
                <w:rFonts w:ascii="Arial" w:cs="Arial" w:eastAsia="Arial" w:hAnsi="Arial"/>
                <w:sz w:val="13"/>
                <w:szCs w:val="13"/>
                <w:color w:val="auto"/>
              </w:rPr>
              <w:t>pro-rated for partial</w:t>
            </w:r>
          </w:p>
        </w:tc>
        <w:tc>
          <w:tcPr>
            <w:tcW w:w="1840" w:type="dxa"/>
            <w:vAlign w:val="bottom"/>
            <w:tcBorders>
              <w:right w:val="single" w:sz="8" w:color="auto"/>
            </w:tcBorders>
            <w:gridSpan w:val="5"/>
          </w:tcPr>
          <w:p>
            <w:pPr>
              <w:jc w:val="center"/>
              <w:ind w:right="60"/>
              <w:spacing w:after="0"/>
              <w:rPr>
                <w:sz w:val="20"/>
                <w:szCs w:val="20"/>
                <w:color w:val="auto"/>
              </w:rPr>
            </w:pPr>
            <w:r>
              <w:rPr>
                <w:rFonts w:ascii="Arial" w:cs="Arial" w:eastAsia="Arial" w:hAnsi="Arial"/>
                <w:sz w:val="13"/>
                <w:szCs w:val="13"/>
                <w:color w:val="auto"/>
              </w:rPr>
              <w:t>pro-rated for partial</w:t>
            </w:r>
          </w:p>
        </w:tc>
        <w:tc>
          <w:tcPr>
            <w:tcW w:w="80" w:type="dxa"/>
            <w:vAlign w:val="bottom"/>
          </w:tcPr>
          <w:p>
            <w:pPr>
              <w:spacing w:after="0"/>
              <w:rPr>
                <w:sz w:val="12"/>
                <w:szCs w:val="12"/>
                <w:color w:val="auto"/>
              </w:rPr>
            </w:pPr>
          </w:p>
        </w:tc>
        <w:tc>
          <w:tcPr>
            <w:tcW w:w="2520" w:type="dxa"/>
            <w:vAlign w:val="bottom"/>
            <w:tcBorders>
              <w:right w:val="single" w:sz="8" w:color="auto"/>
            </w:tcBorders>
            <w:gridSpan w:val="4"/>
          </w:tcPr>
          <w:p>
            <w:pPr>
              <w:jc w:val="center"/>
              <w:ind w:right="100"/>
              <w:spacing w:after="0"/>
              <w:rPr>
                <w:sz w:val="20"/>
                <w:szCs w:val="20"/>
                <w:color w:val="auto"/>
              </w:rPr>
            </w:pPr>
            <w:r>
              <w:rPr>
                <w:rFonts w:ascii="Arial" w:cs="Arial" w:eastAsia="Arial" w:hAnsi="Arial"/>
                <w:sz w:val="13"/>
                <w:szCs w:val="13"/>
                <w:color w:val="auto"/>
              </w:rPr>
              <w:t>pro-rated for partial</w:t>
            </w:r>
          </w:p>
        </w:tc>
        <w:tc>
          <w:tcPr>
            <w:tcW w:w="0" w:type="dxa"/>
            <w:vAlign w:val="bottom"/>
          </w:tcPr>
          <w:p>
            <w:pPr>
              <w:spacing w:after="0"/>
              <w:rPr>
                <w:sz w:val="1"/>
                <w:szCs w:val="1"/>
                <w:color w:val="auto"/>
              </w:rPr>
            </w:pPr>
          </w:p>
        </w:tc>
      </w:tr>
      <w:tr>
        <w:trPr>
          <w:trHeight w:val="149"/>
        </w:trPr>
        <w:tc>
          <w:tcPr>
            <w:tcW w:w="1180" w:type="dxa"/>
            <w:vAlign w:val="bottom"/>
            <w:tcBorders>
              <w:left w:val="single" w:sz="8" w:color="auto"/>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Borders>
              <w:right w:val="single" w:sz="8" w:color="auto"/>
            </w:tcBorders>
            <w:gridSpan w:val="5"/>
          </w:tcPr>
          <w:p>
            <w:pPr>
              <w:jc w:val="center"/>
              <w:ind w:right="160"/>
              <w:spacing w:after="0"/>
              <w:rPr>
                <w:sz w:val="20"/>
                <w:szCs w:val="20"/>
                <w:color w:val="auto"/>
              </w:rPr>
            </w:pPr>
            <w:r>
              <w:rPr>
                <w:rFonts w:ascii="Arial" w:cs="Arial" w:eastAsia="Arial" w:hAnsi="Arial"/>
                <w:sz w:val="13"/>
                <w:szCs w:val="13"/>
                <w:color w:val="auto"/>
              </w:rPr>
              <w:t>shares awarded is not</w:t>
            </w:r>
          </w:p>
        </w:tc>
        <w:tc>
          <w:tcPr>
            <w:tcW w:w="1860" w:type="dxa"/>
            <w:vAlign w:val="bottom"/>
            <w:tcBorders>
              <w:right w:val="single" w:sz="8" w:color="auto"/>
            </w:tcBorders>
            <w:gridSpan w:val="5"/>
          </w:tcPr>
          <w:p>
            <w:pPr>
              <w:jc w:val="center"/>
              <w:ind w:right="80"/>
              <w:spacing w:after="0"/>
              <w:rPr>
                <w:sz w:val="20"/>
                <w:szCs w:val="20"/>
                <w:color w:val="auto"/>
              </w:rPr>
            </w:pPr>
            <w:r>
              <w:rPr>
                <w:rFonts w:ascii="Arial" w:cs="Arial" w:eastAsia="Arial" w:hAnsi="Arial"/>
                <w:sz w:val="13"/>
                <w:szCs w:val="13"/>
                <w:color w:val="auto"/>
              </w:rPr>
              <w:t>employment during the</w:t>
            </w:r>
          </w:p>
        </w:tc>
        <w:tc>
          <w:tcPr>
            <w:tcW w:w="1840" w:type="dxa"/>
            <w:vAlign w:val="bottom"/>
            <w:tcBorders>
              <w:right w:val="single" w:sz="8" w:color="auto"/>
            </w:tcBorders>
            <w:gridSpan w:val="5"/>
          </w:tcPr>
          <w:p>
            <w:pPr>
              <w:jc w:val="center"/>
              <w:ind w:right="60"/>
              <w:spacing w:after="0"/>
              <w:rPr>
                <w:sz w:val="20"/>
                <w:szCs w:val="20"/>
                <w:color w:val="auto"/>
              </w:rPr>
            </w:pPr>
            <w:r>
              <w:rPr>
                <w:rFonts w:ascii="Arial" w:cs="Arial" w:eastAsia="Arial" w:hAnsi="Arial"/>
                <w:sz w:val="13"/>
                <w:szCs w:val="13"/>
                <w:color w:val="auto"/>
              </w:rPr>
              <w:t>employment during the</w:t>
            </w:r>
          </w:p>
        </w:tc>
        <w:tc>
          <w:tcPr>
            <w:tcW w:w="80" w:type="dxa"/>
            <w:vAlign w:val="bottom"/>
          </w:tcPr>
          <w:p>
            <w:pPr>
              <w:spacing w:after="0"/>
              <w:rPr>
                <w:sz w:val="12"/>
                <w:szCs w:val="12"/>
                <w:color w:val="auto"/>
              </w:rPr>
            </w:pPr>
          </w:p>
        </w:tc>
        <w:tc>
          <w:tcPr>
            <w:tcW w:w="2520" w:type="dxa"/>
            <w:vAlign w:val="bottom"/>
            <w:tcBorders>
              <w:right w:val="single" w:sz="8" w:color="auto"/>
            </w:tcBorders>
            <w:gridSpan w:val="4"/>
          </w:tcPr>
          <w:p>
            <w:pPr>
              <w:jc w:val="center"/>
              <w:ind w:right="100"/>
              <w:spacing w:after="0"/>
              <w:rPr>
                <w:sz w:val="20"/>
                <w:szCs w:val="20"/>
                <w:color w:val="auto"/>
              </w:rPr>
            </w:pPr>
            <w:r>
              <w:rPr>
                <w:rFonts w:ascii="Arial" w:cs="Arial" w:eastAsia="Arial" w:hAnsi="Arial"/>
                <w:sz w:val="13"/>
                <w:szCs w:val="13"/>
                <w:color w:val="auto"/>
              </w:rPr>
              <w:t>employment during the</w:t>
            </w:r>
          </w:p>
        </w:tc>
        <w:tc>
          <w:tcPr>
            <w:tcW w:w="0" w:type="dxa"/>
            <w:vAlign w:val="bottom"/>
          </w:tcPr>
          <w:p>
            <w:pPr>
              <w:spacing w:after="0"/>
              <w:rPr>
                <w:sz w:val="1"/>
                <w:szCs w:val="1"/>
                <w:color w:val="auto"/>
              </w:rPr>
            </w:pPr>
          </w:p>
        </w:tc>
      </w:tr>
      <w:tr>
        <w:trPr>
          <w:trHeight w:val="148"/>
        </w:trPr>
        <w:tc>
          <w:tcPr>
            <w:tcW w:w="1180" w:type="dxa"/>
            <w:vAlign w:val="bottom"/>
            <w:tcBorders>
              <w:left w:val="single" w:sz="8" w:color="auto"/>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Borders>
              <w:right w:val="single" w:sz="8" w:color="auto"/>
            </w:tcBorders>
            <w:gridSpan w:val="5"/>
          </w:tcPr>
          <w:p>
            <w:pPr>
              <w:jc w:val="center"/>
              <w:ind w:right="180"/>
              <w:spacing w:after="0"/>
              <w:rPr>
                <w:sz w:val="20"/>
                <w:szCs w:val="20"/>
                <w:color w:val="auto"/>
              </w:rPr>
            </w:pPr>
            <w:r>
              <w:rPr>
                <w:rFonts w:ascii="Arial" w:cs="Arial" w:eastAsia="Arial" w:hAnsi="Arial"/>
                <w:sz w:val="13"/>
                <w:szCs w:val="13"/>
                <w:color w:val="auto"/>
              </w:rPr>
              <w:t>pro-rated for partial</w:t>
            </w:r>
          </w:p>
        </w:tc>
        <w:tc>
          <w:tcPr>
            <w:tcW w:w="1860" w:type="dxa"/>
            <w:vAlign w:val="bottom"/>
            <w:tcBorders>
              <w:right w:val="single" w:sz="8" w:color="auto"/>
            </w:tcBorders>
            <w:gridSpan w:val="5"/>
          </w:tcPr>
          <w:p>
            <w:pPr>
              <w:jc w:val="center"/>
              <w:ind w:right="20"/>
              <w:spacing w:after="0"/>
              <w:rPr>
                <w:sz w:val="20"/>
                <w:szCs w:val="20"/>
                <w:color w:val="auto"/>
              </w:rPr>
            </w:pPr>
            <w:r>
              <w:rPr>
                <w:rFonts w:ascii="Arial" w:cs="Arial" w:eastAsia="Arial" w:hAnsi="Arial"/>
                <w:sz w:val="13"/>
                <w:szCs w:val="13"/>
                <w:color w:val="auto"/>
              </w:rPr>
              <w:t>performance period.</w:t>
            </w:r>
          </w:p>
        </w:tc>
        <w:tc>
          <w:tcPr>
            <w:tcW w:w="1840" w:type="dxa"/>
            <w:vAlign w:val="bottom"/>
            <w:tcBorders>
              <w:right w:val="single" w:sz="8" w:color="auto"/>
            </w:tcBorders>
            <w:gridSpan w:val="5"/>
          </w:tcPr>
          <w:p>
            <w:pPr>
              <w:jc w:val="center"/>
              <w:ind w:right="40"/>
              <w:spacing w:after="0"/>
              <w:rPr>
                <w:sz w:val="20"/>
                <w:szCs w:val="20"/>
                <w:color w:val="auto"/>
              </w:rPr>
            </w:pPr>
            <w:r>
              <w:rPr>
                <w:rFonts w:ascii="Arial" w:cs="Arial" w:eastAsia="Arial" w:hAnsi="Arial"/>
                <w:sz w:val="13"/>
                <w:szCs w:val="13"/>
                <w:color w:val="auto"/>
              </w:rPr>
              <w:t>performance period.</w:t>
            </w:r>
          </w:p>
        </w:tc>
        <w:tc>
          <w:tcPr>
            <w:tcW w:w="80" w:type="dxa"/>
            <w:vAlign w:val="bottom"/>
          </w:tcPr>
          <w:p>
            <w:pPr>
              <w:spacing w:after="0"/>
              <w:rPr>
                <w:sz w:val="12"/>
                <w:szCs w:val="12"/>
                <w:color w:val="auto"/>
              </w:rPr>
            </w:pPr>
          </w:p>
        </w:tc>
        <w:tc>
          <w:tcPr>
            <w:tcW w:w="2520" w:type="dxa"/>
            <w:vAlign w:val="bottom"/>
            <w:tcBorders>
              <w:right w:val="single" w:sz="8" w:color="auto"/>
            </w:tcBorders>
            <w:gridSpan w:val="4"/>
          </w:tcPr>
          <w:p>
            <w:pPr>
              <w:jc w:val="center"/>
              <w:ind w:right="80"/>
              <w:spacing w:after="0"/>
              <w:rPr>
                <w:sz w:val="20"/>
                <w:szCs w:val="20"/>
                <w:color w:val="auto"/>
              </w:rPr>
            </w:pPr>
            <w:r>
              <w:rPr>
                <w:rFonts w:ascii="Arial" w:cs="Arial" w:eastAsia="Arial" w:hAnsi="Arial"/>
                <w:sz w:val="13"/>
                <w:szCs w:val="13"/>
                <w:color w:val="auto"/>
              </w:rPr>
              <w:t>performance period.</w:t>
            </w:r>
          </w:p>
        </w:tc>
        <w:tc>
          <w:tcPr>
            <w:tcW w:w="0" w:type="dxa"/>
            <w:vAlign w:val="bottom"/>
          </w:tcPr>
          <w:p>
            <w:pPr>
              <w:spacing w:after="0"/>
              <w:rPr>
                <w:sz w:val="1"/>
                <w:szCs w:val="1"/>
                <w:color w:val="auto"/>
              </w:rPr>
            </w:pPr>
          </w:p>
        </w:tc>
      </w:tr>
      <w:tr>
        <w:trPr>
          <w:trHeight w:val="148"/>
        </w:trPr>
        <w:tc>
          <w:tcPr>
            <w:tcW w:w="1180" w:type="dxa"/>
            <w:vAlign w:val="bottom"/>
            <w:tcBorders>
              <w:left w:val="single" w:sz="8" w:color="auto"/>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Borders>
              <w:right w:val="single" w:sz="8" w:color="auto"/>
            </w:tcBorders>
            <w:gridSpan w:val="5"/>
          </w:tcPr>
          <w:p>
            <w:pPr>
              <w:jc w:val="center"/>
              <w:ind w:right="180"/>
              <w:spacing w:after="0"/>
              <w:rPr>
                <w:sz w:val="20"/>
                <w:szCs w:val="20"/>
                <w:color w:val="auto"/>
              </w:rPr>
            </w:pPr>
            <w:r>
              <w:rPr>
                <w:rFonts w:ascii="Arial" w:cs="Arial" w:eastAsia="Arial" w:hAnsi="Arial"/>
                <w:sz w:val="13"/>
                <w:szCs w:val="13"/>
                <w:color w:val="auto"/>
              </w:rPr>
              <w:t>employment during the</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180" w:type="dxa"/>
            <w:vAlign w:val="bottom"/>
            <w:tcBorders>
              <w:left w:val="single" w:sz="8" w:color="auto"/>
              <w:bottom w:val="single" w:sz="8" w:color="auto"/>
              <w:right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0" w:type="dxa"/>
            <w:vAlign w:val="bottom"/>
            <w:tcBorders>
              <w:bottom w:val="single" w:sz="8" w:color="auto"/>
              <w:right w:val="single" w:sz="8" w:color="auto"/>
            </w:tcBorders>
            <w:gridSpan w:val="5"/>
          </w:tcPr>
          <w:p>
            <w:pPr>
              <w:jc w:val="center"/>
              <w:ind w:right="140"/>
              <w:spacing w:after="0"/>
              <w:rPr>
                <w:sz w:val="20"/>
                <w:szCs w:val="20"/>
                <w:color w:val="auto"/>
              </w:rPr>
            </w:pPr>
            <w:r>
              <w:rPr>
                <w:rFonts w:ascii="Arial" w:cs="Arial" w:eastAsia="Arial" w:hAnsi="Arial"/>
                <w:sz w:val="13"/>
                <w:szCs w:val="13"/>
                <w:color w:val="auto"/>
              </w:rPr>
              <w:t>performance period.</w:t>
            </w:r>
          </w:p>
        </w:tc>
        <w:tc>
          <w:tcPr>
            <w:tcW w:w="3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0" w:type="dxa"/>
            <w:vAlign w:val="bottom"/>
            <w:tcBorders>
              <w:bottom w:val="single" w:sz="8" w:color="auto"/>
              <w:right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20" w:type="dxa"/>
            <w:vAlign w:val="bottom"/>
            <w:tcBorders>
              <w:bottom w:val="single" w:sz="8" w:color="auto"/>
              <w:right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346" w:right="120" w:hanging="346"/>
        <w:spacing w:after="0" w:line="253" w:lineRule="auto"/>
        <w:tabs>
          <w:tab w:leader="none" w:pos="346" w:val="left"/>
        </w:tabs>
        <w:numPr>
          <w:ilvl w:val="0"/>
          <w:numId w:val="54"/>
        </w:numPr>
        <w:rPr>
          <w:rFonts w:ascii="Arial" w:cs="Arial" w:eastAsia="Arial" w:hAnsi="Arial"/>
          <w:sz w:val="14"/>
          <w:szCs w:val="14"/>
          <w:color w:val="auto"/>
        </w:rPr>
      </w:pPr>
      <w:r>
        <w:rPr>
          <w:rFonts w:ascii="Arial" w:cs="Arial" w:eastAsia="Arial" w:hAnsi="Arial"/>
          <w:sz w:val="14"/>
          <w:szCs w:val="14"/>
          <w:i w:val="1"/>
          <w:iCs w:val="1"/>
          <w:color w:val="auto"/>
        </w:rPr>
        <w:t xml:space="preserve">Definition of Retirement: </w:t>
      </w:r>
      <w:r>
        <w:rPr>
          <w:rFonts w:ascii="Arial" w:cs="Arial" w:eastAsia="Arial" w:hAnsi="Arial"/>
          <w:sz w:val="14"/>
          <w:szCs w:val="14"/>
          <w:color w:val="auto"/>
        </w:rPr>
        <w:t>For purposes of all awards granted under the Second A&amp;R 2010 Plan to NEOs located in the U.S., “retirement”</w:t>
      </w:r>
      <w:r>
        <w:rPr>
          <w:rFonts w:ascii="Arial" w:cs="Arial" w:eastAsia="Arial" w:hAnsi="Arial"/>
          <w:sz w:val="14"/>
          <w:szCs w:val="14"/>
          <w:i w:val="1"/>
          <w:iCs w:val="1"/>
          <w:color w:val="auto"/>
        </w:rPr>
        <w:t xml:space="preserve"> </w:t>
      </w:r>
      <w:r>
        <w:rPr>
          <w:rFonts w:ascii="Arial" w:cs="Arial" w:eastAsia="Arial" w:hAnsi="Arial"/>
          <w:sz w:val="14"/>
          <w:szCs w:val="14"/>
          <w:color w:val="auto"/>
        </w:rPr>
        <w:t>means voluntary termination of employment after the date on which the award recipient has reached (i) the age of 55 and has a total of at least 10 years of continuous employment with Itron or (ii) the age of 60 and has a total of at least 5 years of continuous employment with Itron. For stock options granted in fiscal 2016 or prior, “retirement” means the earlier of age 65 or age 55 with at least 10 years of service with Itron.</w:t>
      </w:r>
    </w:p>
    <w:p>
      <w:pPr>
        <w:spacing w:after="0" w:line="28" w:lineRule="exact"/>
        <w:rPr>
          <w:rFonts w:ascii="Arial" w:cs="Arial" w:eastAsia="Arial" w:hAnsi="Arial"/>
          <w:sz w:val="14"/>
          <w:szCs w:val="14"/>
          <w:color w:val="auto"/>
        </w:rPr>
      </w:pPr>
    </w:p>
    <w:p>
      <w:pPr>
        <w:jc w:val="both"/>
        <w:ind w:left="346" w:right="80" w:hanging="346"/>
        <w:spacing w:after="0" w:line="266" w:lineRule="auto"/>
        <w:tabs>
          <w:tab w:leader="none" w:pos="346" w:val="left"/>
        </w:tabs>
        <w:numPr>
          <w:ilvl w:val="0"/>
          <w:numId w:val="54"/>
        </w:numPr>
        <w:rPr>
          <w:rFonts w:ascii="Arial" w:cs="Arial" w:eastAsia="Arial" w:hAnsi="Arial"/>
          <w:sz w:val="14"/>
          <w:szCs w:val="14"/>
          <w:color w:val="auto"/>
        </w:rPr>
      </w:pPr>
      <w:r>
        <w:rPr>
          <w:rFonts w:ascii="Arial" w:cs="Arial" w:eastAsia="Arial" w:hAnsi="Arial"/>
          <w:sz w:val="14"/>
          <w:szCs w:val="14"/>
          <w:i w:val="1"/>
          <w:iCs w:val="1"/>
          <w:color w:val="auto"/>
        </w:rPr>
        <w:t xml:space="preserve">Annual Incentive Plan: </w:t>
      </w:r>
      <w:r>
        <w:rPr>
          <w:rFonts w:ascii="Arial" w:cs="Arial" w:eastAsia="Arial" w:hAnsi="Arial"/>
          <w:sz w:val="14"/>
          <w:szCs w:val="14"/>
          <w:color w:val="auto"/>
        </w:rPr>
        <w:t>For awards under the EMIP, participants would receive a prorated award (assuming an award is earned) based on</w:t>
      </w:r>
      <w:r>
        <w:rPr>
          <w:rFonts w:ascii="Arial" w:cs="Arial" w:eastAsia="Arial" w:hAnsi="Arial"/>
          <w:sz w:val="14"/>
          <w:szCs w:val="14"/>
          <w:i w:val="1"/>
          <w:iCs w:val="1"/>
          <w:color w:val="auto"/>
        </w:rPr>
        <w:t xml:space="preserve"> </w:t>
      </w:r>
      <w:r>
        <w:rPr>
          <w:rFonts w:ascii="Arial" w:cs="Arial" w:eastAsia="Arial" w:hAnsi="Arial"/>
          <w:sz w:val="14"/>
          <w:szCs w:val="14"/>
          <w:color w:val="auto"/>
        </w:rPr>
        <w:t>the number of calendar days employed during the performance period and such payout, if any, will be made at the same time as the other participants.</w:t>
      </w:r>
    </w:p>
    <w:p>
      <w:pPr>
        <w:spacing w:after="0" w:line="31" w:lineRule="exact"/>
        <w:rPr>
          <w:rFonts w:ascii="Arial" w:cs="Arial" w:eastAsia="Arial" w:hAnsi="Arial"/>
          <w:sz w:val="14"/>
          <w:szCs w:val="14"/>
          <w:color w:val="auto"/>
        </w:rPr>
      </w:pPr>
    </w:p>
    <w:p>
      <w:pPr>
        <w:ind w:left="346" w:right="60" w:hanging="346"/>
        <w:spacing w:after="0" w:line="254" w:lineRule="auto"/>
        <w:tabs>
          <w:tab w:leader="none" w:pos="346" w:val="left"/>
        </w:tabs>
        <w:numPr>
          <w:ilvl w:val="0"/>
          <w:numId w:val="54"/>
        </w:numPr>
        <w:rPr>
          <w:rFonts w:ascii="Arial" w:cs="Arial" w:eastAsia="Arial" w:hAnsi="Arial"/>
          <w:sz w:val="14"/>
          <w:szCs w:val="14"/>
          <w:color w:val="auto"/>
        </w:rPr>
      </w:pPr>
      <w:r>
        <w:rPr>
          <w:rFonts w:ascii="Arial" w:cs="Arial" w:eastAsia="Arial" w:hAnsi="Arial"/>
          <w:sz w:val="14"/>
          <w:szCs w:val="14"/>
          <w:i w:val="1"/>
          <w:iCs w:val="1"/>
          <w:color w:val="auto"/>
        </w:rPr>
        <w:t xml:space="preserve">Time-vested RSUs: </w:t>
      </w:r>
      <w:r>
        <w:rPr>
          <w:rFonts w:ascii="Arial" w:cs="Arial" w:eastAsia="Arial" w:hAnsi="Arial"/>
          <w:sz w:val="14"/>
          <w:szCs w:val="14"/>
          <w:color w:val="auto"/>
        </w:rPr>
        <w:t>For the awards granted in fiscal 2018, if a retirement occurs after 18 months following the grant date, RSUs will</w:t>
      </w:r>
      <w:r>
        <w:rPr>
          <w:rFonts w:ascii="Arial" w:cs="Arial" w:eastAsia="Arial" w:hAnsi="Arial"/>
          <w:sz w:val="14"/>
          <w:szCs w:val="14"/>
          <w:i w:val="1"/>
          <w:iCs w:val="1"/>
          <w:color w:val="auto"/>
        </w:rPr>
        <w:t xml:space="preserve"> </w:t>
      </w:r>
      <w:r>
        <w:rPr>
          <w:rFonts w:ascii="Arial" w:cs="Arial" w:eastAsia="Arial" w:hAnsi="Arial"/>
          <w:sz w:val="14"/>
          <w:szCs w:val="14"/>
          <w:color w:val="auto"/>
        </w:rPr>
        <w:t>continue to vest subject to non-compete/non-solicit and reasonable notice restrictions. For the awards granted in fiscal 2019 and 2020, if a retirement occurs after 12 months following the grant date, RSUs will continue to vest subject to non-compete/non-solicit and reasonable notice restrictions. If termination is due to death or disability (as defined in the Second A&amp;R 2010 Plan), any unvested RSUs will vest immediately.</w:t>
      </w:r>
    </w:p>
    <w:p>
      <w:pPr>
        <w:spacing w:after="0" w:line="195" w:lineRule="exact"/>
        <w:rPr>
          <w:rFonts w:ascii="Arial" w:cs="Arial" w:eastAsia="Arial" w:hAnsi="Arial"/>
          <w:sz w:val="14"/>
          <w:szCs w:val="14"/>
          <w:color w:val="auto"/>
        </w:rPr>
      </w:pPr>
    </w:p>
    <w:p>
      <w:pPr>
        <w:ind w:left="346" w:right="20" w:hanging="346"/>
        <w:spacing w:after="0" w:line="251" w:lineRule="auto"/>
        <w:tabs>
          <w:tab w:leader="none" w:pos="346" w:val="left"/>
        </w:tabs>
        <w:numPr>
          <w:ilvl w:val="0"/>
          <w:numId w:val="54"/>
        </w:numPr>
        <w:rPr>
          <w:rFonts w:ascii="Arial" w:cs="Arial" w:eastAsia="Arial" w:hAnsi="Arial"/>
          <w:sz w:val="14"/>
          <w:szCs w:val="14"/>
          <w:color w:val="auto"/>
        </w:rPr>
      </w:pPr>
      <w:r>
        <w:rPr>
          <w:rFonts w:ascii="Arial" w:cs="Arial" w:eastAsia="Arial" w:hAnsi="Arial"/>
          <w:sz w:val="14"/>
          <w:szCs w:val="14"/>
          <w:i w:val="1"/>
          <w:iCs w:val="1"/>
          <w:color w:val="auto"/>
        </w:rPr>
        <w:t xml:space="preserve">Stock Options: </w:t>
      </w:r>
      <w:r>
        <w:rPr>
          <w:rFonts w:ascii="Arial" w:cs="Arial" w:eastAsia="Arial" w:hAnsi="Arial"/>
          <w:sz w:val="14"/>
          <w:szCs w:val="14"/>
          <w:color w:val="auto"/>
        </w:rPr>
        <w:t>Upon retirement, all unvested options automatically expire. Vested options granted in 2016 or prior would remain</w:t>
      </w:r>
      <w:r>
        <w:rPr>
          <w:rFonts w:ascii="Arial" w:cs="Arial" w:eastAsia="Arial" w:hAnsi="Arial"/>
          <w:sz w:val="14"/>
          <w:szCs w:val="14"/>
          <w:i w:val="1"/>
          <w:iCs w:val="1"/>
          <w:color w:val="auto"/>
        </w:rPr>
        <w:t xml:space="preserve"> </w:t>
      </w:r>
      <w:r>
        <w:rPr>
          <w:rFonts w:ascii="Arial" w:cs="Arial" w:eastAsia="Arial" w:hAnsi="Arial"/>
          <w:sz w:val="14"/>
          <w:szCs w:val="14"/>
          <w:color w:val="auto"/>
        </w:rPr>
        <w:t>exercisable until the earlier of three years following retirement or the option expiration date. However, for the awards granted in fiscal 2017, if a retirement occurs after 24 months following the grant date, options will continue to vest subject to non-compete/non-solicit and reasonable notice restrictions. For the awards granted in fiscal 2018, if a retirement occurs after 18 months following the grant date, options will continue to vest subject to non-compete/non-solicit and reasonable notice restrictions. For the awards granted in fiscal 2019 and 2020, if a retirement occurs after 12 months following the grant date, options will continue to vest subject to non-compete/non-solicit</w:t>
      </w:r>
    </w:p>
    <w:p>
      <w:pPr>
        <w:spacing w:after="0" w:line="276" w:lineRule="exact"/>
        <w:rPr>
          <w:sz w:val="20"/>
          <w:szCs w:val="20"/>
          <w:color w:val="auto"/>
        </w:rPr>
      </w:pPr>
    </w:p>
    <w:p>
      <w:pPr>
        <w:jc w:val="center"/>
        <w:ind w:right="-25"/>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157480</wp:posOffset>
            </wp:positionV>
            <wp:extent cx="699516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263" w:right="1359" w:bottom="1440" w:gutter="0" w:footer="0" w:header="0"/>
        </w:sectPr>
      </w:pPr>
    </w:p>
    <w:bookmarkStart w:id="47" w:name="page48"/>
    <w:bookmarkEnd w:id="47"/>
    <w:p>
      <w:pPr>
        <w:ind w:left="6"/>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134" w:lineRule="exact"/>
        <w:rPr>
          <w:sz w:val="20"/>
          <w:szCs w:val="20"/>
          <w:color w:val="auto"/>
        </w:rPr>
      </w:pPr>
    </w:p>
    <w:p>
      <w:pPr>
        <w:ind w:left="366" w:right="360"/>
        <w:spacing w:after="0" w:line="291" w:lineRule="auto"/>
        <w:rPr>
          <w:sz w:val="20"/>
          <w:szCs w:val="20"/>
          <w:color w:val="auto"/>
        </w:rPr>
      </w:pPr>
      <w:r>
        <w:rPr>
          <w:rFonts w:ascii="Arial" w:cs="Arial" w:eastAsia="Arial" w:hAnsi="Arial"/>
          <w:sz w:val="14"/>
          <w:szCs w:val="14"/>
          <w:color w:val="auto"/>
        </w:rPr>
        <w:t>and reasonable notice restrictions. If termination is due to death or disability, all unvested options become exercisable and remain exercisable until the earlier of one year following the date of death or disability, or the date on which the options expire by their terms.</w:t>
      </w:r>
    </w:p>
    <w:p>
      <w:pPr>
        <w:spacing w:after="0" w:line="42" w:lineRule="exact"/>
        <w:rPr>
          <w:sz w:val="20"/>
          <w:szCs w:val="20"/>
          <w:color w:val="auto"/>
        </w:rPr>
      </w:pPr>
    </w:p>
    <w:p>
      <w:pPr>
        <w:ind w:left="346" w:right="20" w:hanging="346"/>
        <w:spacing w:after="0" w:line="247" w:lineRule="auto"/>
        <w:tabs>
          <w:tab w:leader="none" w:pos="346" w:val="left"/>
        </w:tabs>
        <w:numPr>
          <w:ilvl w:val="0"/>
          <w:numId w:val="55"/>
        </w:numPr>
        <w:rPr>
          <w:rFonts w:ascii="Arial" w:cs="Arial" w:eastAsia="Arial" w:hAnsi="Arial"/>
          <w:sz w:val="14"/>
          <w:szCs w:val="14"/>
          <w:color w:val="auto"/>
        </w:rPr>
      </w:pPr>
      <w:r>
        <w:rPr>
          <w:rFonts w:ascii="Arial" w:cs="Arial" w:eastAsia="Arial" w:hAnsi="Arial"/>
          <w:sz w:val="14"/>
          <w:szCs w:val="14"/>
          <w:i w:val="1"/>
          <w:iCs w:val="1"/>
          <w:color w:val="auto"/>
        </w:rPr>
        <w:t xml:space="preserve">Performance-Based RSUs (PRSUs): </w:t>
      </w:r>
      <w:r>
        <w:rPr>
          <w:rFonts w:ascii="Arial" w:cs="Arial" w:eastAsia="Arial" w:hAnsi="Arial"/>
          <w:sz w:val="14"/>
          <w:szCs w:val="14"/>
          <w:color w:val="auto"/>
        </w:rPr>
        <w:t>If termination occurs due to death or disability during the performance period, for the awards granted</w:t>
      </w:r>
      <w:r>
        <w:rPr>
          <w:rFonts w:ascii="Arial" w:cs="Arial" w:eastAsia="Arial" w:hAnsi="Arial"/>
          <w:sz w:val="14"/>
          <w:szCs w:val="14"/>
          <w:i w:val="1"/>
          <w:iCs w:val="1"/>
          <w:color w:val="auto"/>
        </w:rPr>
        <w:t xml:space="preserve"> </w:t>
      </w:r>
      <w:r>
        <w:rPr>
          <w:rFonts w:ascii="Arial" w:cs="Arial" w:eastAsia="Arial" w:hAnsi="Arial"/>
          <w:sz w:val="14"/>
          <w:szCs w:val="14"/>
          <w:color w:val="auto"/>
        </w:rPr>
        <w:t>in fiscal 2018, 2019, and 2020, shares will be awarded and settled based on the performance period and results ending in the year of death or disability, and will not be pro-rated for partial employment during the performance period. For the awards granted in fiscal 2018, if a retirement occurs after 18 months following the grant date, awards will vest in full based on actual performance and the applied TSR multiplier calculated at the end of the performance period, subject to non-compete/non-solicit and reasonable notice restrictions. For the awards granted in fiscal 2019 and 2020, if a retirement occurs after 12 months following the grant date, awards will vest in full based on actual performance and the applied TSR multiplier calculated at the end of the performance period, subject to non-compete/non-solicit and reasonable notice restrictions. Vested units generally will be settled at the original vesting date set forth in the award agreement, and in accordance with the provisions of Section 409A of the Code.</w:t>
      </w:r>
    </w:p>
    <w:p>
      <w:pPr>
        <w:spacing w:after="0" w:line="171" w:lineRule="exact"/>
        <w:rPr>
          <w:sz w:val="20"/>
          <w:szCs w:val="20"/>
          <w:color w:val="auto"/>
        </w:rPr>
      </w:pPr>
    </w:p>
    <w:p>
      <w:pPr>
        <w:ind w:left="6"/>
        <w:spacing w:after="0"/>
        <w:rPr>
          <w:sz w:val="20"/>
          <w:szCs w:val="20"/>
          <w:color w:val="auto"/>
        </w:rPr>
      </w:pPr>
      <w:r>
        <w:rPr>
          <w:rFonts w:ascii="Arial" w:cs="Arial" w:eastAsia="Arial" w:hAnsi="Arial"/>
          <w:sz w:val="18"/>
          <w:szCs w:val="18"/>
          <w:b w:val="1"/>
          <w:bCs w:val="1"/>
          <w:u w:val="single" w:color="auto"/>
          <w:color w:val="auto"/>
        </w:rPr>
        <w:t>Voluntary Termination or Termination without Cause</w:t>
      </w:r>
    </w:p>
    <w:p>
      <w:pPr>
        <w:spacing w:after="0" w:line="173" w:lineRule="exact"/>
        <w:rPr>
          <w:sz w:val="20"/>
          <w:szCs w:val="20"/>
          <w:color w:val="auto"/>
        </w:rPr>
      </w:pPr>
    </w:p>
    <w:p>
      <w:pPr>
        <w:ind w:left="706" w:right="20" w:hanging="346"/>
        <w:spacing w:after="0" w:line="255" w:lineRule="auto"/>
        <w:tabs>
          <w:tab w:leader="none" w:pos="706"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 xml:space="preserve">Stock Options: </w:t>
      </w:r>
      <w:r>
        <w:rPr>
          <w:rFonts w:ascii="Arial" w:cs="Arial" w:eastAsia="Arial" w:hAnsi="Arial"/>
          <w:sz w:val="18"/>
          <w:szCs w:val="18"/>
          <w:color w:val="auto"/>
        </w:rPr>
        <w:t>All unvested options automatically expire due to voluntary termination or termination by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without cause. Any vested options would remain exercisable until the earlier of 90 days following termination of employment or the date on which the options expire by their terms.</w:t>
      </w:r>
    </w:p>
    <w:p>
      <w:pPr>
        <w:spacing w:after="0" w:line="123" w:lineRule="exact"/>
        <w:rPr>
          <w:rFonts w:ascii="Arial" w:cs="Arial" w:eastAsia="Arial" w:hAnsi="Arial"/>
          <w:sz w:val="18"/>
          <w:szCs w:val="18"/>
          <w:color w:val="auto"/>
        </w:rPr>
      </w:pPr>
    </w:p>
    <w:p>
      <w:pPr>
        <w:ind w:left="706" w:right="400" w:hanging="346"/>
        <w:spacing w:after="0" w:line="276" w:lineRule="auto"/>
        <w:tabs>
          <w:tab w:leader="none" w:pos="706"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 xml:space="preserve">Time-vested RSUs: </w:t>
      </w:r>
      <w:r>
        <w:rPr>
          <w:rFonts w:ascii="Arial" w:cs="Arial" w:eastAsia="Arial" w:hAnsi="Arial"/>
          <w:sz w:val="18"/>
          <w:szCs w:val="18"/>
          <w:color w:val="auto"/>
        </w:rPr>
        <w:t>All unvested RSUs are forfeited upon voluntary termination or termination without</w:t>
      </w:r>
      <w:r>
        <w:rPr>
          <w:rFonts w:ascii="Arial" w:cs="Arial" w:eastAsia="Arial" w:hAnsi="Arial"/>
          <w:sz w:val="18"/>
          <w:szCs w:val="18"/>
          <w:i w:val="1"/>
          <w:iCs w:val="1"/>
          <w:color w:val="auto"/>
        </w:rPr>
        <w:t xml:space="preserve"> </w:t>
      </w:r>
      <w:r>
        <w:rPr>
          <w:rFonts w:ascii="Arial" w:cs="Arial" w:eastAsia="Arial" w:hAnsi="Arial"/>
          <w:sz w:val="18"/>
          <w:szCs w:val="18"/>
          <w:color w:val="auto"/>
        </w:rPr>
        <w:t>cause.</w:t>
      </w:r>
    </w:p>
    <w:p>
      <w:pPr>
        <w:spacing w:after="0" w:line="117" w:lineRule="exact"/>
        <w:rPr>
          <w:rFonts w:ascii="Arial" w:cs="Arial" w:eastAsia="Arial" w:hAnsi="Arial"/>
          <w:sz w:val="18"/>
          <w:szCs w:val="18"/>
          <w:color w:val="auto"/>
        </w:rPr>
      </w:pPr>
    </w:p>
    <w:p>
      <w:pPr>
        <w:ind w:left="706" w:right="180" w:hanging="346"/>
        <w:spacing w:after="0" w:line="255" w:lineRule="auto"/>
        <w:tabs>
          <w:tab w:leader="none" w:pos="706"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 xml:space="preserve">Performance-Based RSUs (PRSUs): </w:t>
      </w:r>
      <w:r>
        <w:rPr>
          <w:rFonts w:ascii="Arial" w:cs="Arial" w:eastAsia="Arial" w:hAnsi="Arial"/>
          <w:sz w:val="18"/>
          <w:szCs w:val="18"/>
          <w:color w:val="auto"/>
        </w:rPr>
        <w:t>All unvested PRSUs are forfeited upon voluntary termination or</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termination without cause. Vested units will be settled in accordance with the provisions of Section 409A of the Code.</w:t>
      </w:r>
    </w:p>
    <w:p>
      <w:pPr>
        <w:spacing w:after="0" w:line="123" w:lineRule="exact"/>
        <w:rPr>
          <w:rFonts w:ascii="Arial" w:cs="Arial" w:eastAsia="Arial" w:hAnsi="Arial"/>
          <w:sz w:val="18"/>
          <w:szCs w:val="18"/>
          <w:color w:val="auto"/>
        </w:rPr>
      </w:pPr>
    </w:p>
    <w:p>
      <w:pPr>
        <w:ind w:left="706" w:right="160" w:hanging="346"/>
        <w:spacing w:after="0" w:line="276" w:lineRule="auto"/>
        <w:tabs>
          <w:tab w:leader="none" w:pos="706"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 xml:space="preserve">Annual Incentive Plan: </w:t>
      </w:r>
      <w:r>
        <w:rPr>
          <w:rFonts w:ascii="Arial" w:cs="Arial" w:eastAsia="Arial" w:hAnsi="Arial"/>
          <w:sz w:val="18"/>
          <w:szCs w:val="18"/>
          <w:color w:val="auto"/>
        </w:rPr>
        <w:t>The bonus under the EMIP would be forfeited in its entirety if the NEO is not</w:t>
      </w:r>
      <w:r>
        <w:rPr>
          <w:rFonts w:ascii="Arial" w:cs="Arial" w:eastAsia="Arial" w:hAnsi="Arial"/>
          <w:sz w:val="18"/>
          <w:szCs w:val="18"/>
          <w:i w:val="1"/>
          <w:iCs w:val="1"/>
          <w:color w:val="auto"/>
        </w:rPr>
        <w:t xml:space="preserve"> </w:t>
      </w:r>
      <w:r>
        <w:rPr>
          <w:rFonts w:ascii="Arial" w:cs="Arial" w:eastAsia="Arial" w:hAnsi="Arial"/>
          <w:sz w:val="18"/>
          <w:szCs w:val="18"/>
          <w:color w:val="auto"/>
        </w:rPr>
        <w:t>employed by the Company or working as a service contractor for the Company at the time of the payout.</w:t>
      </w:r>
    </w:p>
    <w:p>
      <w:pPr>
        <w:spacing w:after="0" w:line="156"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Potential Payments upon Change-in-Control</w:t>
      </w:r>
    </w:p>
    <w:p>
      <w:pPr>
        <w:spacing w:after="0" w:line="173" w:lineRule="exact"/>
        <w:rPr>
          <w:sz w:val="20"/>
          <w:szCs w:val="20"/>
          <w:color w:val="auto"/>
        </w:rPr>
      </w:pPr>
    </w:p>
    <w:p>
      <w:pPr>
        <w:ind w:left="6" w:right="60"/>
        <w:spacing w:after="0" w:line="248" w:lineRule="auto"/>
        <w:rPr>
          <w:sz w:val="20"/>
          <w:szCs w:val="20"/>
          <w:color w:val="auto"/>
        </w:rPr>
      </w:pPr>
      <w:r>
        <w:rPr>
          <w:rFonts w:ascii="Arial" w:cs="Arial" w:eastAsia="Arial" w:hAnsi="Arial"/>
          <w:sz w:val="18"/>
          <w:szCs w:val="18"/>
          <w:color w:val="auto"/>
        </w:rPr>
        <w:t>The following describes the material provisions of the change-in-control agreements that we have entered into with our NEOs except for Mr. Reeves, who is not party to a change-in-control agreement. The change-in-control agreements provide for the following benefits if there is a change-in-control and the NEO’s employment is terminated within 24 months by the Company without cause or by the NEO for “good reason”:</w:t>
      </w:r>
    </w:p>
    <w:p>
      <w:pPr>
        <w:spacing w:after="0" w:line="130" w:lineRule="exact"/>
        <w:rPr>
          <w:sz w:val="20"/>
          <w:szCs w:val="20"/>
          <w:color w:val="auto"/>
        </w:rPr>
      </w:pPr>
    </w:p>
    <w:p>
      <w:pPr>
        <w:ind w:left="706" w:hanging="346"/>
        <w:spacing w:after="0" w:line="248" w:lineRule="auto"/>
        <w:tabs>
          <w:tab w:leader="none" w:pos="706"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Severance Benefit: </w:t>
      </w:r>
      <w:r>
        <w:rPr>
          <w:rFonts w:ascii="Arial" w:cs="Arial" w:eastAsia="Arial" w:hAnsi="Arial"/>
          <w:sz w:val="18"/>
          <w:szCs w:val="18"/>
          <w:color w:val="auto"/>
        </w:rPr>
        <w:t>The change-in-control agreements provide Mr. Deitrich with a severance benefit equal</w:t>
      </w:r>
      <w:r>
        <w:rPr>
          <w:rFonts w:ascii="Arial" w:cs="Arial" w:eastAsia="Arial" w:hAnsi="Arial"/>
          <w:sz w:val="18"/>
          <w:szCs w:val="18"/>
          <w:i w:val="1"/>
          <w:iCs w:val="1"/>
          <w:color w:val="auto"/>
        </w:rPr>
        <w:t xml:space="preserve"> </w:t>
      </w:r>
      <w:r>
        <w:rPr>
          <w:rFonts w:ascii="Arial" w:cs="Arial" w:eastAsia="Arial" w:hAnsi="Arial"/>
          <w:sz w:val="18"/>
          <w:szCs w:val="18"/>
          <w:color w:val="auto"/>
        </w:rPr>
        <w:t>to 2.5 times the sum of base salary and target annual incentive opportunity. For Ms. Hlavinka, Ms. Hooper, and Mr. Cadieux, the benefit is equal to 2 times the sum of base salary and target annual incentive opportunity. For all, the benefit is paid in cash in one lump sum.</w:t>
      </w:r>
    </w:p>
    <w:p>
      <w:pPr>
        <w:spacing w:after="0" w:line="143" w:lineRule="exact"/>
        <w:rPr>
          <w:rFonts w:ascii="Arial" w:cs="Arial" w:eastAsia="Arial" w:hAnsi="Arial"/>
          <w:sz w:val="18"/>
          <w:szCs w:val="18"/>
          <w:color w:val="auto"/>
        </w:rPr>
      </w:pPr>
    </w:p>
    <w:p>
      <w:pPr>
        <w:ind w:left="706" w:right="180" w:hanging="346"/>
        <w:spacing w:after="0" w:line="255" w:lineRule="auto"/>
        <w:tabs>
          <w:tab w:leader="none" w:pos="706"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Pro-Rata Annual Incentive for Year of Termination: </w:t>
      </w:r>
      <w:r>
        <w:rPr>
          <w:rFonts w:ascii="Arial" w:cs="Arial" w:eastAsia="Arial" w:hAnsi="Arial"/>
          <w:sz w:val="18"/>
          <w:szCs w:val="18"/>
          <w:color w:val="auto"/>
        </w:rPr>
        <w:t>The change-in-control agreements provide for a</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based on the greater of target opportunity or actual performance (as determined by the Board), prorated for the time worked during the year of termination.</w:t>
      </w:r>
    </w:p>
    <w:p>
      <w:pPr>
        <w:spacing w:after="0" w:line="123" w:lineRule="exact"/>
        <w:rPr>
          <w:rFonts w:ascii="Arial" w:cs="Arial" w:eastAsia="Arial" w:hAnsi="Arial"/>
          <w:sz w:val="18"/>
          <w:szCs w:val="18"/>
          <w:color w:val="auto"/>
        </w:rPr>
      </w:pPr>
    </w:p>
    <w:p>
      <w:pPr>
        <w:ind w:left="706" w:right="80" w:hanging="346"/>
        <w:spacing w:after="0" w:line="245" w:lineRule="auto"/>
        <w:tabs>
          <w:tab w:leader="none" w:pos="706"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Welfare Benefit Continuation: </w:t>
      </w:r>
      <w:r>
        <w:rPr>
          <w:rFonts w:ascii="Arial" w:cs="Arial" w:eastAsia="Arial" w:hAnsi="Arial"/>
          <w:sz w:val="18"/>
          <w:szCs w:val="18"/>
          <w:color w:val="auto"/>
        </w:rPr>
        <w:t>The change-in-control agreements provide Mr. Deitrich with 2.5 years of life</w:t>
      </w:r>
      <w:r>
        <w:rPr>
          <w:rFonts w:ascii="Arial" w:cs="Arial" w:eastAsia="Arial" w:hAnsi="Arial"/>
          <w:sz w:val="18"/>
          <w:szCs w:val="18"/>
          <w:i w:val="1"/>
          <w:iCs w:val="1"/>
          <w:color w:val="auto"/>
        </w:rPr>
        <w:t xml:space="preserve"> </w:t>
      </w:r>
      <w:r>
        <w:rPr>
          <w:rFonts w:ascii="Arial" w:cs="Arial" w:eastAsia="Arial" w:hAnsi="Arial"/>
          <w:sz w:val="18"/>
          <w:szCs w:val="18"/>
          <w:color w:val="auto"/>
        </w:rPr>
        <w:t>and disability insurance coverage (with no tax gross-up). For Ms. Hlavinka, Ms. Hooper, and Mr. Cadieux, this benefit is equal to 2 years of life and disability insurance coverage (with no tax gross-up). The Agreements also provide our NEOs and their dependents with the same respective years of health care coverage.</w:t>
      </w:r>
    </w:p>
    <w:p>
      <w:pPr>
        <w:spacing w:after="0" w:line="131" w:lineRule="exact"/>
        <w:rPr>
          <w:rFonts w:ascii="Arial" w:cs="Arial" w:eastAsia="Arial" w:hAnsi="Arial"/>
          <w:sz w:val="18"/>
          <w:szCs w:val="18"/>
          <w:color w:val="auto"/>
        </w:rPr>
      </w:pPr>
    </w:p>
    <w:p>
      <w:pPr>
        <w:ind w:left="706" w:right="180" w:hanging="346"/>
        <w:spacing w:after="0" w:line="248" w:lineRule="auto"/>
        <w:tabs>
          <w:tab w:leader="none" w:pos="706"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Equity Award Vesting and Acceleration (Double Trigger): </w:t>
      </w:r>
      <w:r>
        <w:rPr>
          <w:rFonts w:ascii="Arial" w:cs="Arial" w:eastAsia="Arial" w:hAnsi="Arial"/>
          <w:sz w:val="18"/>
          <w:szCs w:val="18"/>
          <w:color w:val="auto"/>
        </w:rPr>
        <w:t>The change-in-control agreements provide that</w:t>
      </w:r>
      <w:r>
        <w:rPr>
          <w:rFonts w:ascii="Arial" w:cs="Arial" w:eastAsia="Arial" w:hAnsi="Arial"/>
          <w:sz w:val="18"/>
          <w:szCs w:val="18"/>
          <w:i w:val="1"/>
          <w:iCs w:val="1"/>
          <w:color w:val="auto"/>
        </w:rPr>
        <w:t xml:space="preserve"> </w:t>
      </w:r>
      <w:r>
        <w:rPr>
          <w:rFonts w:ascii="Arial" w:cs="Arial" w:eastAsia="Arial" w:hAnsi="Arial"/>
          <w:sz w:val="18"/>
          <w:szCs w:val="18"/>
          <w:color w:val="auto"/>
        </w:rPr>
        <w:t>any acceleration for equity awards is “double trigger” and thus will occur only upon a change-in-control and a qualifying termination (a termination without cause or for good reason). All vesting acceleration is subject to consummation of the change-in-control transaction.</w:t>
      </w:r>
    </w:p>
    <w:p>
      <w:pPr>
        <w:spacing w:after="0" w:line="143" w:lineRule="exact"/>
        <w:rPr>
          <w:rFonts w:ascii="Arial" w:cs="Arial" w:eastAsia="Arial" w:hAnsi="Arial"/>
          <w:sz w:val="18"/>
          <w:szCs w:val="18"/>
          <w:color w:val="auto"/>
        </w:rPr>
      </w:pPr>
    </w:p>
    <w:p>
      <w:pPr>
        <w:ind w:left="706" w:hanging="346"/>
        <w:spacing w:after="0"/>
        <w:tabs>
          <w:tab w:leader="none" w:pos="706"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Excise Tax Gross-Up: </w:t>
      </w:r>
      <w:r>
        <w:rPr>
          <w:rFonts w:ascii="Arial" w:cs="Arial" w:eastAsia="Arial" w:hAnsi="Arial"/>
          <w:sz w:val="18"/>
          <w:szCs w:val="18"/>
          <w:color w:val="auto"/>
        </w:rPr>
        <w:t>There are no effective provisions for an excise tax gross-up.</w:t>
      </w:r>
    </w:p>
    <w:p>
      <w:pPr>
        <w:spacing w:after="0" w:line="171" w:lineRule="exact"/>
        <w:rPr>
          <w:rFonts w:ascii="Arial" w:cs="Arial" w:eastAsia="Arial" w:hAnsi="Arial"/>
          <w:sz w:val="18"/>
          <w:szCs w:val="18"/>
          <w:color w:val="auto"/>
        </w:rPr>
      </w:pPr>
    </w:p>
    <w:p>
      <w:pPr>
        <w:ind w:left="706" w:right="260" w:hanging="346"/>
        <w:spacing w:after="0" w:line="276" w:lineRule="auto"/>
        <w:tabs>
          <w:tab w:leader="none" w:pos="706"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Legal Fees: </w:t>
      </w:r>
      <w:r>
        <w:rPr>
          <w:rFonts w:ascii="Arial" w:cs="Arial" w:eastAsia="Arial" w:hAnsi="Arial"/>
          <w:sz w:val="18"/>
          <w:szCs w:val="18"/>
          <w:color w:val="auto"/>
        </w:rPr>
        <w:t>The change-in-control agreements provide that NEOs will be reimbursed for legal fees and</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incurred in seeking to enforce the change-in-control agreement.</w:t>
      </w:r>
    </w:p>
    <w:p>
      <w:pPr>
        <w:spacing w:after="0" w:line="253" w:lineRule="exact"/>
        <w:rPr>
          <w:sz w:val="20"/>
          <w:szCs w:val="20"/>
          <w:color w:val="auto"/>
        </w:rPr>
      </w:pPr>
    </w:p>
    <w:p>
      <w:pPr>
        <w:jc w:val="center"/>
        <w:ind w:right="-45"/>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157480</wp:posOffset>
            </wp:positionV>
            <wp:extent cx="699516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66"/>
          </w:cols>
          <w:pgMar w:left="1354" w:top="263" w:right="1379" w:bottom="1440" w:gutter="0" w:footer="0" w:header="0"/>
        </w:sectPr>
      </w:pPr>
    </w:p>
    <w:bookmarkStart w:id="48" w:name="page49"/>
    <w:bookmarkEnd w:id="48"/>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124" w:lineRule="exact"/>
        <w:rPr>
          <w:sz w:val="20"/>
          <w:szCs w:val="20"/>
          <w:color w:val="auto"/>
        </w:rPr>
      </w:pPr>
    </w:p>
    <w:p>
      <w:pPr>
        <w:ind w:left="700" w:right="300" w:hanging="346"/>
        <w:spacing w:after="0" w:line="255" w:lineRule="auto"/>
        <w:tabs>
          <w:tab w:leader="none" w:pos="70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 xml:space="preserve">Restrictive Covenants: </w:t>
      </w:r>
      <w:r>
        <w:rPr>
          <w:rFonts w:ascii="Arial" w:cs="Arial" w:eastAsia="Arial" w:hAnsi="Arial"/>
          <w:sz w:val="18"/>
          <w:szCs w:val="18"/>
          <w:color w:val="auto"/>
        </w:rPr>
        <w:t>The change-in-control agreements include restrictive covenants relating to non-solicitation (one-year), non-disparagement, and non-competition (one-year, where enforceable), and require a release of all claims against the Company.</w:t>
      </w:r>
    </w:p>
    <w:p>
      <w:pPr>
        <w:spacing w:after="0" w:line="136" w:lineRule="exact"/>
        <w:rPr>
          <w:rFonts w:ascii="Arial" w:cs="Arial" w:eastAsia="Arial" w:hAnsi="Arial"/>
          <w:sz w:val="18"/>
          <w:szCs w:val="18"/>
          <w:color w:val="auto"/>
        </w:rPr>
      </w:pPr>
    </w:p>
    <w:p>
      <w:pPr>
        <w:ind w:left="700" w:right="120" w:hanging="346"/>
        <w:spacing w:after="0" w:line="276" w:lineRule="auto"/>
        <w:tabs>
          <w:tab w:leader="none" w:pos="70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 xml:space="preserve">Definition of Change-in-Control: </w:t>
      </w:r>
      <w:r>
        <w:rPr>
          <w:rFonts w:ascii="Arial" w:cs="Arial" w:eastAsia="Arial" w:hAnsi="Arial"/>
          <w:sz w:val="18"/>
          <w:szCs w:val="18"/>
          <w:color w:val="auto"/>
        </w:rPr>
        <w:t>For purposes of the change-in-control agreements, a “change-in-control”</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consists of any of the following:</w:t>
      </w:r>
    </w:p>
    <w:p>
      <w:pPr>
        <w:spacing w:after="0" w:line="104" w:lineRule="exact"/>
        <w:rPr>
          <w:rFonts w:ascii="Arial" w:cs="Arial" w:eastAsia="Arial" w:hAnsi="Arial"/>
          <w:sz w:val="18"/>
          <w:szCs w:val="18"/>
          <w:color w:val="auto"/>
        </w:rPr>
      </w:pPr>
    </w:p>
    <w:p>
      <w:pPr>
        <w:ind w:left="1060" w:hanging="346"/>
        <w:spacing w:after="0"/>
        <w:tabs>
          <w:tab w:leader="none" w:pos="10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 acquisition of 25 percent or more of our voting securities;</w:t>
      </w:r>
    </w:p>
    <w:p>
      <w:pPr>
        <w:spacing w:after="0" w:line="171" w:lineRule="exact"/>
        <w:rPr>
          <w:rFonts w:ascii="Arial" w:cs="Arial" w:eastAsia="Arial" w:hAnsi="Arial"/>
          <w:sz w:val="18"/>
          <w:szCs w:val="18"/>
          <w:color w:val="auto"/>
        </w:rPr>
      </w:pPr>
    </w:p>
    <w:p>
      <w:pPr>
        <w:ind w:left="1060" w:right="40" w:hanging="346"/>
        <w:spacing w:after="0" w:line="276" w:lineRule="auto"/>
        <w:tabs>
          <w:tab w:leader="none" w:pos="10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Our current Board of Directors (and their approved successors) ceasing to constitute a majority of the Board;</w:t>
      </w:r>
    </w:p>
    <w:p>
      <w:pPr>
        <w:spacing w:after="0" w:line="117" w:lineRule="exact"/>
        <w:rPr>
          <w:rFonts w:ascii="Arial" w:cs="Arial" w:eastAsia="Arial" w:hAnsi="Arial"/>
          <w:sz w:val="18"/>
          <w:szCs w:val="18"/>
          <w:color w:val="auto"/>
        </w:rPr>
      </w:pPr>
    </w:p>
    <w:p>
      <w:pPr>
        <w:ind w:left="1060" w:right="140" w:hanging="346"/>
        <w:spacing w:after="0" w:line="255" w:lineRule="auto"/>
        <w:tabs>
          <w:tab w:leader="none" w:pos="10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Consummation of any merger or consolidation with or into another corporation, the effect of which would be that our Board would consist of a majority of directors who were not members of the Board prior to the merger or consolidation; or</w:t>
      </w:r>
    </w:p>
    <w:p>
      <w:pPr>
        <w:spacing w:after="0" w:line="123" w:lineRule="exact"/>
        <w:rPr>
          <w:rFonts w:ascii="Arial" w:cs="Arial" w:eastAsia="Arial" w:hAnsi="Arial"/>
          <w:sz w:val="18"/>
          <w:szCs w:val="18"/>
          <w:color w:val="auto"/>
        </w:rPr>
      </w:pPr>
    </w:p>
    <w:p>
      <w:pPr>
        <w:ind w:left="1060" w:right="20" w:hanging="346"/>
        <w:spacing w:after="0" w:line="276" w:lineRule="auto"/>
        <w:tabs>
          <w:tab w:leader="none" w:pos="10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Consummation of any sale or disposition of all or substantially all of our assets, or the approval by our shareholders of a plan of complete liquidation or dissolution of the Company.</w:t>
      </w:r>
    </w:p>
    <w:p>
      <w:pPr>
        <w:spacing w:after="0" w:line="104" w:lineRule="exact"/>
        <w:rPr>
          <w:rFonts w:ascii="Arial" w:cs="Arial" w:eastAsia="Arial" w:hAnsi="Arial"/>
          <w:sz w:val="18"/>
          <w:szCs w:val="18"/>
          <w:color w:val="auto"/>
        </w:rPr>
      </w:pPr>
    </w:p>
    <w:p>
      <w:pPr>
        <w:ind w:left="700" w:right="320" w:hanging="346"/>
        <w:spacing w:after="0" w:line="255" w:lineRule="auto"/>
        <w:tabs>
          <w:tab w:leader="none" w:pos="70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 xml:space="preserve">Definition of Good Reason: </w:t>
      </w:r>
      <w:r>
        <w:rPr>
          <w:rFonts w:ascii="Arial" w:cs="Arial" w:eastAsia="Arial" w:hAnsi="Arial"/>
          <w:sz w:val="18"/>
          <w:szCs w:val="18"/>
          <w:color w:val="auto"/>
        </w:rPr>
        <w:t>For purposes of the change-in-control agreements, “good reason” for</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termination by the NEO of his or her employment generally means any one of the following acts by the Company following a change-in-control:</w:t>
      </w:r>
    </w:p>
    <w:p>
      <w:pPr>
        <w:spacing w:after="0" w:line="136" w:lineRule="exact"/>
        <w:rPr>
          <w:rFonts w:ascii="Arial" w:cs="Arial" w:eastAsia="Arial" w:hAnsi="Arial"/>
          <w:sz w:val="18"/>
          <w:szCs w:val="18"/>
          <w:color w:val="auto"/>
        </w:rPr>
      </w:pPr>
    </w:p>
    <w:p>
      <w:pPr>
        <w:ind w:left="1060" w:hanging="346"/>
        <w:spacing w:after="0"/>
        <w:tabs>
          <w:tab w:leader="none" w:pos="10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 adverse change in the NEO’s duties, status or position as an executive officer;</w:t>
      </w:r>
    </w:p>
    <w:p>
      <w:pPr>
        <w:spacing w:after="0" w:line="171" w:lineRule="exact"/>
        <w:rPr>
          <w:rFonts w:ascii="Arial" w:cs="Arial" w:eastAsia="Arial" w:hAnsi="Arial"/>
          <w:sz w:val="18"/>
          <w:szCs w:val="18"/>
          <w:color w:val="auto"/>
        </w:rPr>
      </w:pPr>
    </w:p>
    <w:p>
      <w:pPr>
        <w:ind w:left="1060" w:hanging="346"/>
        <w:spacing w:after="0"/>
        <w:tabs>
          <w:tab w:leader="none" w:pos="10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 reduction in the NEO’s base salary;</w:t>
      </w:r>
    </w:p>
    <w:p>
      <w:pPr>
        <w:spacing w:after="0" w:line="171" w:lineRule="exact"/>
        <w:rPr>
          <w:rFonts w:ascii="Arial" w:cs="Arial" w:eastAsia="Arial" w:hAnsi="Arial"/>
          <w:sz w:val="18"/>
          <w:szCs w:val="18"/>
          <w:color w:val="auto"/>
        </w:rPr>
      </w:pPr>
    </w:p>
    <w:p>
      <w:pPr>
        <w:ind w:left="1060" w:hanging="346"/>
        <w:spacing w:after="0"/>
        <w:tabs>
          <w:tab w:leader="none" w:pos="10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 reduction in the NEO’s annual bonus or long-term incentive opportunity;</w:t>
      </w:r>
    </w:p>
    <w:p>
      <w:pPr>
        <w:spacing w:after="0" w:line="184" w:lineRule="exact"/>
        <w:rPr>
          <w:rFonts w:ascii="Arial" w:cs="Arial" w:eastAsia="Arial" w:hAnsi="Arial"/>
          <w:sz w:val="18"/>
          <w:szCs w:val="18"/>
          <w:color w:val="auto"/>
        </w:rPr>
      </w:pPr>
    </w:p>
    <w:p>
      <w:pPr>
        <w:ind w:left="1060" w:right="220" w:hanging="346"/>
        <w:spacing w:after="0" w:line="276" w:lineRule="auto"/>
        <w:tabs>
          <w:tab w:leader="none" w:pos="10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failure to continue to provide welfare, medical, and other fringe benefits which in the aggregate are substantially similar to those provided immediately prior to the change-in-control;</w:t>
      </w:r>
    </w:p>
    <w:p>
      <w:pPr>
        <w:spacing w:after="0" w:line="104" w:lineRule="exact"/>
        <w:rPr>
          <w:rFonts w:ascii="Arial" w:cs="Arial" w:eastAsia="Arial" w:hAnsi="Arial"/>
          <w:sz w:val="18"/>
          <w:szCs w:val="18"/>
          <w:color w:val="auto"/>
        </w:rPr>
      </w:pPr>
    </w:p>
    <w:p>
      <w:pPr>
        <w:ind w:left="1060" w:right="120" w:hanging="346"/>
        <w:spacing w:after="0" w:line="276" w:lineRule="auto"/>
        <w:tabs>
          <w:tab w:leader="none" w:pos="10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requirement for the NEO to be based at an office more than 50 miles from the NEO’s office prior to the change-in-control; or</w:t>
      </w:r>
    </w:p>
    <w:p>
      <w:pPr>
        <w:spacing w:after="0" w:line="104" w:lineRule="exact"/>
        <w:rPr>
          <w:rFonts w:ascii="Arial" w:cs="Arial" w:eastAsia="Arial" w:hAnsi="Arial"/>
          <w:sz w:val="18"/>
          <w:szCs w:val="18"/>
          <w:color w:val="auto"/>
        </w:rPr>
      </w:pPr>
    </w:p>
    <w:p>
      <w:pPr>
        <w:ind w:left="1060" w:right="200" w:hanging="346"/>
        <w:spacing w:after="0" w:line="276" w:lineRule="auto"/>
        <w:tabs>
          <w:tab w:leader="none" w:pos="10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failure by the Company or successor company to assume or agree to perform the provisions of the change-in-control agreement.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also “Termination Payment Tables for NEOs” below.</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Second A&amp;R 2010 Plan Change-in-Control Provisions</w:t>
      </w:r>
    </w:p>
    <w:p>
      <w:pPr>
        <w:spacing w:after="0" w:line="187" w:lineRule="exact"/>
        <w:rPr>
          <w:sz w:val="20"/>
          <w:szCs w:val="20"/>
          <w:color w:val="auto"/>
        </w:rPr>
      </w:pPr>
    </w:p>
    <w:p>
      <w:pPr>
        <w:ind w:right="200"/>
        <w:spacing w:after="0" w:line="248" w:lineRule="auto"/>
        <w:rPr>
          <w:sz w:val="20"/>
          <w:szCs w:val="20"/>
          <w:color w:val="auto"/>
        </w:rPr>
      </w:pPr>
      <w:r>
        <w:rPr>
          <w:rFonts w:ascii="Arial" w:cs="Arial" w:eastAsia="Arial" w:hAnsi="Arial"/>
          <w:sz w:val="18"/>
          <w:szCs w:val="18"/>
          <w:color w:val="auto"/>
        </w:rPr>
        <w:t>Our Second A&amp;R 2010 Plan provides that in the event of a change-in-control, as defined in our change-in-control agreements described above, unless otherwise provided in the award agreement, generally awards will be assumed or substituted for by the surviving corporation, and will accelerate only if not so assumed or substituted. The vesting and payout of PRSUs will be governed by the award agreement, as described below.</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Performance-Based (PRSU) Change-in-Control Provisions</w:t>
      </w:r>
    </w:p>
    <w:p>
      <w:pPr>
        <w:spacing w:after="0" w:line="173"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If a change-in-control occurs during the following performance periods; (2018-2020) under the 2018 grant, (2019-2021) under the 2019 grant, or (2020-2022) under the 2020 grant, the PRSU awards will be vested at the greater of target or actual performance for the year, and pro-rated based on the number of calendar days between the beginning of the performance period and the change-in-control (i) in the event the awards are not assumed by the acquiring entity, or (ii) the beginning of the performance period and the date of termination of employment in the event the awards are assumed by the acquiring entity.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Executive Officer Severance Policy</w:t>
      </w:r>
    </w:p>
    <w:p>
      <w:pPr>
        <w:spacing w:after="0" w:line="173" w:lineRule="exact"/>
        <w:rPr>
          <w:sz w:val="20"/>
          <w:szCs w:val="20"/>
          <w:color w:val="auto"/>
        </w:rPr>
      </w:pPr>
    </w:p>
    <w:p>
      <w:pPr>
        <w:ind w:right="620"/>
        <w:spacing w:after="0" w:line="306" w:lineRule="auto"/>
        <w:rPr>
          <w:sz w:val="20"/>
          <w:szCs w:val="20"/>
          <w:color w:val="auto"/>
        </w:rPr>
      </w:pPr>
      <w:r>
        <w:rPr>
          <w:rFonts w:ascii="Arial" w:cs="Arial" w:eastAsia="Arial" w:hAnsi="Arial"/>
          <w:sz w:val="17"/>
          <w:szCs w:val="17"/>
          <w:color w:val="auto"/>
        </w:rPr>
        <w:t>The Company recognizes that it is usually difficult for executive officers whose employment is terminated involuntarily to obtain a position comparable to the one he or she has with the Company. In view of this, any</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165735</wp:posOffset>
            </wp:positionV>
            <wp:extent cx="699516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60"/>
          </w:cols>
          <w:pgMar w:left="1360" w:top="263" w:right="1379" w:bottom="1440" w:gutter="0" w:footer="0" w:header="0"/>
        </w:sectPr>
      </w:pPr>
    </w:p>
    <w:bookmarkStart w:id="49" w:name="page50"/>
    <w:bookmarkEnd w:id="49"/>
    <w:p>
      <w:pPr>
        <w:ind w:left="6"/>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124" w:lineRule="exact"/>
        <w:rPr>
          <w:sz w:val="20"/>
          <w:szCs w:val="20"/>
          <w:color w:val="auto"/>
        </w:rPr>
      </w:pPr>
    </w:p>
    <w:p>
      <w:pPr>
        <w:ind w:left="6" w:right="120"/>
        <w:spacing w:after="0" w:line="245" w:lineRule="auto"/>
        <w:rPr>
          <w:sz w:val="20"/>
          <w:szCs w:val="20"/>
          <w:color w:val="auto"/>
        </w:rPr>
      </w:pPr>
      <w:r>
        <w:rPr>
          <w:rFonts w:ascii="Arial" w:cs="Arial" w:eastAsia="Arial" w:hAnsi="Arial"/>
          <w:sz w:val="18"/>
          <w:szCs w:val="18"/>
          <w:color w:val="auto"/>
        </w:rPr>
        <w:t>executive officer who is terminated involuntarily, except if terminated for disciplinary reasons, will be entitled to receive severance pay equal to one year’s base salary, employer benefit premium payments/reimbursement for one year and outplacement assistance provided that the executive (1) releases all claims that he or she may have against the Company, (2) enters into a one year non-compete agreement (where enforceable), (3) agrees not to solicit employees for a period of one year, and (4) agrees not to disparage the Company.</w:t>
      </w:r>
    </w:p>
    <w:p>
      <w:pPr>
        <w:spacing w:after="0" w:line="278"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Termination Payment Tables for NEOs</w:t>
      </w:r>
    </w:p>
    <w:p>
      <w:pPr>
        <w:spacing w:after="0" w:line="187" w:lineRule="exact"/>
        <w:rPr>
          <w:sz w:val="20"/>
          <w:szCs w:val="20"/>
          <w:color w:val="auto"/>
        </w:rPr>
      </w:pPr>
    </w:p>
    <w:p>
      <w:pPr>
        <w:ind w:left="6" w:right="180"/>
        <w:spacing w:after="0" w:line="241" w:lineRule="auto"/>
        <w:rPr>
          <w:sz w:val="20"/>
          <w:szCs w:val="20"/>
          <w:color w:val="auto"/>
        </w:rPr>
      </w:pPr>
      <w:r>
        <w:rPr>
          <w:rFonts w:ascii="Arial" w:cs="Arial" w:eastAsia="Arial" w:hAnsi="Arial"/>
          <w:sz w:val="18"/>
          <w:szCs w:val="18"/>
          <w:color w:val="auto"/>
        </w:rPr>
        <w:t>The tables below reflect the estimated amount of incremental compensation payable to each of our NEOs in the event of termination of employment or change-in-control. The tables do not include benefits generally available to all employees on a non-discriminatory basis or payments and benefits that the NEOs would have already earned during their employment with us, whether or not a termination or change-in-control event had occurred. The amounts shown assume that such termination or change-in-control was effective as of December 31, 2020. The actual amounts to be paid out can only be determined at the time of such executive’s termination or upon a change-in-control, as applicable.</w:t>
      </w:r>
    </w:p>
    <w:p>
      <w:pPr>
        <w:spacing w:after="0" w:line="51" w:lineRule="exact"/>
        <w:rPr>
          <w:sz w:val="20"/>
          <w:szCs w:val="20"/>
          <w:color w:val="auto"/>
        </w:rPr>
      </w:pPr>
    </w:p>
    <w:p>
      <w:pPr>
        <w:jc w:val="center"/>
        <w:ind w:right="-25"/>
        <w:spacing w:after="0"/>
        <w:rPr>
          <w:sz w:val="20"/>
          <w:szCs w:val="20"/>
          <w:color w:val="auto"/>
        </w:rPr>
      </w:pPr>
      <w:r>
        <w:rPr>
          <w:rFonts w:ascii="Arial" w:cs="Arial" w:eastAsia="Arial" w:hAnsi="Arial"/>
          <w:sz w:val="14"/>
          <w:szCs w:val="14"/>
          <w:b w:val="1"/>
          <w:bCs w:val="1"/>
          <w:color w:val="auto"/>
        </w:rPr>
        <w:t>ITRON,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27305</wp:posOffset>
            </wp:positionV>
            <wp:extent cx="575183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751830" cy="8255"/>
                    </a:xfrm>
                    <a:prstGeom prst="rect">
                      <a:avLst/>
                    </a:prstGeom>
                    <a:noFill/>
                  </pic:spPr>
                </pic:pic>
              </a:graphicData>
            </a:graphic>
          </wp:anchor>
        </w:drawing>
      </w:r>
    </w:p>
    <w:p>
      <w:pPr>
        <w:spacing w:after="0" w:line="49" w:lineRule="exact"/>
        <w:rPr>
          <w:sz w:val="20"/>
          <w:szCs w:val="20"/>
          <w:color w:val="auto"/>
        </w:rPr>
      </w:pPr>
    </w:p>
    <w:p>
      <w:pPr>
        <w:jc w:val="center"/>
        <w:ind w:right="-25"/>
        <w:spacing w:after="0"/>
        <w:rPr>
          <w:sz w:val="20"/>
          <w:szCs w:val="20"/>
          <w:color w:val="auto"/>
        </w:rPr>
      </w:pPr>
      <w:r>
        <w:rPr>
          <w:rFonts w:ascii="Arial" w:cs="Arial" w:eastAsia="Arial" w:hAnsi="Arial"/>
          <w:sz w:val="14"/>
          <w:szCs w:val="14"/>
          <w:b w:val="1"/>
          <w:bCs w:val="1"/>
          <w:color w:val="auto"/>
        </w:rPr>
        <w:t>Summary of Termination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27305</wp:posOffset>
            </wp:positionV>
            <wp:extent cx="575183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751830" cy="8890"/>
                    </a:xfrm>
                    <a:prstGeom prst="rect">
                      <a:avLst/>
                    </a:prstGeom>
                    <a:noFill/>
                  </pic:spPr>
                </pic:pic>
              </a:graphicData>
            </a:graphic>
          </wp:anchor>
        </w:drawing>
      </w:r>
    </w:p>
    <w:p>
      <w:pPr>
        <w:spacing w:after="0" w:line="49" w:lineRule="exact"/>
        <w:rPr>
          <w:sz w:val="20"/>
          <w:szCs w:val="20"/>
          <w:color w:val="auto"/>
        </w:rPr>
      </w:pPr>
    </w:p>
    <w:p>
      <w:pPr>
        <w:jc w:val="center"/>
        <w:ind w:right="-25"/>
        <w:spacing w:after="0"/>
        <w:rPr>
          <w:sz w:val="20"/>
          <w:szCs w:val="20"/>
          <w:color w:val="auto"/>
        </w:rPr>
      </w:pPr>
      <w:r>
        <w:rPr>
          <w:rFonts w:ascii="Arial" w:cs="Arial" w:eastAsia="Arial" w:hAnsi="Arial"/>
          <w:sz w:val="14"/>
          <w:szCs w:val="14"/>
          <w:b w:val="1"/>
          <w:bCs w:val="1"/>
          <w:color w:val="auto"/>
        </w:rPr>
        <w:t>Thomas Deitrich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27305</wp:posOffset>
            </wp:positionV>
            <wp:extent cx="575183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751830" cy="8255"/>
                    </a:xfrm>
                    <a:prstGeom prst="rect">
                      <a:avLst/>
                    </a:prstGeom>
                    <a:noFill/>
                  </pic:spPr>
                </pic:pic>
              </a:graphicData>
            </a:graphic>
          </wp:anchor>
        </w:drawing>
      </w:r>
    </w:p>
    <w:p>
      <w:pPr>
        <w:spacing w:after="0" w:line="49" w:lineRule="exact"/>
        <w:rPr>
          <w:sz w:val="20"/>
          <w:szCs w:val="20"/>
          <w:color w:val="auto"/>
        </w:rPr>
      </w:pPr>
    </w:p>
    <w:tbl>
      <w:tblPr>
        <w:tblLayout w:type="fixed"/>
        <w:tblInd w:w="66" w:type="dxa"/>
        <w:tblCellMar>
          <w:top w:w="0" w:type="dxa"/>
          <w:left w:w="0" w:type="dxa"/>
          <w:bottom w:w="0" w:type="dxa"/>
          <w:right w:w="0" w:type="dxa"/>
        </w:tblCellMar>
      </w:tblPr>
      <w:tr>
        <w:trPr>
          <w:trHeight w:val="162"/>
        </w:trPr>
        <w:tc>
          <w:tcPr>
            <w:tcW w:w="1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Termination</w:t>
            </w:r>
          </w:p>
        </w:tc>
        <w:tc>
          <w:tcPr>
            <w:tcW w:w="0" w:type="dxa"/>
            <w:vAlign w:val="bottom"/>
          </w:tcPr>
          <w:p>
            <w:pPr>
              <w:spacing w:after="0"/>
              <w:rPr>
                <w:sz w:val="1"/>
                <w:szCs w:val="1"/>
                <w:color w:val="auto"/>
              </w:rPr>
            </w:pPr>
          </w:p>
        </w:tc>
      </w:tr>
      <w:tr>
        <w:trPr>
          <w:trHeight w:val="162"/>
        </w:trPr>
        <w:tc>
          <w:tcPr>
            <w:tcW w:w="1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rPr>
              <w:t>Without Cause</w:t>
            </w:r>
          </w:p>
        </w:tc>
        <w:tc>
          <w:tcPr>
            <w:tcW w:w="0" w:type="dxa"/>
            <w:vAlign w:val="bottom"/>
          </w:tcPr>
          <w:p>
            <w:pPr>
              <w:spacing w:after="0"/>
              <w:rPr>
                <w:sz w:val="1"/>
                <w:szCs w:val="1"/>
                <w:color w:val="auto"/>
              </w:rPr>
            </w:pPr>
          </w:p>
        </w:tc>
      </w:tr>
      <w:tr>
        <w:trPr>
          <w:trHeight w:val="162"/>
        </w:trPr>
        <w:tc>
          <w:tcPr>
            <w:tcW w:w="1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rPr>
              <w:t>or by Executive</w:t>
            </w:r>
          </w:p>
        </w:tc>
        <w:tc>
          <w:tcPr>
            <w:tcW w:w="0" w:type="dxa"/>
            <w:vAlign w:val="bottom"/>
          </w:tcPr>
          <w:p>
            <w:pPr>
              <w:spacing w:after="0"/>
              <w:rPr>
                <w:sz w:val="1"/>
                <w:szCs w:val="1"/>
                <w:color w:val="auto"/>
              </w:rPr>
            </w:pPr>
          </w:p>
        </w:tc>
      </w:tr>
      <w:tr>
        <w:trPr>
          <w:trHeight w:val="162"/>
        </w:trPr>
        <w:tc>
          <w:tcPr>
            <w:tcW w:w="1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rPr>
              <w:t>for Good</w:t>
            </w:r>
          </w:p>
        </w:tc>
        <w:tc>
          <w:tcPr>
            <w:tcW w:w="0" w:type="dxa"/>
            <w:vAlign w:val="bottom"/>
          </w:tcPr>
          <w:p>
            <w:pPr>
              <w:spacing w:after="0"/>
              <w:rPr>
                <w:sz w:val="1"/>
                <w:szCs w:val="1"/>
                <w:color w:val="auto"/>
              </w:rPr>
            </w:pPr>
          </w:p>
        </w:tc>
      </w:tr>
      <w:tr>
        <w:trPr>
          <w:trHeight w:val="162"/>
        </w:trPr>
        <w:tc>
          <w:tcPr>
            <w:tcW w:w="1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rPr>
              <w:t>Reason</w:t>
            </w:r>
          </w:p>
        </w:tc>
        <w:tc>
          <w:tcPr>
            <w:tcW w:w="0" w:type="dxa"/>
            <w:vAlign w:val="bottom"/>
          </w:tcPr>
          <w:p>
            <w:pPr>
              <w:spacing w:after="0"/>
              <w:rPr>
                <w:sz w:val="1"/>
                <w:szCs w:val="1"/>
                <w:color w:val="auto"/>
              </w:rPr>
            </w:pPr>
          </w:p>
        </w:tc>
      </w:tr>
      <w:tr>
        <w:trPr>
          <w:trHeight w:val="162"/>
        </w:trPr>
        <w:tc>
          <w:tcPr>
            <w:tcW w:w="1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Termination</w:t>
            </w:r>
          </w:p>
        </w:tc>
        <w:tc>
          <w:tcPr>
            <w:tcW w:w="8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Change-</w:t>
            </w: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rPr>
              <w:t>Following a</w:t>
            </w:r>
          </w:p>
        </w:tc>
        <w:tc>
          <w:tcPr>
            <w:tcW w:w="0" w:type="dxa"/>
            <w:vAlign w:val="bottom"/>
          </w:tcPr>
          <w:p>
            <w:pPr>
              <w:spacing w:after="0"/>
              <w:rPr>
                <w:sz w:val="1"/>
                <w:szCs w:val="1"/>
                <w:color w:val="auto"/>
              </w:rPr>
            </w:pPr>
          </w:p>
        </w:tc>
      </w:tr>
      <w:tr>
        <w:trPr>
          <w:trHeight w:val="162"/>
        </w:trPr>
        <w:tc>
          <w:tcPr>
            <w:tcW w:w="164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Executive Benefits</w:t>
            </w:r>
            <w:r>
              <w:rPr>
                <w:rFonts w:ascii="Arial" w:cs="Arial" w:eastAsia="Arial" w:hAnsi="Arial"/>
                <w:sz w:val="23"/>
                <w:szCs w:val="23"/>
                <w:b w:val="1"/>
                <w:bCs w:val="1"/>
                <w:color w:val="auto"/>
                <w:vertAlign w:val="superscript"/>
              </w:rPr>
              <w:t>(1)</w:t>
            </w:r>
          </w:p>
        </w:tc>
        <w:tc>
          <w:tcPr>
            <w:tcW w:w="140" w:type="dxa"/>
            <w:vAlign w:val="bottom"/>
            <w:vMerge w:val="restart"/>
          </w:tcPr>
          <w:p>
            <w:pPr>
              <w:spacing w:after="0"/>
              <w:rPr>
                <w:sz w:val="14"/>
                <w:szCs w:val="14"/>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Termination</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Voluntary</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3"/>
          </w:tcPr>
          <w:p>
            <w:pPr>
              <w:ind w:left="120"/>
              <w:spacing w:after="0"/>
              <w:rPr>
                <w:sz w:val="20"/>
                <w:szCs w:val="20"/>
                <w:color w:val="auto"/>
              </w:rPr>
            </w:pPr>
            <w:r>
              <w:rPr>
                <w:rFonts w:ascii="Arial" w:cs="Arial" w:eastAsia="Arial" w:hAnsi="Arial"/>
                <w:sz w:val="14"/>
                <w:szCs w:val="14"/>
                <w:b w:val="1"/>
                <w:bCs w:val="1"/>
                <w:color w:val="auto"/>
              </w:rPr>
              <w:t>Without</w:t>
            </w:r>
          </w:p>
        </w:tc>
        <w:tc>
          <w:tcPr>
            <w:tcW w:w="140" w:type="dxa"/>
            <w:vAlign w:val="bottom"/>
          </w:tcPr>
          <w:p>
            <w:pPr>
              <w:spacing w:after="0"/>
              <w:rPr>
                <w:sz w:val="14"/>
                <w:szCs w:val="14"/>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w:t>
            </w: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rPr>
              <w:t>Change-in-</w:t>
            </w:r>
          </w:p>
        </w:tc>
        <w:tc>
          <w:tcPr>
            <w:tcW w:w="0" w:type="dxa"/>
            <w:vAlign w:val="bottom"/>
          </w:tcPr>
          <w:p>
            <w:pPr>
              <w:spacing w:after="0"/>
              <w:rPr>
                <w:sz w:val="1"/>
                <w:szCs w:val="1"/>
                <w:color w:val="auto"/>
              </w:rPr>
            </w:pPr>
          </w:p>
        </w:tc>
      </w:tr>
      <w:tr>
        <w:trPr>
          <w:trHeight w:val="204"/>
        </w:trPr>
        <w:tc>
          <w:tcPr>
            <w:tcW w:w="164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for Cause</w:t>
            </w:r>
          </w:p>
        </w:tc>
        <w:tc>
          <w:tcPr>
            <w:tcW w:w="14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Termination</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ind w:right="56"/>
              <w:spacing w:after="0"/>
              <w:rPr>
                <w:sz w:val="20"/>
                <w:szCs w:val="20"/>
                <w:color w:val="auto"/>
              </w:rPr>
            </w:pPr>
            <w:r>
              <w:rPr>
                <w:rFonts w:ascii="Arial" w:cs="Arial" w:eastAsia="Arial" w:hAnsi="Arial"/>
                <w:sz w:val="14"/>
                <w:szCs w:val="14"/>
                <w:b w:val="1"/>
                <w:bCs w:val="1"/>
                <w:color w:val="auto"/>
              </w:rPr>
              <w:t>Death</w:t>
            </w:r>
          </w:p>
        </w:tc>
        <w:tc>
          <w:tcPr>
            <w:tcW w:w="120" w:type="dxa"/>
            <w:vAlign w:val="bottom"/>
          </w:tcPr>
          <w:p>
            <w:pPr>
              <w:spacing w:after="0"/>
              <w:rPr>
                <w:sz w:val="17"/>
                <w:szCs w:val="17"/>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w w:val="99"/>
              </w:rPr>
              <w:t>Disability</w:t>
            </w:r>
          </w:p>
        </w:tc>
        <w:tc>
          <w:tcPr>
            <w:tcW w:w="140" w:type="dxa"/>
            <w:vAlign w:val="bottom"/>
          </w:tcPr>
          <w:p>
            <w:pPr>
              <w:spacing w:after="0"/>
              <w:rPr>
                <w:sz w:val="17"/>
                <w:szCs w:val="17"/>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Retirement</w:t>
            </w:r>
          </w:p>
        </w:tc>
        <w:tc>
          <w:tcPr>
            <w:tcW w:w="960" w:type="dxa"/>
            <w:vAlign w:val="bottom"/>
            <w:gridSpan w:val="3"/>
          </w:tcPr>
          <w:p>
            <w:pPr>
              <w:ind w:left="200"/>
              <w:spacing w:after="0"/>
              <w:rPr>
                <w:sz w:val="20"/>
                <w:szCs w:val="20"/>
                <w:color w:val="auto"/>
              </w:rPr>
            </w:pPr>
            <w:r>
              <w:rPr>
                <w:rFonts w:ascii="Arial" w:cs="Arial" w:eastAsia="Arial" w:hAnsi="Arial"/>
                <w:sz w:val="14"/>
                <w:szCs w:val="14"/>
                <w:b w:val="1"/>
                <w:bCs w:val="1"/>
                <w:color w:val="auto"/>
              </w:rPr>
              <w:t>Cause</w:t>
            </w:r>
          </w:p>
        </w:tc>
        <w:tc>
          <w:tcPr>
            <w:tcW w:w="8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Control</w:t>
            </w: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rPr>
              <w:t>Control</w:t>
            </w:r>
          </w:p>
        </w:tc>
        <w:tc>
          <w:tcPr>
            <w:tcW w:w="0" w:type="dxa"/>
            <w:vAlign w:val="bottom"/>
          </w:tcPr>
          <w:p>
            <w:pPr>
              <w:spacing w:after="0"/>
              <w:rPr>
                <w:sz w:val="1"/>
                <w:szCs w:val="1"/>
                <w:color w:val="auto"/>
              </w:rPr>
            </w:pPr>
          </w:p>
        </w:tc>
      </w:tr>
      <w:tr>
        <w:trPr>
          <w:trHeight w:val="184"/>
        </w:trPr>
        <w:tc>
          <w:tcPr>
            <w:tcW w:w="1640" w:type="dxa"/>
            <w:vAlign w:val="bottom"/>
            <w:tcBorders>
              <w:top w:val="single" w:sz="8" w:color="auto"/>
            </w:tcBorders>
          </w:tcPr>
          <w:p>
            <w:pPr>
              <w:ind w:left="20"/>
              <w:spacing w:after="0" w:line="184" w:lineRule="exact"/>
              <w:rPr>
                <w:sz w:val="20"/>
                <w:szCs w:val="20"/>
                <w:color w:val="auto"/>
              </w:rPr>
            </w:pPr>
            <w:r>
              <w:rPr>
                <w:rFonts w:ascii="Arial" w:cs="Arial" w:eastAsia="Arial" w:hAnsi="Arial"/>
                <w:sz w:val="13"/>
                <w:szCs w:val="13"/>
                <w:color w:val="auto"/>
              </w:rPr>
              <w:t>Annual Incentive</w:t>
            </w:r>
            <w:r>
              <w:rPr>
                <w:rFonts w:ascii="Arial" w:cs="Arial" w:eastAsia="Arial" w:hAnsi="Arial"/>
                <w:sz w:val="20"/>
                <w:szCs w:val="20"/>
                <w:color w:val="auto"/>
                <w:vertAlign w:val="superscript"/>
              </w:rPr>
              <w:t>(2)</w:t>
            </w:r>
          </w:p>
        </w:tc>
        <w:tc>
          <w:tcPr>
            <w:tcW w:w="140" w:type="dxa"/>
            <w:vAlign w:val="bottom"/>
          </w:tcPr>
          <w:p>
            <w:pPr>
              <w:spacing w:after="0"/>
              <w:rPr>
                <w:sz w:val="15"/>
                <w:szCs w:val="15"/>
                <w:color w:val="auto"/>
              </w:rPr>
            </w:pPr>
          </w:p>
        </w:tc>
        <w:tc>
          <w:tcPr>
            <w:tcW w:w="82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88"/>
              </w:rPr>
              <w:t>$—</w:t>
            </w:r>
          </w:p>
        </w:tc>
        <w:tc>
          <w:tcPr>
            <w:tcW w:w="140" w:type="dxa"/>
            <w:vAlign w:val="bottom"/>
          </w:tcPr>
          <w:p>
            <w:pPr>
              <w:spacing w:after="0"/>
              <w:rPr>
                <w:sz w:val="15"/>
                <w:szCs w:val="15"/>
                <w:color w:val="auto"/>
              </w:rPr>
            </w:pPr>
          </w:p>
        </w:tc>
        <w:tc>
          <w:tcPr>
            <w:tcW w:w="82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88"/>
              </w:rPr>
              <w:t>$—</w:t>
            </w:r>
          </w:p>
        </w:tc>
        <w:tc>
          <w:tcPr>
            <w:tcW w:w="140" w:type="dxa"/>
            <w:vAlign w:val="bottom"/>
          </w:tcPr>
          <w:p>
            <w:pPr>
              <w:spacing w:after="0"/>
              <w:rPr>
                <w:sz w:val="15"/>
                <w:szCs w:val="15"/>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 w:type="dxa"/>
            <w:vAlign w:val="bottom"/>
            <w:tcBorders>
              <w:top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220" w:type="dxa"/>
            <w:vAlign w:val="bottom"/>
            <w:tcBorders>
              <w:top w:val="single" w:sz="8" w:color="auto"/>
            </w:tcBorders>
          </w:tcPr>
          <w:p>
            <w:pPr>
              <w:ind w:left="140"/>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93"/>
              </w:rPr>
              <w:t>1,000,000</w:t>
            </w:r>
          </w:p>
        </w:tc>
        <w:tc>
          <w:tcPr>
            <w:tcW w:w="140" w:type="dxa"/>
            <w:vAlign w:val="bottom"/>
          </w:tcPr>
          <w:p>
            <w:pPr>
              <w:spacing w:after="0"/>
              <w:rPr>
                <w:sz w:val="15"/>
                <w:szCs w:val="15"/>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tcBorders>
          </w:tcPr>
          <w:p>
            <w:pPr>
              <w:jc w:val="right"/>
              <w:ind w:right="157"/>
              <w:spacing w:after="0"/>
              <w:rPr>
                <w:sz w:val="20"/>
                <w:szCs w:val="20"/>
                <w:color w:val="auto"/>
              </w:rPr>
            </w:pPr>
            <w:r>
              <w:rPr>
                <w:rFonts w:ascii="Arial" w:cs="Arial" w:eastAsia="Arial" w:hAnsi="Arial"/>
                <w:sz w:val="13"/>
                <w:szCs w:val="13"/>
                <w:color w:val="auto"/>
                <w:w w:val="93"/>
              </w:rPr>
              <w:t>1,000,000</w:t>
            </w:r>
          </w:p>
        </w:tc>
        <w:tc>
          <w:tcPr>
            <w:tcW w:w="0" w:type="dxa"/>
            <w:vAlign w:val="bottom"/>
          </w:tcPr>
          <w:p>
            <w:pPr>
              <w:spacing w:after="0"/>
              <w:rPr>
                <w:sz w:val="1"/>
                <w:szCs w:val="1"/>
                <w:color w:val="auto"/>
              </w:rPr>
            </w:pPr>
          </w:p>
        </w:tc>
      </w:tr>
      <w:tr>
        <w:trPr>
          <w:trHeight w:val="189"/>
        </w:trPr>
        <w:tc>
          <w:tcPr>
            <w:tcW w:w="1780" w:type="dxa"/>
            <w:vAlign w:val="bottom"/>
            <w:gridSpan w:val="2"/>
          </w:tcPr>
          <w:p>
            <w:pPr>
              <w:ind w:left="20"/>
              <w:spacing w:after="0" w:line="189" w:lineRule="exact"/>
              <w:rPr>
                <w:sz w:val="20"/>
                <w:szCs w:val="20"/>
                <w:color w:val="auto"/>
              </w:rPr>
            </w:pPr>
            <w:r>
              <w:rPr>
                <w:rFonts w:ascii="Arial" w:cs="Arial" w:eastAsia="Arial" w:hAnsi="Arial"/>
                <w:sz w:val="13"/>
                <w:szCs w:val="13"/>
                <w:color w:val="auto"/>
              </w:rPr>
              <w:t>Accelerated Stock Options</w:t>
            </w:r>
            <w:r>
              <w:rPr>
                <w:rFonts w:ascii="Arial" w:cs="Arial" w:eastAsia="Arial" w:hAnsi="Arial"/>
                <w:sz w:val="20"/>
                <w:szCs w:val="20"/>
                <w:color w:val="auto"/>
                <w:vertAlign w:val="superscript"/>
              </w:rPr>
              <w:t>(3)</w:t>
            </w:r>
          </w:p>
        </w:tc>
        <w:tc>
          <w:tcPr>
            <w:tcW w:w="960" w:type="dxa"/>
            <w:vAlign w:val="bottom"/>
            <w:gridSpan w:val="2"/>
          </w:tcPr>
          <w:p>
            <w:pPr>
              <w:jc w:val="center"/>
              <w:ind w:right="140"/>
              <w:spacing w:after="0"/>
              <w:rPr>
                <w:sz w:val="20"/>
                <w:szCs w:val="20"/>
                <w:color w:val="auto"/>
              </w:rPr>
            </w:pPr>
            <w:r>
              <w:rPr>
                <w:rFonts w:ascii="Arial" w:cs="Arial" w:eastAsia="Arial" w:hAnsi="Arial"/>
                <w:sz w:val="13"/>
                <w:szCs w:val="13"/>
                <w:color w:val="auto"/>
                <w:w w:val="88"/>
              </w:rPr>
              <w:t>$—</w:t>
            </w:r>
          </w:p>
        </w:tc>
        <w:tc>
          <w:tcPr>
            <w:tcW w:w="820" w:type="dxa"/>
            <w:vAlign w:val="bottom"/>
          </w:tcPr>
          <w:p>
            <w:pPr>
              <w:jc w:val="center"/>
              <w:spacing w:after="0"/>
              <w:rPr>
                <w:sz w:val="20"/>
                <w:szCs w:val="20"/>
                <w:color w:val="auto"/>
              </w:rPr>
            </w:pPr>
            <w:r>
              <w:rPr>
                <w:rFonts w:ascii="Arial" w:cs="Arial" w:eastAsia="Arial" w:hAnsi="Arial"/>
                <w:sz w:val="13"/>
                <w:szCs w:val="13"/>
                <w:color w:val="auto"/>
                <w:w w:val="88"/>
              </w:rPr>
              <w:t>$—</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w w:val="93"/>
              </w:rPr>
              <w:t>1,405,375</w:t>
            </w:r>
          </w:p>
        </w:tc>
        <w:tc>
          <w:tcPr>
            <w:tcW w:w="120" w:type="dxa"/>
            <w:vAlign w:val="bottom"/>
          </w:tcPr>
          <w:p>
            <w:pPr>
              <w:spacing w:after="0"/>
              <w:rPr>
                <w:sz w:val="16"/>
                <w:szCs w:val="16"/>
                <w:color w:val="auto"/>
              </w:rPr>
            </w:pP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3"/>
                <w:szCs w:val="13"/>
                <w:color w:val="auto"/>
                <w:w w:val="93"/>
              </w:rPr>
              <w:t>1,405,375</w:t>
            </w:r>
          </w:p>
        </w:tc>
        <w:tc>
          <w:tcPr>
            <w:tcW w:w="14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w w:val="93"/>
              </w:rPr>
              <w:t>1,163,140</w:t>
            </w:r>
          </w:p>
        </w:tc>
        <w:tc>
          <w:tcPr>
            <w:tcW w:w="140" w:type="dxa"/>
            <w:vAlign w:val="bottom"/>
          </w:tcPr>
          <w:p>
            <w:pPr>
              <w:spacing w:after="0"/>
              <w:rPr>
                <w:sz w:val="16"/>
                <w:szCs w:val="16"/>
                <w:color w:val="auto"/>
              </w:rPr>
            </w:pPr>
          </w:p>
        </w:tc>
        <w:tc>
          <w:tcPr>
            <w:tcW w:w="220" w:type="dxa"/>
            <w:vAlign w:val="bottom"/>
          </w:tcPr>
          <w:p>
            <w:pPr>
              <w:ind w:left="140"/>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57"/>
              <w:spacing w:after="0"/>
              <w:rPr>
                <w:sz w:val="20"/>
                <w:szCs w:val="20"/>
                <w:color w:val="auto"/>
              </w:rPr>
            </w:pPr>
            <w:r>
              <w:rPr>
                <w:rFonts w:ascii="Arial" w:cs="Arial" w:eastAsia="Arial" w:hAnsi="Arial"/>
                <w:sz w:val="13"/>
                <w:szCs w:val="13"/>
                <w:color w:val="auto"/>
                <w:w w:val="93"/>
              </w:rPr>
              <w:t>1,405,375</w:t>
            </w:r>
          </w:p>
        </w:tc>
        <w:tc>
          <w:tcPr>
            <w:tcW w:w="0" w:type="dxa"/>
            <w:vAlign w:val="bottom"/>
          </w:tcPr>
          <w:p>
            <w:pPr>
              <w:spacing w:after="0"/>
              <w:rPr>
                <w:sz w:val="1"/>
                <w:szCs w:val="1"/>
                <w:color w:val="auto"/>
              </w:rPr>
            </w:pPr>
          </w:p>
        </w:tc>
      </w:tr>
      <w:tr>
        <w:trPr>
          <w:trHeight w:val="193"/>
        </w:trPr>
        <w:tc>
          <w:tcPr>
            <w:tcW w:w="1780" w:type="dxa"/>
            <w:vAlign w:val="bottom"/>
            <w:gridSpan w:val="2"/>
          </w:tcPr>
          <w:p>
            <w:pPr>
              <w:ind w:left="20"/>
              <w:spacing w:after="0" w:line="193" w:lineRule="exact"/>
              <w:rPr>
                <w:sz w:val="20"/>
                <w:szCs w:val="20"/>
                <w:color w:val="auto"/>
              </w:rPr>
            </w:pPr>
            <w:r>
              <w:rPr>
                <w:rFonts w:ascii="Arial" w:cs="Arial" w:eastAsia="Arial" w:hAnsi="Arial"/>
                <w:sz w:val="13"/>
                <w:szCs w:val="13"/>
                <w:color w:val="auto"/>
              </w:rPr>
              <w:t>Severance</w:t>
            </w:r>
            <w:r>
              <w:rPr>
                <w:rFonts w:ascii="Arial" w:cs="Arial" w:eastAsia="Arial" w:hAnsi="Arial"/>
                <w:sz w:val="20"/>
                <w:szCs w:val="20"/>
                <w:color w:val="auto"/>
                <w:vertAlign w:val="superscript"/>
              </w:rPr>
              <w:t>(4)</w:t>
            </w:r>
          </w:p>
        </w:tc>
        <w:tc>
          <w:tcPr>
            <w:tcW w:w="960" w:type="dxa"/>
            <w:vAlign w:val="bottom"/>
            <w:gridSpan w:val="2"/>
          </w:tcPr>
          <w:p>
            <w:pPr>
              <w:jc w:val="center"/>
              <w:ind w:right="140"/>
              <w:spacing w:after="0"/>
              <w:rPr>
                <w:sz w:val="20"/>
                <w:szCs w:val="20"/>
                <w:color w:val="auto"/>
              </w:rPr>
            </w:pPr>
            <w:r>
              <w:rPr>
                <w:rFonts w:ascii="Arial" w:cs="Arial" w:eastAsia="Arial" w:hAnsi="Arial"/>
                <w:sz w:val="13"/>
                <w:szCs w:val="13"/>
                <w:color w:val="auto"/>
                <w:w w:val="88"/>
              </w:rPr>
              <w:t>$—</w:t>
            </w:r>
          </w:p>
        </w:tc>
        <w:tc>
          <w:tcPr>
            <w:tcW w:w="820" w:type="dxa"/>
            <w:vAlign w:val="bottom"/>
          </w:tcPr>
          <w:p>
            <w:pPr>
              <w:jc w:val="center"/>
              <w:spacing w:after="0"/>
              <w:rPr>
                <w:sz w:val="20"/>
                <w:szCs w:val="20"/>
                <w:color w:val="auto"/>
              </w:rPr>
            </w:pPr>
            <w:r>
              <w:rPr>
                <w:rFonts w:ascii="Arial" w:cs="Arial" w:eastAsia="Arial" w:hAnsi="Arial"/>
                <w:sz w:val="13"/>
                <w:szCs w:val="13"/>
                <w:color w:val="auto"/>
                <w:w w:val="88"/>
              </w:rPr>
              <w:t>$—</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ind w:left="140"/>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ind w:right="77"/>
              <w:spacing w:after="0"/>
              <w:rPr>
                <w:sz w:val="20"/>
                <w:szCs w:val="20"/>
                <w:color w:val="auto"/>
              </w:rPr>
            </w:pPr>
            <w:r>
              <w:rPr>
                <w:rFonts w:ascii="Arial" w:cs="Arial" w:eastAsia="Arial" w:hAnsi="Arial"/>
                <w:sz w:val="13"/>
                <w:szCs w:val="13"/>
                <w:color w:val="auto"/>
                <w:w w:val="93"/>
              </w:rPr>
              <w:t>837,138</w:t>
            </w:r>
          </w:p>
        </w:tc>
        <w:tc>
          <w:tcPr>
            <w:tcW w:w="1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57"/>
              <w:spacing w:after="0"/>
              <w:rPr>
                <w:sz w:val="20"/>
                <w:szCs w:val="20"/>
                <w:color w:val="auto"/>
              </w:rPr>
            </w:pPr>
            <w:r>
              <w:rPr>
                <w:rFonts w:ascii="Arial" w:cs="Arial" w:eastAsia="Arial" w:hAnsi="Arial"/>
                <w:sz w:val="13"/>
                <w:szCs w:val="13"/>
                <w:color w:val="auto"/>
                <w:w w:val="93"/>
              </w:rPr>
              <w:t>4,500,000</w:t>
            </w:r>
          </w:p>
        </w:tc>
        <w:tc>
          <w:tcPr>
            <w:tcW w:w="0" w:type="dxa"/>
            <w:vAlign w:val="bottom"/>
          </w:tcPr>
          <w:p>
            <w:pPr>
              <w:spacing w:after="0"/>
              <w:rPr>
                <w:sz w:val="1"/>
                <w:szCs w:val="1"/>
                <w:color w:val="auto"/>
              </w:rPr>
            </w:pPr>
          </w:p>
        </w:tc>
      </w:tr>
      <w:tr>
        <w:trPr>
          <w:trHeight w:val="170"/>
        </w:trPr>
        <w:tc>
          <w:tcPr>
            <w:tcW w:w="1780" w:type="dxa"/>
            <w:vAlign w:val="bottom"/>
            <w:gridSpan w:val="2"/>
          </w:tcPr>
          <w:p>
            <w:pPr>
              <w:ind w:left="20"/>
              <w:spacing w:after="0"/>
              <w:rPr>
                <w:sz w:val="20"/>
                <w:szCs w:val="20"/>
                <w:color w:val="auto"/>
              </w:rPr>
            </w:pPr>
            <w:r>
              <w:rPr>
                <w:rFonts w:ascii="Arial" w:cs="Arial" w:eastAsia="Arial" w:hAnsi="Arial"/>
                <w:sz w:val="13"/>
                <w:szCs w:val="13"/>
                <w:color w:val="auto"/>
              </w:rPr>
              <w:t>Benefit Continuation</w:t>
            </w:r>
          </w:p>
        </w:tc>
        <w:tc>
          <w:tcPr>
            <w:tcW w:w="960" w:type="dxa"/>
            <w:vAlign w:val="bottom"/>
            <w:gridSpan w:val="2"/>
          </w:tcPr>
          <w:p>
            <w:pPr>
              <w:jc w:val="center"/>
              <w:ind w:right="140"/>
              <w:spacing w:after="0"/>
              <w:rPr>
                <w:sz w:val="20"/>
                <w:szCs w:val="20"/>
                <w:color w:val="auto"/>
              </w:rPr>
            </w:pPr>
            <w:r>
              <w:rPr>
                <w:rFonts w:ascii="Arial" w:cs="Arial" w:eastAsia="Arial" w:hAnsi="Arial"/>
                <w:sz w:val="13"/>
                <w:szCs w:val="13"/>
                <w:color w:val="auto"/>
                <w:w w:val="88"/>
              </w:rPr>
              <w:t>$—</w:t>
            </w:r>
          </w:p>
        </w:tc>
        <w:tc>
          <w:tcPr>
            <w:tcW w:w="820" w:type="dxa"/>
            <w:vAlign w:val="bottom"/>
          </w:tcPr>
          <w:p>
            <w:pPr>
              <w:jc w:val="center"/>
              <w:spacing w:after="0"/>
              <w:rPr>
                <w:sz w:val="20"/>
                <w:szCs w:val="20"/>
                <w:color w:val="auto"/>
              </w:rPr>
            </w:pPr>
            <w:r>
              <w:rPr>
                <w:rFonts w:ascii="Arial" w:cs="Arial" w:eastAsia="Arial" w:hAnsi="Arial"/>
                <w:sz w:val="13"/>
                <w:szCs w:val="13"/>
                <w:color w:val="auto"/>
                <w:w w:val="88"/>
              </w:rPr>
              <w:t>$—</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ind w:left="140"/>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77"/>
              <w:spacing w:after="0"/>
              <w:rPr>
                <w:sz w:val="20"/>
                <w:szCs w:val="20"/>
                <w:color w:val="auto"/>
              </w:rPr>
            </w:pPr>
            <w:r>
              <w:rPr>
                <w:rFonts w:ascii="Arial" w:cs="Arial" w:eastAsia="Arial" w:hAnsi="Arial"/>
                <w:sz w:val="13"/>
                <w:szCs w:val="13"/>
                <w:color w:val="auto"/>
              </w:rPr>
              <w:t>70,345</w:t>
            </w:r>
          </w:p>
        </w:tc>
        <w:tc>
          <w:tcPr>
            <w:tcW w:w="0" w:type="dxa"/>
            <w:vAlign w:val="bottom"/>
          </w:tcPr>
          <w:p>
            <w:pPr>
              <w:spacing w:after="0"/>
              <w:rPr>
                <w:sz w:val="1"/>
                <w:szCs w:val="1"/>
                <w:color w:val="auto"/>
              </w:rPr>
            </w:pPr>
          </w:p>
        </w:tc>
      </w:tr>
      <w:tr>
        <w:trPr>
          <w:trHeight w:val="208"/>
        </w:trPr>
        <w:tc>
          <w:tcPr>
            <w:tcW w:w="1780" w:type="dxa"/>
            <w:vAlign w:val="bottom"/>
            <w:gridSpan w:val="2"/>
          </w:tcPr>
          <w:p>
            <w:pPr>
              <w:ind w:left="20"/>
              <w:spacing w:after="0" w:line="208" w:lineRule="exact"/>
              <w:rPr>
                <w:sz w:val="20"/>
                <w:szCs w:val="20"/>
                <w:color w:val="auto"/>
              </w:rPr>
            </w:pPr>
            <w:r>
              <w:rPr>
                <w:rFonts w:ascii="Arial" w:cs="Arial" w:eastAsia="Arial" w:hAnsi="Arial"/>
                <w:sz w:val="13"/>
                <w:szCs w:val="13"/>
                <w:color w:val="auto"/>
              </w:rPr>
              <w:t>Accelerated RSUs</w:t>
            </w:r>
            <w:r>
              <w:rPr>
                <w:rFonts w:ascii="Arial" w:cs="Arial" w:eastAsia="Arial" w:hAnsi="Arial"/>
                <w:sz w:val="20"/>
                <w:szCs w:val="20"/>
                <w:color w:val="auto"/>
                <w:vertAlign w:val="superscript"/>
              </w:rPr>
              <w:t>(5)</w:t>
            </w:r>
          </w:p>
        </w:tc>
        <w:tc>
          <w:tcPr>
            <w:tcW w:w="960" w:type="dxa"/>
            <w:vAlign w:val="bottom"/>
            <w:gridSpan w:val="2"/>
          </w:tcPr>
          <w:p>
            <w:pPr>
              <w:jc w:val="center"/>
              <w:ind w:right="140"/>
              <w:spacing w:after="0"/>
              <w:rPr>
                <w:sz w:val="20"/>
                <w:szCs w:val="20"/>
                <w:color w:val="auto"/>
              </w:rPr>
            </w:pPr>
            <w:r>
              <w:rPr>
                <w:rFonts w:ascii="Arial" w:cs="Arial" w:eastAsia="Arial" w:hAnsi="Arial"/>
                <w:sz w:val="13"/>
                <w:szCs w:val="13"/>
                <w:color w:val="auto"/>
                <w:w w:val="88"/>
              </w:rPr>
              <w:t>$—</w:t>
            </w:r>
          </w:p>
        </w:tc>
        <w:tc>
          <w:tcPr>
            <w:tcW w:w="820" w:type="dxa"/>
            <w:vAlign w:val="bottom"/>
          </w:tcPr>
          <w:p>
            <w:pPr>
              <w:jc w:val="center"/>
              <w:spacing w:after="0"/>
              <w:rPr>
                <w:sz w:val="20"/>
                <w:szCs w:val="20"/>
                <w:color w:val="auto"/>
              </w:rPr>
            </w:pPr>
            <w:r>
              <w:rPr>
                <w:rFonts w:ascii="Arial" w:cs="Arial" w:eastAsia="Arial" w:hAnsi="Arial"/>
                <w:sz w:val="13"/>
                <w:szCs w:val="13"/>
                <w:color w:val="auto"/>
                <w:w w:val="88"/>
              </w:rPr>
              <w:t>$—</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w w:val="93"/>
              </w:rPr>
              <w:t>3,357,267</w:t>
            </w:r>
          </w:p>
        </w:tc>
        <w:tc>
          <w:tcPr>
            <w:tcW w:w="120" w:type="dxa"/>
            <w:vAlign w:val="bottom"/>
          </w:tcPr>
          <w:p>
            <w:pPr>
              <w:spacing w:after="0"/>
              <w:rPr>
                <w:sz w:val="18"/>
                <w:szCs w:val="18"/>
                <w:color w:val="auto"/>
              </w:rPr>
            </w:pP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3"/>
                <w:szCs w:val="13"/>
                <w:color w:val="auto"/>
                <w:w w:val="93"/>
              </w:rPr>
              <w:t>3,357,267</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w w:val="93"/>
              </w:rPr>
              <w:t>2,533,103</w:t>
            </w:r>
          </w:p>
        </w:tc>
        <w:tc>
          <w:tcPr>
            <w:tcW w:w="140" w:type="dxa"/>
            <w:vAlign w:val="bottom"/>
          </w:tcPr>
          <w:p>
            <w:pPr>
              <w:spacing w:after="0"/>
              <w:rPr>
                <w:sz w:val="18"/>
                <w:szCs w:val="18"/>
                <w:color w:val="auto"/>
              </w:rPr>
            </w:pPr>
          </w:p>
        </w:tc>
        <w:tc>
          <w:tcPr>
            <w:tcW w:w="220" w:type="dxa"/>
            <w:vAlign w:val="bottom"/>
          </w:tcPr>
          <w:p>
            <w:pPr>
              <w:ind w:left="140"/>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57"/>
              <w:spacing w:after="0"/>
              <w:rPr>
                <w:sz w:val="20"/>
                <w:szCs w:val="20"/>
                <w:color w:val="auto"/>
              </w:rPr>
            </w:pPr>
            <w:r>
              <w:rPr>
                <w:rFonts w:ascii="Arial" w:cs="Arial" w:eastAsia="Arial" w:hAnsi="Arial"/>
                <w:sz w:val="13"/>
                <w:szCs w:val="13"/>
                <w:color w:val="auto"/>
                <w:w w:val="93"/>
              </w:rPr>
              <w:t>3,357,267</w:t>
            </w:r>
          </w:p>
        </w:tc>
        <w:tc>
          <w:tcPr>
            <w:tcW w:w="0" w:type="dxa"/>
            <w:vAlign w:val="bottom"/>
          </w:tcPr>
          <w:p>
            <w:pPr>
              <w:spacing w:after="0"/>
              <w:rPr>
                <w:sz w:val="1"/>
                <w:szCs w:val="1"/>
                <w:color w:val="auto"/>
              </w:rPr>
            </w:pPr>
          </w:p>
        </w:tc>
      </w:tr>
      <w:tr>
        <w:trPr>
          <w:trHeight w:val="131"/>
        </w:trPr>
        <w:tc>
          <w:tcPr>
            <w:tcW w:w="1780" w:type="dxa"/>
            <w:vAlign w:val="bottom"/>
            <w:gridSpan w:val="2"/>
          </w:tcPr>
          <w:p>
            <w:pPr>
              <w:ind w:left="20"/>
              <w:spacing w:after="0" w:line="131" w:lineRule="exact"/>
              <w:rPr>
                <w:sz w:val="20"/>
                <w:szCs w:val="20"/>
                <w:color w:val="auto"/>
              </w:rPr>
            </w:pPr>
            <w:r>
              <w:rPr>
                <w:rFonts w:ascii="Arial" w:cs="Arial" w:eastAsia="Arial" w:hAnsi="Arial"/>
                <w:sz w:val="13"/>
                <w:szCs w:val="13"/>
                <w:color w:val="auto"/>
              </w:rPr>
              <w:t>Accelerated Performance</w:t>
            </w:r>
          </w:p>
        </w:tc>
        <w:tc>
          <w:tcPr>
            <w:tcW w:w="960" w:type="dxa"/>
            <w:vAlign w:val="bottom"/>
            <w:gridSpan w:val="2"/>
            <w:vMerge w:val="restart"/>
          </w:tcPr>
          <w:p>
            <w:pPr>
              <w:jc w:val="center"/>
              <w:ind w:right="140"/>
              <w:spacing w:after="0"/>
              <w:rPr>
                <w:sz w:val="20"/>
                <w:szCs w:val="20"/>
                <w:color w:val="auto"/>
              </w:rPr>
            </w:pPr>
            <w:r>
              <w:rPr>
                <w:rFonts w:ascii="Arial" w:cs="Arial" w:eastAsia="Arial" w:hAnsi="Arial"/>
                <w:sz w:val="13"/>
                <w:szCs w:val="13"/>
                <w:color w:val="auto"/>
                <w:w w:val="88"/>
              </w:rPr>
              <w:t>$—</w:t>
            </w:r>
          </w:p>
        </w:tc>
        <w:tc>
          <w:tcPr>
            <w:tcW w:w="820" w:type="dxa"/>
            <w:vAlign w:val="bottom"/>
            <w:vMerge w:val="restart"/>
          </w:tcPr>
          <w:p>
            <w:pPr>
              <w:jc w:val="center"/>
              <w:spacing w:after="0"/>
              <w:rPr>
                <w:sz w:val="20"/>
                <w:szCs w:val="20"/>
                <w:color w:val="auto"/>
              </w:rPr>
            </w:pPr>
            <w:r>
              <w:rPr>
                <w:rFonts w:ascii="Arial" w:cs="Arial" w:eastAsia="Arial" w:hAnsi="Arial"/>
                <w:sz w:val="13"/>
                <w:szCs w:val="13"/>
                <w:color w:val="auto"/>
                <w:w w:val="88"/>
              </w:rPr>
              <w:t>$—</w:t>
            </w:r>
          </w:p>
        </w:tc>
        <w:tc>
          <w:tcPr>
            <w:tcW w:w="22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w w:val="93"/>
              </w:rPr>
              <w:t>3,185,702</w:t>
            </w:r>
          </w:p>
        </w:tc>
        <w:tc>
          <w:tcPr>
            <w:tcW w:w="120" w:type="dxa"/>
            <w:vAlign w:val="bottom"/>
          </w:tcPr>
          <w:p>
            <w:pPr>
              <w:spacing w:after="0"/>
              <w:rPr>
                <w:sz w:val="11"/>
                <w:szCs w:val="11"/>
                <w:color w:val="auto"/>
              </w:rPr>
            </w:pPr>
          </w:p>
        </w:tc>
        <w:tc>
          <w:tcPr>
            <w:tcW w:w="80" w:type="dxa"/>
            <w:vAlign w:val="bottom"/>
            <w:vMerge w:val="restart"/>
          </w:tcPr>
          <w:p>
            <w:pPr>
              <w:ind w:left="20"/>
              <w:spacing w:after="0"/>
              <w:rPr>
                <w:sz w:val="20"/>
                <w:szCs w:val="20"/>
                <w:color w:val="auto"/>
              </w:rPr>
            </w:pPr>
            <w:r>
              <w:rPr>
                <w:rFonts w:ascii="Arial" w:cs="Arial" w:eastAsia="Arial" w:hAnsi="Arial"/>
                <w:sz w:val="10"/>
                <w:szCs w:val="10"/>
                <w:color w:val="auto"/>
                <w:w w:val="71"/>
              </w:rPr>
              <w:t>$</w:t>
            </w: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w w:val="93"/>
              </w:rPr>
              <w:t>3,185,702</w:t>
            </w:r>
          </w:p>
        </w:tc>
        <w:tc>
          <w:tcPr>
            <w:tcW w:w="14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w w:val="93"/>
              </w:rPr>
              <w:t>1,537,373</w:t>
            </w:r>
          </w:p>
        </w:tc>
        <w:tc>
          <w:tcPr>
            <w:tcW w:w="140" w:type="dxa"/>
            <w:vAlign w:val="bottom"/>
          </w:tcPr>
          <w:p>
            <w:pPr>
              <w:spacing w:after="0"/>
              <w:rPr>
                <w:sz w:val="11"/>
                <w:szCs w:val="11"/>
                <w:color w:val="auto"/>
              </w:rPr>
            </w:pPr>
          </w:p>
        </w:tc>
        <w:tc>
          <w:tcPr>
            <w:tcW w:w="220" w:type="dxa"/>
            <w:vAlign w:val="bottom"/>
            <w:vMerge w:val="restart"/>
          </w:tcPr>
          <w:p>
            <w:pPr>
              <w:ind w:left="140"/>
              <w:spacing w:after="0"/>
              <w:rPr>
                <w:sz w:val="20"/>
                <w:szCs w:val="20"/>
                <w:color w:val="auto"/>
              </w:rPr>
            </w:pPr>
            <w:r>
              <w:rPr>
                <w:rFonts w:ascii="Arial" w:cs="Arial" w:eastAsia="Arial" w:hAnsi="Arial"/>
                <w:sz w:val="13"/>
                <w:szCs w:val="13"/>
                <w:color w:val="auto"/>
                <w:w w:val="82"/>
              </w:rPr>
              <w:t>$</w:t>
            </w:r>
          </w:p>
        </w:tc>
        <w:tc>
          <w:tcPr>
            <w:tcW w:w="740" w:type="dxa"/>
            <w:vAlign w:val="bottom"/>
            <w:gridSpan w:val="2"/>
            <w:vMerge w:val="restart"/>
          </w:tcPr>
          <w:p>
            <w:pPr>
              <w:jc w:val="right"/>
              <w:ind w:right="300"/>
              <w:spacing w:after="0"/>
              <w:rPr>
                <w:sz w:val="20"/>
                <w:szCs w:val="20"/>
                <w:color w:val="auto"/>
              </w:rPr>
            </w:pPr>
            <w:r>
              <w:rPr>
                <w:rFonts w:ascii="Arial" w:cs="Arial" w:eastAsia="Arial" w:hAnsi="Arial"/>
                <w:sz w:val="13"/>
                <w:szCs w:val="13"/>
                <w:color w:val="auto"/>
              </w:rPr>
              <w:t>—</w:t>
            </w: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3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80" w:type="dxa"/>
            <w:vAlign w:val="bottom"/>
            <w:vMerge w:val="restart"/>
          </w:tcPr>
          <w:p>
            <w:pPr>
              <w:jc w:val="right"/>
              <w:ind w:right="177"/>
              <w:spacing w:after="0"/>
              <w:rPr>
                <w:sz w:val="20"/>
                <w:szCs w:val="20"/>
                <w:color w:val="auto"/>
              </w:rPr>
            </w:pPr>
            <w:r>
              <w:rPr>
                <w:rFonts w:ascii="Arial" w:cs="Arial" w:eastAsia="Arial" w:hAnsi="Arial"/>
                <w:sz w:val="13"/>
                <w:szCs w:val="13"/>
                <w:color w:val="auto"/>
              </w:rPr>
              <w:t>633,611</w:t>
            </w:r>
          </w:p>
        </w:tc>
        <w:tc>
          <w:tcPr>
            <w:tcW w:w="0" w:type="dxa"/>
            <w:vAlign w:val="bottom"/>
          </w:tcPr>
          <w:p>
            <w:pPr>
              <w:spacing w:after="0"/>
              <w:rPr>
                <w:sz w:val="1"/>
                <w:szCs w:val="1"/>
                <w:color w:val="auto"/>
              </w:rPr>
            </w:pPr>
          </w:p>
        </w:tc>
      </w:tr>
      <w:tr>
        <w:trPr>
          <w:trHeight w:val="281"/>
        </w:trPr>
        <w:tc>
          <w:tcPr>
            <w:tcW w:w="1780" w:type="dxa"/>
            <w:vAlign w:val="bottom"/>
            <w:gridSpan w:val="2"/>
          </w:tcPr>
          <w:p>
            <w:pPr>
              <w:ind w:left="200"/>
              <w:spacing w:after="0"/>
              <w:rPr>
                <w:sz w:val="20"/>
                <w:szCs w:val="20"/>
                <w:color w:val="auto"/>
              </w:rPr>
            </w:pPr>
            <w:r>
              <w:rPr>
                <w:rFonts w:ascii="Arial" w:cs="Arial" w:eastAsia="Arial" w:hAnsi="Arial"/>
                <w:sz w:val="13"/>
                <w:szCs w:val="13"/>
                <w:color w:val="auto"/>
              </w:rPr>
              <w:t>RSUs (PRSUs)</w:t>
            </w:r>
            <w:r>
              <w:rPr>
                <w:rFonts w:ascii="Arial" w:cs="Arial" w:eastAsia="Arial" w:hAnsi="Arial"/>
                <w:sz w:val="20"/>
                <w:szCs w:val="20"/>
                <w:color w:val="auto"/>
                <w:vertAlign w:val="superscript"/>
              </w:rPr>
              <w:t>(6)</w:t>
            </w:r>
          </w:p>
        </w:tc>
        <w:tc>
          <w:tcPr>
            <w:tcW w:w="960" w:type="dxa"/>
            <w:vAlign w:val="bottom"/>
            <w:gridSpan w:val="2"/>
            <w:vMerge w:val="continue"/>
          </w:tcPr>
          <w:p>
            <w:pPr>
              <w:spacing w:after="0"/>
              <w:rPr>
                <w:sz w:val="24"/>
                <w:szCs w:val="24"/>
                <w:color w:val="auto"/>
              </w:rPr>
            </w:pPr>
          </w:p>
        </w:tc>
        <w:tc>
          <w:tcPr>
            <w:tcW w:w="820" w:type="dxa"/>
            <w:vAlign w:val="bottom"/>
            <w:vMerge w:val="continue"/>
          </w:tcPr>
          <w:p>
            <w:pPr>
              <w:spacing w:after="0"/>
              <w:rPr>
                <w:sz w:val="24"/>
                <w:szCs w:val="24"/>
                <w:color w:val="auto"/>
              </w:rPr>
            </w:pPr>
          </w:p>
        </w:tc>
        <w:tc>
          <w:tcPr>
            <w:tcW w:w="220" w:type="dxa"/>
            <w:vAlign w:val="bottom"/>
            <w:gridSpan w:val="2"/>
            <w:vMerge w:val="continue"/>
          </w:tcPr>
          <w:p>
            <w:pPr>
              <w:spacing w:after="0"/>
              <w:rPr>
                <w:sz w:val="24"/>
                <w:szCs w:val="24"/>
                <w:color w:val="auto"/>
              </w:rPr>
            </w:pPr>
          </w:p>
        </w:tc>
        <w:tc>
          <w:tcPr>
            <w:tcW w:w="5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vMerge w:val="continue"/>
          </w:tcPr>
          <w:p>
            <w:pPr>
              <w:spacing w:after="0"/>
              <w:rPr>
                <w:sz w:val="24"/>
                <w:szCs w:val="24"/>
                <w:color w:val="auto"/>
              </w:rPr>
            </w:pPr>
          </w:p>
        </w:tc>
        <w:tc>
          <w:tcPr>
            <w:tcW w:w="5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vMerge w:val="continue"/>
          </w:tcPr>
          <w:p>
            <w:pPr>
              <w:spacing w:after="0"/>
              <w:rPr>
                <w:sz w:val="24"/>
                <w:szCs w:val="24"/>
                <w:color w:val="auto"/>
              </w:rPr>
            </w:pPr>
          </w:p>
        </w:tc>
        <w:tc>
          <w:tcPr>
            <w:tcW w:w="6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vMerge w:val="continue"/>
          </w:tcPr>
          <w:p>
            <w:pPr>
              <w:spacing w:after="0"/>
              <w:rPr>
                <w:sz w:val="24"/>
                <w:szCs w:val="24"/>
                <w:color w:val="auto"/>
              </w:rPr>
            </w:pPr>
          </w:p>
        </w:tc>
        <w:tc>
          <w:tcPr>
            <w:tcW w:w="740" w:type="dxa"/>
            <w:vAlign w:val="bottom"/>
            <w:gridSpan w:val="2"/>
            <w:vMerge w:val="continue"/>
          </w:tcPr>
          <w:p>
            <w:pPr>
              <w:spacing w:after="0"/>
              <w:rPr>
                <w:sz w:val="24"/>
                <w:szCs w:val="24"/>
                <w:color w:val="auto"/>
              </w:rPr>
            </w:pPr>
          </w:p>
        </w:tc>
        <w:tc>
          <w:tcPr>
            <w:tcW w:w="140" w:type="dxa"/>
            <w:vAlign w:val="bottom"/>
            <w:vMerge w:val="continue"/>
          </w:tcPr>
          <w:p>
            <w:pPr>
              <w:spacing w:after="0"/>
              <w:rPr>
                <w:sz w:val="24"/>
                <w:szCs w:val="24"/>
                <w:color w:val="auto"/>
              </w:rPr>
            </w:pPr>
          </w:p>
        </w:tc>
        <w:tc>
          <w:tcPr>
            <w:tcW w:w="740" w:type="dxa"/>
            <w:vAlign w:val="bottom"/>
            <w:gridSpan w:val="2"/>
            <w:vMerge w:val="continue"/>
          </w:tcPr>
          <w:p>
            <w:pPr>
              <w:spacing w:after="0"/>
              <w:rPr>
                <w:sz w:val="24"/>
                <w:szCs w:val="24"/>
                <w:color w:val="auto"/>
              </w:rPr>
            </w:pPr>
          </w:p>
        </w:tc>
        <w:tc>
          <w:tcPr>
            <w:tcW w:w="300" w:type="dxa"/>
            <w:vAlign w:val="bottom"/>
            <w:vMerge w:val="continue"/>
          </w:tcPr>
          <w:p>
            <w:pPr>
              <w:spacing w:after="0"/>
              <w:rPr>
                <w:sz w:val="24"/>
                <w:szCs w:val="24"/>
                <w:color w:val="auto"/>
              </w:rPr>
            </w:pPr>
          </w:p>
        </w:tc>
        <w:tc>
          <w:tcPr>
            <w:tcW w:w="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60960</wp:posOffset>
            </wp:positionV>
            <wp:extent cx="82296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184" w:lineRule="exact"/>
        <w:rPr>
          <w:sz w:val="20"/>
          <w:szCs w:val="20"/>
          <w:color w:val="auto"/>
        </w:rPr>
      </w:pPr>
    </w:p>
    <w:p>
      <w:pPr>
        <w:ind w:left="346" w:right="60" w:hanging="346"/>
        <w:spacing w:after="0" w:line="249" w:lineRule="auto"/>
        <w:tabs>
          <w:tab w:leader="none" w:pos="346" w:val="left"/>
        </w:tabs>
        <w:numPr>
          <w:ilvl w:val="0"/>
          <w:numId w:val="59"/>
        </w:numPr>
        <w:rPr>
          <w:rFonts w:ascii="Arial" w:cs="Arial" w:eastAsia="Arial" w:hAnsi="Arial"/>
          <w:sz w:val="14"/>
          <w:szCs w:val="14"/>
          <w:color w:val="auto"/>
        </w:rPr>
      </w:pPr>
      <w:r>
        <w:rPr>
          <w:rFonts w:ascii="Arial" w:cs="Arial" w:eastAsia="Arial" w:hAnsi="Arial"/>
          <w:sz w:val="14"/>
          <w:szCs w:val="14"/>
          <w:color w:val="auto"/>
        </w:rPr>
        <w:t>The above table does not include amounts under our Executive Deferred Compensation Plan, stock option awards that are fully vested, earned salary, and accrued vacation as those items are earned and due to the employee regardless of such termination or change-in-control events. It also does not include amounts payable under life insurance coverage, our accidental death &amp; dismemberment coverage or our business travel accident coverage, which are programs available to all employees. Under the change-in-control agreement with this executive the term is 24 months following a change-in-control and the severance payment is equal to 2.5 times the sum of the executive's base salary and target annual bonus. Each form of payment is mutually exclusive based on the individual circumstances or events and therefore represents a single payment and should not be added together.</w:t>
      </w:r>
    </w:p>
    <w:p>
      <w:pPr>
        <w:spacing w:after="0" w:line="32" w:lineRule="exact"/>
        <w:rPr>
          <w:rFonts w:ascii="Arial" w:cs="Arial" w:eastAsia="Arial" w:hAnsi="Arial"/>
          <w:sz w:val="14"/>
          <w:szCs w:val="14"/>
          <w:color w:val="auto"/>
        </w:rPr>
      </w:pPr>
    </w:p>
    <w:p>
      <w:pPr>
        <w:ind w:left="346" w:right="40" w:hanging="346"/>
        <w:spacing w:after="0" w:line="266" w:lineRule="auto"/>
        <w:tabs>
          <w:tab w:leader="none" w:pos="346" w:val="left"/>
        </w:tabs>
        <w:numPr>
          <w:ilvl w:val="0"/>
          <w:numId w:val="59"/>
        </w:numPr>
        <w:rPr>
          <w:rFonts w:ascii="Arial" w:cs="Arial" w:eastAsia="Arial" w:hAnsi="Arial"/>
          <w:sz w:val="14"/>
          <w:szCs w:val="14"/>
          <w:color w:val="auto"/>
        </w:rPr>
      </w:pPr>
      <w:r>
        <w:rPr>
          <w:rFonts w:ascii="Arial" w:cs="Arial" w:eastAsia="Arial" w:hAnsi="Arial"/>
          <w:sz w:val="14"/>
          <w:szCs w:val="14"/>
          <w:color w:val="auto"/>
        </w:rPr>
        <w:t>Pursuant to our change-in-control agreement with this executive, the annual bonus payable in the event of termination following a change-in-control is the greater of target or the actual amount earned. The annual incentive plan did not pay out in 2020, so the value represents the target bonus opportunity.</w:t>
      </w:r>
    </w:p>
    <w:p>
      <w:pPr>
        <w:spacing w:after="0" w:line="18" w:lineRule="exact"/>
        <w:rPr>
          <w:rFonts w:ascii="Arial" w:cs="Arial" w:eastAsia="Arial" w:hAnsi="Arial"/>
          <w:sz w:val="14"/>
          <w:szCs w:val="14"/>
          <w:color w:val="auto"/>
        </w:rPr>
      </w:pPr>
    </w:p>
    <w:p>
      <w:pPr>
        <w:ind w:left="346" w:right="200" w:hanging="346"/>
        <w:spacing w:after="0" w:line="249" w:lineRule="auto"/>
        <w:tabs>
          <w:tab w:leader="none" w:pos="346" w:val="left"/>
        </w:tabs>
        <w:numPr>
          <w:ilvl w:val="0"/>
          <w:numId w:val="59"/>
        </w:numPr>
        <w:rPr>
          <w:rFonts w:ascii="Arial" w:cs="Arial" w:eastAsia="Arial" w:hAnsi="Arial"/>
          <w:sz w:val="14"/>
          <w:szCs w:val="14"/>
          <w:color w:val="auto"/>
        </w:rPr>
      </w:pPr>
      <w:r>
        <w:rPr>
          <w:rFonts w:ascii="Arial" w:cs="Arial" w:eastAsia="Arial" w:hAnsi="Arial"/>
          <w:sz w:val="14"/>
          <w:szCs w:val="14"/>
          <w:color w:val="auto"/>
        </w:rPr>
        <w:t>Represents in-the-money value of accelerated stock options based on the closing price of our common stock on December 31, 2020 ($95.90). For the awards in fiscal 2018, upon a termination due to retirement after 18 months from the grant date, stock options will continue to vest subject to non-compete/non-solicit and reasonable notice restrictions. For the awards in fiscal 2019 and 2020, upon a termination due to retirement after the first anniversary of the grant date, stock options will continue to vest subject to non-compete/non-solicit and reasonable notice restrictions. 2020 awards are assumed forfeited, as retirement at December 31, 2020 is before the first anniversary from the grant date. Upon a change-in-control, stock options will accelerate only if they are not assumed or substituted, and otherwise provide for a double trigger; values presume that the acquirer assumes outstanding stock options.</w:t>
      </w:r>
    </w:p>
    <w:p>
      <w:pPr>
        <w:spacing w:after="0" w:line="45" w:lineRule="exact"/>
        <w:rPr>
          <w:rFonts w:ascii="Arial" w:cs="Arial" w:eastAsia="Arial" w:hAnsi="Arial"/>
          <w:sz w:val="14"/>
          <w:szCs w:val="14"/>
          <w:color w:val="auto"/>
        </w:rPr>
      </w:pPr>
    </w:p>
    <w:p>
      <w:pPr>
        <w:ind w:left="346" w:hanging="346"/>
        <w:spacing w:after="0" w:line="266" w:lineRule="auto"/>
        <w:tabs>
          <w:tab w:leader="none" w:pos="346" w:val="left"/>
        </w:tabs>
        <w:numPr>
          <w:ilvl w:val="0"/>
          <w:numId w:val="59"/>
        </w:numPr>
        <w:rPr>
          <w:rFonts w:ascii="Arial" w:cs="Arial" w:eastAsia="Arial" w:hAnsi="Arial"/>
          <w:sz w:val="14"/>
          <w:szCs w:val="14"/>
          <w:color w:val="auto"/>
        </w:rPr>
      </w:pPr>
      <w:r>
        <w:rPr>
          <w:rFonts w:ascii="Arial" w:cs="Arial" w:eastAsia="Arial" w:hAnsi="Arial"/>
          <w:sz w:val="14"/>
          <w:szCs w:val="14"/>
          <w:color w:val="auto"/>
        </w:rPr>
        <w:t>Effective April 29, 2014, the Executive Officer Severance Pay Policy provides an executive officer, who is terminated involuntarily, a severance payment equal to 1 times base salary plus one year of continued benefits and outplacement. The change-in-control agreements provide for a severance payment equal to 2.5 times the sum of base salary and target annual bonus.</w:t>
      </w:r>
    </w:p>
    <w:p>
      <w:pPr>
        <w:spacing w:after="0" w:line="18" w:lineRule="exact"/>
        <w:rPr>
          <w:rFonts w:ascii="Arial" w:cs="Arial" w:eastAsia="Arial" w:hAnsi="Arial"/>
          <w:sz w:val="14"/>
          <w:szCs w:val="14"/>
          <w:color w:val="auto"/>
        </w:rPr>
      </w:pPr>
    </w:p>
    <w:p>
      <w:pPr>
        <w:ind w:left="346" w:right="80" w:hanging="346"/>
        <w:spacing w:after="0" w:line="254" w:lineRule="auto"/>
        <w:tabs>
          <w:tab w:leader="none" w:pos="346" w:val="left"/>
        </w:tabs>
        <w:numPr>
          <w:ilvl w:val="0"/>
          <w:numId w:val="59"/>
        </w:numPr>
        <w:rPr>
          <w:rFonts w:ascii="Arial" w:cs="Arial" w:eastAsia="Arial" w:hAnsi="Arial"/>
          <w:sz w:val="14"/>
          <w:szCs w:val="14"/>
          <w:color w:val="auto"/>
        </w:rPr>
      </w:pPr>
      <w:r>
        <w:rPr>
          <w:rFonts w:ascii="Arial" w:cs="Arial" w:eastAsia="Arial" w:hAnsi="Arial"/>
          <w:sz w:val="14"/>
          <w:szCs w:val="14"/>
          <w:color w:val="auto"/>
        </w:rPr>
        <w:t>For the time-vested RSUs, upon termination due to death or disability, represents the accelerated value of the RSUs based on the closing price of our common stock on December 31, 2020 ($95.90). For the awards in fiscal 2018, upon a termination due to retirement after</w:t>
      </w:r>
    </w:p>
    <w:p>
      <w:pPr>
        <w:spacing w:after="0" w:line="1" w:lineRule="exact"/>
        <w:rPr>
          <w:rFonts w:ascii="Arial" w:cs="Arial" w:eastAsia="Arial" w:hAnsi="Arial"/>
          <w:sz w:val="14"/>
          <w:szCs w:val="14"/>
          <w:color w:val="auto"/>
        </w:rPr>
      </w:pPr>
    </w:p>
    <w:p>
      <w:pPr>
        <w:ind w:left="346" w:right="200"/>
        <w:spacing w:after="0" w:line="247" w:lineRule="auto"/>
        <w:rPr>
          <w:rFonts w:ascii="Arial" w:cs="Arial" w:eastAsia="Arial" w:hAnsi="Arial"/>
          <w:sz w:val="14"/>
          <w:szCs w:val="14"/>
          <w:color w:val="auto"/>
        </w:rPr>
      </w:pPr>
      <w:r>
        <w:rPr>
          <w:rFonts w:ascii="Arial" w:cs="Arial" w:eastAsia="Arial" w:hAnsi="Arial"/>
          <w:sz w:val="14"/>
          <w:szCs w:val="14"/>
          <w:color w:val="auto"/>
        </w:rPr>
        <w:t>18 months from the grant date, RSUs will continue to vest subject to non-compete/non-solicit and reasonable notice restrictions. For the awards in fiscal 2019 and 2020, upon a termination due to retirement after the first anniversary of the grant date, RSUs will continue to vest subject to non-compete/non-solicit and reasonable notice restrictions. 2020 awards are assumed forfeited, as retirement at December 31, 2020 is before the first anniversary of the grant date. Upon a change-in-control only (single trigger), RSUs that are not assumed by an acquirer will accelerate; values presume that the acquirer assumes applicable outstanding RSUs.</w:t>
      </w:r>
    </w:p>
    <w:p>
      <w:pPr>
        <w:spacing w:after="0" w:line="31" w:lineRule="exact"/>
        <w:rPr>
          <w:rFonts w:ascii="Arial" w:cs="Arial" w:eastAsia="Arial" w:hAnsi="Arial"/>
          <w:sz w:val="14"/>
          <w:szCs w:val="14"/>
          <w:color w:val="auto"/>
        </w:rPr>
      </w:pPr>
    </w:p>
    <w:p>
      <w:pPr>
        <w:ind w:left="346" w:right="100" w:hanging="346"/>
        <w:spacing w:after="0" w:line="253" w:lineRule="auto"/>
        <w:tabs>
          <w:tab w:leader="none" w:pos="346" w:val="left"/>
        </w:tabs>
        <w:numPr>
          <w:ilvl w:val="0"/>
          <w:numId w:val="59"/>
        </w:numPr>
        <w:rPr>
          <w:rFonts w:ascii="Arial" w:cs="Arial" w:eastAsia="Arial" w:hAnsi="Arial"/>
          <w:sz w:val="14"/>
          <w:szCs w:val="14"/>
          <w:color w:val="auto"/>
        </w:rPr>
      </w:pPr>
      <w:r>
        <w:rPr>
          <w:rFonts w:ascii="Arial" w:cs="Arial" w:eastAsia="Arial" w:hAnsi="Arial"/>
          <w:sz w:val="14"/>
          <w:szCs w:val="14"/>
          <w:color w:val="auto"/>
        </w:rPr>
        <w:t>Upon a termination due to death or disability, awards will vest based on actual performance at the conclusion of the performance periods. Shares continue to vest through the year of death or disability and all unvested shares are accelerated. Fiscal 2019 and 2020 values assume target performance will be achieved. For the awards granted in fiscal 2018, upon a termination due to retirement after 18 months from the grant date, awards will vest in full based on actual performance at the end of the performance period (no pro-rated payout). For the awards granted in fiscal 2019 and 2020, upon a termination due to retirement after the first anniversary of the grant date, awards will</w:t>
      </w:r>
    </w:p>
    <w:p>
      <w:pPr>
        <w:spacing w:after="0" w:line="276" w:lineRule="exact"/>
        <w:rPr>
          <w:sz w:val="20"/>
          <w:szCs w:val="20"/>
          <w:color w:val="auto"/>
        </w:rPr>
      </w:pPr>
    </w:p>
    <w:p>
      <w:pPr>
        <w:jc w:val="center"/>
        <w:ind w:right="-25"/>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165735</wp:posOffset>
            </wp:positionV>
            <wp:extent cx="699516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66"/>
          </w:cols>
          <w:pgMar w:left="1354" w:top="263" w:right="1379" w:bottom="1440" w:gutter="0" w:footer="0" w:header="0"/>
        </w:sectPr>
      </w:pPr>
    </w:p>
    <w:bookmarkStart w:id="50" w:name="page51"/>
    <w:bookmarkEnd w:id="50"/>
    <w:p>
      <w:pPr>
        <w:ind w:left="6"/>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134" w:lineRule="exact"/>
        <w:rPr>
          <w:sz w:val="20"/>
          <w:szCs w:val="20"/>
          <w:color w:val="auto"/>
        </w:rPr>
      </w:pPr>
    </w:p>
    <w:p>
      <w:pPr>
        <w:ind w:left="366" w:right="20"/>
        <w:spacing w:after="0" w:line="247" w:lineRule="auto"/>
        <w:rPr>
          <w:sz w:val="20"/>
          <w:szCs w:val="20"/>
          <w:color w:val="auto"/>
        </w:rPr>
      </w:pPr>
      <w:r>
        <w:rPr>
          <w:rFonts w:ascii="Arial" w:cs="Arial" w:eastAsia="Arial" w:hAnsi="Arial"/>
          <w:sz w:val="14"/>
          <w:szCs w:val="14"/>
          <w:color w:val="auto"/>
        </w:rPr>
        <w:t>vest in full based on actual performance at the end of the performance period (no pro-rated payout). 2020 awards are assumed forfeited, as retirement at December 31, 2020 is before the first anniversary of the grant date. Pursuant to our award agreements with this executive the PRSUs outstanding as of the change-in-control will be vested at the greater of target or actual performance for the year, and pro-rated based on the number of calendar days between the beginning of the performance period and the change-in-control. Upon a change-in-control only (single trigger), PRSUs that are not assumed by an acquirer will accelerate; values presume that the acquirer assumes applicable outstanding PRSUs. As of December 31, 2020, two three-year performance cycles (2019-2021 and 2020-2022) are not yet complete and target payouts are used. For the 2018-2020 performance cycle, actual payouts were less than target. Upon a termination following a change-in-control, value represents the incremental difference in values between target and actual performance (e.g. no value for cycles where actual payouts are greater than or equal to target amounts). Values are based on the closing price of our common stock on December 31, 2020 ($95.90).</w:t>
      </w:r>
    </w:p>
    <w:p>
      <w:pPr>
        <w:spacing w:after="0" w:line="208" w:lineRule="exact"/>
        <w:rPr>
          <w:sz w:val="20"/>
          <w:szCs w:val="20"/>
          <w:color w:val="auto"/>
        </w:rPr>
      </w:pPr>
    </w:p>
    <w:p>
      <w:pPr>
        <w:jc w:val="center"/>
        <w:ind w:right="-25"/>
        <w:spacing w:after="0"/>
        <w:rPr>
          <w:sz w:val="20"/>
          <w:szCs w:val="20"/>
          <w:color w:val="auto"/>
        </w:rPr>
      </w:pPr>
      <w:r>
        <w:rPr>
          <w:rFonts w:ascii="Arial" w:cs="Arial" w:eastAsia="Arial" w:hAnsi="Arial"/>
          <w:sz w:val="14"/>
          <w:szCs w:val="14"/>
          <w:b w:val="1"/>
          <w:bCs w:val="1"/>
          <w:color w:val="auto"/>
        </w:rPr>
        <w:t>ITRON,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27305</wp:posOffset>
            </wp:positionV>
            <wp:extent cx="575183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751830" cy="8255"/>
                    </a:xfrm>
                    <a:prstGeom prst="rect">
                      <a:avLst/>
                    </a:prstGeom>
                    <a:noFill/>
                  </pic:spPr>
                </pic:pic>
              </a:graphicData>
            </a:graphic>
          </wp:anchor>
        </w:drawing>
      </w:r>
    </w:p>
    <w:p>
      <w:pPr>
        <w:spacing w:after="0" w:line="49" w:lineRule="exact"/>
        <w:rPr>
          <w:sz w:val="20"/>
          <w:szCs w:val="20"/>
          <w:color w:val="auto"/>
        </w:rPr>
      </w:pPr>
    </w:p>
    <w:p>
      <w:pPr>
        <w:jc w:val="center"/>
        <w:ind w:right="-25"/>
        <w:spacing w:after="0"/>
        <w:rPr>
          <w:sz w:val="20"/>
          <w:szCs w:val="20"/>
          <w:color w:val="auto"/>
        </w:rPr>
      </w:pPr>
      <w:r>
        <w:rPr>
          <w:rFonts w:ascii="Arial" w:cs="Arial" w:eastAsia="Arial" w:hAnsi="Arial"/>
          <w:sz w:val="14"/>
          <w:szCs w:val="14"/>
          <w:b w:val="1"/>
          <w:bCs w:val="1"/>
          <w:color w:val="auto"/>
        </w:rPr>
        <w:t>Summary of Termination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27305</wp:posOffset>
            </wp:positionV>
            <wp:extent cx="575183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751830" cy="8255"/>
                    </a:xfrm>
                    <a:prstGeom prst="rect">
                      <a:avLst/>
                    </a:prstGeom>
                    <a:noFill/>
                  </pic:spPr>
                </pic:pic>
              </a:graphicData>
            </a:graphic>
          </wp:anchor>
        </w:drawing>
      </w:r>
    </w:p>
    <w:p>
      <w:pPr>
        <w:spacing w:after="0" w:line="49" w:lineRule="exact"/>
        <w:rPr>
          <w:sz w:val="20"/>
          <w:szCs w:val="20"/>
          <w:color w:val="auto"/>
        </w:rPr>
      </w:pPr>
    </w:p>
    <w:p>
      <w:pPr>
        <w:jc w:val="center"/>
        <w:ind w:right="-25"/>
        <w:spacing w:after="0"/>
        <w:rPr>
          <w:sz w:val="20"/>
          <w:szCs w:val="20"/>
          <w:color w:val="auto"/>
        </w:rPr>
      </w:pPr>
      <w:r>
        <w:rPr>
          <w:rFonts w:ascii="Arial" w:cs="Arial" w:eastAsia="Arial" w:hAnsi="Arial"/>
          <w:sz w:val="14"/>
          <w:szCs w:val="14"/>
          <w:b w:val="1"/>
          <w:bCs w:val="1"/>
          <w:color w:val="auto"/>
        </w:rPr>
        <w:t>Joan Hooper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27305</wp:posOffset>
            </wp:positionV>
            <wp:extent cx="575183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751830" cy="8890"/>
                    </a:xfrm>
                    <a:prstGeom prst="rect">
                      <a:avLst/>
                    </a:prstGeom>
                    <a:noFill/>
                  </pic:spPr>
                </pic:pic>
              </a:graphicData>
            </a:graphic>
          </wp:anchor>
        </w:drawing>
      </w:r>
    </w:p>
    <w:p>
      <w:pPr>
        <w:spacing w:after="0" w:line="49" w:lineRule="exact"/>
        <w:rPr>
          <w:sz w:val="20"/>
          <w:szCs w:val="20"/>
          <w:color w:val="auto"/>
        </w:rPr>
      </w:pPr>
    </w:p>
    <w:tbl>
      <w:tblPr>
        <w:tblLayout w:type="fixed"/>
        <w:tblInd w:w="66" w:type="dxa"/>
        <w:tblCellMar>
          <w:top w:w="0" w:type="dxa"/>
          <w:left w:w="0" w:type="dxa"/>
          <w:bottom w:w="0" w:type="dxa"/>
          <w:right w:w="0" w:type="dxa"/>
        </w:tblCellMar>
      </w:tblPr>
      <w:tr>
        <w:trPr>
          <w:trHeight w:val="162"/>
        </w:trPr>
        <w:tc>
          <w:tcPr>
            <w:tcW w:w="1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Termination</w:t>
            </w:r>
          </w:p>
        </w:tc>
        <w:tc>
          <w:tcPr>
            <w:tcW w:w="0" w:type="dxa"/>
            <w:vAlign w:val="bottom"/>
          </w:tcPr>
          <w:p>
            <w:pPr>
              <w:spacing w:after="0"/>
              <w:rPr>
                <w:sz w:val="1"/>
                <w:szCs w:val="1"/>
                <w:color w:val="auto"/>
              </w:rPr>
            </w:pPr>
          </w:p>
        </w:tc>
      </w:tr>
      <w:tr>
        <w:trPr>
          <w:trHeight w:val="162"/>
        </w:trPr>
        <w:tc>
          <w:tcPr>
            <w:tcW w:w="1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rPr>
              <w:t>Without Cause</w:t>
            </w:r>
          </w:p>
        </w:tc>
        <w:tc>
          <w:tcPr>
            <w:tcW w:w="0" w:type="dxa"/>
            <w:vAlign w:val="bottom"/>
          </w:tcPr>
          <w:p>
            <w:pPr>
              <w:spacing w:after="0"/>
              <w:rPr>
                <w:sz w:val="1"/>
                <w:szCs w:val="1"/>
                <w:color w:val="auto"/>
              </w:rPr>
            </w:pPr>
          </w:p>
        </w:tc>
      </w:tr>
      <w:tr>
        <w:trPr>
          <w:trHeight w:val="162"/>
        </w:trPr>
        <w:tc>
          <w:tcPr>
            <w:tcW w:w="1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rPr>
              <w:t>or by Executive</w:t>
            </w:r>
          </w:p>
        </w:tc>
        <w:tc>
          <w:tcPr>
            <w:tcW w:w="0" w:type="dxa"/>
            <w:vAlign w:val="bottom"/>
          </w:tcPr>
          <w:p>
            <w:pPr>
              <w:spacing w:after="0"/>
              <w:rPr>
                <w:sz w:val="1"/>
                <w:szCs w:val="1"/>
                <w:color w:val="auto"/>
              </w:rPr>
            </w:pPr>
          </w:p>
        </w:tc>
      </w:tr>
      <w:tr>
        <w:trPr>
          <w:trHeight w:val="162"/>
        </w:trPr>
        <w:tc>
          <w:tcPr>
            <w:tcW w:w="1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rPr>
              <w:t>for Good</w:t>
            </w:r>
          </w:p>
        </w:tc>
        <w:tc>
          <w:tcPr>
            <w:tcW w:w="0" w:type="dxa"/>
            <w:vAlign w:val="bottom"/>
          </w:tcPr>
          <w:p>
            <w:pPr>
              <w:spacing w:after="0"/>
              <w:rPr>
                <w:sz w:val="1"/>
                <w:szCs w:val="1"/>
                <w:color w:val="auto"/>
              </w:rPr>
            </w:pPr>
          </w:p>
        </w:tc>
      </w:tr>
      <w:tr>
        <w:trPr>
          <w:trHeight w:val="162"/>
        </w:trPr>
        <w:tc>
          <w:tcPr>
            <w:tcW w:w="1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rPr>
              <w:t>Reason</w:t>
            </w:r>
          </w:p>
        </w:tc>
        <w:tc>
          <w:tcPr>
            <w:tcW w:w="0" w:type="dxa"/>
            <w:vAlign w:val="bottom"/>
          </w:tcPr>
          <w:p>
            <w:pPr>
              <w:spacing w:after="0"/>
              <w:rPr>
                <w:sz w:val="1"/>
                <w:szCs w:val="1"/>
                <w:color w:val="auto"/>
              </w:rPr>
            </w:pPr>
          </w:p>
        </w:tc>
      </w:tr>
      <w:tr>
        <w:trPr>
          <w:trHeight w:val="162"/>
        </w:trPr>
        <w:tc>
          <w:tcPr>
            <w:tcW w:w="1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Termination</w:t>
            </w:r>
          </w:p>
        </w:tc>
        <w:tc>
          <w:tcPr>
            <w:tcW w:w="8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Change-</w:t>
            </w: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rPr>
              <w:t>Following a</w:t>
            </w:r>
          </w:p>
        </w:tc>
        <w:tc>
          <w:tcPr>
            <w:tcW w:w="0" w:type="dxa"/>
            <w:vAlign w:val="bottom"/>
          </w:tcPr>
          <w:p>
            <w:pPr>
              <w:spacing w:after="0"/>
              <w:rPr>
                <w:sz w:val="1"/>
                <w:szCs w:val="1"/>
                <w:color w:val="auto"/>
              </w:rPr>
            </w:pPr>
          </w:p>
        </w:tc>
      </w:tr>
      <w:tr>
        <w:trPr>
          <w:trHeight w:val="162"/>
        </w:trPr>
        <w:tc>
          <w:tcPr>
            <w:tcW w:w="164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Executive Benefits</w:t>
            </w:r>
            <w:r>
              <w:rPr>
                <w:rFonts w:ascii="Arial" w:cs="Arial" w:eastAsia="Arial" w:hAnsi="Arial"/>
                <w:sz w:val="23"/>
                <w:szCs w:val="23"/>
                <w:b w:val="1"/>
                <w:bCs w:val="1"/>
                <w:color w:val="auto"/>
                <w:vertAlign w:val="superscript"/>
              </w:rPr>
              <w:t>(1)</w:t>
            </w:r>
          </w:p>
        </w:tc>
        <w:tc>
          <w:tcPr>
            <w:tcW w:w="140" w:type="dxa"/>
            <w:vAlign w:val="bottom"/>
            <w:vMerge w:val="restart"/>
          </w:tcPr>
          <w:p>
            <w:pPr>
              <w:spacing w:after="0"/>
              <w:rPr>
                <w:sz w:val="14"/>
                <w:szCs w:val="14"/>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Termination</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Voluntary</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3"/>
          </w:tcPr>
          <w:p>
            <w:pPr>
              <w:ind w:left="120"/>
              <w:spacing w:after="0"/>
              <w:rPr>
                <w:sz w:val="20"/>
                <w:szCs w:val="20"/>
                <w:color w:val="auto"/>
              </w:rPr>
            </w:pPr>
            <w:r>
              <w:rPr>
                <w:rFonts w:ascii="Arial" w:cs="Arial" w:eastAsia="Arial" w:hAnsi="Arial"/>
                <w:sz w:val="14"/>
                <w:szCs w:val="14"/>
                <w:b w:val="1"/>
                <w:bCs w:val="1"/>
                <w:color w:val="auto"/>
              </w:rPr>
              <w:t>Without</w:t>
            </w:r>
          </w:p>
        </w:tc>
        <w:tc>
          <w:tcPr>
            <w:tcW w:w="180" w:type="dxa"/>
            <w:vAlign w:val="bottom"/>
          </w:tcPr>
          <w:p>
            <w:pPr>
              <w:spacing w:after="0"/>
              <w:rPr>
                <w:sz w:val="14"/>
                <w:szCs w:val="14"/>
                <w:color w:val="auto"/>
              </w:rPr>
            </w:pPr>
          </w:p>
        </w:tc>
        <w:tc>
          <w:tcPr>
            <w:tcW w:w="7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w:t>
            </w: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rPr>
              <w:t>Change-in-</w:t>
            </w:r>
          </w:p>
        </w:tc>
        <w:tc>
          <w:tcPr>
            <w:tcW w:w="0" w:type="dxa"/>
            <w:vAlign w:val="bottom"/>
          </w:tcPr>
          <w:p>
            <w:pPr>
              <w:spacing w:after="0"/>
              <w:rPr>
                <w:sz w:val="1"/>
                <w:szCs w:val="1"/>
                <w:color w:val="auto"/>
              </w:rPr>
            </w:pPr>
          </w:p>
        </w:tc>
      </w:tr>
      <w:tr>
        <w:trPr>
          <w:trHeight w:val="204"/>
        </w:trPr>
        <w:tc>
          <w:tcPr>
            <w:tcW w:w="164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for Cause</w:t>
            </w:r>
          </w:p>
        </w:tc>
        <w:tc>
          <w:tcPr>
            <w:tcW w:w="14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Termination</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ind w:right="56"/>
              <w:spacing w:after="0"/>
              <w:rPr>
                <w:sz w:val="20"/>
                <w:szCs w:val="20"/>
                <w:color w:val="auto"/>
              </w:rPr>
            </w:pPr>
            <w:r>
              <w:rPr>
                <w:rFonts w:ascii="Arial" w:cs="Arial" w:eastAsia="Arial" w:hAnsi="Arial"/>
                <w:sz w:val="14"/>
                <w:szCs w:val="14"/>
                <w:b w:val="1"/>
                <w:bCs w:val="1"/>
                <w:color w:val="auto"/>
              </w:rPr>
              <w:t>Death</w:t>
            </w:r>
          </w:p>
        </w:tc>
        <w:tc>
          <w:tcPr>
            <w:tcW w:w="120" w:type="dxa"/>
            <w:vAlign w:val="bottom"/>
          </w:tcPr>
          <w:p>
            <w:pPr>
              <w:spacing w:after="0"/>
              <w:rPr>
                <w:sz w:val="17"/>
                <w:szCs w:val="17"/>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w w:val="99"/>
              </w:rPr>
              <w:t>Disability</w:t>
            </w:r>
          </w:p>
        </w:tc>
        <w:tc>
          <w:tcPr>
            <w:tcW w:w="140" w:type="dxa"/>
            <w:vAlign w:val="bottom"/>
          </w:tcPr>
          <w:p>
            <w:pPr>
              <w:spacing w:after="0"/>
              <w:rPr>
                <w:sz w:val="17"/>
                <w:szCs w:val="17"/>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Retirement</w:t>
            </w:r>
          </w:p>
        </w:tc>
        <w:tc>
          <w:tcPr>
            <w:tcW w:w="960" w:type="dxa"/>
            <w:vAlign w:val="bottom"/>
            <w:gridSpan w:val="3"/>
          </w:tcPr>
          <w:p>
            <w:pPr>
              <w:ind w:left="200"/>
              <w:spacing w:after="0"/>
              <w:rPr>
                <w:sz w:val="20"/>
                <w:szCs w:val="20"/>
                <w:color w:val="auto"/>
              </w:rPr>
            </w:pPr>
            <w:r>
              <w:rPr>
                <w:rFonts w:ascii="Arial" w:cs="Arial" w:eastAsia="Arial" w:hAnsi="Arial"/>
                <w:sz w:val="14"/>
                <w:szCs w:val="14"/>
                <w:b w:val="1"/>
                <w:bCs w:val="1"/>
                <w:color w:val="auto"/>
              </w:rPr>
              <w:t>Cause</w:t>
            </w:r>
          </w:p>
        </w:tc>
        <w:tc>
          <w:tcPr>
            <w:tcW w:w="880" w:type="dxa"/>
            <w:vAlign w:val="bottom"/>
            <w:gridSpan w:val="3"/>
          </w:tcPr>
          <w:p>
            <w:pPr>
              <w:ind w:left="120"/>
              <w:spacing w:after="0"/>
              <w:rPr>
                <w:sz w:val="20"/>
                <w:szCs w:val="20"/>
                <w:color w:val="auto"/>
              </w:rPr>
            </w:pPr>
            <w:r>
              <w:rPr>
                <w:rFonts w:ascii="Arial" w:cs="Arial" w:eastAsia="Arial" w:hAnsi="Arial"/>
                <w:sz w:val="14"/>
                <w:szCs w:val="14"/>
                <w:b w:val="1"/>
                <w:bCs w:val="1"/>
                <w:color w:val="auto"/>
              </w:rPr>
              <w:t>Control</w:t>
            </w: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rPr>
              <w:t>Control</w:t>
            </w:r>
          </w:p>
        </w:tc>
        <w:tc>
          <w:tcPr>
            <w:tcW w:w="0" w:type="dxa"/>
            <w:vAlign w:val="bottom"/>
          </w:tcPr>
          <w:p>
            <w:pPr>
              <w:spacing w:after="0"/>
              <w:rPr>
                <w:sz w:val="1"/>
                <w:szCs w:val="1"/>
                <w:color w:val="auto"/>
              </w:rPr>
            </w:pPr>
          </w:p>
        </w:tc>
      </w:tr>
      <w:tr>
        <w:trPr>
          <w:trHeight w:val="184"/>
        </w:trPr>
        <w:tc>
          <w:tcPr>
            <w:tcW w:w="1640" w:type="dxa"/>
            <w:vAlign w:val="bottom"/>
            <w:tcBorders>
              <w:top w:val="single" w:sz="8" w:color="auto"/>
            </w:tcBorders>
          </w:tcPr>
          <w:p>
            <w:pPr>
              <w:ind w:left="20"/>
              <w:spacing w:after="0" w:line="184" w:lineRule="exact"/>
              <w:rPr>
                <w:sz w:val="20"/>
                <w:szCs w:val="20"/>
                <w:color w:val="auto"/>
              </w:rPr>
            </w:pPr>
            <w:r>
              <w:rPr>
                <w:rFonts w:ascii="Arial" w:cs="Arial" w:eastAsia="Arial" w:hAnsi="Arial"/>
                <w:sz w:val="13"/>
                <w:szCs w:val="13"/>
                <w:color w:val="auto"/>
              </w:rPr>
              <w:t>Annual Incentive</w:t>
            </w:r>
            <w:r>
              <w:rPr>
                <w:rFonts w:ascii="Arial" w:cs="Arial" w:eastAsia="Arial" w:hAnsi="Arial"/>
                <w:sz w:val="20"/>
                <w:szCs w:val="20"/>
                <w:color w:val="auto"/>
                <w:vertAlign w:val="superscript"/>
              </w:rPr>
              <w:t>(2)</w:t>
            </w:r>
          </w:p>
        </w:tc>
        <w:tc>
          <w:tcPr>
            <w:tcW w:w="140" w:type="dxa"/>
            <w:vAlign w:val="bottom"/>
          </w:tcPr>
          <w:p>
            <w:pPr>
              <w:spacing w:after="0"/>
              <w:rPr>
                <w:sz w:val="15"/>
                <w:szCs w:val="15"/>
                <w:color w:val="auto"/>
              </w:rPr>
            </w:pPr>
          </w:p>
        </w:tc>
        <w:tc>
          <w:tcPr>
            <w:tcW w:w="82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88"/>
              </w:rPr>
              <w:t>$—</w:t>
            </w:r>
          </w:p>
        </w:tc>
        <w:tc>
          <w:tcPr>
            <w:tcW w:w="140" w:type="dxa"/>
            <w:vAlign w:val="bottom"/>
          </w:tcPr>
          <w:p>
            <w:pPr>
              <w:spacing w:after="0"/>
              <w:rPr>
                <w:sz w:val="15"/>
                <w:szCs w:val="15"/>
                <w:color w:val="auto"/>
              </w:rPr>
            </w:pPr>
          </w:p>
        </w:tc>
        <w:tc>
          <w:tcPr>
            <w:tcW w:w="82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88"/>
              </w:rPr>
              <w:t>$—</w:t>
            </w:r>
          </w:p>
        </w:tc>
        <w:tc>
          <w:tcPr>
            <w:tcW w:w="140" w:type="dxa"/>
            <w:vAlign w:val="bottom"/>
          </w:tcPr>
          <w:p>
            <w:pPr>
              <w:spacing w:after="0"/>
              <w:rPr>
                <w:sz w:val="15"/>
                <w:szCs w:val="15"/>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 w:type="dxa"/>
            <w:vAlign w:val="bottom"/>
            <w:tcBorders>
              <w:top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220" w:type="dxa"/>
            <w:vAlign w:val="bottom"/>
            <w:tcBorders>
              <w:top w:val="single" w:sz="8" w:color="auto"/>
            </w:tcBorders>
          </w:tcPr>
          <w:p>
            <w:pPr>
              <w:ind w:left="140"/>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80" w:type="dxa"/>
            <w:vAlign w:val="bottom"/>
            <w:tcBorders>
              <w:top w:val="single" w:sz="8" w:color="auto"/>
            </w:tcBorders>
          </w:tcPr>
          <w:p>
            <w:pPr>
              <w:ind w:left="12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tcPr>
          <w:p>
            <w:pPr>
              <w:jc w:val="right"/>
              <w:ind w:right="36"/>
              <w:spacing w:after="0"/>
              <w:rPr>
                <w:sz w:val="20"/>
                <w:szCs w:val="20"/>
                <w:color w:val="auto"/>
              </w:rPr>
            </w:pPr>
            <w:r>
              <w:rPr>
                <w:rFonts w:ascii="Arial" w:cs="Arial" w:eastAsia="Arial" w:hAnsi="Arial"/>
                <w:sz w:val="13"/>
                <w:szCs w:val="13"/>
                <w:color w:val="auto"/>
                <w:w w:val="93"/>
              </w:rPr>
              <w:t>390,000</w:t>
            </w:r>
          </w:p>
        </w:tc>
        <w:tc>
          <w:tcPr>
            <w:tcW w:w="140" w:type="dxa"/>
            <w:vAlign w:val="bottom"/>
          </w:tcPr>
          <w:p>
            <w:pPr>
              <w:spacing w:after="0"/>
              <w:rPr>
                <w:sz w:val="15"/>
                <w:szCs w:val="15"/>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tcBorders>
          </w:tcPr>
          <w:p>
            <w:pPr>
              <w:jc w:val="right"/>
              <w:ind w:right="177"/>
              <w:spacing w:after="0"/>
              <w:rPr>
                <w:sz w:val="20"/>
                <w:szCs w:val="20"/>
                <w:color w:val="auto"/>
              </w:rPr>
            </w:pPr>
            <w:r>
              <w:rPr>
                <w:rFonts w:ascii="Arial" w:cs="Arial" w:eastAsia="Arial" w:hAnsi="Arial"/>
                <w:sz w:val="13"/>
                <w:szCs w:val="13"/>
                <w:color w:val="auto"/>
              </w:rPr>
              <w:t>390,000</w:t>
            </w:r>
          </w:p>
        </w:tc>
        <w:tc>
          <w:tcPr>
            <w:tcW w:w="0" w:type="dxa"/>
            <w:vAlign w:val="bottom"/>
          </w:tcPr>
          <w:p>
            <w:pPr>
              <w:spacing w:after="0"/>
              <w:rPr>
                <w:sz w:val="1"/>
                <w:szCs w:val="1"/>
                <w:color w:val="auto"/>
              </w:rPr>
            </w:pPr>
          </w:p>
        </w:tc>
      </w:tr>
      <w:tr>
        <w:trPr>
          <w:trHeight w:val="189"/>
        </w:trPr>
        <w:tc>
          <w:tcPr>
            <w:tcW w:w="1780" w:type="dxa"/>
            <w:vAlign w:val="bottom"/>
            <w:gridSpan w:val="2"/>
          </w:tcPr>
          <w:p>
            <w:pPr>
              <w:ind w:left="20"/>
              <w:spacing w:after="0" w:line="189" w:lineRule="exact"/>
              <w:rPr>
                <w:sz w:val="20"/>
                <w:szCs w:val="20"/>
                <w:color w:val="auto"/>
              </w:rPr>
            </w:pPr>
            <w:r>
              <w:rPr>
                <w:rFonts w:ascii="Arial" w:cs="Arial" w:eastAsia="Arial" w:hAnsi="Arial"/>
                <w:sz w:val="13"/>
                <w:szCs w:val="13"/>
                <w:color w:val="auto"/>
              </w:rPr>
              <w:t>Accelerated Stock Options</w:t>
            </w:r>
            <w:r>
              <w:rPr>
                <w:rFonts w:ascii="Arial" w:cs="Arial" w:eastAsia="Arial" w:hAnsi="Arial"/>
                <w:sz w:val="20"/>
                <w:szCs w:val="20"/>
                <w:color w:val="auto"/>
                <w:vertAlign w:val="superscript"/>
              </w:rPr>
              <w:t>(3)</w:t>
            </w:r>
          </w:p>
        </w:tc>
        <w:tc>
          <w:tcPr>
            <w:tcW w:w="960" w:type="dxa"/>
            <w:vAlign w:val="bottom"/>
            <w:gridSpan w:val="2"/>
          </w:tcPr>
          <w:p>
            <w:pPr>
              <w:jc w:val="center"/>
              <w:ind w:right="140"/>
              <w:spacing w:after="0"/>
              <w:rPr>
                <w:sz w:val="20"/>
                <w:szCs w:val="20"/>
                <w:color w:val="auto"/>
              </w:rPr>
            </w:pPr>
            <w:r>
              <w:rPr>
                <w:rFonts w:ascii="Arial" w:cs="Arial" w:eastAsia="Arial" w:hAnsi="Arial"/>
                <w:sz w:val="13"/>
                <w:szCs w:val="13"/>
                <w:color w:val="auto"/>
                <w:w w:val="88"/>
              </w:rPr>
              <w:t>$—</w:t>
            </w:r>
          </w:p>
        </w:tc>
        <w:tc>
          <w:tcPr>
            <w:tcW w:w="820" w:type="dxa"/>
            <w:vAlign w:val="bottom"/>
          </w:tcPr>
          <w:p>
            <w:pPr>
              <w:jc w:val="center"/>
              <w:spacing w:after="0"/>
              <w:rPr>
                <w:sz w:val="20"/>
                <w:szCs w:val="20"/>
                <w:color w:val="auto"/>
              </w:rPr>
            </w:pPr>
            <w:r>
              <w:rPr>
                <w:rFonts w:ascii="Arial" w:cs="Arial" w:eastAsia="Arial" w:hAnsi="Arial"/>
                <w:sz w:val="13"/>
                <w:szCs w:val="13"/>
                <w:color w:val="auto"/>
                <w:w w:val="88"/>
              </w:rPr>
              <w:t>$—</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190,118</w:t>
            </w:r>
          </w:p>
        </w:tc>
        <w:tc>
          <w:tcPr>
            <w:tcW w:w="120" w:type="dxa"/>
            <w:vAlign w:val="bottom"/>
          </w:tcPr>
          <w:p>
            <w:pPr>
              <w:spacing w:after="0"/>
              <w:rPr>
                <w:sz w:val="16"/>
                <w:szCs w:val="16"/>
                <w:color w:val="auto"/>
              </w:rPr>
            </w:pP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190,118</w:t>
            </w:r>
          </w:p>
        </w:tc>
        <w:tc>
          <w:tcPr>
            <w:tcW w:w="14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89,190</w:t>
            </w:r>
          </w:p>
        </w:tc>
        <w:tc>
          <w:tcPr>
            <w:tcW w:w="140" w:type="dxa"/>
            <w:vAlign w:val="bottom"/>
          </w:tcPr>
          <w:p>
            <w:pPr>
              <w:spacing w:after="0"/>
              <w:rPr>
                <w:sz w:val="16"/>
                <w:szCs w:val="16"/>
                <w:color w:val="auto"/>
              </w:rPr>
            </w:pPr>
          </w:p>
        </w:tc>
        <w:tc>
          <w:tcPr>
            <w:tcW w:w="220" w:type="dxa"/>
            <w:vAlign w:val="bottom"/>
          </w:tcPr>
          <w:p>
            <w:pPr>
              <w:ind w:left="140"/>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80" w:type="dxa"/>
            <w:vAlign w:val="bottom"/>
          </w:tcPr>
          <w:p>
            <w:pPr>
              <w:ind w:left="120"/>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77"/>
              <w:spacing w:after="0"/>
              <w:rPr>
                <w:sz w:val="20"/>
                <w:szCs w:val="20"/>
                <w:color w:val="auto"/>
              </w:rPr>
            </w:pPr>
            <w:r>
              <w:rPr>
                <w:rFonts w:ascii="Arial" w:cs="Arial" w:eastAsia="Arial" w:hAnsi="Arial"/>
                <w:sz w:val="13"/>
                <w:szCs w:val="13"/>
                <w:color w:val="auto"/>
              </w:rPr>
              <w:t>190,118</w:t>
            </w:r>
          </w:p>
        </w:tc>
        <w:tc>
          <w:tcPr>
            <w:tcW w:w="0" w:type="dxa"/>
            <w:vAlign w:val="bottom"/>
          </w:tcPr>
          <w:p>
            <w:pPr>
              <w:spacing w:after="0"/>
              <w:rPr>
                <w:sz w:val="1"/>
                <w:szCs w:val="1"/>
                <w:color w:val="auto"/>
              </w:rPr>
            </w:pPr>
          </w:p>
        </w:tc>
      </w:tr>
      <w:tr>
        <w:trPr>
          <w:trHeight w:val="193"/>
        </w:trPr>
        <w:tc>
          <w:tcPr>
            <w:tcW w:w="1780" w:type="dxa"/>
            <w:vAlign w:val="bottom"/>
            <w:gridSpan w:val="2"/>
          </w:tcPr>
          <w:p>
            <w:pPr>
              <w:ind w:left="20"/>
              <w:spacing w:after="0" w:line="193" w:lineRule="exact"/>
              <w:rPr>
                <w:sz w:val="20"/>
                <w:szCs w:val="20"/>
                <w:color w:val="auto"/>
              </w:rPr>
            </w:pPr>
            <w:r>
              <w:rPr>
                <w:rFonts w:ascii="Arial" w:cs="Arial" w:eastAsia="Arial" w:hAnsi="Arial"/>
                <w:sz w:val="13"/>
                <w:szCs w:val="13"/>
                <w:color w:val="auto"/>
              </w:rPr>
              <w:t>Severance</w:t>
            </w:r>
            <w:r>
              <w:rPr>
                <w:rFonts w:ascii="Arial" w:cs="Arial" w:eastAsia="Arial" w:hAnsi="Arial"/>
                <w:sz w:val="20"/>
                <w:szCs w:val="20"/>
                <w:color w:val="auto"/>
                <w:vertAlign w:val="superscript"/>
              </w:rPr>
              <w:t>(4)</w:t>
            </w:r>
          </w:p>
        </w:tc>
        <w:tc>
          <w:tcPr>
            <w:tcW w:w="960" w:type="dxa"/>
            <w:vAlign w:val="bottom"/>
            <w:gridSpan w:val="2"/>
          </w:tcPr>
          <w:p>
            <w:pPr>
              <w:jc w:val="center"/>
              <w:ind w:right="140"/>
              <w:spacing w:after="0"/>
              <w:rPr>
                <w:sz w:val="20"/>
                <w:szCs w:val="20"/>
                <w:color w:val="auto"/>
              </w:rPr>
            </w:pPr>
            <w:r>
              <w:rPr>
                <w:rFonts w:ascii="Arial" w:cs="Arial" w:eastAsia="Arial" w:hAnsi="Arial"/>
                <w:sz w:val="13"/>
                <w:szCs w:val="13"/>
                <w:color w:val="auto"/>
                <w:w w:val="88"/>
              </w:rPr>
              <w:t>$—</w:t>
            </w:r>
          </w:p>
        </w:tc>
        <w:tc>
          <w:tcPr>
            <w:tcW w:w="820" w:type="dxa"/>
            <w:vAlign w:val="bottom"/>
          </w:tcPr>
          <w:p>
            <w:pPr>
              <w:jc w:val="center"/>
              <w:spacing w:after="0"/>
              <w:rPr>
                <w:sz w:val="20"/>
                <w:szCs w:val="20"/>
                <w:color w:val="auto"/>
              </w:rPr>
            </w:pPr>
            <w:r>
              <w:rPr>
                <w:rFonts w:ascii="Arial" w:cs="Arial" w:eastAsia="Arial" w:hAnsi="Arial"/>
                <w:sz w:val="13"/>
                <w:szCs w:val="13"/>
                <w:color w:val="auto"/>
                <w:w w:val="88"/>
              </w:rPr>
              <w:t>$—</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ind w:left="140"/>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ind w:right="77"/>
              <w:spacing w:after="0"/>
              <w:rPr>
                <w:sz w:val="20"/>
                <w:szCs w:val="20"/>
                <w:color w:val="auto"/>
              </w:rPr>
            </w:pPr>
            <w:r>
              <w:rPr>
                <w:rFonts w:ascii="Arial" w:cs="Arial" w:eastAsia="Arial" w:hAnsi="Arial"/>
                <w:sz w:val="13"/>
                <w:szCs w:val="13"/>
                <w:color w:val="auto"/>
                <w:w w:val="93"/>
              </w:rPr>
              <w:t>547,808</w:t>
            </w:r>
          </w:p>
        </w:tc>
        <w:tc>
          <w:tcPr>
            <w:tcW w:w="140" w:type="dxa"/>
            <w:vAlign w:val="bottom"/>
          </w:tcPr>
          <w:p>
            <w:pPr>
              <w:spacing w:after="0"/>
              <w:rPr>
                <w:sz w:val="16"/>
                <w:szCs w:val="16"/>
                <w:color w:val="auto"/>
              </w:rPr>
            </w:pPr>
          </w:p>
        </w:tc>
        <w:tc>
          <w:tcPr>
            <w:tcW w:w="180" w:type="dxa"/>
            <w:vAlign w:val="bottom"/>
          </w:tcPr>
          <w:p>
            <w:pPr>
              <w:ind w:left="120"/>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57"/>
              <w:spacing w:after="0"/>
              <w:rPr>
                <w:sz w:val="20"/>
                <w:szCs w:val="20"/>
                <w:color w:val="auto"/>
              </w:rPr>
            </w:pPr>
            <w:r>
              <w:rPr>
                <w:rFonts w:ascii="Arial" w:cs="Arial" w:eastAsia="Arial" w:hAnsi="Arial"/>
                <w:sz w:val="13"/>
                <w:szCs w:val="13"/>
                <w:color w:val="auto"/>
                <w:w w:val="93"/>
              </w:rPr>
              <w:t>1,820,000</w:t>
            </w:r>
          </w:p>
        </w:tc>
        <w:tc>
          <w:tcPr>
            <w:tcW w:w="0" w:type="dxa"/>
            <w:vAlign w:val="bottom"/>
          </w:tcPr>
          <w:p>
            <w:pPr>
              <w:spacing w:after="0"/>
              <w:rPr>
                <w:sz w:val="1"/>
                <w:szCs w:val="1"/>
                <w:color w:val="auto"/>
              </w:rPr>
            </w:pPr>
          </w:p>
        </w:tc>
      </w:tr>
      <w:tr>
        <w:trPr>
          <w:trHeight w:val="170"/>
        </w:trPr>
        <w:tc>
          <w:tcPr>
            <w:tcW w:w="1780" w:type="dxa"/>
            <w:vAlign w:val="bottom"/>
            <w:gridSpan w:val="2"/>
          </w:tcPr>
          <w:p>
            <w:pPr>
              <w:ind w:left="20"/>
              <w:spacing w:after="0"/>
              <w:rPr>
                <w:sz w:val="20"/>
                <w:szCs w:val="20"/>
                <w:color w:val="auto"/>
              </w:rPr>
            </w:pPr>
            <w:r>
              <w:rPr>
                <w:rFonts w:ascii="Arial" w:cs="Arial" w:eastAsia="Arial" w:hAnsi="Arial"/>
                <w:sz w:val="13"/>
                <w:szCs w:val="13"/>
                <w:color w:val="auto"/>
              </w:rPr>
              <w:t>Benefit Continuation</w:t>
            </w:r>
          </w:p>
        </w:tc>
        <w:tc>
          <w:tcPr>
            <w:tcW w:w="960" w:type="dxa"/>
            <w:vAlign w:val="bottom"/>
            <w:gridSpan w:val="2"/>
          </w:tcPr>
          <w:p>
            <w:pPr>
              <w:jc w:val="center"/>
              <w:ind w:right="140"/>
              <w:spacing w:after="0"/>
              <w:rPr>
                <w:sz w:val="20"/>
                <w:szCs w:val="20"/>
                <w:color w:val="auto"/>
              </w:rPr>
            </w:pPr>
            <w:r>
              <w:rPr>
                <w:rFonts w:ascii="Arial" w:cs="Arial" w:eastAsia="Arial" w:hAnsi="Arial"/>
                <w:sz w:val="13"/>
                <w:szCs w:val="13"/>
                <w:color w:val="auto"/>
                <w:w w:val="88"/>
              </w:rPr>
              <w:t>$—</w:t>
            </w:r>
          </w:p>
        </w:tc>
        <w:tc>
          <w:tcPr>
            <w:tcW w:w="820" w:type="dxa"/>
            <w:vAlign w:val="bottom"/>
          </w:tcPr>
          <w:p>
            <w:pPr>
              <w:jc w:val="center"/>
              <w:spacing w:after="0"/>
              <w:rPr>
                <w:sz w:val="20"/>
                <w:szCs w:val="20"/>
                <w:color w:val="auto"/>
              </w:rPr>
            </w:pPr>
            <w:r>
              <w:rPr>
                <w:rFonts w:ascii="Arial" w:cs="Arial" w:eastAsia="Arial" w:hAnsi="Arial"/>
                <w:sz w:val="13"/>
                <w:szCs w:val="13"/>
                <w:color w:val="auto"/>
                <w:w w:val="88"/>
              </w:rPr>
              <w:t>$—</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ind w:left="140"/>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80" w:type="dxa"/>
            <w:vAlign w:val="bottom"/>
          </w:tcPr>
          <w:p>
            <w:pPr>
              <w:ind w:left="120"/>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77"/>
              <w:spacing w:after="0"/>
              <w:rPr>
                <w:sz w:val="20"/>
                <w:szCs w:val="20"/>
                <w:color w:val="auto"/>
              </w:rPr>
            </w:pPr>
            <w:r>
              <w:rPr>
                <w:rFonts w:ascii="Arial" w:cs="Arial" w:eastAsia="Arial" w:hAnsi="Arial"/>
                <w:sz w:val="13"/>
                <w:szCs w:val="13"/>
                <w:color w:val="auto"/>
              </w:rPr>
              <w:t>37,616</w:t>
            </w:r>
          </w:p>
        </w:tc>
        <w:tc>
          <w:tcPr>
            <w:tcW w:w="0" w:type="dxa"/>
            <w:vAlign w:val="bottom"/>
          </w:tcPr>
          <w:p>
            <w:pPr>
              <w:spacing w:after="0"/>
              <w:rPr>
                <w:sz w:val="1"/>
                <w:szCs w:val="1"/>
                <w:color w:val="auto"/>
              </w:rPr>
            </w:pPr>
          </w:p>
        </w:tc>
      </w:tr>
      <w:tr>
        <w:trPr>
          <w:trHeight w:val="208"/>
        </w:trPr>
        <w:tc>
          <w:tcPr>
            <w:tcW w:w="1780" w:type="dxa"/>
            <w:vAlign w:val="bottom"/>
            <w:gridSpan w:val="2"/>
          </w:tcPr>
          <w:p>
            <w:pPr>
              <w:ind w:left="20"/>
              <w:spacing w:after="0" w:line="208" w:lineRule="exact"/>
              <w:rPr>
                <w:sz w:val="20"/>
                <w:szCs w:val="20"/>
                <w:color w:val="auto"/>
              </w:rPr>
            </w:pPr>
            <w:r>
              <w:rPr>
                <w:rFonts w:ascii="Arial" w:cs="Arial" w:eastAsia="Arial" w:hAnsi="Arial"/>
                <w:sz w:val="13"/>
                <w:szCs w:val="13"/>
                <w:color w:val="auto"/>
              </w:rPr>
              <w:t>Accelerated RSUs</w:t>
            </w:r>
            <w:r>
              <w:rPr>
                <w:rFonts w:ascii="Arial" w:cs="Arial" w:eastAsia="Arial" w:hAnsi="Arial"/>
                <w:sz w:val="20"/>
                <w:szCs w:val="20"/>
                <w:color w:val="auto"/>
                <w:vertAlign w:val="superscript"/>
              </w:rPr>
              <w:t>(5)</w:t>
            </w:r>
          </w:p>
        </w:tc>
        <w:tc>
          <w:tcPr>
            <w:tcW w:w="960" w:type="dxa"/>
            <w:vAlign w:val="bottom"/>
            <w:gridSpan w:val="2"/>
          </w:tcPr>
          <w:p>
            <w:pPr>
              <w:jc w:val="center"/>
              <w:ind w:right="140"/>
              <w:spacing w:after="0"/>
              <w:rPr>
                <w:sz w:val="20"/>
                <w:szCs w:val="20"/>
                <w:color w:val="auto"/>
              </w:rPr>
            </w:pPr>
            <w:r>
              <w:rPr>
                <w:rFonts w:ascii="Arial" w:cs="Arial" w:eastAsia="Arial" w:hAnsi="Arial"/>
                <w:sz w:val="13"/>
                <w:szCs w:val="13"/>
                <w:color w:val="auto"/>
                <w:w w:val="88"/>
              </w:rPr>
              <w:t>$—</w:t>
            </w:r>
          </w:p>
        </w:tc>
        <w:tc>
          <w:tcPr>
            <w:tcW w:w="820" w:type="dxa"/>
            <w:vAlign w:val="bottom"/>
          </w:tcPr>
          <w:p>
            <w:pPr>
              <w:jc w:val="center"/>
              <w:spacing w:after="0"/>
              <w:rPr>
                <w:sz w:val="20"/>
                <w:szCs w:val="20"/>
                <w:color w:val="auto"/>
              </w:rPr>
            </w:pPr>
            <w:r>
              <w:rPr>
                <w:rFonts w:ascii="Arial" w:cs="Arial" w:eastAsia="Arial" w:hAnsi="Arial"/>
                <w:sz w:val="13"/>
                <w:szCs w:val="13"/>
                <w:color w:val="auto"/>
                <w:w w:val="88"/>
              </w:rPr>
              <w:t>$—</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w w:val="93"/>
              </w:rPr>
              <w:t>1,514,549</w:t>
            </w:r>
          </w:p>
        </w:tc>
        <w:tc>
          <w:tcPr>
            <w:tcW w:w="120" w:type="dxa"/>
            <w:vAlign w:val="bottom"/>
          </w:tcPr>
          <w:p>
            <w:pPr>
              <w:spacing w:after="0"/>
              <w:rPr>
                <w:sz w:val="18"/>
                <w:szCs w:val="18"/>
                <w:color w:val="auto"/>
              </w:rPr>
            </w:pP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3"/>
                <w:szCs w:val="13"/>
                <w:color w:val="auto"/>
                <w:w w:val="93"/>
              </w:rPr>
              <w:t>1,514,549</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w w:val="93"/>
              </w:rPr>
              <w:t>1,171,227</w:t>
            </w:r>
          </w:p>
        </w:tc>
        <w:tc>
          <w:tcPr>
            <w:tcW w:w="140" w:type="dxa"/>
            <w:vAlign w:val="bottom"/>
          </w:tcPr>
          <w:p>
            <w:pPr>
              <w:spacing w:after="0"/>
              <w:rPr>
                <w:sz w:val="18"/>
                <w:szCs w:val="18"/>
                <w:color w:val="auto"/>
              </w:rPr>
            </w:pPr>
          </w:p>
        </w:tc>
        <w:tc>
          <w:tcPr>
            <w:tcW w:w="220" w:type="dxa"/>
            <w:vAlign w:val="bottom"/>
          </w:tcPr>
          <w:p>
            <w:pPr>
              <w:ind w:left="140"/>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80" w:type="dxa"/>
            <w:vAlign w:val="bottom"/>
          </w:tcPr>
          <w:p>
            <w:pPr>
              <w:ind w:left="120"/>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57"/>
              <w:spacing w:after="0"/>
              <w:rPr>
                <w:sz w:val="20"/>
                <w:szCs w:val="20"/>
                <w:color w:val="auto"/>
              </w:rPr>
            </w:pPr>
            <w:r>
              <w:rPr>
                <w:rFonts w:ascii="Arial" w:cs="Arial" w:eastAsia="Arial" w:hAnsi="Arial"/>
                <w:sz w:val="13"/>
                <w:szCs w:val="13"/>
                <w:color w:val="auto"/>
                <w:w w:val="93"/>
              </w:rPr>
              <w:t>1,514,549</w:t>
            </w:r>
          </w:p>
        </w:tc>
        <w:tc>
          <w:tcPr>
            <w:tcW w:w="0" w:type="dxa"/>
            <w:vAlign w:val="bottom"/>
          </w:tcPr>
          <w:p>
            <w:pPr>
              <w:spacing w:after="0"/>
              <w:rPr>
                <w:sz w:val="1"/>
                <w:szCs w:val="1"/>
                <w:color w:val="auto"/>
              </w:rPr>
            </w:pPr>
          </w:p>
        </w:tc>
      </w:tr>
      <w:tr>
        <w:trPr>
          <w:trHeight w:val="131"/>
        </w:trPr>
        <w:tc>
          <w:tcPr>
            <w:tcW w:w="1780" w:type="dxa"/>
            <w:vAlign w:val="bottom"/>
            <w:gridSpan w:val="2"/>
          </w:tcPr>
          <w:p>
            <w:pPr>
              <w:ind w:left="20"/>
              <w:spacing w:after="0" w:line="131" w:lineRule="exact"/>
              <w:rPr>
                <w:sz w:val="20"/>
                <w:szCs w:val="20"/>
                <w:color w:val="auto"/>
              </w:rPr>
            </w:pPr>
            <w:r>
              <w:rPr>
                <w:rFonts w:ascii="Arial" w:cs="Arial" w:eastAsia="Arial" w:hAnsi="Arial"/>
                <w:sz w:val="13"/>
                <w:szCs w:val="13"/>
                <w:color w:val="auto"/>
              </w:rPr>
              <w:t>Accelerated Performance</w:t>
            </w:r>
          </w:p>
        </w:tc>
        <w:tc>
          <w:tcPr>
            <w:tcW w:w="960" w:type="dxa"/>
            <w:vAlign w:val="bottom"/>
            <w:gridSpan w:val="2"/>
            <w:vMerge w:val="restart"/>
          </w:tcPr>
          <w:p>
            <w:pPr>
              <w:jc w:val="center"/>
              <w:ind w:right="140"/>
              <w:spacing w:after="0"/>
              <w:rPr>
                <w:sz w:val="20"/>
                <w:szCs w:val="20"/>
                <w:color w:val="auto"/>
              </w:rPr>
            </w:pPr>
            <w:r>
              <w:rPr>
                <w:rFonts w:ascii="Arial" w:cs="Arial" w:eastAsia="Arial" w:hAnsi="Arial"/>
                <w:sz w:val="13"/>
                <w:szCs w:val="13"/>
                <w:color w:val="auto"/>
                <w:w w:val="88"/>
              </w:rPr>
              <w:t>$—</w:t>
            </w:r>
          </w:p>
        </w:tc>
        <w:tc>
          <w:tcPr>
            <w:tcW w:w="820" w:type="dxa"/>
            <w:vAlign w:val="bottom"/>
            <w:vMerge w:val="restart"/>
          </w:tcPr>
          <w:p>
            <w:pPr>
              <w:jc w:val="center"/>
              <w:spacing w:after="0"/>
              <w:rPr>
                <w:sz w:val="20"/>
                <w:szCs w:val="20"/>
                <w:color w:val="auto"/>
              </w:rPr>
            </w:pPr>
            <w:r>
              <w:rPr>
                <w:rFonts w:ascii="Arial" w:cs="Arial" w:eastAsia="Arial" w:hAnsi="Arial"/>
                <w:sz w:val="13"/>
                <w:szCs w:val="13"/>
                <w:color w:val="auto"/>
                <w:w w:val="88"/>
              </w:rPr>
              <w:t>$—</w:t>
            </w:r>
          </w:p>
        </w:tc>
        <w:tc>
          <w:tcPr>
            <w:tcW w:w="22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w w:val="93"/>
              </w:rPr>
              <w:t>1,553,772</w:t>
            </w:r>
          </w:p>
        </w:tc>
        <w:tc>
          <w:tcPr>
            <w:tcW w:w="120" w:type="dxa"/>
            <w:vAlign w:val="bottom"/>
          </w:tcPr>
          <w:p>
            <w:pPr>
              <w:spacing w:after="0"/>
              <w:rPr>
                <w:sz w:val="11"/>
                <w:szCs w:val="11"/>
                <w:color w:val="auto"/>
              </w:rPr>
            </w:pPr>
          </w:p>
        </w:tc>
        <w:tc>
          <w:tcPr>
            <w:tcW w:w="80" w:type="dxa"/>
            <w:vAlign w:val="bottom"/>
            <w:vMerge w:val="restart"/>
          </w:tcPr>
          <w:p>
            <w:pPr>
              <w:ind w:left="20"/>
              <w:spacing w:after="0"/>
              <w:rPr>
                <w:sz w:val="20"/>
                <w:szCs w:val="20"/>
                <w:color w:val="auto"/>
              </w:rPr>
            </w:pPr>
            <w:r>
              <w:rPr>
                <w:rFonts w:ascii="Arial" w:cs="Arial" w:eastAsia="Arial" w:hAnsi="Arial"/>
                <w:sz w:val="10"/>
                <w:szCs w:val="10"/>
                <w:color w:val="auto"/>
                <w:w w:val="71"/>
              </w:rPr>
              <w:t>$</w:t>
            </w: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w w:val="93"/>
              </w:rPr>
              <w:t>1,553,772</w:t>
            </w:r>
          </w:p>
        </w:tc>
        <w:tc>
          <w:tcPr>
            <w:tcW w:w="14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867,032</w:t>
            </w:r>
          </w:p>
        </w:tc>
        <w:tc>
          <w:tcPr>
            <w:tcW w:w="140" w:type="dxa"/>
            <w:vAlign w:val="bottom"/>
          </w:tcPr>
          <w:p>
            <w:pPr>
              <w:spacing w:after="0"/>
              <w:rPr>
                <w:sz w:val="11"/>
                <w:szCs w:val="11"/>
                <w:color w:val="auto"/>
              </w:rPr>
            </w:pPr>
          </w:p>
        </w:tc>
        <w:tc>
          <w:tcPr>
            <w:tcW w:w="220" w:type="dxa"/>
            <w:vAlign w:val="bottom"/>
            <w:vMerge w:val="restart"/>
          </w:tcPr>
          <w:p>
            <w:pPr>
              <w:ind w:left="140"/>
              <w:spacing w:after="0"/>
              <w:rPr>
                <w:sz w:val="20"/>
                <w:szCs w:val="20"/>
                <w:color w:val="auto"/>
              </w:rPr>
            </w:pPr>
            <w:r>
              <w:rPr>
                <w:rFonts w:ascii="Arial" w:cs="Arial" w:eastAsia="Arial" w:hAnsi="Arial"/>
                <w:sz w:val="13"/>
                <w:szCs w:val="13"/>
                <w:color w:val="auto"/>
                <w:w w:val="82"/>
              </w:rPr>
              <w:t>$</w:t>
            </w:r>
          </w:p>
        </w:tc>
        <w:tc>
          <w:tcPr>
            <w:tcW w:w="740" w:type="dxa"/>
            <w:vAlign w:val="bottom"/>
            <w:gridSpan w:val="2"/>
            <w:vMerge w:val="restart"/>
          </w:tcPr>
          <w:p>
            <w:pPr>
              <w:jc w:val="right"/>
              <w:ind w:right="300"/>
              <w:spacing w:after="0"/>
              <w:rPr>
                <w:sz w:val="20"/>
                <w:szCs w:val="20"/>
                <w:color w:val="auto"/>
              </w:rPr>
            </w:pPr>
            <w:r>
              <w:rPr>
                <w:rFonts w:ascii="Arial" w:cs="Arial" w:eastAsia="Arial" w:hAnsi="Arial"/>
                <w:sz w:val="13"/>
                <w:szCs w:val="13"/>
                <w:color w:val="auto"/>
              </w:rPr>
              <w:t>—</w:t>
            </w:r>
          </w:p>
        </w:tc>
        <w:tc>
          <w:tcPr>
            <w:tcW w:w="180" w:type="dxa"/>
            <w:vAlign w:val="bottom"/>
            <w:vMerge w:val="restart"/>
          </w:tcPr>
          <w:p>
            <w:pPr>
              <w:ind w:left="120"/>
              <w:spacing w:after="0"/>
              <w:rPr>
                <w:sz w:val="20"/>
                <w:szCs w:val="20"/>
                <w:color w:val="auto"/>
              </w:rPr>
            </w:pPr>
            <w:r>
              <w:rPr>
                <w:rFonts w:ascii="Arial" w:cs="Arial" w:eastAsia="Arial" w:hAnsi="Arial"/>
                <w:sz w:val="10"/>
                <w:szCs w:val="10"/>
                <w:color w:val="auto"/>
                <w:w w:val="71"/>
              </w:rPr>
              <w:t>$</w:t>
            </w:r>
          </w:p>
        </w:tc>
        <w:tc>
          <w:tcPr>
            <w:tcW w:w="70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3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80" w:type="dxa"/>
            <w:vAlign w:val="bottom"/>
            <w:vMerge w:val="restart"/>
          </w:tcPr>
          <w:p>
            <w:pPr>
              <w:jc w:val="right"/>
              <w:ind w:right="177"/>
              <w:spacing w:after="0"/>
              <w:rPr>
                <w:sz w:val="20"/>
                <w:szCs w:val="20"/>
                <w:color w:val="auto"/>
              </w:rPr>
            </w:pPr>
            <w:r>
              <w:rPr>
                <w:rFonts w:ascii="Arial" w:cs="Arial" w:eastAsia="Arial" w:hAnsi="Arial"/>
                <w:sz w:val="13"/>
                <w:szCs w:val="13"/>
                <w:color w:val="auto"/>
              </w:rPr>
              <w:t>316,854</w:t>
            </w:r>
          </w:p>
        </w:tc>
        <w:tc>
          <w:tcPr>
            <w:tcW w:w="0" w:type="dxa"/>
            <w:vAlign w:val="bottom"/>
          </w:tcPr>
          <w:p>
            <w:pPr>
              <w:spacing w:after="0"/>
              <w:rPr>
                <w:sz w:val="1"/>
                <w:szCs w:val="1"/>
                <w:color w:val="auto"/>
              </w:rPr>
            </w:pPr>
          </w:p>
        </w:tc>
      </w:tr>
      <w:tr>
        <w:trPr>
          <w:trHeight w:val="281"/>
        </w:trPr>
        <w:tc>
          <w:tcPr>
            <w:tcW w:w="1780" w:type="dxa"/>
            <w:vAlign w:val="bottom"/>
            <w:gridSpan w:val="2"/>
          </w:tcPr>
          <w:p>
            <w:pPr>
              <w:ind w:left="200"/>
              <w:spacing w:after="0"/>
              <w:rPr>
                <w:sz w:val="20"/>
                <w:szCs w:val="20"/>
                <w:color w:val="auto"/>
              </w:rPr>
            </w:pPr>
            <w:r>
              <w:rPr>
                <w:rFonts w:ascii="Arial" w:cs="Arial" w:eastAsia="Arial" w:hAnsi="Arial"/>
                <w:sz w:val="13"/>
                <w:szCs w:val="13"/>
                <w:color w:val="auto"/>
              </w:rPr>
              <w:t>RSUs (PRSUs)</w:t>
            </w:r>
            <w:r>
              <w:rPr>
                <w:rFonts w:ascii="Arial" w:cs="Arial" w:eastAsia="Arial" w:hAnsi="Arial"/>
                <w:sz w:val="20"/>
                <w:szCs w:val="20"/>
                <w:color w:val="auto"/>
                <w:vertAlign w:val="superscript"/>
              </w:rPr>
              <w:t>(6)</w:t>
            </w:r>
          </w:p>
        </w:tc>
        <w:tc>
          <w:tcPr>
            <w:tcW w:w="960" w:type="dxa"/>
            <w:vAlign w:val="bottom"/>
            <w:gridSpan w:val="2"/>
            <w:vMerge w:val="continue"/>
          </w:tcPr>
          <w:p>
            <w:pPr>
              <w:spacing w:after="0"/>
              <w:rPr>
                <w:sz w:val="24"/>
                <w:szCs w:val="24"/>
                <w:color w:val="auto"/>
              </w:rPr>
            </w:pPr>
          </w:p>
        </w:tc>
        <w:tc>
          <w:tcPr>
            <w:tcW w:w="820" w:type="dxa"/>
            <w:vAlign w:val="bottom"/>
            <w:vMerge w:val="continue"/>
          </w:tcPr>
          <w:p>
            <w:pPr>
              <w:spacing w:after="0"/>
              <w:rPr>
                <w:sz w:val="24"/>
                <w:szCs w:val="24"/>
                <w:color w:val="auto"/>
              </w:rPr>
            </w:pPr>
          </w:p>
        </w:tc>
        <w:tc>
          <w:tcPr>
            <w:tcW w:w="220" w:type="dxa"/>
            <w:vAlign w:val="bottom"/>
            <w:gridSpan w:val="2"/>
            <w:vMerge w:val="continue"/>
          </w:tcPr>
          <w:p>
            <w:pPr>
              <w:spacing w:after="0"/>
              <w:rPr>
                <w:sz w:val="24"/>
                <w:szCs w:val="24"/>
                <w:color w:val="auto"/>
              </w:rPr>
            </w:pPr>
          </w:p>
        </w:tc>
        <w:tc>
          <w:tcPr>
            <w:tcW w:w="5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vMerge w:val="continue"/>
          </w:tcPr>
          <w:p>
            <w:pPr>
              <w:spacing w:after="0"/>
              <w:rPr>
                <w:sz w:val="24"/>
                <w:szCs w:val="24"/>
                <w:color w:val="auto"/>
              </w:rPr>
            </w:pPr>
          </w:p>
        </w:tc>
        <w:tc>
          <w:tcPr>
            <w:tcW w:w="5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vMerge w:val="continue"/>
          </w:tcPr>
          <w:p>
            <w:pPr>
              <w:spacing w:after="0"/>
              <w:rPr>
                <w:sz w:val="24"/>
                <w:szCs w:val="24"/>
                <w:color w:val="auto"/>
              </w:rPr>
            </w:pPr>
          </w:p>
        </w:tc>
        <w:tc>
          <w:tcPr>
            <w:tcW w:w="6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vMerge w:val="continue"/>
          </w:tcPr>
          <w:p>
            <w:pPr>
              <w:spacing w:after="0"/>
              <w:rPr>
                <w:sz w:val="24"/>
                <w:szCs w:val="24"/>
                <w:color w:val="auto"/>
              </w:rPr>
            </w:pPr>
          </w:p>
        </w:tc>
        <w:tc>
          <w:tcPr>
            <w:tcW w:w="740" w:type="dxa"/>
            <w:vAlign w:val="bottom"/>
            <w:gridSpan w:val="2"/>
            <w:vMerge w:val="continue"/>
          </w:tcPr>
          <w:p>
            <w:pPr>
              <w:spacing w:after="0"/>
              <w:rPr>
                <w:sz w:val="24"/>
                <w:szCs w:val="24"/>
                <w:color w:val="auto"/>
              </w:rPr>
            </w:pPr>
          </w:p>
        </w:tc>
        <w:tc>
          <w:tcPr>
            <w:tcW w:w="180" w:type="dxa"/>
            <w:vAlign w:val="bottom"/>
            <w:vMerge w:val="continue"/>
          </w:tcPr>
          <w:p>
            <w:pPr>
              <w:spacing w:after="0"/>
              <w:rPr>
                <w:sz w:val="24"/>
                <w:szCs w:val="24"/>
                <w:color w:val="auto"/>
              </w:rPr>
            </w:pPr>
          </w:p>
        </w:tc>
        <w:tc>
          <w:tcPr>
            <w:tcW w:w="700" w:type="dxa"/>
            <w:vAlign w:val="bottom"/>
            <w:gridSpan w:val="2"/>
            <w:vMerge w:val="continue"/>
          </w:tcPr>
          <w:p>
            <w:pPr>
              <w:spacing w:after="0"/>
              <w:rPr>
                <w:sz w:val="24"/>
                <w:szCs w:val="24"/>
                <w:color w:val="auto"/>
              </w:rPr>
            </w:pPr>
          </w:p>
        </w:tc>
        <w:tc>
          <w:tcPr>
            <w:tcW w:w="300" w:type="dxa"/>
            <w:vAlign w:val="bottom"/>
            <w:vMerge w:val="continue"/>
          </w:tcPr>
          <w:p>
            <w:pPr>
              <w:spacing w:after="0"/>
              <w:rPr>
                <w:sz w:val="24"/>
                <w:szCs w:val="24"/>
                <w:color w:val="auto"/>
              </w:rPr>
            </w:pPr>
          </w:p>
        </w:tc>
        <w:tc>
          <w:tcPr>
            <w:tcW w:w="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52070</wp:posOffset>
            </wp:positionV>
            <wp:extent cx="82296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70" w:lineRule="exact"/>
        <w:rPr>
          <w:sz w:val="20"/>
          <w:szCs w:val="20"/>
          <w:color w:val="auto"/>
        </w:rPr>
      </w:pPr>
    </w:p>
    <w:p>
      <w:pPr>
        <w:ind w:left="346" w:right="60" w:hanging="346"/>
        <w:spacing w:after="0" w:line="249" w:lineRule="auto"/>
        <w:tabs>
          <w:tab w:leader="none" w:pos="346" w:val="left"/>
        </w:tabs>
        <w:numPr>
          <w:ilvl w:val="0"/>
          <w:numId w:val="60"/>
        </w:numPr>
        <w:rPr>
          <w:rFonts w:ascii="Arial" w:cs="Arial" w:eastAsia="Arial" w:hAnsi="Arial"/>
          <w:sz w:val="14"/>
          <w:szCs w:val="14"/>
          <w:color w:val="auto"/>
        </w:rPr>
      </w:pPr>
      <w:r>
        <w:rPr>
          <w:rFonts w:ascii="Arial" w:cs="Arial" w:eastAsia="Arial" w:hAnsi="Arial"/>
          <w:sz w:val="14"/>
          <w:szCs w:val="14"/>
          <w:color w:val="auto"/>
        </w:rPr>
        <w:t>The above table does not include amounts under our Executive Deferred Compensation Plan, stock option awards that are fully vested, earned salary, and accrued vacation as those items are earned and due to the employee regardless of such termination or change-in-control events. It also does not include amounts payable under life insurance coverage, our accidental death &amp; dismemberment coverage or our business travel accident coverage, which are programs available to all employees. Under the change-in-control agreement with this executive the term is 24 months following a change-in-control and the severance payment is equal to 2 times the sum of the executive's base salary and target annual bonus. Each form of payment is mutually exclusive based on the individual circumstances or events and therefore represents a single payment and should not be added together.</w:t>
      </w:r>
    </w:p>
    <w:p>
      <w:pPr>
        <w:spacing w:after="0" w:line="32" w:lineRule="exact"/>
        <w:rPr>
          <w:rFonts w:ascii="Arial" w:cs="Arial" w:eastAsia="Arial" w:hAnsi="Arial"/>
          <w:sz w:val="14"/>
          <w:szCs w:val="14"/>
          <w:color w:val="auto"/>
        </w:rPr>
      </w:pPr>
    </w:p>
    <w:p>
      <w:pPr>
        <w:ind w:left="346" w:right="40" w:hanging="346"/>
        <w:spacing w:after="0" w:line="266" w:lineRule="auto"/>
        <w:tabs>
          <w:tab w:leader="none" w:pos="346" w:val="left"/>
        </w:tabs>
        <w:numPr>
          <w:ilvl w:val="0"/>
          <w:numId w:val="60"/>
        </w:numPr>
        <w:rPr>
          <w:rFonts w:ascii="Arial" w:cs="Arial" w:eastAsia="Arial" w:hAnsi="Arial"/>
          <w:sz w:val="14"/>
          <w:szCs w:val="14"/>
          <w:color w:val="auto"/>
        </w:rPr>
      </w:pPr>
      <w:r>
        <w:rPr>
          <w:rFonts w:ascii="Arial" w:cs="Arial" w:eastAsia="Arial" w:hAnsi="Arial"/>
          <w:sz w:val="14"/>
          <w:szCs w:val="14"/>
          <w:color w:val="auto"/>
        </w:rPr>
        <w:t>Pursuant to our change-in-control agreement with this executive, the annual bonus payable in the event of termination following a change-in-control is the greater of target or the actual amount earned. The annual incentive plan did not pay out in 2020, so the value represents the target bonus opportunity.</w:t>
      </w:r>
    </w:p>
    <w:p>
      <w:pPr>
        <w:spacing w:after="0" w:line="31" w:lineRule="exact"/>
        <w:rPr>
          <w:rFonts w:ascii="Arial" w:cs="Arial" w:eastAsia="Arial" w:hAnsi="Arial"/>
          <w:sz w:val="14"/>
          <w:szCs w:val="14"/>
          <w:color w:val="auto"/>
        </w:rPr>
      </w:pPr>
    </w:p>
    <w:p>
      <w:pPr>
        <w:ind w:left="346" w:right="20" w:hanging="346"/>
        <w:spacing w:after="0" w:line="249" w:lineRule="auto"/>
        <w:tabs>
          <w:tab w:leader="none" w:pos="346" w:val="left"/>
        </w:tabs>
        <w:numPr>
          <w:ilvl w:val="0"/>
          <w:numId w:val="60"/>
        </w:numPr>
        <w:rPr>
          <w:rFonts w:ascii="Arial" w:cs="Arial" w:eastAsia="Arial" w:hAnsi="Arial"/>
          <w:sz w:val="14"/>
          <w:szCs w:val="14"/>
          <w:color w:val="auto"/>
        </w:rPr>
      </w:pPr>
      <w:r>
        <w:rPr>
          <w:rFonts w:ascii="Arial" w:cs="Arial" w:eastAsia="Arial" w:hAnsi="Arial"/>
          <w:sz w:val="14"/>
          <w:szCs w:val="14"/>
          <w:color w:val="auto"/>
        </w:rPr>
        <w:t>Represents in-the-money value of accelerated stock options based on the closing price of our common stock on December 31, 2020 ($95.90). For the awards in fiscal 2018, upon a termination due to retirement after 18 months from the grant date, stock options will continue to vest subject to non-compete/non-solicit and reasonable notice restrictions. For the awards in fiscal 2020, upon a termination due to retirement after the first anniversary of the grant date, stock options will continue to vest subject to non-compete/non-solicit and reasonable notice restrictions. 2020 awards are assumed forfeited, as retirement at December 31, 2020 is before the first anniversary from the grant date. Upon a change-in-control, stock options will accelerate only if they are not assumed or substituted, and otherwise provide for a double trigger; values presume that the acquirer assumes outstanding stock options.</w:t>
      </w:r>
    </w:p>
    <w:p>
      <w:pPr>
        <w:spacing w:after="0" w:line="32" w:lineRule="exact"/>
        <w:rPr>
          <w:rFonts w:ascii="Arial" w:cs="Arial" w:eastAsia="Arial" w:hAnsi="Arial"/>
          <w:sz w:val="14"/>
          <w:szCs w:val="14"/>
          <w:color w:val="auto"/>
        </w:rPr>
      </w:pPr>
    </w:p>
    <w:p>
      <w:pPr>
        <w:ind w:left="346" w:hanging="346"/>
        <w:spacing w:after="0" w:line="266" w:lineRule="auto"/>
        <w:tabs>
          <w:tab w:leader="none" w:pos="346" w:val="left"/>
        </w:tabs>
        <w:numPr>
          <w:ilvl w:val="0"/>
          <w:numId w:val="60"/>
        </w:numPr>
        <w:rPr>
          <w:rFonts w:ascii="Arial" w:cs="Arial" w:eastAsia="Arial" w:hAnsi="Arial"/>
          <w:sz w:val="14"/>
          <w:szCs w:val="14"/>
          <w:color w:val="auto"/>
        </w:rPr>
      </w:pPr>
      <w:r>
        <w:rPr>
          <w:rFonts w:ascii="Arial" w:cs="Arial" w:eastAsia="Arial" w:hAnsi="Arial"/>
          <w:sz w:val="14"/>
          <w:szCs w:val="14"/>
          <w:color w:val="auto"/>
        </w:rPr>
        <w:t>Effective April 29, 2014, the Executive Officer Severance Pay Policy provides an executive officer, who is terminated involuntarily, a severance payment equal to 1 times base salary plus one year of continued benefits and outplacement. The change-in-control agreements provide for a severance payment equal to 2 times the sum of base salary and target annual bonus.</w:t>
      </w:r>
    </w:p>
    <w:p>
      <w:pPr>
        <w:spacing w:after="0" w:line="18" w:lineRule="exact"/>
        <w:rPr>
          <w:rFonts w:ascii="Arial" w:cs="Arial" w:eastAsia="Arial" w:hAnsi="Arial"/>
          <w:sz w:val="14"/>
          <w:szCs w:val="14"/>
          <w:color w:val="auto"/>
        </w:rPr>
      </w:pPr>
    </w:p>
    <w:p>
      <w:pPr>
        <w:ind w:left="346" w:right="80" w:hanging="346"/>
        <w:spacing w:after="0" w:line="254" w:lineRule="auto"/>
        <w:tabs>
          <w:tab w:leader="none" w:pos="346" w:val="left"/>
        </w:tabs>
        <w:numPr>
          <w:ilvl w:val="0"/>
          <w:numId w:val="60"/>
        </w:numPr>
        <w:rPr>
          <w:rFonts w:ascii="Arial" w:cs="Arial" w:eastAsia="Arial" w:hAnsi="Arial"/>
          <w:sz w:val="14"/>
          <w:szCs w:val="14"/>
          <w:color w:val="auto"/>
        </w:rPr>
      </w:pPr>
      <w:r>
        <w:rPr>
          <w:rFonts w:ascii="Arial" w:cs="Arial" w:eastAsia="Arial" w:hAnsi="Arial"/>
          <w:sz w:val="14"/>
          <w:szCs w:val="14"/>
          <w:color w:val="auto"/>
        </w:rPr>
        <w:t>For the time-vested RSUs, upon termination due to death or disability, represents the accelerated value of the RSUs based on the closing price of our common stock on December 31, 2020 ($95.90). For the awards in fiscal 2018, upon a termination due to retirement after</w:t>
      </w:r>
    </w:p>
    <w:p>
      <w:pPr>
        <w:spacing w:after="0" w:line="1" w:lineRule="exact"/>
        <w:rPr>
          <w:rFonts w:ascii="Arial" w:cs="Arial" w:eastAsia="Arial" w:hAnsi="Arial"/>
          <w:sz w:val="14"/>
          <w:szCs w:val="14"/>
          <w:color w:val="auto"/>
        </w:rPr>
      </w:pPr>
    </w:p>
    <w:p>
      <w:pPr>
        <w:ind w:left="346" w:right="200"/>
        <w:spacing w:after="0" w:line="247" w:lineRule="auto"/>
        <w:rPr>
          <w:rFonts w:ascii="Arial" w:cs="Arial" w:eastAsia="Arial" w:hAnsi="Arial"/>
          <w:sz w:val="14"/>
          <w:szCs w:val="14"/>
          <w:color w:val="auto"/>
        </w:rPr>
      </w:pPr>
      <w:r>
        <w:rPr>
          <w:rFonts w:ascii="Arial" w:cs="Arial" w:eastAsia="Arial" w:hAnsi="Arial"/>
          <w:sz w:val="14"/>
          <w:szCs w:val="14"/>
          <w:color w:val="auto"/>
        </w:rPr>
        <w:t>18 months from the grant date, RSUs will continue to vest subject to non-compete/non-solicit and reasonable notice restrictions. For the awards in fiscal 2019 and 2020, upon a termination due to retirement after the first anniversary of the grant date, RSUs will continue to vest subject to non-compete/non-solicit and reasonable notice restrictions. 2020 awards are assumed forfeited, as retirement at December 31, 2020 is before the first anniversary of the grant date. Upon a change-in-control only (single trigger), RSUs that are not assumed by an acquirer will accelerate; values presume that the acquirer assumes applicable outstanding RSUs.</w:t>
      </w:r>
    </w:p>
    <w:p>
      <w:pPr>
        <w:spacing w:after="0" w:line="44" w:lineRule="exact"/>
        <w:rPr>
          <w:rFonts w:ascii="Arial" w:cs="Arial" w:eastAsia="Arial" w:hAnsi="Arial"/>
          <w:sz w:val="14"/>
          <w:szCs w:val="14"/>
          <w:color w:val="auto"/>
        </w:rPr>
      </w:pPr>
    </w:p>
    <w:p>
      <w:pPr>
        <w:ind w:left="346" w:right="40" w:hanging="346"/>
        <w:spacing w:after="0" w:line="245" w:lineRule="auto"/>
        <w:tabs>
          <w:tab w:leader="none" w:pos="346" w:val="left"/>
        </w:tabs>
        <w:numPr>
          <w:ilvl w:val="0"/>
          <w:numId w:val="60"/>
        </w:numPr>
        <w:rPr>
          <w:rFonts w:ascii="Arial" w:cs="Arial" w:eastAsia="Arial" w:hAnsi="Arial"/>
          <w:sz w:val="14"/>
          <w:szCs w:val="14"/>
          <w:color w:val="auto"/>
        </w:rPr>
      </w:pPr>
      <w:r>
        <w:rPr>
          <w:rFonts w:ascii="Arial" w:cs="Arial" w:eastAsia="Arial" w:hAnsi="Arial"/>
          <w:sz w:val="14"/>
          <w:szCs w:val="14"/>
          <w:color w:val="auto"/>
        </w:rPr>
        <w:t>Upon a termination due to death or disability, awards will vest based on actual performance at the conclusion of the performance periods. Shares continue to vest through the year of death or disability and all unvested shares are accelerated. Fiscal 2019 and 2020 values assume target performance will be achieved. For the awards granted in fiscal 2018, upon a termination due to retirement after 18 months from the grant date, awards will vest in full based on actual performance at the end of the performance period (no pro-rated payout). For the awards granted in fiscal 2019 and 2020, upon a termination due to retirement after the first anniversary of the grant date, awards will vest in full based on actual performance at the end of the performance period (no pro-rated payout). 2020 awards are assumed forfeited, as retirement at December 31, 2020 is before the first anniversary of the grant date. Pursuant to our award agreements with this executive the PRSUs outstanding as of the change-in-control will be vested at the greater of target or actual performance for the year, and pro-rated based on the number of calendar days between the beginning of the performance period and the change-in-control. Upon a change-in-control only (single trigger), PRSUs that are not assumed by an acquirer will accelerate; values presume that the acquirer assumes applicable outstanding PRSUs. As of December 31, 2020, two three-year performance cycles (2019-2021 and 2020-2022) are not yet complete and target payouts are used. For the 2018-2020 performance cycle, actual payouts were less than target. Upon a termination following a change-in-control, value represents the incremental difference in values between target and actual performance (e.g. no value for cycles where actual payouts are greater than or equal to target amounts). Values are based on the closing price of our common stock on December 31, 2020 ($95.90).</w:t>
      </w:r>
    </w:p>
    <w:p>
      <w:pPr>
        <w:sectPr>
          <w:pgSz w:w="11900" w:h="16838" w:orient="portrait"/>
          <w:cols w:equalWidth="0" w:num="1">
            <w:col w:w="9166"/>
          </w:cols>
          <w:pgMar w:left="1354" w:top="263" w:right="1379" w:bottom="1440" w:gutter="0" w:footer="0" w:header="0"/>
        </w:sectPr>
      </w:pPr>
    </w:p>
    <w:p>
      <w:pPr>
        <w:spacing w:after="0" w:line="200" w:lineRule="exact"/>
        <w:rPr>
          <w:sz w:val="20"/>
          <w:szCs w:val="20"/>
          <w:color w:val="auto"/>
        </w:rPr>
      </w:pPr>
    </w:p>
    <w:p>
      <w:pPr>
        <w:spacing w:after="0" w:line="244" w:lineRule="exact"/>
        <w:rPr>
          <w:sz w:val="20"/>
          <w:szCs w:val="20"/>
          <w:color w:val="auto"/>
        </w:rPr>
      </w:pPr>
    </w:p>
    <w:p>
      <w:pPr>
        <w:jc w:val="center"/>
        <w:ind w:right="-45"/>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164465</wp:posOffset>
            </wp:positionV>
            <wp:extent cx="699516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66"/>
          </w:cols>
          <w:pgMar w:left="1354" w:top="263" w:right="1379" w:bottom="1440" w:gutter="0" w:footer="0" w:header="0"/>
          <w:type w:val="continuous"/>
        </w:sectPr>
      </w:pPr>
    </w:p>
    <w:bookmarkStart w:id="51" w:name="page52"/>
    <w:bookmarkEnd w:id="51"/>
    <w:p>
      <w:pPr>
        <w:ind w:left="6"/>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186" w:lineRule="exact"/>
        <w:rPr>
          <w:sz w:val="20"/>
          <w:szCs w:val="20"/>
          <w:color w:val="auto"/>
        </w:rPr>
      </w:pPr>
    </w:p>
    <w:p>
      <w:pPr>
        <w:jc w:val="center"/>
        <w:ind w:right="-25"/>
        <w:spacing w:after="0"/>
        <w:rPr>
          <w:sz w:val="20"/>
          <w:szCs w:val="20"/>
          <w:color w:val="auto"/>
        </w:rPr>
      </w:pPr>
      <w:r>
        <w:rPr>
          <w:rFonts w:ascii="Arial" w:cs="Arial" w:eastAsia="Arial" w:hAnsi="Arial"/>
          <w:sz w:val="14"/>
          <w:szCs w:val="14"/>
          <w:b w:val="1"/>
          <w:bCs w:val="1"/>
          <w:color w:val="auto"/>
        </w:rPr>
        <w:t>ITRON,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36195</wp:posOffset>
            </wp:positionV>
            <wp:extent cx="575183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751830" cy="8255"/>
                    </a:xfrm>
                    <a:prstGeom prst="rect">
                      <a:avLst/>
                    </a:prstGeom>
                    <a:noFill/>
                  </pic:spPr>
                </pic:pic>
              </a:graphicData>
            </a:graphic>
          </wp:anchor>
        </w:drawing>
      </w:r>
    </w:p>
    <w:p>
      <w:pPr>
        <w:spacing w:after="0" w:line="76" w:lineRule="exact"/>
        <w:rPr>
          <w:sz w:val="20"/>
          <w:szCs w:val="20"/>
          <w:color w:val="auto"/>
        </w:rPr>
      </w:pPr>
    </w:p>
    <w:p>
      <w:pPr>
        <w:jc w:val="center"/>
        <w:ind w:right="-25"/>
        <w:spacing w:after="0"/>
        <w:rPr>
          <w:sz w:val="20"/>
          <w:szCs w:val="20"/>
          <w:color w:val="auto"/>
        </w:rPr>
      </w:pPr>
      <w:r>
        <w:rPr>
          <w:rFonts w:ascii="Arial" w:cs="Arial" w:eastAsia="Arial" w:hAnsi="Arial"/>
          <w:sz w:val="14"/>
          <w:szCs w:val="14"/>
          <w:b w:val="1"/>
          <w:bCs w:val="1"/>
          <w:color w:val="auto"/>
        </w:rPr>
        <w:t>Summary of Termination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36195</wp:posOffset>
            </wp:positionV>
            <wp:extent cx="575183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751830" cy="8890"/>
                    </a:xfrm>
                    <a:prstGeom prst="rect">
                      <a:avLst/>
                    </a:prstGeom>
                    <a:noFill/>
                  </pic:spPr>
                </pic:pic>
              </a:graphicData>
            </a:graphic>
          </wp:anchor>
        </w:drawing>
      </w:r>
    </w:p>
    <w:p>
      <w:pPr>
        <w:spacing w:after="0" w:line="76" w:lineRule="exact"/>
        <w:rPr>
          <w:sz w:val="20"/>
          <w:szCs w:val="20"/>
          <w:color w:val="auto"/>
        </w:rPr>
      </w:pPr>
    </w:p>
    <w:p>
      <w:pPr>
        <w:jc w:val="center"/>
        <w:ind w:right="-25"/>
        <w:spacing w:after="0"/>
        <w:rPr>
          <w:sz w:val="20"/>
          <w:szCs w:val="20"/>
          <w:color w:val="auto"/>
        </w:rPr>
      </w:pPr>
      <w:r>
        <w:rPr>
          <w:rFonts w:ascii="Arial" w:cs="Arial" w:eastAsia="Arial" w:hAnsi="Arial"/>
          <w:sz w:val="14"/>
          <w:szCs w:val="14"/>
          <w:b w:val="1"/>
          <w:bCs w:val="1"/>
          <w:color w:val="auto"/>
        </w:rPr>
        <w:t>Sarah Hlavinka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36195</wp:posOffset>
            </wp:positionV>
            <wp:extent cx="575183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751830" cy="8255"/>
                    </a:xfrm>
                    <a:prstGeom prst="rect">
                      <a:avLst/>
                    </a:prstGeom>
                    <a:noFill/>
                  </pic:spPr>
                </pic:pic>
              </a:graphicData>
            </a:graphic>
          </wp:anchor>
        </w:drawing>
      </w:r>
    </w:p>
    <w:p>
      <w:pPr>
        <w:spacing w:after="0" w:line="76" w:lineRule="exact"/>
        <w:rPr>
          <w:sz w:val="20"/>
          <w:szCs w:val="20"/>
          <w:color w:val="auto"/>
        </w:rPr>
      </w:pPr>
    </w:p>
    <w:tbl>
      <w:tblPr>
        <w:tblLayout w:type="fixed"/>
        <w:tblInd w:w="66" w:type="dxa"/>
        <w:tblCellMar>
          <w:top w:w="0" w:type="dxa"/>
          <w:left w:w="0" w:type="dxa"/>
          <w:bottom w:w="0" w:type="dxa"/>
          <w:right w:w="0" w:type="dxa"/>
        </w:tblCellMar>
      </w:tblPr>
      <w:tr>
        <w:trPr>
          <w:trHeight w:val="162"/>
        </w:trPr>
        <w:tc>
          <w:tcPr>
            <w:tcW w:w="1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Termination</w:t>
            </w:r>
          </w:p>
        </w:tc>
        <w:tc>
          <w:tcPr>
            <w:tcW w:w="0" w:type="dxa"/>
            <w:vAlign w:val="bottom"/>
          </w:tcPr>
          <w:p>
            <w:pPr>
              <w:spacing w:after="0"/>
              <w:rPr>
                <w:sz w:val="1"/>
                <w:szCs w:val="1"/>
                <w:color w:val="auto"/>
              </w:rPr>
            </w:pPr>
          </w:p>
        </w:tc>
      </w:tr>
      <w:tr>
        <w:trPr>
          <w:trHeight w:val="162"/>
        </w:trPr>
        <w:tc>
          <w:tcPr>
            <w:tcW w:w="1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rPr>
              <w:t>Without Cause</w:t>
            </w:r>
          </w:p>
        </w:tc>
        <w:tc>
          <w:tcPr>
            <w:tcW w:w="0" w:type="dxa"/>
            <w:vAlign w:val="bottom"/>
          </w:tcPr>
          <w:p>
            <w:pPr>
              <w:spacing w:after="0"/>
              <w:rPr>
                <w:sz w:val="1"/>
                <w:szCs w:val="1"/>
                <w:color w:val="auto"/>
              </w:rPr>
            </w:pPr>
          </w:p>
        </w:tc>
      </w:tr>
      <w:tr>
        <w:trPr>
          <w:trHeight w:val="162"/>
        </w:trPr>
        <w:tc>
          <w:tcPr>
            <w:tcW w:w="1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rPr>
              <w:t>or by Executive</w:t>
            </w:r>
          </w:p>
        </w:tc>
        <w:tc>
          <w:tcPr>
            <w:tcW w:w="0" w:type="dxa"/>
            <w:vAlign w:val="bottom"/>
          </w:tcPr>
          <w:p>
            <w:pPr>
              <w:spacing w:after="0"/>
              <w:rPr>
                <w:sz w:val="1"/>
                <w:szCs w:val="1"/>
                <w:color w:val="auto"/>
              </w:rPr>
            </w:pPr>
          </w:p>
        </w:tc>
      </w:tr>
      <w:tr>
        <w:trPr>
          <w:trHeight w:val="162"/>
        </w:trPr>
        <w:tc>
          <w:tcPr>
            <w:tcW w:w="1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rPr>
              <w:t>for Good</w:t>
            </w:r>
          </w:p>
        </w:tc>
        <w:tc>
          <w:tcPr>
            <w:tcW w:w="0" w:type="dxa"/>
            <w:vAlign w:val="bottom"/>
          </w:tcPr>
          <w:p>
            <w:pPr>
              <w:spacing w:after="0"/>
              <w:rPr>
                <w:sz w:val="1"/>
                <w:szCs w:val="1"/>
                <w:color w:val="auto"/>
              </w:rPr>
            </w:pPr>
          </w:p>
        </w:tc>
      </w:tr>
      <w:tr>
        <w:trPr>
          <w:trHeight w:val="162"/>
        </w:trPr>
        <w:tc>
          <w:tcPr>
            <w:tcW w:w="1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rPr>
              <w:t>Reason</w:t>
            </w:r>
          </w:p>
        </w:tc>
        <w:tc>
          <w:tcPr>
            <w:tcW w:w="0" w:type="dxa"/>
            <w:vAlign w:val="bottom"/>
          </w:tcPr>
          <w:p>
            <w:pPr>
              <w:spacing w:after="0"/>
              <w:rPr>
                <w:sz w:val="1"/>
                <w:szCs w:val="1"/>
                <w:color w:val="auto"/>
              </w:rPr>
            </w:pPr>
          </w:p>
        </w:tc>
      </w:tr>
      <w:tr>
        <w:trPr>
          <w:trHeight w:val="162"/>
        </w:trPr>
        <w:tc>
          <w:tcPr>
            <w:tcW w:w="1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Termination</w:t>
            </w:r>
          </w:p>
        </w:tc>
        <w:tc>
          <w:tcPr>
            <w:tcW w:w="8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Change-</w:t>
            </w: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rPr>
              <w:t>Following a</w:t>
            </w:r>
          </w:p>
        </w:tc>
        <w:tc>
          <w:tcPr>
            <w:tcW w:w="0" w:type="dxa"/>
            <w:vAlign w:val="bottom"/>
          </w:tcPr>
          <w:p>
            <w:pPr>
              <w:spacing w:after="0"/>
              <w:rPr>
                <w:sz w:val="1"/>
                <w:szCs w:val="1"/>
                <w:color w:val="auto"/>
              </w:rPr>
            </w:pPr>
          </w:p>
        </w:tc>
      </w:tr>
      <w:tr>
        <w:trPr>
          <w:trHeight w:val="162"/>
        </w:trPr>
        <w:tc>
          <w:tcPr>
            <w:tcW w:w="164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Executive Benefits</w:t>
            </w:r>
            <w:r>
              <w:rPr>
                <w:rFonts w:ascii="Arial" w:cs="Arial" w:eastAsia="Arial" w:hAnsi="Arial"/>
                <w:sz w:val="23"/>
                <w:szCs w:val="23"/>
                <w:b w:val="1"/>
                <w:bCs w:val="1"/>
                <w:color w:val="auto"/>
                <w:vertAlign w:val="superscript"/>
              </w:rPr>
              <w:t>(1)</w:t>
            </w:r>
          </w:p>
        </w:tc>
        <w:tc>
          <w:tcPr>
            <w:tcW w:w="140" w:type="dxa"/>
            <w:vAlign w:val="bottom"/>
            <w:vMerge w:val="restart"/>
          </w:tcPr>
          <w:p>
            <w:pPr>
              <w:spacing w:after="0"/>
              <w:rPr>
                <w:sz w:val="14"/>
                <w:szCs w:val="14"/>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Termination</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Voluntary</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3"/>
          </w:tcPr>
          <w:p>
            <w:pPr>
              <w:ind w:left="120"/>
              <w:spacing w:after="0"/>
              <w:rPr>
                <w:sz w:val="20"/>
                <w:szCs w:val="20"/>
                <w:color w:val="auto"/>
              </w:rPr>
            </w:pPr>
            <w:r>
              <w:rPr>
                <w:rFonts w:ascii="Arial" w:cs="Arial" w:eastAsia="Arial" w:hAnsi="Arial"/>
                <w:sz w:val="14"/>
                <w:szCs w:val="14"/>
                <w:b w:val="1"/>
                <w:bCs w:val="1"/>
                <w:color w:val="auto"/>
              </w:rPr>
              <w:t>Without</w:t>
            </w:r>
          </w:p>
        </w:tc>
        <w:tc>
          <w:tcPr>
            <w:tcW w:w="180" w:type="dxa"/>
            <w:vAlign w:val="bottom"/>
          </w:tcPr>
          <w:p>
            <w:pPr>
              <w:spacing w:after="0"/>
              <w:rPr>
                <w:sz w:val="14"/>
                <w:szCs w:val="14"/>
                <w:color w:val="auto"/>
              </w:rPr>
            </w:pPr>
          </w:p>
        </w:tc>
        <w:tc>
          <w:tcPr>
            <w:tcW w:w="7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w:t>
            </w: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rPr>
              <w:t>Change-in-</w:t>
            </w:r>
          </w:p>
        </w:tc>
        <w:tc>
          <w:tcPr>
            <w:tcW w:w="0" w:type="dxa"/>
            <w:vAlign w:val="bottom"/>
          </w:tcPr>
          <w:p>
            <w:pPr>
              <w:spacing w:after="0"/>
              <w:rPr>
                <w:sz w:val="1"/>
                <w:szCs w:val="1"/>
                <w:color w:val="auto"/>
              </w:rPr>
            </w:pPr>
          </w:p>
        </w:tc>
      </w:tr>
      <w:tr>
        <w:trPr>
          <w:trHeight w:val="218"/>
        </w:trPr>
        <w:tc>
          <w:tcPr>
            <w:tcW w:w="1640" w:type="dxa"/>
            <w:vAlign w:val="bottom"/>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for Cause</w:t>
            </w:r>
          </w:p>
        </w:tc>
        <w:tc>
          <w:tcPr>
            <w:tcW w:w="1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Termination</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ind w:right="56"/>
              <w:spacing w:after="0"/>
              <w:rPr>
                <w:sz w:val="20"/>
                <w:szCs w:val="20"/>
                <w:color w:val="auto"/>
              </w:rPr>
            </w:pPr>
            <w:r>
              <w:rPr>
                <w:rFonts w:ascii="Arial" w:cs="Arial" w:eastAsia="Arial" w:hAnsi="Arial"/>
                <w:sz w:val="14"/>
                <w:szCs w:val="14"/>
                <w:b w:val="1"/>
                <w:bCs w:val="1"/>
                <w:color w:val="auto"/>
              </w:rPr>
              <w:t>Death</w:t>
            </w:r>
          </w:p>
        </w:tc>
        <w:tc>
          <w:tcPr>
            <w:tcW w:w="120" w:type="dxa"/>
            <w:vAlign w:val="bottom"/>
          </w:tcPr>
          <w:p>
            <w:pPr>
              <w:spacing w:after="0"/>
              <w:rPr>
                <w:sz w:val="18"/>
                <w:szCs w:val="18"/>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w w:val="99"/>
              </w:rPr>
              <w:t>Disability</w:t>
            </w:r>
          </w:p>
        </w:tc>
        <w:tc>
          <w:tcPr>
            <w:tcW w:w="140" w:type="dxa"/>
            <w:vAlign w:val="bottom"/>
          </w:tcPr>
          <w:p>
            <w:pPr>
              <w:spacing w:after="0"/>
              <w:rPr>
                <w:sz w:val="18"/>
                <w:szCs w:val="18"/>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Retirement</w:t>
            </w:r>
          </w:p>
        </w:tc>
        <w:tc>
          <w:tcPr>
            <w:tcW w:w="960" w:type="dxa"/>
            <w:vAlign w:val="bottom"/>
            <w:gridSpan w:val="3"/>
          </w:tcPr>
          <w:p>
            <w:pPr>
              <w:ind w:left="200"/>
              <w:spacing w:after="0"/>
              <w:rPr>
                <w:sz w:val="20"/>
                <w:szCs w:val="20"/>
                <w:color w:val="auto"/>
              </w:rPr>
            </w:pPr>
            <w:r>
              <w:rPr>
                <w:rFonts w:ascii="Arial" w:cs="Arial" w:eastAsia="Arial" w:hAnsi="Arial"/>
                <w:sz w:val="14"/>
                <w:szCs w:val="14"/>
                <w:b w:val="1"/>
                <w:bCs w:val="1"/>
                <w:color w:val="auto"/>
              </w:rPr>
              <w:t>Cause</w:t>
            </w:r>
          </w:p>
        </w:tc>
        <w:tc>
          <w:tcPr>
            <w:tcW w:w="880" w:type="dxa"/>
            <w:vAlign w:val="bottom"/>
            <w:gridSpan w:val="3"/>
          </w:tcPr>
          <w:p>
            <w:pPr>
              <w:ind w:left="120"/>
              <w:spacing w:after="0"/>
              <w:rPr>
                <w:sz w:val="20"/>
                <w:szCs w:val="20"/>
                <w:color w:val="auto"/>
              </w:rPr>
            </w:pPr>
            <w:r>
              <w:rPr>
                <w:rFonts w:ascii="Arial" w:cs="Arial" w:eastAsia="Arial" w:hAnsi="Arial"/>
                <w:sz w:val="14"/>
                <w:szCs w:val="14"/>
                <w:b w:val="1"/>
                <w:bCs w:val="1"/>
                <w:color w:val="auto"/>
              </w:rPr>
              <w:t>Control</w:t>
            </w: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rPr>
              <w:t>Control</w:t>
            </w:r>
          </w:p>
        </w:tc>
        <w:tc>
          <w:tcPr>
            <w:tcW w:w="0" w:type="dxa"/>
            <w:vAlign w:val="bottom"/>
          </w:tcPr>
          <w:p>
            <w:pPr>
              <w:spacing w:after="0"/>
              <w:rPr>
                <w:sz w:val="1"/>
                <w:szCs w:val="1"/>
                <w:color w:val="auto"/>
              </w:rPr>
            </w:pPr>
          </w:p>
        </w:tc>
      </w:tr>
      <w:tr>
        <w:trPr>
          <w:trHeight w:val="224"/>
        </w:trPr>
        <w:tc>
          <w:tcPr>
            <w:tcW w:w="1640" w:type="dxa"/>
            <w:vAlign w:val="bottom"/>
            <w:tcBorders>
              <w:top w:val="single" w:sz="8" w:color="auto"/>
            </w:tcBorders>
          </w:tcPr>
          <w:p>
            <w:pPr>
              <w:ind w:left="20"/>
              <w:spacing w:after="0" w:line="224" w:lineRule="exact"/>
              <w:rPr>
                <w:sz w:val="20"/>
                <w:szCs w:val="20"/>
                <w:color w:val="auto"/>
              </w:rPr>
            </w:pPr>
            <w:r>
              <w:rPr>
                <w:rFonts w:ascii="Arial" w:cs="Arial" w:eastAsia="Arial" w:hAnsi="Arial"/>
                <w:sz w:val="13"/>
                <w:szCs w:val="13"/>
                <w:color w:val="auto"/>
              </w:rPr>
              <w:t>Annual Incentive</w:t>
            </w:r>
            <w:r>
              <w:rPr>
                <w:rFonts w:ascii="Arial" w:cs="Arial" w:eastAsia="Arial" w:hAnsi="Arial"/>
                <w:sz w:val="20"/>
                <w:szCs w:val="20"/>
                <w:color w:val="auto"/>
                <w:vertAlign w:val="superscript"/>
              </w:rPr>
              <w:t>(2)</w:t>
            </w:r>
          </w:p>
        </w:tc>
        <w:tc>
          <w:tcPr>
            <w:tcW w:w="140" w:type="dxa"/>
            <w:vAlign w:val="bottom"/>
          </w:tcPr>
          <w:p>
            <w:pPr>
              <w:spacing w:after="0"/>
              <w:rPr>
                <w:sz w:val="19"/>
                <w:szCs w:val="19"/>
                <w:color w:val="auto"/>
              </w:rPr>
            </w:pPr>
          </w:p>
        </w:tc>
        <w:tc>
          <w:tcPr>
            <w:tcW w:w="82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88"/>
              </w:rPr>
              <w:t>$—</w:t>
            </w:r>
          </w:p>
        </w:tc>
        <w:tc>
          <w:tcPr>
            <w:tcW w:w="140" w:type="dxa"/>
            <w:vAlign w:val="bottom"/>
          </w:tcPr>
          <w:p>
            <w:pPr>
              <w:spacing w:after="0"/>
              <w:rPr>
                <w:sz w:val="19"/>
                <w:szCs w:val="19"/>
                <w:color w:val="auto"/>
              </w:rPr>
            </w:pPr>
          </w:p>
        </w:tc>
        <w:tc>
          <w:tcPr>
            <w:tcW w:w="82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88"/>
              </w:rPr>
              <w:t>$—</w:t>
            </w:r>
          </w:p>
        </w:tc>
        <w:tc>
          <w:tcPr>
            <w:tcW w:w="14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9"/>
                <w:szCs w:val="19"/>
                <w:color w:val="auto"/>
              </w:rPr>
            </w:pPr>
          </w:p>
        </w:tc>
        <w:tc>
          <w:tcPr>
            <w:tcW w:w="80" w:type="dxa"/>
            <w:vAlign w:val="bottom"/>
            <w:tcBorders>
              <w:top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6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9"/>
                <w:szCs w:val="19"/>
                <w:color w:val="auto"/>
              </w:rPr>
            </w:pPr>
          </w:p>
        </w:tc>
        <w:tc>
          <w:tcPr>
            <w:tcW w:w="220" w:type="dxa"/>
            <w:vAlign w:val="bottom"/>
            <w:tcBorders>
              <w:top w:val="single" w:sz="8" w:color="auto"/>
            </w:tcBorders>
          </w:tcPr>
          <w:p>
            <w:pPr>
              <w:ind w:left="140"/>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9"/>
                <w:szCs w:val="19"/>
                <w:color w:val="auto"/>
              </w:rPr>
            </w:pPr>
          </w:p>
        </w:tc>
        <w:tc>
          <w:tcPr>
            <w:tcW w:w="180" w:type="dxa"/>
            <w:vAlign w:val="bottom"/>
            <w:tcBorders>
              <w:top w:val="single" w:sz="8" w:color="auto"/>
            </w:tcBorders>
          </w:tcPr>
          <w:p>
            <w:pPr>
              <w:ind w:left="12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tcPr>
          <w:p>
            <w:pPr>
              <w:jc w:val="right"/>
              <w:ind w:right="36"/>
              <w:spacing w:after="0"/>
              <w:rPr>
                <w:sz w:val="20"/>
                <w:szCs w:val="20"/>
                <w:color w:val="auto"/>
              </w:rPr>
            </w:pPr>
            <w:r>
              <w:rPr>
                <w:rFonts w:ascii="Arial" w:cs="Arial" w:eastAsia="Arial" w:hAnsi="Arial"/>
                <w:sz w:val="13"/>
                <w:szCs w:val="13"/>
                <w:color w:val="auto"/>
                <w:w w:val="93"/>
              </w:rPr>
              <w:t>356,250</w:t>
            </w:r>
          </w:p>
        </w:tc>
        <w:tc>
          <w:tcPr>
            <w:tcW w:w="140" w:type="dxa"/>
            <w:vAlign w:val="bottom"/>
          </w:tcPr>
          <w:p>
            <w:pPr>
              <w:spacing w:after="0"/>
              <w:rPr>
                <w:sz w:val="19"/>
                <w:szCs w:val="19"/>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tcBorders>
          </w:tcPr>
          <w:p>
            <w:pPr>
              <w:jc w:val="right"/>
              <w:ind w:right="177"/>
              <w:spacing w:after="0"/>
              <w:rPr>
                <w:sz w:val="20"/>
                <w:szCs w:val="20"/>
                <w:color w:val="auto"/>
              </w:rPr>
            </w:pPr>
            <w:r>
              <w:rPr>
                <w:rFonts w:ascii="Arial" w:cs="Arial" w:eastAsia="Arial" w:hAnsi="Arial"/>
                <w:sz w:val="13"/>
                <w:szCs w:val="13"/>
                <w:color w:val="auto"/>
              </w:rPr>
              <w:t>356,250</w:t>
            </w:r>
          </w:p>
        </w:tc>
        <w:tc>
          <w:tcPr>
            <w:tcW w:w="0" w:type="dxa"/>
            <w:vAlign w:val="bottom"/>
          </w:tcPr>
          <w:p>
            <w:pPr>
              <w:spacing w:after="0"/>
              <w:rPr>
                <w:sz w:val="1"/>
                <w:szCs w:val="1"/>
                <w:color w:val="auto"/>
              </w:rPr>
            </w:pPr>
          </w:p>
        </w:tc>
      </w:tr>
      <w:tr>
        <w:trPr>
          <w:trHeight w:val="216"/>
        </w:trPr>
        <w:tc>
          <w:tcPr>
            <w:tcW w:w="1780" w:type="dxa"/>
            <w:vAlign w:val="bottom"/>
            <w:gridSpan w:val="2"/>
          </w:tcPr>
          <w:p>
            <w:pPr>
              <w:ind w:left="20"/>
              <w:spacing w:after="0" w:line="216" w:lineRule="exact"/>
              <w:rPr>
                <w:sz w:val="20"/>
                <w:szCs w:val="20"/>
                <w:color w:val="auto"/>
              </w:rPr>
            </w:pPr>
            <w:r>
              <w:rPr>
                <w:rFonts w:ascii="Arial" w:cs="Arial" w:eastAsia="Arial" w:hAnsi="Arial"/>
                <w:sz w:val="13"/>
                <w:szCs w:val="13"/>
                <w:color w:val="auto"/>
              </w:rPr>
              <w:t>Accelerated Stock Options</w:t>
            </w:r>
            <w:r>
              <w:rPr>
                <w:rFonts w:ascii="Arial" w:cs="Arial" w:eastAsia="Arial" w:hAnsi="Arial"/>
                <w:sz w:val="20"/>
                <w:szCs w:val="20"/>
                <w:color w:val="auto"/>
                <w:vertAlign w:val="superscript"/>
              </w:rPr>
              <w:t>(3)</w:t>
            </w:r>
          </w:p>
        </w:tc>
        <w:tc>
          <w:tcPr>
            <w:tcW w:w="960" w:type="dxa"/>
            <w:vAlign w:val="bottom"/>
            <w:gridSpan w:val="2"/>
          </w:tcPr>
          <w:p>
            <w:pPr>
              <w:jc w:val="center"/>
              <w:ind w:right="140"/>
              <w:spacing w:after="0"/>
              <w:rPr>
                <w:sz w:val="20"/>
                <w:szCs w:val="20"/>
                <w:color w:val="auto"/>
              </w:rPr>
            </w:pPr>
            <w:r>
              <w:rPr>
                <w:rFonts w:ascii="Arial" w:cs="Arial" w:eastAsia="Arial" w:hAnsi="Arial"/>
                <w:sz w:val="13"/>
                <w:szCs w:val="13"/>
                <w:color w:val="auto"/>
                <w:w w:val="88"/>
              </w:rPr>
              <w:t>$—</w:t>
            </w:r>
          </w:p>
        </w:tc>
        <w:tc>
          <w:tcPr>
            <w:tcW w:w="820" w:type="dxa"/>
            <w:vAlign w:val="bottom"/>
          </w:tcPr>
          <w:p>
            <w:pPr>
              <w:jc w:val="center"/>
              <w:spacing w:after="0"/>
              <w:rPr>
                <w:sz w:val="20"/>
                <w:szCs w:val="20"/>
                <w:color w:val="auto"/>
              </w:rPr>
            </w:pPr>
            <w:r>
              <w:rPr>
                <w:rFonts w:ascii="Arial" w:cs="Arial" w:eastAsia="Arial" w:hAnsi="Arial"/>
                <w:sz w:val="13"/>
                <w:szCs w:val="13"/>
                <w:color w:val="auto"/>
                <w:w w:val="88"/>
              </w:rPr>
              <w:t>$—</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143,364</w:t>
            </w:r>
          </w:p>
        </w:tc>
        <w:tc>
          <w:tcPr>
            <w:tcW w:w="120" w:type="dxa"/>
            <w:vAlign w:val="bottom"/>
          </w:tcPr>
          <w:p>
            <w:pPr>
              <w:spacing w:after="0"/>
              <w:rPr>
                <w:sz w:val="18"/>
                <w:szCs w:val="18"/>
                <w:color w:val="auto"/>
              </w:rPr>
            </w:pP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143,364</w:t>
            </w:r>
          </w:p>
        </w:tc>
        <w:tc>
          <w:tcPr>
            <w:tcW w:w="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86,846</w:t>
            </w:r>
          </w:p>
        </w:tc>
        <w:tc>
          <w:tcPr>
            <w:tcW w:w="140" w:type="dxa"/>
            <w:vAlign w:val="bottom"/>
          </w:tcPr>
          <w:p>
            <w:pPr>
              <w:spacing w:after="0"/>
              <w:rPr>
                <w:sz w:val="18"/>
                <w:szCs w:val="18"/>
                <w:color w:val="auto"/>
              </w:rPr>
            </w:pPr>
          </w:p>
        </w:tc>
        <w:tc>
          <w:tcPr>
            <w:tcW w:w="220" w:type="dxa"/>
            <w:vAlign w:val="bottom"/>
          </w:tcPr>
          <w:p>
            <w:pPr>
              <w:ind w:left="140"/>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80" w:type="dxa"/>
            <w:vAlign w:val="bottom"/>
          </w:tcPr>
          <w:p>
            <w:pPr>
              <w:ind w:left="120"/>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77"/>
              <w:spacing w:after="0"/>
              <w:rPr>
                <w:sz w:val="20"/>
                <w:szCs w:val="20"/>
                <w:color w:val="auto"/>
              </w:rPr>
            </w:pPr>
            <w:r>
              <w:rPr>
                <w:rFonts w:ascii="Arial" w:cs="Arial" w:eastAsia="Arial" w:hAnsi="Arial"/>
                <w:sz w:val="13"/>
                <w:szCs w:val="13"/>
                <w:color w:val="auto"/>
              </w:rPr>
              <w:t>143,364</w:t>
            </w:r>
          </w:p>
        </w:tc>
        <w:tc>
          <w:tcPr>
            <w:tcW w:w="0" w:type="dxa"/>
            <w:vAlign w:val="bottom"/>
          </w:tcPr>
          <w:p>
            <w:pPr>
              <w:spacing w:after="0"/>
              <w:rPr>
                <w:sz w:val="1"/>
                <w:szCs w:val="1"/>
                <w:color w:val="auto"/>
              </w:rPr>
            </w:pPr>
          </w:p>
        </w:tc>
      </w:tr>
      <w:tr>
        <w:trPr>
          <w:trHeight w:val="220"/>
        </w:trPr>
        <w:tc>
          <w:tcPr>
            <w:tcW w:w="1780" w:type="dxa"/>
            <w:vAlign w:val="bottom"/>
            <w:gridSpan w:val="2"/>
          </w:tcPr>
          <w:p>
            <w:pPr>
              <w:ind w:left="20"/>
              <w:spacing w:after="0" w:line="220" w:lineRule="exact"/>
              <w:rPr>
                <w:sz w:val="20"/>
                <w:szCs w:val="20"/>
                <w:color w:val="auto"/>
              </w:rPr>
            </w:pPr>
            <w:r>
              <w:rPr>
                <w:rFonts w:ascii="Arial" w:cs="Arial" w:eastAsia="Arial" w:hAnsi="Arial"/>
                <w:sz w:val="13"/>
                <w:szCs w:val="13"/>
                <w:color w:val="auto"/>
              </w:rPr>
              <w:t>Severance</w:t>
            </w:r>
            <w:r>
              <w:rPr>
                <w:rFonts w:ascii="Arial" w:cs="Arial" w:eastAsia="Arial" w:hAnsi="Arial"/>
                <w:sz w:val="20"/>
                <w:szCs w:val="20"/>
                <w:color w:val="auto"/>
                <w:vertAlign w:val="superscript"/>
              </w:rPr>
              <w:t>(4)</w:t>
            </w:r>
          </w:p>
        </w:tc>
        <w:tc>
          <w:tcPr>
            <w:tcW w:w="960" w:type="dxa"/>
            <w:vAlign w:val="bottom"/>
            <w:gridSpan w:val="2"/>
          </w:tcPr>
          <w:p>
            <w:pPr>
              <w:jc w:val="center"/>
              <w:ind w:right="140"/>
              <w:spacing w:after="0"/>
              <w:rPr>
                <w:sz w:val="20"/>
                <w:szCs w:val="20"/>
                <w:color w:val="auto"/>
              </w:rPr>
            </w:pPr>
            <w:r>
              <w:rPr>
                <w:rFonts w:ascii="Arial" w:cs="Arial" w:eastAsia="Arial" w:hAnsi="Arial"/>
                <w:sz w:val="13"/>
                <w:szCs w:val="13"/>
                <w:color w:val="auto"/>
                <w:w w:val="88"/>
              </w:rPr>
              <w:t>$—</w:t>
            </w:r>
          </w:p>
        </w:tc>
        <w:tc>
          <w:tcPr>
            <w:tcW w:w="820" w:type="dxa"/>
            <w:vAlign w:val="bottom"/>
          </w:tcPr>
          <w:p>
            <w:pPr>
              <w:jc w:val="center"/>
              <w:spacing w:after="0"/>
              <w:rPr>
                <w:sz w:val="20"/>
                <w:szCs w:val="20"/>
                <w:color w:val="auto"/>
              </w:rPr>
            </w:pPr>
            <w:r>
              <w:rPr>
                <w:rFonts w:ascii="Arial" w:cs="Arial" w:eastAsia="Arial" w:hAnsi="Arial"/>
                <w:sz w:val="13"/>
                <w:szCs w:val="13"/>
                <w:color w:val="auto"/>
                <w:w w:val="88"/>
              </w:rPr>
              <w:t>$—</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ind w:left="140"/>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ind w:right="77"/>
              <w:spacing w:after="0"/>
              <w:rPr>
                <w:sz w:val="20"/>
                <w:szCs w:val="20"/>
                <w:color w:val="auto"/>
              </w:rPr>
            </w:pPr>
            <w:r>
              <w:rPr>
                <w:rFonts w:ascii="Arial" w:cs="Arial" w:eastAsia="Arial" w:hAnsi="Arial"/>
                <w:sz w:val="13"/>
                <w:szCs w:val="13"/>
                <w:color w:val="auto"/>
                <w:w w:val="93"/>
              </w:rPr>
              <w:t>494,045</w:t>
            </w:r>
          </w:p>
        </w:tc>
        <w:tc>
          <w:tcPr>
            <w:tcW w:w="140" w:type="dxa"/>
            <w:vAlign w:val="bottom"/>
          </w:tcPr>
          <w:p>
            <w:pPr>
              <w:spacing w:after="0"/>
              <w:rPr>
                <w:sz w:val="19"/>
                <w:szCs w:val="19"/>
                <w:color w:val="auto"/>
              </w:rPr>
            </w:pPr>
          </w:p>
        </w:tc>
        <w:tc>
          <w:tcPr>
            <w:tcW w:w="180" w:type="dxa"/>
            <w:vAlign w:val="bottom"/>
          </w:tcPr>
          <w:p>
            <w:pPr>
              <w:ind w:left="120"/>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57"/>
              <w:spacing w:after="0"/>
              <w:rPr>
                <w:sz w:val="20"/>
                <w:szCs w:val="20"/>
                <w:color w:val="auto"/>
              </w:rPr>
            </w:pPr>
            <w:r>
              <w:rPr>
                <w:rFonts w:ascii="Arial" w:cs="Arial" w:eastAsia="Arial" w:hAnsi="Arial"/>
                <w:sz w:val="13"/>
                <w:szCs w:val="13"/>
                <w:color w:val="auto"/>
                <w:w w:val="93"/>
              </w:rPr>
              <w:t>1,662,500</w:t>
            </w:r>
          </w:p>
        </w:tc>
        <w:tc>
          <w:tcPr>
            <w:tcW w:w="0" w:type="dxa"/>
            <w:vAlign w:val="bottom"/>
          </w:tcPr>
          <w:p>
            <w:pPr>
              <w:spacing w:after="0"/>
              <w:rPr>
                <w:sz w:val="1"/>
                <w:szCs w:val="1"/>
                <w:color w:val="auto"/>
              </w:rPr>
            </w:pPr>
          </w:p>
        </w:tc>
      </w:tr>
      <w:tr>
        <w:trPr>
          <w:trHeight w:val="170"/>
        </w:trPr>
        <w:tc>
          <w:tcPr>
            <w:tcW w:w="1780" w:type="dxa"/>
            <w:vAlign w:val="bottom"/>
            <w:gridSpan w:val="2"/>
          </w:tcPr>
          <w:p>
            <w:pPr>
              <w:ind w:left="20"/>
              <w:spacing w:after="0"/>
              <w:rPr>
                <w:sz w:val="20"/>
                <w:szCs w:val="20"/>
                <w:color w:val="auto"/>
              </w:rPr>
            </w:pPr>
            <w:r>
              <w:rPr>
                <w:rFonts w:ascii="Arial" w:cs="Arial" w:eastAsia="Arial" w:hAnsi="Arial"/>
                <w:sz w:val="13"/>
                <w:szCs w:val="13"/>
                <w:color w:val="auto"/>
              </w:rPr>
              <w:t>Benefit Continuation</w:t>
            </w:r>
          </w:p>
        </w:tc>
        <w:tc>
          <w:tcPr>
            <w:tcW w:w="960" w:type="dxa"/>
            <w:vAlign w:val="bottom"/>
            <w:gridSpan w:val="2"/>
          </w:tcPr>
          <w:p>
            <w:pPr>
              <w:jc w:val="center"/>
              <w:ind w:right="140"/>
              <w:spacing w:after="0"/>
              <w:rPr>
                <w:sz w:val="20"/>
                <w:szCs w:val="20"/>
                <w:color w:val="auto"/>
              </w:rPr>
            </w:pPr>
            <w:r>
              <w:rPr>
                <w:rFonts w:ascii="Arial" w:cs="Arial" w:eastAsia="Arial" w:hAnsi="Arial"/>
                <w:sz w:val="13"/>
                <w:szCs w:val="13"/>
                <w:color w:val="auto"/>
                <w:w w:val="88"/>
              </w:rPr>
              <w:t>$—</w:t>
            </w:r>
          </w:p>
        </w:tc>
        <w:tc>
          <w:tcPr>
            <w:tcW w:w="820" w:type="dxa"/>
            <w:vAlign w:val="bottom"/>
          </w:tcPr>
          <w:p>
            <w:pPr>
              <w:jc w:val="center"/>
              <w:spacing w:after="0"/>
              <w:rPr>
                <w:sz w:val="20"/>
                <w:szCs w:val="20"/>
                <w:color w:val="auto"/>
              </w:rPr>
            </w:pPr>
            <w:r>
              <w:rPr>
                <w:rFonts w:ascii="Arial" w:cs="Arial" w:eastAsia="Arial" w:hAnsi="Arial"/>
                <w:sz w:val="13"/>
                <w:szCs w:val="13"/>
                <w:color w:val="auto"/>
                <w:w w:val="88"/>
              </w:rPr>
              <w:t>$—</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ind w:left="140"/>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80" w:type="dxa"/>
            <w:vAlign w:val="bottom"/>
          </w:tcPr>
          <w:p>
            <w:pPr>
              <w:ind w:left="120"/>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77"/>
              <w:spacing w:after="0"/>
              <w:rPr>
                <w:sz w:val="20"/>
                <w:szCs w:val="20"/>
                <w:color w:val="auto"/>
              </w:rPr>
            </w:pPr>
            <w:r>
              <w:rPr>
                <w:rFonts w:ascii="Arial" w:cs="Arial" w:eastAsia="Arial" w:hAnsi="Arial"/>
                <w:sz w:val="13"/>
                <w:szCs w:val="13"/>
                <w:color w:val="auto"/>
              </w:rPr>
              <w:t>20,090</w:t>
            </w:r>
          </w:p>
        </w:tc>
        <w:tc>
          <w:tcPr>
            <w:tcW w:w="0" w:type="dxa"/>
            <w:vAlign w:val="bottom"/>
          </w:tcPr>
          <w:p>
            <w:pPr>
              <w:spacing w:after="0"/>
              <w:rPr>
                <w:sz w:val="1"/>
                <w:szCs w:val="1"/>
                <w:color w:val="auto"/>
              </w:rPr>
            </w:pPr>
          </w:p>
        </w:tc>
      </w:tr>
      <w:tr>
        <w:trPr>
          <w:trHeight w:val="262"/>
        </w:trPr>
        <w:tc>
          <w:tcPr>
            <w:tcW w:w="1780" w:type="dxa"/>
            <w:vAlign w:val="bottom"/>
            <w:gridSpan w:val="2"/>
          </w:tcPr>
          <w:p>
            <w:pPr>
              <w:ind w:left="20"/>
              <w:spacing w:after="0"/>
              <w:rPr>
                <w:sz w:val="20"/>
                <w:szCs w:val="20"/>
                <w:color w:val="auto"/>
              </w:rPr>
            </w:pPr>
            <w:r>
              <w:rPr>
                <w:rFonts w:ascii="Arial" w:cs="Arial" w:eastAsia="Arial" w:hAnsi="Arial"/>
                <w:sz w:val="13"/>
                <w:szCs w:val="13"/>
                <w:color w:val="auto"/>
              </w:rPr>
              <w:t>Accelerated RSUs</w:t>
            </w:r>
            <w:r>
              <w:rPr>
                <w:rFonts w:ascii="Arial" w:cs="Arial" w:eastAsia="Arial" w:hAnsi="Arial"/>
                <w:sz w:val="20"/>
                <w:szCs w:val="20"/>
                <w:color w:val="auto"/>
                <w:vertAlign w:val="superscript"/>
              </w:rPr>
              <w:t>(5)</w:t>
            </w:r>
          </w:p>
        </w:tc>
        <w:tc>
          <w:tcPr>
            <w:tcW w:w="960" w:type="dxa"/>
            <w:vAlign w:val="bottom"/>
            <w:gridSpan w:val="2"/>
          </w:tcPr>
          <w:p>
            <w:pPr>
              <w:jc w:val="center"/>
              <w:ind w:right="140"/>
              <w:spacing w:after="0"/>
              <w:rPr>
                <w:sz w:val="20"/>
                <w:szCs w:val="20"/>
                <w:color w:val="auto"/>
              </w:rPr>
            </w:pPr>
            <w:r>
              <w:rPr>
                <w:rFonts w:ascii="Arial" w:cs="Arial" w:eastAsia="Arial" w:hAnsi="Arial"/>
                <w:sz w:val="13"/>
                <w:szCs w:val="13"/>
                <w:color w:val="auto"/>
                <w:w w:val="88"/>
              </w:rPr>
              <w:t>$—</w:t>
            </w:r>
          </w:p>
        </w:tc>
        <w:tc>
          <w:tcPr>
            <w:tcW w:w="820" w:type="dxa"/>
            <w:vAlign w:val="bottom"/>
          </w:tcPr>
          <w:p>
            <w:pPr>
              <w:jc w:val="center"/>
              <w:spacing w:after="0"/>
              <w:rPr>
                <w:sz w:val="20"/>
                <w:szCs w:val="20"/>
                <w:color w:val="auto"/>
              </w:rPr>
            </w:pPr>
            <w:r>
              <w:rPr>
                <w:rFonts w:ascii="Arial" w:cs="Arial" w:eastAsia="Arial" w:hAnsi="Arial"/>
                <w:sz w:val="13"/>
                <w:szCs w:val="13"/>
                <w:color w:val="auto"/>
                <w:w w:val="88"/>
              </w:rPr>
              <w:t>$—</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708,605</w:t>
            </w:r>
          </w:p>
        </w:tc>
        <w:tc>
          <w:tcPr>
            <w:tcW w:w="120" w:type="dxa"/>
            <w:vAlign w:val="bottom"/>
          </w:tcPr>
          <w:p>
            <w:pPr>
              <w:spacing w:after="0"/>
              <w:rPr>
                <w:sz w:val="22"/>
                <w:szCs w:val="22"/>
                <w:color w:val="auto"/>
              </w:rPr>
            </w:pP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708,605</w:t>
            </w:r>
          </w:p>
        </w:tc>
        <w:tc>
          <w:tcPr>
            <w:tcW w:w="14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37"/>
              <w:spacing w:after="0"/>
              <w:rPr>
                <w:sz w:val="20"/>
                <w:szCs w:val="20"/>
                <w:color w:val="auto"/>
              </w:rPr>
            </w:pPr>
            <w:r>
              <w:rPr>
                <w:rFonts w:ascii="Arial" w:cs="Arial" w:eastAsia="Arial" w:hAnsi="Arial"/>
                <w:sz w:val="13"/>
                <w:szCs w:val="13"/>
                <w:color w:val="auto"/>
                <w:w w:val="93"/>
              </w:rPr>
              <w:t>516,326</w:t>
            </w:r>
          </w:p>
        </w:tc>
        <w:tc>
          <w:tcPr>
            <w:tcW w:w="140" w:type="dxa"/>
            <w:vAlign w:val="bottom"/>
          </w:tcPr>
          <w:p>
            <w:pPr>
              <w:spacing w:after="0"/>
              <w:rPr>
                <w:sz w:val="22"/>
                <w:szCs w:val="22"/>
                <w:color w:val="auto"/>
              </w:rPr>
            </w:pPr>
          </w:p>
        </w:tc>
        <w:tc>
          <w:tcPr>
            <w:tcW w:w="220" w:type="dxa"/>
            <w:vAlign w:val="bottom"/>
          </w:tcPr>
          <w:p>
            <w:pPr>
              <w:ind w:left="140"/>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80" w:type="dxa"/>
            <w:vAlign w:val="bottom"/>
          </w:tcPr>
          <w:p>
            <w:pPr>
              <w:ind w:left="120"/>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77"/>
              <w:spacing w:after="0"/>
              <w:rPr>
                <w:sz w:val="20"/>
                <w:szCs w:val="20"/>
                <w:color w:val="auto"/>
              </w:rPr>
            </w:pPr>
            <w:r>
              <w:rPr>
                <w:rFonts w:ascii="Arial" w:cs="Arial" w:eastAsia="Arial" w:hAnsi="Arial"/>
                <w:sz w:val="13"/>
                <w:szCs w:val="13"/>
                <w:color w:val="auto"/>
              </w:rPr>
              <w:t>708,605</w:t>
            </w:r>
          </w:p>
        </w:tc>
        <w:tc>
          <w:tcPr>
            <w:tcW w:w="0" w:type="dxa"/>
            <w:vAlign w:val="bottom"/>
          </w:tcPr>
          <w:p>
            <w:pPr>
              <w:spacing w:after="0"/>
              <w:rPr>
                <w:sz w:val="1"/>
                <w:szCs w:val="1"/>
                <w:color w:val="auto"/>
              </w:rPr>
            </w:pPr>
          </w:p>
        </w:tc>
      </w:tr>
      <w:tr>
        <w:trPr>
          <w:trHeight w:val="131"/>
        </w:trPr>
        <w:tc>
          <w:tcPr>
            <w:tcW w:w="1780" w:type="dxa"/>
            <w:vAlign w:val="bottom"/>
            <w:gridSpan w:val="2"/>
          </w:tcPr>
          <w:p>
            <w:pPr>
              <w:ind w:left="20"/>
              <w:spacing w:after="0" w:line="131" w:lineRule="exact"/>
              <w:rPr>
                <w:sz w:val="20"/>
                <w:szCs w:val="20"/>
                <w:color w:val="auto"/>
              </w:rPr>
            </w:pPr>
            <w:r>
              <w:rPr>
                <w:rFonts w:ascii="Arial" w:cs="Arial" w:eastAsia="Arial" w:hAnsi="Arial"/>
                <w:sz w:val="13"/>
                <w:szCs w:val="13"/>
                <w:color w:val="auto"/>
              </w:rPr>
              <w:t>Accelerated Performance</w:t>
            </w:r>
          </w:p>
        </w:tc>
        <w:tc>
          <w:tcPr>
            <w:tcW w:w="960" w:type="dxa"/>
            <w:vAlign w:val="bottom"/>
            <w:gridSpan w:val="2"/>
            <w:vMerge w:val="restart"/>
          </w:tcPr>
          <w:p>
            <w:pPr>
              <w:jc w:val="center"/>
              <w:ind w:right="140"/>
              <w:spacing w:after="0"/>
              <w:rPr>
                <w:sz w:val="20"/>
                <w:szCs w:val="20"/>
                <w:color w:val="auto"/>
              </w:rPr>
            </w:pPr>
            <w:r>
              <w:rPr>
                <w:rFonts w:ascii="Arial" w:cs="Arial" w:eastAsia="Arial" w:hAnsi="Arial"/>
                <w:sz w:val="13"/>
                <w:szCs w:val="13"/>
                <w:color w:val="auto"/>
                <w:w w:val="88"/>
              </w:rPr>
              <w:t>$—</w:t>
            </w:r>
          </w:p>
        </w:tc>
        <w:tc>
          <w:tcPr>
            <w:tcW w:w="820" w:type="dxa"/>
            <w:vAlign w:val="bottom"/>
            <w:vMerge w:val="restart"/>
          </w:tcPr>
          <w:p>
            <w:pPr>
              <w:jc w:val="center"/>
              <w:spacing w:after="0"/>
              <w:rPr>
                <w:sz w:val="20"/>
                <w:szCs w:val="20"/>
                <w:color w:val="auto"/>
              </w:rPr>
            </w:pPr>
            <w:r>
              <w:rPr>
                <w:rFonts w:ascii="Arial" w:cs="Arial" w:eastAsia="Arial" w:hAnsi="Arial"/>
                <w:sz w:val="13"/>
                <w:szCs w:val="13"/>
                <w:color w:val="auto"/>
                <w:w w:val="88"/>
              </w:rPr>
              <w:t>$—</w:t>
            </w:r>
          </w:p>
        </w:tc>
        <w:tc>
          <w:tcPr>
            <w:tcW w:w="22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w w:val="93"/>
              </w:rPr>
              <w:t>1,012,992</w:t>
            </w:r>
          </w:p>
        </w:tc>
        <w:tc>
          <w:tcPr>
            <w:tcW w:w="120" w:type="dxa"/>
            <w:vAlign w:val="bottom"/>
          </w:tcPr>
          <w:p>
            <w:pPr>
              <w:spacing w:after="0"/>
              <w:rPr>
                <w:sz w:val="11"/>
                <w:szCs w:val="11"/>
                <w:color w:val="auto"/>
              </w:rPr>
            </w:pPr>
          </w:p>
        </w:tc>
        <w:tc>
          <w:tcPr>
            <w:tcW w:w="80" w:type="dxa"/>
            <w:vAlign w:val="bottom"/>
            <w:vMerge w:val="restart"/>
          </w:tcPr>
          <w:p>
            <w:pPr>
              <w:ind w:left="20"/>
              <w:spacing w:after="0"/>
              <w:rPr>
                <w:sz w:val="20"/>
                <w:szCs w:val="20"/>
                <w:color w:val="auto"/>
              </w:rPr>
            </w:pPr>
            <w:r>
              <w:rPr>
                <w:rFonts w:ascii="Arial" w:cs="Arial" w:eastAsia="Arial" w:hAnsi="Arial"/>
                <w:sz w:val="10"/>
                <w:szCs w:val="10"/>
                <w:color w:val="auto"/>
                <w:w w:val="71"/>
              </w:rPr>
              <w:t>$</w:t>
            </w: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w w:val="93"/>
              </w:rPr>
              <w:t>1,012,992</w:t>
            </w:r>
          </w:p>
        </w:tc>
        <w:tc>
          <w:tcPr>
            <w:tcW w:w="140" w:type="dxa"/>
            <w:vAlign w:val="bottom"/>
          </w:tcPr>
          <w:p>
            <w:pPr>
              <w:spacing w:after="0"/>
              <w:rPr>
                <w:sz w:val="11"/>
                <w:szCs w:val="11"/>
                <w:color w:val="auto"/>
              </w:rPr>
            </w:pPr>
          </w:p>
        </w:tc>
        <w:tc>
          <w:tcPr>
            <w:tcW w:w="1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560" w:type="dxa"/>
            <w:vAlign w:val="bottom"/>
            <w:vMerge w:val="restart"/>
          </w:tcPr>
          <w:p>
            <w:pPr>
              <w:jc w:val="right"/>
              <w:ind w:right="37"/>
              <w:spacing w:after="0"/>
              <w:rPr>
                <w:sz w:val="20"/>
                <w:szCs w:val="20"/>
                <w:color w:val="auto"/>
              </w:rPr>
            </w:pPr>
            <w:r>
              <w:rPr>
                <w:rFonts w:ascii="Arial" w:cs="Arial" w:eastAsia="Arial" w:hAnsi="Arial"/>
                <w:sz w:val="13"/>
                <w:szCs w:val="13"/>
                <w:color w:val="auto"/>
                <w:w w:val="93"/>
              </w:rPr>
              <w:t>628,433</w:t>
            </w:r>
          </w:p>
        </w:tc>
        <w:tc>
          <w:tcPr>
            <w:tcW w:w="140" w:type="dxa"/>
            <w:vAlign w:val="bottom"/>
          </w:tcPr>
          <w:p>
            <w:pPr>
              <w:spacing w:after="0"/>
              <w:rPr>
                <w:sz w:val="11"/>
                <w:szCs w:val="11"/>
                <w:color w:val="auto"/>
              </w:rPr>
            </w:pPr>
          </w:p>
        </w:tc>
        <w:tc>
          <w:tcPr>
            <w:tcW w:w="220" w:type="dxa"/>
            <w:vAlign w:val="bottom"/>
            <w:vMerge w:val="restart"/>
          </w:tcPr>
          <w:p>
            <w:pPr>
              <w:ind w:left="140"/>
              <w:spacing w:after="0"/>
              <w:rPr>
                <w:sz w:val="20"/>
                <w:szCs w:val="20"/>
                <w:color w:val="auto"/>
              </w:rPr>
            </w:pPr>
            <w:r>
              <w:rPr>
                <w:rFonts w:ascii="Arial" w:cs="Arial" w:eastAsia="Arial" w:hAnsi="Arial"/>
                <w:sz w:val="13"/>
                <w:szCs w:val="13"/>
                <w:color w:val="auto"/>
                <w:w w:val="82"/>
              </w:rPr>
              <w:t>$</w:t>
            </w:r>
          </w:p>
        </w:tc>
        <w:tc>
          <w:tcPr>
            <w:tcW w:w="740" w:type="dxa"/>
            <w:vAlign w:val="bottom"/>
            <w:gridSpan w:val="2"/>
            <w:vMerge w:val="restart"/>
          </w:tcPr>
          <w:p>
            <w:pPr>
              <w:jc w:val="right"/>
              <w:ind w:right="300"/>
              <w:spacing w:after="0"/>
              <w:rPr>
                <w:sz w:val="20"/>
                <w:szCs w:val="20"/>
                <w:color w:val="auto"/>
              </w:rPr>
            </w:pPr>
            <w:r>
              <w:rPr>
                <w:rFonts w:ascii="Arial" w:cs="Arial" w:eastAsia="Arial" w:hAnsi="Arial"/>
                <w:sz w:val="13"/>
                <w:szCs w:val="13"/>
                <w:color w:val="auto"/>
              </w:rPr>
              <w:t>—</w:t>
            </w:r>
          </w:p>
        </w:tc>
        <w:tc>
          <w:tcPr>
            <w:tcW w:w="180" w:type="dxa"/>
            <w:vAlign w:val="bottom"/>
            <w:vMerge w:val="restart"/>
          </w:tcPr>
          <w:p>
            <w:pPr>
              <w:ind w:left="120"/>
              <w:spacing w:after="0"/>
              <w:rPr>
                <w:sz w:val="20"/>
                <w:szCs w:val="20"/>
                <w:color w:val="auto"/>
              </w:rPr>
            </w:pPr>
            <w:r>
              <w:rPr>
                <w:rFonts w:ascii="Arial" w:cs="Arial" w:eastAsia="Arial" w:hAnsi="Arial"/>
                <w:sz w:val="10"/>
                <w:szCs w:val="10"/>
                <w:color w:val="auto"/>
                <w:w w:val="71"/>
              </w:rPr>
              <w:t>$</w:t>
            </w:r>
          </w:p>
        </w:tc>
        <w:tc>
          <w:tcPr>
            <w:tcW w:w="70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3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80" w:type="dxa"/>
            <w:vAlign w:val="bottom"/>
            <w:vMerge w:val="restart"/>
          </w:tcPr>
          <w:p>
            <w:pPr>
              <w:jc w:val="right"/>
              <w:ind w:right="177"/>
              <w:spacing w:after="0"/>
              <w:rPr>
                <w:sz w:val="20"/>
                <w:szCs w:val="20"/>
                <w:color w:val="auto"/>
              </w:rPr>
            </w:pPr>
            <w:r>
              <w:rPr>
                <w:rFonts w:ascii="Arial" w:cs="Arial" w:eastAsia="Arial" w:hAnsi="Arial"/>
                <w:sz w:val="13"/>
                <w:szCs w:val="13"/>
                <w:color w:val="auto"/>
              </w:rPr>
              <w:t>264,972</w:t>
            </w:r>
          </w:p>
        </w:tc>
        <w:tc>
          <w:tcPr>
            <w:tcW w:w="0" w:type="dxa"/>
            <w:vAlign w:val="bottom"/>
          </w:tcPr>
          <w:p>
            <w:pPr>
              <w:spacing w:after="0"/>
              <w:rPr>
                <w:sz w:val="1"/>
                <w:szCs w:val="1"/>
                <w:color w:val="auto"/>
              </w:rPr>
            </w:pPr>
          </w:p>
        </w:tc>
      </w:tr>
      <w:tr>
        <w:trPr>
          <w:trHeight w:val="281"/>
        </w:trPr>
        <w:tc>
          <w:tcPr>
            <w:tcW w:w="1780" w:type="dxa"/>
            <w:vAlign w:val="bottom"/>
            <w:gridSpan w:val="2"/>
          </w:tcPr>
          <w:p>
            <w:pPr>
              <w:ind w:left="200"/>
              <w:spacing w:after="0"/>
              <w:rPr>
                <w:sz w:val="20"/>
                <w:szCs w:val="20"/>
                <w:color w:val="auto"/>
              </w:rPr>
            </w:pPr>
            <w:r>
              <w:rPr>
                <w:rFonts w:ascii="Arial" w:cs="Arial" w:eastAsia="Arial" w:hAnsi="Arial"/>
                <w:sz w:val="13"/>
                <w:szCs w:val="13"/>
                <w:color w:val="auto"/>
              </w:rPr>
              <w:t>RSUs (PRSUs)</w:t>
            </w:r>
            <w:r>
              <w:rPr>
                <w:rFonts w:ascii="Arial" w:cs="Arial" w:eastAsia="Arial" w:hAnsi="Arial"/>
                <w:sz w:val="20"/>
                <w:szCs w:val="20"/>
                <w:color w:val="auto"/>
                <w:vertAlign w:val="superscript"/>
              </w:rPr>
              <w:t>(6)</w:t>
            </w:r>
          </w:p>
        </w:tc>
        <w:tc>
          <w:tcPr>
            <w:tcW w:w="960" w:type="dxa"/>
            <w:vAlign w:val="bottom"/>
            <w:gridSpan w:val="2"/>
            <w:vMerge w:val="continue"/>
          </w:tcPr>
          <w:p>
            <w:pPr>
              <w:spacing w:after="0"/>
              <w:rPr>
                <w:sz w:val="24"/>
                <w:szCs w:val="24"/>
                <w:color w:val="auto"/>
              </w:rPr>
            </w:pPr>
          </w:p>
        </w:tc>
        <w:tc>
          <w:tcPr>
            <w:tcW w:w="820" w:type="dxa"/>
            <w:vAlign w:val="bottom"/>
            <w:vMerge w:val="continue"/>
          </w:tcPr>
          <w:p>
            <w:pPr>
              <w:spacing w:after="0"/>
              <w:rPr>
                <w:sz w:val="24"/>
                <w:szCs w:val="24"/>
                <w:color w:val="auto"/>
              </w:rPr>
            </w:pPr>
          </w:p>
        </w:tc>
        <w:tc>
          <w:tcPr>
            <w:tcW w:w="220" w:type="dxa"/>
            <w:vAlign w:val="bottom"/>
            <w:gridSpan w:val="2"/>
            <w:vMerge w:val="continue"/>
          </w:tcPr>
          <w:p>
            <w:pPr>
              <w:spacing w:after="0"/>
              <w:rPr>
                <w:sz w:val="24"/>
                <w:szCs w:val="24"/>
                <w:color w:val="auto"/>
              </w:rPr>
            </w:pPr>
          </w:p>
        </w:tc>
        <w:tc>
          <w:tcPr>
            <w:tcW w:w="5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vMerge w:val="continue"/>
          </w:tcPr>
          <w:p>
            <w:pPr>
              <w:spacing w:after="0"/>
              <w:rPr>
                <w:sz w:val="24"/>
                <w:szCs w:val="24"/>
                <w:color w:val="auto"/>
              </w:rPr>
            </w:pPr>
          </w:p>
        </w:tc>
        <w:tc>
          <w:tcPr>
            <w:tcW w:w="5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vMerge w:val="continue"/>
          </w:tcPr>
          <w:p>
            <w:pPr>
              <w:spacing w:after="0"/>
              <w:rPr>
                <w:sz w:val="24"/>
                <w:szCs w:val="24"/>
                <w:color w:val="auto"/>
              </w:rPr>
            </w:pPr>
          </w:p>
        </w:tc>
        <w:tc>
          <w:tcPr>
            <w:tcW w:w="5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vMerge w:val="continue"/>
          </w:tcPr>
          <w:p>
            <w:pPr>
              <w:spacing w:after="0"/>
              <w:rPr>
                <w:sz w:val="24"/>
                <w:szCs w:val="24"/>
                <w:color w:val="auto"/>
              </w:rPr>
            </w:pPr>
          </w:p>
        </w:tc>
        <w:tc>
          <w:tcPr>
            <w:tcW w:w="740" w:type="dxa"/>
            <w:vAlign w:val="bottom"/>
            <w:gridSpan w:val="2"/>
            <w:vMerge w:val="continue"/>
          </w:tcPr>
          <w:p>
            <w:pPr>
              <w:spacing w:after="0"/>
              <w:rPr>
                <w:sz w:val="24"/>
                <w:szCs w:val="24"/>
                <w:color w:val="auto"/>
              </w:rPr>
            </w:pPr>
          </w:p>
        </w:tc>
        <w:tc>
          <w:tcPr>
            <w:tcW w:w="180" w:type="dxa"/>
            <w:vAlign w:val="bottom"/>
            <w:vMerge w:val="continue"/>
          </w:tcPr>
          <w:p>
            <w:pPr>
              <w:spacing w:after="0"/>
              <w:rPr>
                <w:sz w:val="24"/>
                <w:szCs w:val="24"/>
                <w:color w:val="auto"/>
              </w:rPr>
            </w:pPr>
          </w:p>
        </w:tc>
        <w:tc>
          <w:tcPr>
            <w:tcW w:w="700" w:type="dxa"/>
            <w:vAlign w:val="bottom"/>
            <w:gridSpan w:val="2"/>
            <w:vMerge w:val="continue"/>
          </w:tcPr>
          <w:p>
            <w:pPr>
              <w:spacing w:after="0"/>
              <w:rPr>
                <w:sz w:val="24"/>
                <w:szCs w:val="24"/>
                <w:color w:val="auto"/>
              </w:rPr>
            </w:pPr>
          </w:p>
        </w:tc>
        <w:tc>
          <w:tcPr>
            <w:tcW w:w="300" w:type="dxa"/>
            <w:vAlign w:val="bottom"/>
            <w:vMerge w:val="continue"/>
          </w:tcPr>
          <w:p>
            <w:pPr>
              <w:spacing w:after="0"/>
              <w:rPr>
                <w:sz w:val="24"/>
                <w:szCs w:val="24"/>
                <w:color w:val="auto"/>
              </w:rPr>
            </w:pPr>
          </w:p>
        </w:tc>
        <w:tc>
          <w:tcPr>
            <w:tcW w:w="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60960</wp:posOffset>
            </wp:positionV>
            <wp:extent cx="82296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84" w:lineRule="exact"/>
        <w:rPr>
          <w:sz w:val="20"/>
          <w:szCs w:val="20"/>
          <w:color w:val="auto"/>
        </w:rPr>
      </w:pPr>
    </w:p>
    <w:p>
      <w:pPr>
        <w:ind w:left="346" w:right="60" w:hanging="346"/>
        <w:spacing w:after="0" w:line="249" w:lineRule="auto"/>
        <w:tabs>
          <w:tab w:leader="none" w:pos="346"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 above table does not include amounts under our Executive Deferred Compensation Plan, stock option awards that are fully vested, earned salary, and accrued vacation as those items are earned and due to the employee regardless of such termination or change-in-control events. It also does not include amounts payable under life insurance coverage, our accidental death &amp; dismemberment coverage or our business travel accident coverage, which are programs available to all employees. Under the change-in-control agreement with this executive the term is 24 months following a change-in-control and the severance payment is equal to 2 times the sum of the executive's base salary and target annual bonus. Each form of payment is mutually exclusive based on the individual circumstances or events and therefore represents a single payment and should not be added together.</w:t>
      </w:r>
    </w:p>
    <w:p>
      <w:pPr>
        <w:spacing w:after="0" w:line="32" w:lineRule="exact"/>
        <w:rPr>
          <w:rFonts w:ascii="Arial" w:cs="Arial" w:eastAsia="Arial" w:hAnsi="Arial"/>
          <w:sz w:val="14"/>
          <w:szCs w:val="14"/>
          <w:color w:val="auto"/>
        </w:rPr>
      </w:pPr>
    </w:p>
    <w:p>
      <w:pPr>
        <w:ind w:left="346" w:right="40" w:hanging="346"/>
        <w:spacing w:after="0" w:line="266" w:lineRule="auto"/>
        <w:tabs>
          <w:tab w:leader="none" w:pos="346" w:val="left"/>
        </w:tabs>
        <w:numPr>
          <w:ilvl w:val="0"/>
          <w:numId w:val="61"/>
        </w:numPr>
        <w:rPr>
          <w:rFonts w:ascii="Arial" w:cs="Arial" w:eastAsia="Arial" w:hAnsi="Arial"/>
          <w:sz w:val="14"/>
          <w:szCs w:val="14"/>
          <w:color w:val="auto"/>
        </w:rPr>
      </w:pPr>
      <w:r>
        <w:rPr>
          <w:rFonts w:ascii="Arial" w:cs="Arial" w:eastAsia="Arial" w:hAnsi="Arial"/>
          <w:sz w:val="14"/>
          <w:szCs w:val="14"/>
          <w:color w:val="auto"/>
        </w:rPr>
        <w:t>Pursuant to our change-in-control agreement with this executive, the annual bonus payable in the event of termination following a change-in-control is the greater of target or the actual amount earned. The annual incentive plan did not pay out in 2020, so the value represents the target bonus opportunity.</w:t>
      </w:r>
    </w:p>
    <w:p>
      <w:pPr>
        <w:spacing w:after="0" w:line="31" w:lineRule="exact"/>
        <w:rPr>
          <w:rFonts w:ascii="Arial" w:cs="Arial" w:eastAsia="Arial" w:hAnsi="Arial"/>
          <w:sz w:val="14"/>
          <w:szCs w:val="14"/>
          <w:color w:val="auto"/>
        </w:rPr>
      </w:pPr>
    </w:p>
    <w:p>
      <w:pPr>
        <w:ind w:left="346" w:right="20" w:hanging="346"/>
        <w:spacing w:after="0" w:line="249" w:lineRule="auto"/>
        <w:tabs>
          <w:tab w:leader="none" w:pos="346" w:val="left"/>
        </w:tabs>
        <w:numPr>
          <w:ilvl w:val="0"/>
          <w:numId w:val="61"/>
        </w:numPr>
        <w:rPr>
          <w:rFonts w:ascii="Arial" w:cs="Arial" w:eastAsia="Arial" w:hAnsi="Arial"/>
          <w:sz w:val="14"/>
          <w:szCs w:val="14"/>
          <w:color w:val="auto"/>
        </w:rPr>
      </w:pPr>
      <w:r>
        <w:rPr>
          <w:rFonts w:ascii="Arial" w:cs="Arial" w:eastAsia="Arial" w:hAnsi="Arial"/>
          <w:sz w:val="14"/>
          <w:szCs w:val="14"/>
          <w:color w:val="auto"/>
        </w:rPr>
        <w:t>Represents in-the-money value of accelerated stock options based on the closing price of our common stock on December 31, 2020 ($95.90). For the awards in fiscal 2018, upon a termination due to retirement after 18 months from the grant date, stock options will continue to vest subject to non-compete/non-solicit and reasonable notice restrictions. For the awards in fiscal 2020, upon a termination due to retirement after the first anniversary of the grant date, stock options will continue to vest subject to non-compete/non-solicit and reasonable notice restrictions. 2020 awards are assumed forfeited, as retirement at December 31, 2020 is before the first anniversary from the grant date. Upon a change-in-control, stock options will accelerate only if they are not assumed or substituted, and otherwise provide for a double trigger; values presume that the acquirer assumes outstanding stock options.</w:t>
      </w:r>
    </w:p>
    <w:p>
      <w:pPr>
        <w:spacing w:after="0" w:line="32" w:lineRule="exact"/>
        <w:rPr>
          <w:rFonts w:ascii="Arial" w:cs="Arial" w:eastAsia="Arial" w:hAnsi="Arial"/>
          <w:sz w:val="14"/>
          <w:szCs w:val="14"/>
          <w:color w:val="auto"/>
        </w:rPr>
      </w:pPr>
    </w:p>
    <w:p>
      <w:pPr>
        <w:ind w:left="346" w:hanging="346"/>
        <w:spacing w:after="0" w:line="266" w:lineRule="auto"/>
        <w:tabs>
          <w:tab w:leader="none" w:pos="346" w:val="left"/>
        </w:tabs>
        <w:numPr>
          <w:ilvl w:val="0"/>
          <w:numId w:val="61"/>
        </w:numPr>
        <w:rPr>
          <w:rFonts w:ascii="Arial" w:cs="Arial" w:eastAsia="Arial" w:hAnsi="Arial"/>
          <w:sz w:val="14"/>
          <w:szCs w:val="14"/>
          <w:color w:val="auto"/>
        </w:rPr>
      </w:pPr>
      <w:r>
        <w:rPr>
          <w:rFonts w:ascii="Arial" w:cs="Arial" w:eastAsia="Arial" w:hAnsi="Arial"/>
          <w:sz w:val="14"/>
          <w:szCs w:val="14"/>
          <w:color w:val="auto"/>
        </w:rPr>
        <w:t>Effective April 29, 2014, the Executive Officer Severance Pay Policy provides an executive officer, who is terminated involuntarily, a severance payment equal to 1 times base salary plus one year of continued benefits and outplacement. The change-in-control agreements provide for a severance payment equal to 2 times the sum of base salary and target annual bonus.</w:t>
      </w:r>
    </w:p>
    <w:p>
      <w:pPr>
        <w:spacing w:after="0" w:line="18" w:lineRule="exact"/>
        <w:rPr>
          <w:rFonts w:ascii="Arial" w:cs="Arial" w:eastAsia="Arial" w:hAnsi="Arial"/>
          <w:sz w:val="14"/>
          <w:szCs w:val="14"/>
          <w:color w:val="auto"/>
        </w:rPr>
      </w:pPr>
    </w:p>
    <w:p>
      <w:pPr>
        <w:ind w:left="346" w:right="80" w:hanging="346"/>
        <w:spacing w:after="0" w:line="254" w:lineRule="auto"/>
        <w:tabs>
          <w:tab w:leader="none" w:pos="346" w:val="left"/>
        </w:tabs>
        <w:numPr>
          <w:ilvl w:val="0"/>
          <w:numId w:val="61"/>
        </w:numPr>
        <w:rPr>
          <w:rFonts w:ascii="Arial" w:cs="Arial" w:eastAsia="Arial" w:hAnsi="Arial"/>
          <w:sz w:val="14"/>
          <w:szCs w:val="14"/>
          <w:color w:val="auto"/>
        </w:rPr>
      </w:pPr>
      <w:r>
        <w:rPr>
          <w:rFonts w:ascii="Arial" w:cs="Arial" w:eastAsia="Arial" w:hAnsi="Arial"/>
          <w:sz w:val="14"/>
          <w:szCs w:val="14"/>
          <w:color w:val="auto"/>
        </w:rPr>
        <w:t>For the time-vested RSUs, upon termination due to death or disability, represents the accelerated value of the RSUs based on the closing price of our common stock on December 31, 2020 ($95.90). For the awards in fiscal 2018, upon a termination due to retirement after</w:t>
      </w:r>
    </w:p>
    <w:p>
      <w:pPr>
        <w:spacing w:after="0" w:line="1" w:lineRule="exact"/>
        <w:rPr>
          <w:rFonts w:ascii="Arial" w:cs="Arial" w:eastAsia="Arial" w:hAnsi="Arial"/>
          <w:sz w:val="14"/>
          <w:szCs w:val="14"/>
          <w:color w:val="auto"/>
        </w:rPr>
      </w:pPr>
    </w:p>
    <w:p>
      <w:pPr>
        <w:ind w:left="346" w:right="200"/>
        <w:spacing w:after="0" w:line="247" w:lineRule="auto"/>
        <w:rPr>
          <w:rFonts w:ascii="Arial" w:cs="Arial" w:eastAsia="Arial" w:hAnsi="Arial"/>
          <w:sz w:val="14"/>
          <w:szCs w:val="14"/>
          <w:color w:val="auto"/>
        </w:rPr>
      </w:pPr>
      <w:r>
        <w:rPr>
          <w:rFonts w:ascii="Arial" w:cs="Arial" w:eastAsia="Arial" w:hAnsi="Arial"/>
          <w:sz w:val="14"/>
          <w:szCs w:val="14"/>
          <w:color w:val="auto"/>
        </w:rPr>
        <w:t>18 months from the grant date, RSUs will continue to vest subject to non-compete/non-solicit and reasonable notice restrictions. For the awards in fiscal 2019 and 2020, upon a termination due to retirement after the first anniversary of the grant date, RSUs will continue to vest subject to non-compete/non-solicit and reasonable notice restrictions. 2020 awards are assumed forfeited, as retirement at December 31, 2020 is before the first anniversary of the grant date. Upon a change-in-control only (single trigger), RSUs that are not assumed by an acquirer will accelerate; values presume that the acquirer assumes applicable outstanding RSUs.</w:t>
      </w:r>
    </w:p>
    <w:p>
      <w:pPr>
        <w:spacing w:after="0" w:line="44" w:lineRule="exact"/>
        <w:rPr>
          <w:rFonts w:ascii="Arial" w:cs="Arial" w:eastAsia="Arial" w:hAnsi="Arial"/>
          <w:sz w:val="14"/>
          <w:szCs w:val="14"/>
          <w:color w:val="auto"/>
        </w:rPr>
      </w:pPr>
    </w:p>
    <w:p>
      <w:pPr>
        <w:ind w:left="346" w:right="40" w:hanging="346"/>
        <w:spacing w:after="0" w:line="245" w:lineRule="auto"/>
        <w:tabs>
          <w:tab w:leader="none" w:pos="346" w:val="left"/>
        </w:tabs>
        <w:numPr>
          <w:ilvl w:val="0"/>
          <w:numId w:val="61"/>
        </w:numPr>
        <w:rPr>
          <w:rFonts w:ascii="Arial" w:cs="Arial" w:eastAsia="Arial" w:hAnsi="Arial"/>
          <w:sz w:val="14"/>
          <w:szCs w:val="14"/>
          <w:color w:val="auto"/>
        </w:rPr>
      </w:pPr>
      <w:r>
        <w:rPr>
          <w:rFonts w:ascii="Arial" w:cs="Arial" w:eastAsia="Arial" w:hAnsi="Arial"/>
          <w:sz w:val="14"/>
          <w:szCs w:val="14"/>
          <w:color w:val="auto"/>
        </w:rPr>
        <w:t>Upon a termination due to death or disability, awards will vest based on actual performance at the conclusion of the performance periods. Shares continue to vest through the year of death or disability and all unvested shares are accelerated. Fiscal 2019 and 2020 values assume target performance will be achieved. For the awards granted in fiscal 2018, upon a termination due to retirement after 18 months from the grant date, awards will vest in full based on actual performance at the end of the performance period (no pro-rated payout). For the awards granted in fiscal 2019 and 2020, upon a termination due to retirement after the first anniversary of the grant date, awards will vest in full based on actual performance at the end of the performance period (no pro-rated payout). 2020 awards are assumed forfeited, as retirement at December 31, 2020 is before the first anniversary of the grant date. Pursuant to our award agreements with this executive the PRSUs outstanding as of the change-in-control will be vested at the greater of target or actual performance for the year, and pro-rated based on the number of calendar days between the beginning of the performance period and the change-in-control. Upon a change-in-control only (single trigger), PRSUs that are not assumed by an acquirer will accelerate; values presume that the acquirer assumes applicable outstanding PRSUs. As of December 31, 2020, two three-year performance cycles (2019-2021 and 2020-2022) are not yet complete and target payouts are used. For the 2018-2020 performance cycle, actual payouts were less than target. Upon a termination following a change-in-control, value represents the incremental difference in values between target and actual performance (e.g. no value for cycles where actual payouts are greater than or equal to target amounts). Values are based on the closing price of our common stock on December 31, 2020 ($95.90).</w:t>
      </w:r>
    </w:p>
    <w:p>
      <w:pPr>
        <w:spacing w:after="0" w:line="200" w:lineRule="exact"/>
        <w:rPr>
          <w:sz w:val="20"/>
          <w:szCs w:val="20"/>
          <w:color w:val="auto"/>
        </w:rPr>
      </w:pPr>
    </w:p>
    <w:p>
      <w:pPr>
        <w:spacing w:after="0" w:line="244" w:lineRule="exact"/>
        <w:rPr>
          <w:sz w:val="20"/>
          <w:szCs w:val="20"/>
          <w:color w:val="auto"/>
        </w:rPr>
      </w:pPr>
    </w:p>
    <w:p>
      <w:pPr>
        <w:jc w:val="center"/>
        <w:ind w:right="-25"/>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157480</wp:posOffset>
            </wp:positionV>
            <wp:extent cx="699516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66"/>
          </w:cols>
          <w:pgMar w:left="1354" w:top="263" w:right="1379" w:bottom="1440" w:gutter="0" w:footer="0" w:header="0"/>
        </w:sectPr>
      </w:pPr>
    </w:p>
    <w:bookmarkStart w:id="52" w:name="page53"/>
    <w:bookmarkEnd w:id="52"/>
    <w:p>
      <w:pPr>
        <w:ind w:left="6"/>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186" w:lineRule="exact"/>
        <w:rPr>
          <w:sz w:val="20"/>
          <w:szCs w:val="20"/>
          <w:color w:val="auto"/>
        </w:rPr>
      </w:pPr>
    </w:p>
    <w:p>
      <w:pPr>
        <w:jc w:val="center"/>
        <w:ind w:right="-25"/>
        <w:spacing w:after="0"/>
        <w:rPr>
          <w:sz w:val="20"/>
          <w:szCs w:val="20"/>
          <w:color w:val="auto"/>
        </w:rPr>
      </w:pPr>
      <w:r>
        <w:rPr>
          <w:rFonts w:ascii="Arial" w:cs="Arial" w:eastAsia="Arial" w:hAnsi="Arial"/>
          <w:sz w:val="14"/>
          <w:szCs w:val="14"/>
          <w:b w:val="1"/>
          <w:bCs w:val="1"/>
          <w:color w:val="auto"/>
        </w:rPr>
        <w:t>ITRON,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36195</wp:posOffset>
            </wp:positionV>
            <wp:extent cx="575183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751830" cy="8255"/>
                    </a:xfrm>
                    <a:prstGeom prst="rect">
                      <a:avLst/>
                    </a:prstGeom>
                    <a:noFill/>
                  </pic:spPr>
                </pic:pic>
              </a:graphicData>
            </a:graphic>
          </wp:anchor>
        </w:drawing>
      </w:r>
    </w:p>
    <w:p>
      <w:pPr>
        <w:spacing w:after="0" w:line="76" w:lineRule="exact"/>
        <w:rPr>
          <w:sz w:val="20"/>
          <w:szCs w:val="20"/>
          <w:color w:val="auto"/>
        </w:rPr>
      </w:pPr>
    </w:p>
    <w:p>
      <w:pPr>
        <w:jc w:val="center"/>
        <w:ind w:right="-25"/>
        <w:spacing w:after="0"/>
        <w:rPr>
          <w:sz w:val="20"/>
          <w:szCs w:val="20"/>
          <w:color w:val="auto"/>
        </w:rPr>
      </w:pPr>
      <w:r>
        <w:rPr>
          <w:rFonts w:ascii="Arial" w:cs="Arial" w:eastAsia="Arial" w:hAnsi="Arial"/>
          <w:sz w:val="14"/>
          <w:szCs w:val="14"/>
          <w:b w:val="1"/>
          <w:bCs w:val="1"/>
          <w:color w:val="auto"/>
        </w:rPr>
        <w:t>Summary of Termination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36195</wp:posOffset>
            </wp:positionV>
            <wp:extent cx="575183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751830" cy="8890"/>
                    </a:xfrm>
                    <a:prstGeom prst="rect">
                      <a:avLst/>
                    </a:prstGeom>
                    <a:noFill/>
                  </pic:spPr>
                </pic:pic>
              </a:graphicData>
            </a:graphic>
          </wp:anchor>
        </w:drawing>
      </w:r>
    </w:p>
    <w:p>
      <w:pPr>
        <w:spacing w:after="0" w:line="76" w:lineRule="exact"/>
        <w:rPr>
          <w:sz w:val="20"/>
          <w:szCs w:val="20"/>
          <w:color w:val="auto"/>
        </w:rPr>
      </w:pPr>
    </w:p>
    <w:p>
      <w:pPr>
        <w:jc w:val="center"/>
        <w:ind w:right="-25"/>
        <w:spacing w:after="0"/>
        <w:rPr>
          <w:sz w:val="20"/>
          <w:szCs w:val="20"/>
          <w:color w:val="auto"/>
        </w:rPr>
      </w:pPr>
      <w:r>
        <w:rPr>
          <w:rFonts w:ascii="Arial" w:cs="Arial" w:eastAsia="Arial" w:hAnsi="Arial"/>
          <w:sz w:val="14"/>
          <w:szCs w:val="14"/>
          <w:b w:val="1"/>
          <w:bCs w:val="1"/>
          <w:color w:val="auto"/>
        </w:rPr>
        <w:t>Michel Cadieux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36195</wp:posOffset>
            </wp:positionV>
            <wp:extent cx="575183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751830" cy="8255"/>
                    </a:xfrm>
                    <a:prstGeom prst="rect">
                      <a:avLst/>
                    </a:prstGeom>
                    <a:noFill/>
                  </pic:spPr>
                </pic:pic>
              </a:graphicData>
            </a:graphic>
          </wp:anchor>
        </w:drawing>
      </w:r>
    </w:p>
    <w:p>
      <w:pPr>
        <w:spacing w:after="0" w:line="76" w:lineRule="exact"/>
        <w:rPr>
          <w:sz w:val="20"/>
          <w:szCs w:val="20"/>
          <w:color w:val="auto"/>
        </w:rPr>
      </w:pPr>
    </w:p>
    <w:tbl>
      <w:tblPr>
        <w:tblLayout w:type="fixed"/>
        <w:tblInd w:w="66" w:type="dxa"/>
        <w:tblCellMar>
          <w:top w:w="0" w:type="dxa"/>
          <w:left w:w="0" w:type="dxa"/>
          <w:bottom w:w="0" w:type="dxa"/>
          <w:right w:w="0" w:type="dxa"/>
        </w:tblCellMar>
      </w:tblPr>
      <w:tr>
        <w:trPr>
          <w:trHeight w:val="162"/>
        </w:trPr>
        <w:tc>
          <w:tcPr>
            <w:tcW w:w="1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Termination</w:t>
            </w:r>
          </w:p>
        </w:tc>
        <w:tc>
          <w:tcPr>
            <w:tcW w:w="0" w:type="dxa"/>
            <w:vAlign w:val="bottom"/>
          </w:tcPr>
          <w:p>
            <w:pPr>
              <w:spacing w:after="0"/>
              <w:rPr>
                <w:sz w:val="1"/>
                <w:szCs w:val="1"/>
                <w:color w:val="auto"/>
              </w:rPr>
            </w:pPr>
          </w:p>
        </w:tc>
      </w:tr>
      <w:tr>
        <w:trPr>
          <w:trHeight w:val="162"/>
        </w:trPr>
        <w:tc>
          <w:tcPr>
            <w:tcW w:w="1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rPr>
              <w:t>Without Cause</w:t>
            </w:r>
          </w:p>
        </w:tc>
        <w:tc>
          <w:tcPr>
            <w:tcW w:w="0" w:type="dxa"/>
            <w:vAlign w:val="bottom"/>
          </w:tcPr>
          <w:p>
            <w:pPr>
              <w:spacing w:after="0"/>
              <w:rPr>
                <w:sz w:val="1"/>
                <w:szCs w:val="1"/>
                <w:color w:val="auto"/>
              </w:rPr>
            </w:pPr>
          </w:p>
        </w:tc>
      </w:tr>
      <w:tr>
        <w:trPr>
          <w:trHeight w:val="162"/>
        </w:trPr>
        <w:tc>
          <w:tcPr>
            <w:tcW w:w="1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rPr>
              <w:t>or by Executive</w:t>
            </w:r>
          </w:p>
        </w:tc>
        <w:tc>
          <w:tcPr>
            <w:tcW w:w="0" w:type="dxa"/>
            <w:vAlign w:val="bottom"/>
          </w:tcPr>
          <w:p>
            <w:pPr>
              <w:spacing w:after="0"/>
              <w:rPr>
                <w:sz w:val="1"/>
                <w:szCs w:val="1"/>
                <w:color w:val="auto"/>
              </w:rPr>
            </w:pPr>
          </w:p>
        </w:tc>
      </w:tr>
      <w:tr>
        <w:trPr>
          <w:trHeight w:val="162"/>
        </w:trPr>
        <w:tc>
          <w:tcPr>
            <w:tcW w:w="1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rPr>
              <w:t>for Good</w:t>
            </w:r>
          </w:p>
        </w:tc>
        <w:tc>
          <w:tcPr>
            <w:tcW w:w="0" w:type="dxa"/>
            <w:vAlign w:val="bottom"/>
          </w:tcPr>
          <w:p>
            <w:pPr>
              <w:spacing w:after="0"/>
              <w:rPr>
                <w:sz w:val="1"/>
                <w:szCs w:val="1"/>
                <w:color w:val="auto"/>
              </w:rPr>
            </w:pPr>
          </w:p>
        </w:tc>
      </w:tr>
      <w:tr>
        <w:trPr>
          <w:trHeight w:val="162"/>
        </w:trPr>
        <w:tc>
          <w:tcPr>
            <w:tcW w:w="1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rPr>
              <w:t>Reason</w:t>
            </w:r>
          </w:p>
        </w:tc>
        <w:tc>
          <w:tcPr>
            <w:tcW w:w="0" w:type="dxa"/>
            <w:vAlign w:val="bottom"/>
          </w:tcPr>
          <w:p>
            <w:pPr>
              <w:spacing w:after="0"/>
              <w:rPr>
                <w:sz w:val="1"/>
                <w:szCs w:val="1"/>
                <w:color w:val="auto"/>
              </w:rPr>
            </w:pPr>
          </w:p>
        </w:tc>
      </w:tr>
      <w:tr>
        <w:trPr>
          <w:trHeight w:val="162"/>
        </w:trPr>
        <w:tc>
          <w:tcPr>
            <w:tcW w:w="1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Termination</w:t>
            </w:r>
          </w:p>
        </w:tc>
        <w:tc>
          <w:tcPr>
            <w:tcW w:w="8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Change-</w:t>
            </w: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rPr>
              <w:t>Following a</w:t>
            </w:r>
          </w:p>
        </w:tc>
        <w:tc>
          <w:tcPr>
            <w:tcW w:w="0" w:type="dxa"/>
            <w:vAlign w:val="bottom"/>
          </w:tcPr>
          <w:p>
            <w:pPr>
              <w:spacing w:after="0"/>
              <w:rPr>
                <w:sz w:val="1"/>
                <w:szCs w:val="1"/>
                <w:color w:val="auto"/>
              </w:rPr>
            </w:pPr>
          </w:p>
        </w:tc>
      </w:tr>
      <w:tr>
        <w:trPr>
          <w:trHeight w:val="162"/>
        </w:trPr>
        <w:tc>
          <w:tcPr>
            <w:tcW w:w="164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Executive Benefits</w:t>
            </w:r>
            <w:r>
              <w:rPr>
                <w:rFonts w:ascii="Arial" w:cs="Arial" w:eastAsia="Arial" w:hAnsi="Arial"/>
                <w:sz w:val="23"/>
                <w:szCs w:val="23"/>
                <w:b w:val="1"/>
                <w:bCs w:val="1"/>
                <w:color w:val="auto"/>
                <w:vertAlign w:val="superscript"/>
              </w:rPr>
              <w:t>(1)</w:t>
            </w:r>
          </w:p>
        </w:tc>
        <w:tc>
          <w:tcPr>
            <w:tcW w:w="140" w:type="dxa"/>
            <w:vAlign w:val="bottom"/>
            <w:vMerge w:val="restart"/>
          </w:tcPr>
          <w:p>
            <w:pPr>
              <w:spacing w:after="0"/>
              <w:rPr>
                <w:sz w:val="14"/>
                <w:szCs w:val="14"/>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Termination</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Voluntary</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3"/>
          </w:tcPr>
          <w:p>
            <w:pPr>
              <w:ind w:left="120"/>
              <w:spacing w:after="0"/>
              <w:rPr>
                <w:sz w:val="20"/>
                <w:szCs w:val="20"/>
                <w:color w:val="auto"/>
              </w:rPr>
            </w:pPr>
            <w:r>
              <w:rPr>
                <w:rFonts w:ascii="Arial" w:cs="Arial" w:eastAsia="Arial" w:hAnsi="Arial"/>
                <w:sz w:val="14"/>
                <w:szCs w:val="14"/>
                <w:b w:val="1"/>
                <w:bCs w:val="1"/>
                <w:color w:val="auto"/>
              </w:rPr>
              <w:t>Without</w:t>
            </w:r>
          </w:p>
        </w:tc>
        <w:tc>
          <w:tcPr>
            <w:tcW w:w="180" w:type="dxa"/>
            <w:vAlign w:val="bottom"/>
          </w:tcPr>
          <w:p>
            <w:pPr>
              <w:spacing w:after="0"/>
              <w:rPr>
                <w:sz w:val="14"/>
                <w:szCs w:val="14"/>
                <w:color w:val="auto"/>
              </w:rPr>
            </w:pPr>
          </w:p>
        </w:tc>
        <w:tc>
          <w:tcPr>
            <w:tcW w:w="7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w:t>
            </w: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rPr>
              <w:t>Change-in-</w:t>
            </w:r>
          </w:p>
        </w:tc>
        <w:tc>
          <w:tcPr>
            <w:tcW w:w="0" w:type="dxa"/>
            <w:vAlign w:val="bottom"/>
          </w:tcPr>
          <w:p>
            <w:pPr>
              <w:spacing w:after="0"/>
              <w:rPr>
                <w:sz w:val="1"/>
                <w:szCs w:val="1"/>
                <w:color w:val="auto"/>
              </w:rPr>
            </w:pPr>
          </w:p>
        </w:tc>
      </w:tr>
      <w:tr>
        <w:trPr>
          <w:trHeight w:val="218"/>
        </w:trPr>
        <w:tc>
          <w:tcPr>
            <w:tcW w:w="1640" w:type="dxa"/>
            <w:vAlign w:val="bottom"/>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for Cause</w:t>
            </w:r>
          </w:p>
        </w:tc>
        <w:tc>
          <w:tcPr>
            <w:tcW w:w="1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Termination</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ind w:right="56"/>
              <w:spacing w:after="0"/>
              <w:rPr>
                <w:sz w:val="20"/>
                <w:szCs w:val="20"/>
                <w:color w:val="auto"/>
              </w:rPr>
            </w:pPr>
            <w:r>
              <w:rPr>
                <w:rFonts w:ascii="Arial" w:cs="Arial" w:eastAsia="Arial" w:hAnsi="Arial"/>
                <w:sz w:val="14"/>
                <w:szCs w:val="14"/>
                <w:b w:val="1"/>
                <w:bCs w:val="1"/>
                <w:color w:val="auto"/>
              </w:rPr>
              <w:t>Death</w:t>
            </w:r>
          </w:p>
        </w:tc>
        <w:tc>
          <w:tcPr>
            <w:tcW w:w="120" w:type="dxa"/>
            <w:vAlign w:val="bottom"/>
          </w:tcPr>
          <w:p>
            <w:pPr>
              <w:spacing w:after="0"/>
              <w:rPr>
                <w:sz w:val="18"/>
                <w:szCs w:val="18"/>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w w:val="99"/>
              </w:rPr>
              <w:t>Disability</w:t>
            </w:r>
          </w:p>
        </w:tc>
        <w:tc>
          <w:tcPr>
            <w:tcW w:w="140" w:type="dxa"/>
            <w:vAlign w:val="bottom"/>
          </w:tcPr>
          <w:p>
            <w:pPr>
              <w:spacing w:after="0"/>
              <w:rPr>
                <w:sz w:val="18"/>
                <w:szCs w:val="18"/>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Retirement</w:t>
            </w:r>
          </w:p>
        </w:tc>
        <w:tc>
          <w:tcPr>
            <w:tcW w:w="960" w:type="dxa"/>
            <w:vAlign w:val="bottom"/>
            <w:gridSpan w:val="3"/>
          </w:tcPr>
          <w:p>
            <w:pPr>
              <w:ind w:left="200"/>
              <w:spacing w:after="0"/>
              <w:rPr>
                <w:sz w:val="20"/>
                <w:szCs w:val="20"/>
                <w:color w:val="auto"/>
              </w:rPr>
            </w:pPr>
            <w:r>
              <w:rPr>
                <w:rFonts w:ascii="Arial" w:cs="Arial" w:eastAsia="Arial" w:hAnsi="Arial"/>
                <w:sz w:val="14"/>
                <w:szCs w:val="14"/>
                <w:b w:val="1"/>
                <w:bCs w:val="1"/>
                <w:color w:val="auto"/>
              </w:rPr>
              <w:t>Cause</w:t>
            </w:r>
          </w:p>
        </w:tc>
        <w:tc>
          <w:tcPr>
            <w:tcW w:w="880" w:type="dxa"/>
            <w:vAlign w:val="bottom"/>
            <w:gridSpan w:val="3"/>
          </w:tcPr>
          <w:p>
            <w:pPr>
              <w:ind w:left="120"/>
              <w:spacing w:after="0"/>
              <w:rPr>
                <w:sz w:val="20"/>
                <w:szCs w:val="20"/>
                <w:color w:val="auto"/>
              </w:rPr>
            </w:pPr>
            <w:r>
              <w:rPr>
                <w:rFonts w:ascii="Arial" w:cs="Arial" w:eastAsia="Arial" w:hAnsi="Arial"/>
                <w:sz w:val="14"/>
                <w:szCs w:val="14"/>
                <w:b w:val="1"/>
                <w:bCs w:val="1"/>
                <w:color w:val="auto"/>
              </w:rPr>
              <w:t>Control</w:t>
            </w: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rPr>
              <w:t>Control</w:t>
            </w:r>
          </w:p>
        </w:tc>
        <w:tc>
          <w:tcPr>
            <w:tcW w:w="0" w:type="dxa"/>
            <w:vAlign w:val="bottom"/>
          </w:tcPr>
          <w:p>
            <w:pPr>
              <w:spacing w:after="0"/>
              <w:rPr>
                <w:sz w:val="1"/>
                <w:szCs w:val="1"/>
                <w:color w:val="auto"/>
              </w:rPr>
            </w:pPr>
          </w:p>
        </w:tc>
      </w:tr>
      <w:tr>
        <w:trPr>
          <w:trHeight w:val="197"/>
        </w:trPr>
        <w:tc>
          <w:tcPr>
            <w:tcW w:w="1640" w:type="dxa"/>
            <w:vAlign w:val="bottom"/>
            <w:tcBorders>
              <w:top w:val="single" w:sz="8" w:color="auto"/>
            </w:tcBorders>
          </w:tcPr>
          <w:p>
            <w:pPr>
              <w:ind w:left="20"/>
              <w:spacing w:after="0" w:line="197" w:lineRule="exact"/>
              <w:rPr>
                <w:sz w:val="20"/>
                <w:szCs w:val="20"/>
                <w:color w:val="auto"/>
              </w:rPr>
            </w:pPr>
            <w:r>
              <w:rPr>
                <w:rFonts w:ascii="Arial" w:cs="Arial" w:eastAsia="Arial" w:hAnsi="Arial"/>
                <w:sz w:val="13"/>
                <w:szCs w:val="13"/>
                <w:color w:val="auto"/>
              </w:rPr>
              <w:t>Annual Incentive</w:t>
            </w:r>
            <w:r>
              <w:rPr>
                <w:rFonts w:ascii="Arial" w:cs="Arial" w:eastAsia="Arial" w:hAnsi="Arial"/>
                <w:sz w:val="20"/>
                <w:szCs w:val="20"/>
                <w:color w:val="auto"/>
                <w:vertAlign w:val="superscript"/>
              </w:rPr>
              <w:t>(2)</w:t>
            </w:r>
          </w:p>
        </w:tc>
        <w:tc>
          <w:tcPr>
            <w:tcW w:w="140" w:type="dxa"/>
            <w:vAlign w:val="bottom"/>
          </w:tcPr>
          <w:p>
            <w:pPr>
              <w:spacing w:after="0"/>
              <w:rPr>
                <w:sz w:val="17"/>
                <w:szCs w:val="17"/>
                <w:color w:val="auto"/>
              </w:rPr>
            </w:pPr>
          </w:p>
        </w:tc>
        <w:tc>
          <w:tcPr>
            <w:tcW w:w="82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88"/>
              </w:rPr>
              <w:t>$—</w:t>
            </w:r>
          </w:p>
        </w:tc>
        <w:tc>
          <w:tcPr>
            <w:tcW w:w="140" w:type="dxa"/>
            <w:vAlign w:val="bottom"/>
          </w:tcPr>
          <w:p>
            <w:pPr>
              <w:spacing w:after="0"/>
              <w:rPr>
                <w:sz w:val="17"/>
                <w:szCs w:val="17"/>
                <w:color w:val="auto"/>
              </w:rPr>
            </w:pPr>
          </w:p>
        </w:tc>
        <w:tc>
          <w:tcPr>
            <w:tcW w:w="82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88"/>
              </w:rPr>
              <w:t>$—</w:t>
            </w:r>
          </w:p>
        </w:tc>
        <w:tc>
          <w:tcPr>
            <w:tcW w:w="14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80" w:type="dxa"/>
            <w:vAlign w:val="bottom"/>
            <w:tcBorders>
              <w:top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6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7"/>
                <w:szCs w:val="17"/>
                <w:color w:val="auto"/>
              </w:rPr>
            </w:pPr>
          </w:p>
        </w:tc>
        <w:tc>
          <w:tcPr>
            <w:tcW w:w="220" w:type="dxa"/>
            <w:vAlign w:val="bottom"/>
            <w:tcBorders>
              <w:top w:val="single" w:sz="8" w:color="auto"/>
            </w:tcBorders>
          </w:tcPr>
          <w:p>
            <w:pPr>
              <w:ind w:left="140"/>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7"/>
                <w:szCs w:val="17"/>
                <w:color w:val="auto"/>
              </w:rPr>
            </w:pPr>
          </w:p>
        </w:tc>
        <w:tc>
          <w:tcPr>
            <w:tcW w:w="180" w:type="dxa"/>
            <w:vAlign w:val="bottom"/>
            <w:tcBorders>
              <w:top w:val="single" w:sz="8" w:color="auto"/>
            </w:tcBorders>
          </w:tcPr>
          <w:p>
            <w:pPr>
              <w:ind w:left="12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tcPr>
          <w:p>
            <w:pPr>
              <w:jc w:val="right"/>
              <w:ind w:right="36"/>
              <w:spacing w:after="0"/>
              <w:rPr>
                <w:sz w:val="20"/>
                <w:szCs w:val="20"/>
                <w:color w:val="auto"/>
              </w:rPr>
            </w:pPr>
            <w:r>
              <w:rPr>
                <w:rFonts w:ascii="Arial" w:cs="Arial" w:eastAsia="Arial" w:hAnsi="Arial"/>
                <w:sz w:val="13"/>
                <w:szCs w:val="13"/>
                <w:color w:val="auto"/>
                <w:w w:val="93"/>
              </w:rPr>
              <w:t>307,500</w:t>
            </w:r>
          </w:p>
        </w:tc>
        <w:tc>
          <w:tcPr>
            <w:tcW w:w="140" w:type="dxa"/>
            <w:vAlign w:val="bottom"/>
          </w:tcPr>
          <w:p>
            <w:pPr>
              <w:spacing w:after="0"/>
              <w:rPr>
                <w:sz w:val="17"/>
                <w:szCs w:val="17"/>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tcBorders>
          </w:tcPr>
          <w:p>
            <w:pPr>
              <w:jc w:val="right"/>
              <w:ind w:right="177"/>
              <w:spacing w:after="0"/>
              <w:rPr>
                <w:sz w:val="20"/>
                <w:szCs w:val="20"/>
                <w:color w:val="auto"/>
              </w:rPr>
            </w:pPr>
            <w:r>
              <w:rPr>
                <w:rFonts w:ascii="Arial" w:cs="Arial" w:eastAsia="Arial" w:hAnsi="Arial"/>
                <w:sz w:val="13"/>
                <w:szCs w:val="13"/>
                <w:color w:val="auto"/>
              </w:rPr>
              <w:t>307,500</w:t>
            </w:r>
          </w:p>
        </w:tc>
        <w:tc>
          <w:tcPr>
            <w:tcW w:w="0" w:type="dxa"/>
            <w:vAlign w:val="bottom"/>
          </w:tcPr>
          <w:p>
            <w:pPr>
              <w:spacing w:after="0"/>
              <w:rPr>
                <w:sz w:val="1"/>
                <w:szCs w:val="1"/>
                <w:color w:val="auto"/>
              </w:rPr>
            </w:pPr>
          </w:p>
        </w:tc>
      </w:tr>
      <w:tr>
        <w:trPr>
          <w:trHeight w:val="189"/>
        </w:trPr>
        <w:tc>
          <w:tcPr>
            <w:tcW w:w="1780" w:type="dxa"/>
            <w:vAlign w:val="bottom"/>
            <w:gridSpan w:val="2"/>
          </w:tcPr>
          <w:p>
            <w:pPr>
              <w:ind w:left="20"/>
              <w:spacing w:after="0" w:line="189" w:lineRule="exact"/>
              <w:rPr>
                <w:sz w:val="20"/>
                <w:szCs w:val="20"/>
                <w:color w:val="auto"/>
              </w:rPr>
            </w:pPr>
            <w:r>
              <w:rPr>
                <w:rFonts w:ascii="Arial" w:cs="Arial" w:eastAsia="Arial" w:hAnsi="Arial"/>
                <w:sz w:val="13"/>
                <w:szCs w:val="13"/>
                <w:color w:val="auto"/>
              </w:rPr>
              <w:t>Accelerated Stock Options</w:t>
            </w:r>
            <w:r>
              <w:rPr>
                <w:rFonts w:ascii="Arial" w:cs="Arial" w:eastAsia="Arial" w:hAnsi="Arial"/>
                <w:sz w:val="20"/>
                <w:szCs w:val="20"/>
                <w:color w:val="auto"/>
                <w:vertAlign w:val="superscript"/>
              </w:rPr>
              <w:t>(3)</w:t>
            </w:r>
          </w:p>
        </w:tc>
        <w:tc>
          <w:tcPr>
            <w:tcW w:w="960" w:type="dxa"/>
            <w:vAlign w:val="bottom"/>
            <w:gridSpan w:val="2"/>
          </w:tcPr>
          <w:p>
            <w:pPr>
              <w:jc w:val="center"/>
              <w:ind w:right="140"/>
              <w:spacing w:after="0"/>
              <w:rPr>
                <w:sz w:val="20"/>
                <w:szCs w:val="20"/>
                <w:color w:val="auto"/>
              </w:rPr>
            </w:pPr>
            <w:r>
              <w:rPr>
                <w:rFonts w:ascii="Arial" w:cs="Arial" w:eastAsia="Arial" w:hAnsi="Arial"/>
                <w:sz w:val="13"/>
                <w:szCs w:val="13"/>
                <w:color w:val="auto"/>
                <w:w w:val="88"/>
              </w:rPr>
              <w:t>$—</w:t>
            </w:r>
          </w:p>
        </w:tc>
        <w:tc>
          <w:tcPr>
            <w:tcW w:w="820" w:type="dxa"/>
            <w:vAlign w:val="bottom"/>
          </w:tcPr>
          <w:p>
            <w:pPr>
              <w:jc w:val="center"/>
              <w:spacing w:after="0"/>
              <w:rPr>
                <w:sz w:val="20"/>
                <w:szCs w:val="20"/>
                <w:color w:val="auto"/>
              </w:rPr>
            </w:pPr>
            <w:r>
              <w:rPr>
                <w:rFonts w:ascii="Arial" w:cs="Arial" w:eastAsia="Arial" w:hAnsi="Arial"/>
                <w:sz w:val="13"/>
                <w:szCs w:val="13"/>
                <w:color w:val="auto"/>
                <w:w w:val="88"/>
              </w:rPr>
              <w:t>$—</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135,937</w:t>
            </w:r>
          </w:p>
        </w:tc>
        <w:tc>
          <w:tcPr>
            <w:tcW w:w="120" w:type="dxa"/>
            <w:vAlign w:val="bottom"/>
          </w:tcPr>
          <w:p>
            <w:pPr>
              <w:spacing w:after="0"/>
              <w:rPr>
                <w:sz w:val="16"/>
                <w:szCs w:val="16"/>
                <w:color w:val="auto"/>
              </w:rPr>
            </w:pP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135,937</w:t>
            </w:r>
          </w:p>
        </w:tc>
        <w:tc>
          <w:tcPr>
            <w:tcW w:w="14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71,341</w:t>
            </w:r>
          </w:p>
        </w:tc>
        <w:tc>
          <w:tcPr>
            <w:tcW w:w="140" w:type="dxa"/>
            <w:vAlign w:val="bottom"/>
          </w:tcPr>
          <w:p>
            <w:pPr>
              <w:spacing w:after="0"/>
              <w:rPr>
                <w:sz w:val="16"/>
                <w:szCs w:val="16"/>
                <w:color w:val="auto"/>
              </w:rPr>
            </w:pPr>
          </w:p>
        </w:tc>
        <w:tc>
          <w:tcPr>
            <w:tcW w:w="220" w:type="dxa"/>
            <w:vAlign w:val="bottom"/>
          </w:tcPr>
          <w:p>
            <w:pPr>
              <w:ind w:left="140"/>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80" w:type="dxa"/>
            <w:vAlign w:val="bottom"/>
          </w:tcPr>
          <w:p>
            <w:pPr>
              <w:ind w:left="120"/>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77"/>
              <w:spacing w:after="0"/>
              <w:rPr>
                <w:sz w:val="20"/>
                <w:szCs w:val="20"/>
                <w:color w:val="auto"/>
              </w:rPr>
            </w:pPr>
            <w:r>
              <w:rPr>
                <w:rFonts w:ascii="Arial" w:cs="Arial" w:eastAsia="Arial" w:hAnsi="Arial"/>
                <w:sz w:val="13"/>
                <w:szCs w:val="13"/>
                <w:color w:val="auto"/>
              </w:rPr>
              <w:t>135,937</w:t>
            </w:r>
          </w:p>
        </w:tc>
        <w:tc>
          <w:tcPr>
            <w:tcW w:w="0" w:type="dxa"/>
            <w:vAlign w:val="bottom"/>
          </w:tcPr>
          <w:p>
            <w:pPr>
              <w:spacing w:after="0"/>
              <w:rPr>
                <w:sz w:val="1"/>
                <w:szCs w:val="1"/>
                <w:color w:val="auto"/>
              </w:rPr>
            </w:pPr>
          </w:p>
        </w:tc>
      </w:tr>
      <w:tr>
        <w:trPr>
          <w:trHeight w:val="193"/>
        </w:trPr>
        <w:tc>
          <w:tcPr>
            <w:tcW w:w="1780" w:type="dxa"/>
            <w:vAlign w:val="bottom"/>
            <w:gridSpan w:val="2"/>
          </w:tcPr>
          <w:p>
            <w:pPr>
              <w:ind w:left="20"/>
              <w:spacing w:after="0" w:line="193" w:lineRule="exact"/>
              <w:rPr>
                <w:sz w:val="20"/>
                <w:szCs w:val="20"/>
                <w:color w:val="auto"/>
              </w:rPr>
            </w:pPr>
            <w:r>
              <w:rPr>
                <w:rFonts w:ascii="Arial" w:cs="Arial" w:eastAsia="Arial" w:hAnsi="Arial"/>
                <w:sz w:val="13"/>
                <w:szCs w:val="13"/>
                <w:color w:val="auto"/>
              </w:rPr>
              <w:t>Severance</w:t>
            </w:r>
            <w:r>
              <w:rPr>
                <w:rFonts w:ascii="Arial" w:cs="Arial" w:eastAsia="Arial" w:hAnsi="Arial"/>
                <w:sz w:val="20"/>
                <w:szCs w:val="20"/>
                <w:color w:val="auto"/>
                <w:vertAlign w:val="superscript"/>
              </w:rPr>
              <w:t>(4)</w:t>
            </w:r>
          </w:p>
        </w:tc>
        <w:tc>
          <w:tcPr>
            <w:tcW w:w="960" w:type="dxa"/>
            <w:vAlign w:val="bottom"/>
            <w:gridSpan w:val="2"/>
          </w:tcPr>
          <w:p>
            <w:pPr>
              <w:jc w:val="center"/>
              <w:ind w:right="140"/>
              <w:spacing w:after="0"/>
              <w:rPr>
                <w:sz w:val="20"/>
                <w:szCs w:val="20"/>
                <w:color w:val="auto"/>
              </w:rPr>
            </w:pPr>
            <w:r>
              <w:rPr>
                <w:rFonts w:ascii="Arial" w:cs="Arial" w:eastAsia="Arial" w:hAnsi="Arial"/>
                <w:sz w:val="13"/>
                <w:szCs w:val="13"/>
                <w:color w:val="auto"/>
                <w:w w:val="88"/>
              </w:rPr>
              <w:t>$—</w:t>
            </w:r>
          </w:p>
        </w:tc>
        <w:tc>
          <w:tcPr>
            <w:tcW w:w="820" w:type="dxa"/>
            <w:vAlign w:val="bottom"/>
          </w:tcPr>
          <w:p>
            <w:pPr>
              <w:jc w:val="center"/>
              <w:spacing w:after="0"/>
              <w:rPr>
                <w:sz w:val="20"/>
                <w:szCs w:val="20"/>
                <w:color w:val="auto"/>
              </w:rPr>
            </w:pPr>
            <w:r>
              <w:rPr>
                <w:rFonts w:ascii="Arial" w:cs="Arial" w:eastAsia="Arial" w:hAnsi="Arial"/>
                <w:sz w:val="13"/>
                <w:szCs w:val="13"/>
                <w:color w:val="auto"/>
                <w:w w:val="88"/>
              </w:rPr>
              <w:t>$—</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ind w:left="140"/>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ind w:right="77"/>
              <w:spacing w:after="0"/>
              <w:rPr>
                <w:sz w:val="20"/>
                <w:szCs w:val="20"/>
                <w:color w:val="auto"/>
              </w:rPr>
            </w:pPr>
            <w:r>
              <w:rPr>
                <w:rFonts w:ascii="Arial" w:cs="Arial" w:eastAsia="Arial" w:hAnsi="Arial"/>
                <w:sz w:val="13"/>
                <w:szCs w:val="13"/>
                <w:color w:val="auto"/>
                <w:w w:val="93"/>
              </w:rPr>
              <w:t>437,510</w:t>
            </w:r>
          </w:p>
        </w:tc>
        <w:tc>
          <w:tcPr>
            <w:tcW w:w="140" w:type="dxa"/>
            <w:vAlign w:val="bottom"/>
          </w:tcPr>
          <w:p>
            <w:pPr>
              <w:spacing w:after="0"/>
              <w:rPr>
                <w:sz w:val="16"/>
                <w:szCs w:val="16"/>
                <w:color w:val="auto"/>
              </w:rPr>
            </w:pPr>
          </w:p>
        </w:tc>
        <w:tc>
          <w:tcPr>
            <w:tcW w:w="180" w:type="dxa"/>
            <w:vAlign w:val="bottom"/>
          </w:tcPr>
          <w:p>
            <w:pPr>
              <w:ind w:left="120"/>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57"/>
              <w:spacing w:after="0"/>
              <w:rPr>
                <w:sz w:val="20"/>
                <w:szCs w:val="20"/>
                <w:color w:val="auto"/>
              </w:rPr>
            </w:pPr>
            <w:r>
              <w:rPr>
                <w:rFonts w:ascii="Arial" w:cs="Arial" w:eastAsia="Arial" w:hAnsi="Arial"/>
                <w:sz w:val="13"/>
                <w:szCs w:val="13"/>
                <w:color w:val="auto"/>
                <w:w w:val="93"/>
              </w:rPr>
              <w:t>1,435,000</w:t>
            </w:r>
          </w:p>
        </w:tc>
        <w:tc>
          <w:tcPr>
            <w:tcW w:w="0" w:type="dxa"/>
            <w:vAlign w:val="bottom"/>
          </w:tcPr>
          <w:p>
            <w:pPr>
              <w:spacing w:after="0"/>
              <w:rPr>
                <w:sz w:val="1"/>
                <w:szCs w:val="1"/>
                <w:color w:val="auto"/>
              </w:rPr>
            </w:pPr>
          </w:p>
        </w:tc>
      </w:tr>
      <w:tr>
        <w:trPr>
          <w:trHeight w:val="170"/>
        </w:trPr>
        <w:tc>
          <w:tcPr>
            <w:tcW w:w="1780" w:type="dxa"/>
            <w:vAlign w:val="bottom"/>
            <w:gridSpan w:val="2"/>
          </w:tcPr>
          <w:p>
            <w:pPr>
              <w:ind w:left="20"/>
              <w:spacing w:after="0"/>
              <w:rPr>
                <w:sz w:val="20"/>
                <w:szCs w:val="20"/>
                <w:color w:val="auto"/>
              </w:rPr>
            </w:pPr>
            <w:r>
              <w:rPr>
                <w:rFonts w:ascii="Arial" w:cs="Arial" w:eastAsia="Arial" w:hAnsi="Arial"/>
                <w:sz w:val="13"/>
                <w:szCs w:val="13"/>
                <w:color w:val="auto"/>
              </w:rPr>
              <w:t>Benefit Continuation</w:t>
            </w:r>
          </w:p>
        </w:tc>
        <w:tc>
          <w:tcPr>
            <w:tcW w:w="960" w:type="dxa"/>
            <w:vAlign w:val="bottom"/>
            <w:gridSpan w:val="2"/>
          </w:tcPr>
          <w:p>
            <w:pPr>
              <w:jc w:val="center"/>
              <w:ind w:right="140"/>
              <w:spacing w:after="0"/>
              <w:rPr>
                <w:sz w:val="20"/>
                <w:szCs w:val="20"/>
                <w:color w:val="auto"/>
              </w:rPr>
            </w:pPr>
            <w:r>
              <w:rPr>
                <w:rFonts w:ascii="Arial" w:cs="Arial" w:eastAsia="Arial" w:hAnsi="Arial"/>
                <w:sz w:val="13"/>
                <w:szCs w:val="13"/>
                <w:color w:val="auto"/>
                <w:w w:val="88"/>
              </w:rPr>
              <w:t>$—</w:t>
            </w:r>
          </w:p>
        </w:tc>
        <w:tc>
          <w:tcPr>
            <w:tcW w:w="820" w:type="dxa"/>
            <w:vAlign w:val="bottom"/>
          </w:tcPr>
          <w:p>
            <w:pPr>
              <w:jc w:val="center"/>
              <w:spacing w:after="0"/>
              <w:rPr>
                <w:sz w:val="20"/>
                <w:szCs w:val="20"/>
                <w:color w:val="auto"/>
              </w:rPr>
            </w:pPr>
            <w:r>
              <w:rPr>
                <w:rFonts w:ascii="Arial" w:cs="Arial" w:eastAsia="Arial" w:hAnsi="Arial"/>
                <w:sz w:val="13"/>
                <w:szCs w:val="13"/>
                <w:color w:val="auto"/>
                <w:w w:val="88"/>
              </w:rPr>
              <w:t>$—</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ind w:left="140"/>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80" w:type="dxa"/>
            <w:vAlign w:val="bottom"/>
          </w:tcPr>
          <w:p>
            <w:pPr>
              <w:ind w:left="120"/>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77"/>
              <w:spacing w:after="0"/>
              <w:rPr>
                <w:sz w:val="20"/>
                <w:szCs w:val="20"/>
                <w:color w:val="auto"/>
              </w:rPr>
            </w:pPr>
            <w:r>
              <w:rPr>
                <w:rFonts w:ascii="Arial" w:cs="Arial" w:eastAsia="Arial" w:hAnsi="Arial"/>
                <w:sz w:val="13"/>
                <w:szCs w:val="13"/>
                <w:color w:val="auto"/>
              </w:rPr>
              <w:t>37,020</w:t>
            </w:r>
          </w:p>
        </w:tc>
        <w:tc>
          <w:tcPr>
            <w:tcW w:w="0" w:type="dxa"/>
            <w:vAlign w:val="bottom"/>
          </w:tcPr>
          <w:p>
            <w:pPr>
              <w:spacing w:after="0"/>
              <w:rPr>
                <w:sz w:val="1"/>
                <w:szCs w:val="1"/>
                <w:color w:val="auto"/>
              </w:rPr>
            </w:pPr>
          </w:p>
        </w:tc>
      </w:tr>
      <w:tr>
        <w:trPr>
          <w:trHeight w:val="208"/>
        </w:trPr>
        <w:tc>
          <w:tcPr>
            <w:tcW w:w="1780" w:type="dxa"/>
            <w:vAlign w:val="bottom"/>
            <w:gridSpan w:val="2"/>
          </w:tcPr>
          <w:p>
            <w:pPr>
              <w:ind w:left="20"/>
              <w:spacing w:after="0" w:line="208" w:lineRule="exact"/>
              <w:rPr>
                <w:sz w:val="20"/>
                <w:szCs w:val="20"/>
                <w:color w:val="auto"/>
              </w:rPr>
            </w:pPr>
            <w:r>
              <w:rPr>
                <w:rFonts w:ascii="Arial" w:cs="Arial" w:eastAsia="Arial" w:hAnsi="Arial"/>
                <w:sz w:val="13"/>
                <w:szCs w:val="13"/>
                <w:color w:val="auto"/>
              </w:rPr>
              <w:t>Accelerated RSUs</w:t>
            </w:r>
            <w:r>
              <w:rPr>
                <w:rFonts w:ascii="Arial" w:cs="Arial" w:eastAsia="Arial" w:hAnsi="Arial"/>
                <w:sz w:val="20"/>
                <w:szCs w:val="20"/>
                <w:color w:val="auto"/>
                <w:vertAlign w:val="superscript"/>
              </w:rPr>
              <w:t>(5)</w:t>
            </w:r>
          </w:p>
        </w:tc>
        <w:tc>
          <w:tcPr>
            <w:tcW w:w="960" w:type="dxa"/>
            <w:vAlign w:val="bottom"/>
            <w:gridSpan w:val="2"/>
          </w:tcPr>
          <w:p>
            <w:pPr>
              <w:jc w:val="center"/>
              <w:ind w:right="140"/>
              <w:spacing w:after="0"/>
              <w:rPr>
                <w:sz w:val="20"/>
                <w:szCs w:val="20"/>
                <w:color w:val="auto"/>
              </w:rPr>
            </w:pPr>
            <w:r>
              <w:rPr>
                <w:rFonts w:ascii="Arial" w:cs="Arial" w:eastAsia="Arial" w:hAnsi="Arial"/>
                <w:sz w:val="13"/>
                <w:szCs w:val="13"/>
                <w:color w:val="auto"/>
                <w:w w:val="88"/>
              </w:rPr>
              <w:t>$—</w:t>
            </w:r>
          </w:p>
        </w:tc>
        <w:tc>
          <w:tcPr>
            <w:tcW w:w="820" w:type="dxa"/>
            <w:vAlign w:val="bottom"/>
          </w:tcPr>
          <w:p>
            <w:pPr>
              <w:jc w:val="center"/>
              <w:spacing w:after="0"/>
              <w:rPr>
                <w:sz w:val="20"/>
                <w:szCs w:val="20"/>
                <w:color w:val="auto"/>
              </w:rPr>
            </w:pPr>
            <w:r>
              <w:rPr>
                <w:rFonts w:ascii="Arial" w:cs="Arial" w:eastAsia="Arial" w:hAnsi="Arial"/>
                <w:sz w:val="13"/>
                <w:szCs w:val="13"/>
                <w:color w:val="auto"/>
                <w:w w:val="88"/>
              </w:rPr>
              <w:t>$—</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731,813</w:t>
            </w:r>
          </w:p>
        </w:tc>
        <w:tc>
          <w:tcPr>
            <w:tcW w:w="120" w:type="dxa"/>
            <w:vAlign w:val="bottom"/>
          </w:tcPr>
          <w:p>
            <w:pPr>
              <w:spacing w:after="0"/>
              <w:rPr>
                <w:sz w:val="18"/>
                <w:szCs w:val="18"/>
                <w:color w:val="auto"/>
              </w:rPr>
            </w:pP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731,813</w:t>
            </w:r>
          </w:p>
        </w:tc>
        <w:tc>
          <w:tcPr>
            <w:tcW w:w="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37"/>
              <w:spacing w:after="0"/>
              <w:rPr>
                <w:sz w:val="20"/>
                <w:szCs w:val="20"/>
                <w:color w:val="auto"/>
              </w:rPr>
            </w:pPr>
            <w:r>
              <w:rPr>
                <w:rFonts w:ascii="Arial" w:cs="Arial" w:eastAsia="Arial" w:hAnsi="Arial"/>
                <w:sz w:val="13"/>
                <w:szCs w:val="13"/>
                <w:color w:val="auto"/>
                <w:w w:val="93"/>
              </w:rPr>
              <w:t>512,106</w:t>
            </w:r>
          </w:p>
        </w:tc>
        <w:tc>
          <w:tcPr>
            <w:tcW w:w="140" w:type="dxa"/>
            <w:vAlign w:val="bottom"/>
          </w:tcPr>
          <w:p>
            <w:pPr>
              <w:spacing w:after="0"/>
              <w:rPr>
                <w:sz w:val="18"/>
                <w:szCs w:val="18"/>
                <w:color w:val="auto"/>
              </w:rPr>
            </w:pPr>
          </w:p>
        </w:tc>
        <w:tc>
          <w:tcPr>
            <w:tcW w:w="220" w:type="dxa"/>
            <w:vAlign w:val="bottom"/>
          </w:tcPr>
          <w:p>
            <w:pPr>
              <w:ind w:left="140"/>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80" w:type="dxa"/>
            <w:vAlign w:val="bottom"/>
          </w:tcPr>
          <w:p>
            <w:pPr>
              <w:ind w:left="120"/>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77"/>
              <w:spacing w:after="0"/>
              <w:rPr>
                <w:sz w:val="20"/>
                <w:szCs w:val="20"/>
                <w:color w:val="auto"/>
              </w:rPr>
            </w:pPr>
            <w:r>
              <w:rPr>
                <w:rFonts w:ascii="Arial" w:cs="Arial" w:eastAsia="Arial" w:hAnsi="Arial"/>
                <w:sz w:val="13"/>
                <w:szCs w:val="13"/>
                <w:color w:val="auto"/>
              </w:rPr>
              <w:t>731,813</w:t>
            </w:r>
          </w:p>
        </w:tc>
        <w:tc>
          <w:tcPr>
            <w:tcW w:w="0" w:type="dxa"/>
            <w:vAlign w:val="bottom"/>
          </w:tcPr>
          <w:p>
            <w:pPr>
              <w:spacing w:after="0"/>
              <w:rPr>
                <w:sz w:val="1"/>
                <w:szCs w:val="1"/>
                <w:color w:val="auto"/>
              </w:rPr>
            </w:pPr>
          </w:p>
        </w:tc>
      </w:tr>
      <w:tr>
        <w:trPr>
          <w:trHeight w:val="131"/>
        </w:trPr>
        <w:tc>
          <w:tcPr>
            <w:tcW w:w="1780" w:type="dxa"/>
            <w:vAlign w:val="bottom"/>
            <w:gridSpan w:val="2"/>
          </w:tcPr>
          <w:p>
            <w:pPr>
              <w:ind w:left="20"/>
              <w:spacing w:after="0" w:line="131" w:lineRule="exact"/>
              <w:rPr>
                <w:sz w:val="20"/>
                <w:szCs w:val="20"/>
                <w:color w:val="auto"/>
              </w:rPr>
            </w:pPr>
            <w:r>
              <w:rPr>
                <w:rFonts w:ascii="Arial" w:cs="Arial" w:eastAsia="Arial" w:hAnsi="Arial"/>
                <w:sz w:val="13"/>
                <w:szCs w:val="13"/>
                <w:color w:val="auto"/>
              </w:rPr>
              <w:t>Accelerated Performance</w:t>
            </w:r>
          </w:p>
        </w:tc>
        <w:tc>
          <w:tcPr>
            <w:tcW w:w="960" w:type="dxa"/>
            <w:vAlign w:val="bottom"/>
            <w:gridSpan w:val="2"/>
            <w:vMerge w:val="restart"/>
          </w:tcPr>
          <w:p>
            <w:pPr>
              <w:jc w:val="center"/>
              <w:ind w:right="140"/>
              <w:spacing w:after="0"/>
              <w:rPr>
                <w:sz w:val="20"/>
                <w:szCs w:val="20"/>
                <w:color w:val="auto"/>
              </w:rPr>
            </w:pPr>
            <w:r>
              <w:rPr>
                <w:rFonts w:ascii="Arial" w:cs="Arial" w:eastAsia="Arial" w:hAnsi="Arial"/>
                <w:sz w:val="13"/>
                <w:szCs w:val="13"/>
                <w:color w:val="auto"/>
                <w:w w:val="88"/>
              </w:rPr>
              <w:t>$—</w:t>
            </w:r>
          </w:p>
        </w:tc>
        <w:tc>
          <w:tcPr>
            <w:tcW w:w="820" w:type="dxa"/>
            <w:vAlign w:val="bottom"/>
            <w:vMerge w:val="restart"/>
          </w:tcPr>
          <w:p>
            <w:pPr>
              <w:jc w:val="center"/>
              <w:spacing w:after="0"/>
              <w:rPr>
                <w:sz w:val="20"/>
                <w:szCs w:val="20"/>
                <w:color w:val="auto"/>
              </w:rPr>
            </w:pPr>
            <w:r>
              <w:rPr>
                <w:rFonts w:ascii="Arial" w:cs="Arial" w:eastAsia="Arial" w:hAnsi="Arial"/>
                <w:sz w:val="13"/>
                <w:szCs w:val="13"/>
                <w:color w:val="auto"/>
                <w:w w:val="88"/>
              </w:rPr>
              <w:t>$—</w:t>
            </w:r>
          </w:p>
        </w:tc>
        <w:tc>
          <w:tcPr>
            <w:tcW w:w="22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w w:val="93"/>
              </w:rPr>
              <w:t>1,054,421</w:t>
            </w:r>
          </w:p>
        </w:tc>
        <w:tc>
          <w:tcPr>
            <w:tcW w:w="120" w:type="dxa"/>
            <w:vAlign w:val="bottom"/>
          </w:tcPr>
          <w:p>
            <w:pPr>
              <w:spacing w:after="0"/>
              <w:rPr>
                <w:sz w:val="11"/>
                <w:szCs w:val="11"/>
                <w:color w:val="auto"/>
              </w:rPr>
            </w:pPr>
          </w:p>
        </w:tc>
        <w:tc>
          <w:tcPr>
            <w:tcW w:w="80" w:type="dxa"/>
            <w:vAlign w:val="bottom"/>
            <w:vMerge w:val="restart"/>
          </w:tcPr>
          <w:p>
            <w:pPr>
              <w:ind w:left="20"/>
              <w:spacing w:after="0"/>
              <w:rPr>
                <w:sz w:val="20"/>
                <w:szCs w:val="20"/>
                <w:color w:val="auto"/>
              </w:rPr>
            </w:pPr>
            <w:r>
              <w:rPr>
                <w:rFonts w:ascii="Arial" w:cs="Arial" w:eastAsia="Arial" w:hAnsi="Arial"/>
                <w:sz w:val="10"/>
                <w:szCs w:val="10"/>
                <w:color w:val="auto"/>
                <w:w w:val="71"/>
              </w:rPr>
              <w:t>$</w:t>
            </w: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w w:val="93"/>
              </w:rPr>
              <w:t>1,054,421</w:t>
            </w:r>
          </w:p>
        </w:tc>
        <w:tc>
          <w:tcPr>
            <w:tcW w:w="140" w:type="dxa"/>
            <w:vAlign w:val="bottom"/>
          </w:tcPr>
          <w:p>
            <w:pPr>
              <w:spacing w:after="0"/>
              <w:rPr>
                <w:sz w:val="11"/>
                <w:szCs w:val="11"/>
                <w:color w:val="auto"/>
              </w:rPr>
            </w:pPr>
          </w:p>
        </w:tc>
        <w:tc>
          <w:tcPr>
            <w:tcW w:w="1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560" w:type="dxa"/>
            <w:vAlign w:val="bottom"/>
            <w:vMerge w:val="restart"/>
          </w:tcPr>
          <w:p>
            <w:pPr>
              <w:jc w:val="right"/>
              <w:ind w:right="57"/>
              <w:spacing w:after="0"/>
              <w:rPr>
                <w:sz w:val="20"/>
                <w:szCs w:val="20"/>
                <w:color w:val="auto"/>
              </w:rPr>
            </w:pPr>
            <w:r>
              <w:rPr>
                <w:rFonts w:ascii="Arial" w:cs="Arial" w:eastAsia="Arial" w:hAnsi="Arial"/>
                <w:sz w:val="13"/>
                <w:szCs w:val="13"/>
                <w:color w:val="auto"/>
                <w:w w:val="89"/>
              </w:rPr>
              <w:t>614,911</w:t>
            </w:r>
          </w:p>
        </w:tc>
        <w:tc>
          <w:tcPr>
            <w:tcW w:w="140" w:type="dxa"/>
            <w:vAlign w:val="bottom"/>
          </w:tcPr>
          <w:p>
            <w:pPr>
              <w:spacing w:after="0"/>
              <w:rPr>
                <w:sz w:val="11"/>
                <w:szCs w:val="11"/>
                <w:color w:val="auto"/>
              </w:rPr>
            </w:pPr>
          </w:p>
        </w:tc>
        <w:tc>
          <w:tcPr>
            <w:tcW w:w="220" w:type="dxa"/>
            <w:vAlign w:val="bottom"/>
            <w:vMerge w:val="restart"/>
          </w:tcPr>
          <w:p>
            <w:pPr>
              <w:ind w:left="140"/>
              <w:spacing w:after="0"/>
              <w:rPr>
                <w:sz w:val="20"/>
                <w:szCs w:val="20"/>
                <w:color w:val="auto"/>
              </w:rPr>
            </w:pPr>
            <w:r>
              <w:rPr>
                <w:rFonts w:ascii="Arial" w:cs="Arial" w:eastAsia="Arial" w:hAnsi="Arial"/>
                <w:sz w:val="13"/>
                <w:szCs w:val="13"/>
                <w:color w:val="auto"/>
                <w:w w:val="82"/>
              </w:rPr>
              <w:t>$</w:t>
            </w:r>
          </w:p>
        </w:tc>
        <w:tc>
          <w:tcPr>
            <w:tcW w:w="740" w:type="dxa"/>
            <w:vAlign w:val="bottom"/>
            <w:gridSpan w:val="2"/>
            <w:vMerge w:val="restart"/>
          </w:tcPr>
          <w:p>
            <w:pPr>
              <w:jc w:val="right"/>
              <w:ind w:right="300"/>
              <w:spacing w:after="0"/>
              <w:rPr>
                <w:sz w:val="20"/>
                <w:szCs w:val="20"/>
                <w:color w:val="auto"/>
              </w:rPr>
            </w:pPr>
            <w:r>
              <w:rPr>
                <w:rFonts w:ascii="Arial" w:cs="Arial" w:eastAsia="Arial" w:hAnsi="Arial"/>
                <w:sz w:val="13"/>
                <w:szCs w:val="13"/>
                <w:color w:val="auto"/>
              </w:rPr>
              <w:t>—</w:t>
            </w:r>
          </w:p>
        </w:tc>
        <w:tc>
          <w:tcPr>
            <w:tcW w:w="180" w:type="dxa"/>
            <w:vAlign w:val="bottom"/>
            <w:vMerge w:val="restart"/>
          </w:tcPr>
          <w:p>
            <w:pPr>
              <w:ind w:left="120"/>
              <w:spacing w:after="0"/>
              <w:rPr>
                <w:sz w:val="20"/>
                <w:szCs w:val="20"/>
                <w:color w:val="auto"/>
              </w:rPr>
            </w:pPr>
            <w:r>
              <w:rPr>
                <w:rFonts w:ascii="Arial" w:cs="Arial" w:eastAsia="Arial" w:hAnsi="Arial"/>
                <w:sz w:val="10"/>
                <w:szCs w:val="10"/>
                <w:color w:val="auto"/>
                <w:w w:val="71"/>
              </w:rPr>
              <w:t>$</w:t>
            </w:r>
          </w:p>
        </w:tc>
        <w:tc>
          <w:tcPr>
            <w:tcW w:w="70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3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80" w:type="dxa"/>
            <w:vAlign w:val="bottom"/>
            <w:vMerge w:val="restart"/>
          </w:tcPr>
          <w:p>
            <w:pPr>
              <w:jc w:val="right"/>
              <w:ind w:right="177"/>
              <w:spacing w:after="0"/>
              <w:rPr>
                <w:sz w:val="20"/>
                <w:szCs w:val="20"/>
                <w:color w:val="auto"/>
              </w:rPr>
            </w:pPr>
            <w:r>
              <w:rPr>
                <w:rFonts w:ascii="Arial" w:cs="Arial" w:eastAsia="Arial" w:hAnsi="Arial"/>
                <w:sz w:val="13"/>
                <w:szCs w:val="13"/>
                <w:color w:val="auto"/>
              </w:rPr>
              <w:t>253,464</w:t>
            </w:r>
          </w:p>
        </w:tc>
        <w:tc>
          <w:tcPr>
            <w:tcW w:w="0" w:type="dxa"/>
            <w:vAlign w:val="bottom"/>
          </w:tcPr>
          <w:p>
            <w:pPr>
              <w:spacing w:after="0"/>
              <w:rPr>
                <w:sz w:val="1"/>
                <w:szCs w:val="1"/>
                <w:color w:val="auto"/>
              </w:rPr>
            </w:pPr>
          </w:p>
        </w:tc>
      </w:tr>
      <w:tr>
        <w:trPr>
          <w:trHeight w:val="281"/>
        </w:trPr>
        <w:tc>
          <w:tcPr>
            <w:tcW w:w="1780" w:type="dxa"/>
            <w:vAlign w:val="bottom"/>
            <w:gridSpan w:val="2"/>
          </w:tcPr>
          <w:p>
            <w:pPr>
              <w:ind w:left="200"/>
              <w:spacing w:after="0"/>
              <w:rPr>
                <w:sz w:val="20"/>
                <w:szCs w:val="20"/>
                <w:color w:val="auto"/>
              </w:rPr>
            </w:pPr>
            <w:r>
              <w:rPr>
                <w:rFonts w:ascii="Arial" w:cs="Arial" w:eastAsia="Arial" w:hAnsi="Arial"/>
                <w:sz w:val="13"/>
                <w:szCs w:val="13"/>
                <w:color w:val="auto"/>
              </w:rPr>
              <w:t>RSUs (PRSUs)</w:t>
            </w:r>
            <w:r>
              <w:rPr>
                <w:rFonts w:ascii="Arial" w:cs="Arial" w:eastAsia="Arial" w:hAnsi="Arial"/>
                <w:sz w:val="20"/>
                <w:szCs w:val="20"/>
                <w:color w:val="auto"/>
                <w:vertAlign w:val="superscript"/>
              </w:rPr>
              <w:t>(6)</w:t>
            </w:r>
          </w:p>
        </w:tc>
        <w:tc>
          <w:tcPr>
            <w:tcW w:w="960" w:type="dxa"/>
            <w:vAlign w:val="bottom"/>
            <w:gridSpan w:val="2"/>
            <w:vMerge w:val="continue"/>
          </w:tcPr>
          <w:p>
            <w:pPr>
              <w:spacing w:after="0"/>
              <w:rPr>
                <w:sz w:val="24"/>
                <w:szCs w:val="24"/>
                <w:color w:val="auto"/>
              </w:rPr>
            </w:pPr>
          </w:p>
        </w:tc>
        <w:tc>
          <w:tcPr>
            <w:tcW w:w="820" w:type="dxa"/>
            <w:vAlign w:val="bottom"/>
            <w:vMerge w:val="continue"/>
          </w:tcPr>
          <w:p>
            <w:pPr>
              <w:spacing w:after="0"/>
              <w:rPr>
                <w:sz w:val="24"/>
                <w:szCs w:val="24"/>
                <w:color w:val="auto"/>
              </w:rPr>
            </w:pPr>
          </w:p>
        </w:tc>
        <w:tc>
          <w:tcPr>
            <w:tcW w:w="220" w:type="dxa"/>
            <w:vAlign w:val="bottom"/>
            <w:gridSpan w:val="2"/>
            <w:vMerge w:val="continue"/>
          </w:tcPr>
          <w:p>
            <w:pPr>
              <w:spacing w:after="0"/>
              <w:rPr>
                <w:sz w:val="24"/>
                <w:szCs w:val="24"/>
                <w:color w:val="auto"/>
              </w:rPr>
            </w:pPr>
          </w:p>
        </w:tc>
        <w:tc>
          <w:tcPr>
            <w:tcW w:w="5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vMerge w:val="continue"/>
          </w:tcPr>
          <w:p>
            <w:pPr>
              <w:spacing w:after="0"/>
              <w:rPr>
                <w:sz w:val="24"/>
                <w:szCs w:val="24"/>
                <w:color w:val="auto"/>
              </w:rPr>
            </w:pPr>
          </w:p>
        </w:tc>
        <w:tc>
          <w:tcPr>
            <w:tcW w:w="5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vMerge w:val="continue"/>
          </w:tcPr>
          <w:p>
            <w:pPr>
              <w:spacing w:after="0"/>
              <w:rPr>
                <w:sz w:val="24"/>
                <w:szCs w:val="24"/>
                <w:color w:val="auto"/>
              </w:rPr>
            </w:pPr>
          </w:p>
        </w:tc>
        <w:tc>
          <w:tcPr>
            <w:tcW w:w="5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vMerge w:val="continue"/>
          </w:tcPr>
          <w:p>
            <w:pPr>
              <w:spacing w:after="0"/>
              <w:rPr>
                <w:sz w:val="24"/>
                <w:szCs w:val="24"/>
                <w:color w:val="auto"/>
              </w:rPr>
            </w:pPr>
          </w:p>
        </w:tc>
        <w:tc>
          <w:tcPr>
            <w:tcW w:w="740" w:type="dxa"/>
            <w:vAlign w:val="bottom"/>
            <w:gridSpan w:val="2"/>
            <w:vMerge w:val="continue"/>
          </w:tcPr>
          <w:p>
            <w:pPr>
              <w:spacing w:after="0"/>
              <w:rPr>
                <w:sz w:val="24"/>
                <w:szCs w:val="24"/>
                <w:color w:val="auto"/>
              </w:rPr>
            </w:pPr>
          </w:p>
        </w:tc>
        <w:tc>
          <w:tcPr>
            <w:tcW w:w="180" w:type="dxa"/>
            <w:vAlign w:val="bottom"/>
            <w:vMerge w:val="continue"/>
          </w:tcPr>
          <w:p>
            <w:pPr>
              <w:spacing w:after="0"/>
              <w:rPr>
                <w:sz w:val="24"/>
                <w:szCs w:val="24"/>
                <w:color w:val="auto"/>
              </w:rPr>
            </w:pPr>
          </w:p>
        </w:tc>
        <w:tc>
          <w:tcPr>
            <w:tcW w:w="700" w:type="dxa"/>
            <w:vAlign w:val="bottom"/>
            <w:gridSpan w:val="2"/>
            <w:vMerge w:val="continue"/>
          </w:tcPr>
          <w:p>
            <w:pPr>
              <w:spacing w:after="0"/>
              <w:rPr>
                <w:sz w:val="24"/>
                <w:szCs w:val="24"/>
                <w:color w:val="auto"/>
              </w:rPr>
            </w:pPr>
          </w:p>
        </w:tc>
        <w:tc>
          <w:tcPr>
            <w:tcW w:w="300" w:type="dxa"/>
            <w:vAlign w:val="bottom"/>
            <w:vMerge w:val="continue"/>
          </w:tcPr>
          <w:p>
            <w:pPr>
              <w:spacing w:after="0"/>
              <w:rPr>
                <w:sz w:val="24"/>
                <w:szCs w:val="24"/>
                <w:color w:val="auto"/>
              </w:rPr>
            </w:pPr>
          </w:p>
        </w:tc>
        <w:tc>
          <w:tcPr>
            <w:tcW w:w="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60960</wp:posOffset>
            </wp:positionV>
            <wp:extent cx="82296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84" w:lineRule="exact"/>
        <w:rPr>
          <w:sz w:val="20"/>
          <w:szCs w:val="20"/>
          <w:color w:val="auto"/>
        </w:rPr>
      </w:pPr>
    </w:p>
    <w:p>
      <w:pPr>
        <w:ind w:left="346" w:right="60" w:hanging="346"/>
        <w:spacing w:after="0" w:line="249" w:lineRule="auto"/>
        <w:tabs>
          <w:tab w:leader="none" w:pos="346"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The above table does not include amounts under our Executive Deferred Compensation Plan, stock option awards that are fully vested, earned salary, and accrued vacation as those items are earned and due to the employee regardless of such termination or change-in-control events. It also does not include amounts payable under life insurance coverage, our accidental death &amp; dismemberment coverage or our business travel accident coverage, which are programs available to all employees. Under the change-in-control agreement with this executive the term is 24 months following a change-in-control and the severance payment is equal to 2 times the sum of the executive's base salary and target annual bonus. Each form of payment is mutually exclusive based on the individual circumstances or events and therefore represents a single payment and should not be added together.</w:t>
      </w:r>
    </w:p>
    <w:p>
      <w:pPr>
        <w:spacing w:after="0" w:line="32" w:lineRule="exact"/>
        <w:rPr>
          <w:rFonts w:ascii="Arial" w:cs="Arial" w:eastAsia="Arial" w:hAnsi="Arial"/>
          <w:sz w:val="14"/>
          <w:szCs w:val="14"/>
          <w:color w:val="auto"/>
        </w:rPr>
      </w:pPr>
    </w:p>
    <w:p>
      <w:pPr>
        <w:ind w:left="346" w:right="40" w:hanging="346"/>
        <w:spacing w:after="0" w:line="266" w:lineRule="auto"/>
        <w:tabs>
          <w:tab w:leader="none" w:pos="346" w:val="left"/>
        </w:tabs>
        <w:numPr>
          <w:ilvl w:val="0"/>
          <w:numId w:val="62"/>
        </w:numPr>
        <w:rPr>
          <w:rFonts w:ascii="Arial" w:cs="Arial" w:eastAsia="Arial" w:hAnsi="Arial"/>
          <w:sz w:val="14"/>
          <w:szCs w:val="14"/>
          <w:color w:val="auto"/>
        </w:rPr>
      </w:pPr>
      <w:r>
        <w:rPr>
          <w:rFonts w:ascii="Arial" w:cs="Arial" w:eastAsia="Arial" w:hAnsi="Arial"/>
          <w:sz w:val="14"/>
          <w:szCs w:val="14"/>
          <w:color w:val="auto"/>
        </w:rPr>
        <w:t>Pursuant to our change-in-control agreement with this executive, the annual bonus payable in the event of termination following a change-in-control is the greater of target or the actual amount earned. The annual incentive plan paid out below target in 2020, so the value represents the incremental difference between the target and actual bonus paid.</w:t>
      </w:r>
    </w:p>
    <w:p>
      <w:pPr>
        <w:spacing w:after="0" w:line="31" w:lineRule="exact"/>
        <w:rPr>
          <w:rFonts w:ascii="Arial" w:cs="Arial" w:eastAsia="Arial" w:hAnsi="Arial"/>
          <w:sz w:val="14"/>
          <w:szCs w:val="14"/>
          <w:color w:val="auto"/>
        </w:rPr>
      </w:pPr>
    </w:p>
    <w:p>
      <w:pPr>
        <w:ind w:left="346" w:right="20" w:hanging="346"/>
        <w:spacing w:after="0" w:line="249" w:lineRule="auto"/>
        <w:tabs>
          <w:tab w:leader="none" w:pos="346" w:val="left"/>
        </w:tabs>
        <w:numPr>
          <w:ilvl w:val="0"/>
          <w:numId w:val="62"/>
        </w:numPr>
        <w:rPr>
          <w:rFonts w:ascii="Arial" w:cs="Arial" w:eastAsia="Arial" w:hAnsi="Arial"/>
          <w:sz w:val="14"/>
          <w:szCs w:val="14"/>
          <w:color w:val="auto"/>
        </w:rPr>
      </w:pPr>
      <w:r>
        <w:rPr>
          <w:rFonts w:ascii="Arial" w:cs="Arial" w:eastAsia="Arial" w:hAnsi="Arial"/>
          <w:sz w:val="14"/>
          <w:szCs w:val="14"/>
          <w:color w:val="auto"/>
        </w:rPr>
        <w:t>Represents in-the-money value of accelerated stock options based on the closing price of our common stock on December 31, 2020 ($95.90). For the awards in fiscal 2018, upon a termination due to retirement after 18 months from the grant date, stock options will continue to vest subject to non-compete/non-solicit and reasonable notice restrictions. For the awards in fiscal 2020, upon a termination due to retirement after the first anniversary of the grant date, stock options will continue to vest subject to non-compete/non-solicit and reasonable notice restrictions. 2020 awards are assumed forfeited, as retirement at December 31, 2020 is before the first anniversary from the grant date. Upon a change-in-control, stock options will accelerate only if they are not assumed or substituted, and otherwise provide for a double trigger; values presume that the acquirer assumes outstanding stock options.</w:t>
      </w:r>
    </w:p>
    <w:p>
      <w:pPr>
        <w:spacing w:after="0" w:line="32" w:lineRule="exact"/>
        <w:rPr>
          <w:rFonts w:ascii="Arial" w:cs="Arial" w:eastAsia="Arial" w:hAnsi="Arial"/>
          <w:sz w:val="14"/>
          <w:szCs w:val="14"/>
          <w:color w:val="auto"/>
        </w:rPr>
      </w:pPr>
    </w:p>
    <w:p>
      <w:pPr>
        <w:ind w:left="346" w:hanging="346"/>
        <w:spacing w:after="0" w:line="266" w:lineRule="auto"/>
        <w:tabs>
          <w:tab w:leader="none" w:pos="346" w:val="left"/>
        </w:tabs>
        <w:numPr>
          <w:ilvl w:val="0"/>
          <w:numId w:val="62"/>
        </w:numPr>
        <w:rPr>
          <w:rFonts w:ascii="Arial" w:cs="Arial" w:eastAsia="Arial" w:hAnsi="Arial"/>
          <w:sz w:val="14"/>
          <w:szCs w:val="14"/>
          <w:color w:val="auto"/>
        </w:rPr>
      </w:pPr>
      <w:r>
        <w:rPr>
          <w:rFonts w:ascii="Arial" w:cs="Arial" w:eastAsia="Arial" w:hAnsi="Arial"/>
          <w:sz w:val="14"/>
          <w:szCs w:val="14"/>
          <w:color w:val="auto"/>
        </w:rPr>
        <w:t>Effective April 29, 2014, the Executive Officer Severance Pay Policy provides an executive officer, who is terminated involuntarily, a severance payment equal to 1 times base salary plus one year of continued benefits and outplacement. The change-in-control agreements provide for a severance payment equal to 2 times the sum of base salary and target annual bonus.</w:t>
      </w:r>
    </w:p>
    <w:p>
      <w:pPr>
        <w:spacing w:after="0" w:line="18" w:lineRule="exact"/>
        <w:rPr>
          <w:rFonts w:ascii="Arial" w:cs="Arial" w:eastAsia="Arial" w:hAnsi="Arial"/>
          <w:sz w:val="14"/>
          <w:szCs w:val="14"/>
          <w:color w:val="auto"/>
        </w:rPr>
      </w:pPr>
    </w:p>
    <w:p>
      <w:pPr>
        <w:ind w:left="346" w:right="80" w:hanging="346"/>
        <w:spacing w:after="0" w:line="254" w:lineRule="auto"/>
        <w:tabs>
          <w:tab w:leader="none" w:pos="346" w:val="left"/>
        </w:tabs>
        <w:numPr>
          <w:ilvl w:val="0"/>
          <w:numId w:val="62"/>
        </w:numPr>
        <w:rPr>
          <w:rFonts w:ascii="Arial" w:cs="Arial" w:eastAsia="Arial" w:hAnsi="Arial"/>
          <w:sz w:val="14"/>
          <w:szCs w:val="14"/>
          <w:color w:val="auto"/>
        </w:rPr>
      </w:pPr>
      <w:r>
        <w:rPr>
          <w:rFonts w:ascii="Arial" w:cs="Arial" w:eastAsia="Arial" w:hAnsi="Arial"/>
          <w:sz w:val="14"/>
          <w:szCs w:val="14"/>
          <w:color w:val="auto"/>
        </w:rPr>
        <w:t>For the time-vested RSUs, upon termination due to death or disability, represents the accelerated value of the RSUs based on the closing price of our common stock on December 31, 2020 ($95.90). For the awards in fiscal 2018, upon a termination due to retirement after</w:t>
      </w:r>
    </w:p>
    <w:p>
      <w:pPr>
        <w:spacing w:after="0" w:line="1" w:lineRule="exact"/>
        <w:rPr>
          <w:rFonts w:ascii="Arial" w:cs="Arial" w:eastAsia="Arial" w:hAnsi="Arial"/>
          <w:sz w:val="14"/>
          <w:szCs w:val="14"/>
          <w:color w:val="auto"/>
        </w:rPr>
      </w:pPr>
    </w:p>
    <w:p>
      <w:pPr>
        <w:ind w:left="346" w:right="200"/>
        <w:spacing w:after="0" w:line="247" w:lineRule="auto"/>
        <w:rPr>
          <w:rFonts w:ascii="Arial" w:cs="Arial" w:eastAsia="Arial" w:hAnsi="Arial"/>
          <w:sz w:val="14"/>
          <w:szCs w:val="14"/>
          <w:color w:val="auto"/>
        </w:rPr>
      </w:pPr>
      <w:r>
        <w:rPr>
          <w:rFonts w:ascii="Arial" w:cs="Arial" w:eastAsia="Arial" w:hAnsi="Arial"/>
          <w:sz w:val="14"/>
          <w:szCs w:val="14"/>
          <w:color w:val="auto"/>
        </w:rPr>
        <w:t>18 months from the grant date, RSUs will continue to vest subject to non-compete/non-solicit and reasonable notice restrictions. For the awards in fiscal 2019 and 2020, upon a termination due to retirement after the first anniversary of the grant date, RSUs will continue to vest subject to non-compete/non-solicit and reasonable notice restrictions. 2020 awards are assumed forfeited, as retirement at December 31, 2020 is before the first anniversary of the grant date. Upon a change-in-control only (single trigger), RSUs that are not assumed by an acquirer will accelerate; values presume that the acquirer assumes applicable outstanding RSUs.</w:t>
      </w:r>
    </w:p>
    <w:p>
      <w:pPr>
        <w:spacing w:after="0" w:line="44" w:lineRule="exact"/>
        <w:rPr>
          <w:rFonts w:ascii="Arial" w:cs="Arial" w:eastAsia="Arial" w:hAnsi="Arial"/>
          <w:sz w:val="14"/>
          <w:szCs w:val="14"/>
          <w:color w:val="auto"/>
        </w:rPr>
      </w:pPr>
    </w:p>
    <w:p>
      <w:pPr>
        <w:ind w:left="346" w:right="40" w:hanging="346"/>
        <w:spacing w:after="0" w:line="245" w:lineRule="auto"/>
        <w:tabs>
          <w:tab w:leader="none" w:pos="346" w:val="left"/>
        </w:tabs>
        <w:numPr>
          <w:ilvl w:val="0"/>
          <w:numId w:val="62"/>
        </w:numPr>
        <w:rPr>
          <w:rFonts w:ascii="Arial" w:cs="Arial" w:eastAsia="Arial" w:hAnsi="Arial"/>
          <w:sz w:val="14"/>
          <w:szCs w:val="14"/>
          <w:color w:val="auto"/>
        </w:rPr>
      </w:pPr>
      <w:r>
        <w:rPr>
          <w:rFonts w:ascii="Arial" w:cs="Arial" w:eastAsia="Arial" w:hAnsi="Arial"/>
          <w:sz w:val="14"/>
          <w:szCs w:val="14"/>
          <w:color w:val="auto"/>
        </w:rPr>
        <w:t>Upon a termination due to death or disability, awards will vest based on actual performance at the conclusion of the performance periods. Shares continue to vest through the year of death or disability and all unvested shares are accelerated. Fiscal 2019 and 2020 values assume target performance will be achieved. For the awards granted in fiscal 2018, upon a termination due to retirement after 18 months from the grant date, awards will vest in full based on actual performance at the end of the performance period (no pro-rated payout). For the awards granted in fiscal 2019 and 2020, upon a termination due to retirement after the first anniversary of the grant date, awards will vest in full based on actual performance at the end of the performance period (no pro-rated payout). 2020 awards are assumed forfeited, as retirement at December 31, 2020 is before the first anniversary of the grant date. Pursuant to our award agreements with this executive the PRSUs outstanding as of the change-in-control will be vested at the greater of target or actual performance for the year, and pro-rated based on the number of calendar days between the beginning of the performance period and the change-in-control. Upon a change-in-control only (single trigger), PRSUs that are not assumed by an acquirer will accelerate; values presume that the acquirer assumes applicable outstanding PRSUs. As of December 31, 2020, two three-year performance cycles (2019-2021 and 2020-2022) are not yet complete and target payouts are used. For the 2018-2020 performance cycle, actual payouts were less than target. Upon a termination following a change-in-control, value represents the incremental difference in values between target and actual performance (e.g. no value for cycles where actual payouts are greater than or equal to target amounts). Values are based on the closing price of our common stock on December 31, 2020 ($95.90).</w:t>
      </w:r>
    </w:p>
    <w:p>
      <w:pPr>
        <w:spacing w:after="0" w:line="200" w:lineRule="exact"/>
        <w:rPr>
          <w:sz w:val="20"/>
          <w:szCs w:val="20"/>
          <w:color w:val="auto"/>
        </w:rPr>
      </w:pPr>
    </w:p>
    <w:p>
      <w:pPr>
        <w:spacing w:after="0" w:line="244" w:lineRule="exact"/>
        <w:rPr>
          <w:sz w:val="20"/>
          <w:szCs w:val="20"/>
          <w:color w:val="auto"/>
        </w:rPr>
      </w:pPr>
    </w:p>
    <w:p>
      <w:pPr>
        <w:jc w:val="center"/>
        <w:ind w:right="-25"/>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157480</wp:posOffset>
            </wp:positionV>
            <wp:extent cx="699516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66"/>
          </w:cols>
          <w:pgMar w:left="1354" w:top="263" w:right="1379" w:bottom="1440" w:gutter="0" w:footer="0" w:header="0"/>
        </w:sectPr>
      </w:pPr>
    </w:p>
    <w:bookmarkStart w:id="53" w:name="page54"/>
    <w:bookmarkEnd w:id="53"/>
    <w:p>
      <w:pPr>
        <w:ind w:left="6"/>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186" w:lineRule="exact"/>
        <w:rPr>
          <w:sz w:val="20"/>
          <w:szCs w:val="20"/>
          <w:color w:val="auto"/>
        </w:rPr>
      </w:pPr>
    </w:p>
    <w:p>
      <w:pPr>
        <w:jc w:val="center"/>
        <w:ind w:right="-45"/>
        <w:spacing w:after="0"/>
        <w:rPr>
          <w:sz w:val="20"/>
          <w:szCs w:val="20"/>
          <w:color w:val="auto"/>
        </w:rPr>
      </w:pPr>
      <w:r>
        <w:rPr>
          <w:rFonts w:ascii="Arial" w:cs="Arial" w:eastAsia="Arial" w:hAnsi="Arial"/>
          <w:sz w:val="14"/>
          <w:szCs w:val="14"/>
          <w:b w:val="1"/>
          <w:bCs w:val="1"/>
          <w:color w:val="auto"/>
        </w:rPr>
        <w:t>ITRON,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36195</wp:posOffset>
            </wp:positionV>
            <wp:extent cx="575183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751830" cy="8255"/>
                    </a:xfrm>
                    <a:prstGeom prst="rect">
                      <a:avLst/>
                    </a:prstGeom>
                    <a:noFill/>
                  </pic:spPr>
                </pic:pic>
              </a:graphicData>
            </a:graphic>
          </wp:anchor>
        </w:drawing>
      </w:r>
    </w:p>
    <w:p>
      <w:pPr>
        <w:spacing w:after="0" w:line="76" w:lineRule="exact"/>
        <w:rPr>
          <w:sz w:val="20"/>
          <w:szCs w:val="20"/>
          <w:color w:val="auto"/>
        </w:rPr>
      </w:pPr>
    </w:p>
    <w:p>
      <w:pPr>
        <w:jc w:val="center"/>
        <w:ind w:right="-45"/>
        <w:spacing w:after="0"/>
        <w:rPr>
          <w:sz w:val="20"/>
          <w:szCs w:val="20"/>
          <w:color w:val="auto"/>
        </w:rPr>
      </w:pPr>
      <w:r>
        <w:rPr>
          <w:rFonts w:ascii="Arial" w:cs="Arial" w:eastAsia="Arial" w:hAnsi="Arial"/>
          <w:sz w:val="14"/>
          <w:szCs w:val="14"/>
          <w:b w:val="1"/>
          <w:bCs w:val="1"/>
          <w:color w:val="auto"/>
        </w:rPr>
        <w:t>Summary of Termination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36195</wp:posOffset>
            </wp:positionV>
            <wp:extent cx="575183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751830" cy="8255"/>
                    </a:xfrm>
                    <a:prstGeom prst="rect">
                      <a:avLst/>
                    </a:prstGeom>
                    <a:noFill/>
                  </pic:spPr>
                </pic:pic>
              </a:graphicData>
            </a:graphic>
          </wp:anchor>
        </w:drawing>
      </w:r>
    </w:p>
    <w:p>
      <w:pPr>
        <w:spacing w:after="0" w:line="76" w:lineRule="exact"/>
        <w:rPr>
          <w:sz w:val="20"/>
          <w:szCs w:val="20"/>
          <w:color w:val="auto"/>
        </w:rPr>
      </w:pPr>
    </w:p>
    <w:p>
      <w:pPr>
        <w:jc w:val="center"/>
        <w:ind w:right="-45"/>
        <w:spacing w:after="0"/>
        <w:rPr>
          <w:sz w:val="20"/>
          <w:szCs w:val="20"/>
          <w:color w:val="auto"/>
        </w:rPr>
      </w:pPr>
      <w:r>
        <w:rPr>
          <w:rFonts w:ascii="Arial" w:cs="Arial" w:eastAsia="Arial" w:hAnsi="Arial"/>
          <w:sz w:val="14"/>
          <w:szCs w:val="14"/>
          <w:b w:val="1"/>
          <w:bCs w:val="1"/>
          <w:color w:val="auto"/>
        </w:rPr>
        <w:t>Donald Reeves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36195</wp:posOffset>
            </wp:positionV>
            <wp:extent cx="575183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751830" cy="8255"/>
                    </a:xfrm>
                    <a:prstGeom prst="rect">
                      <a:avLst/>
                    </a:prstGeom>
                    <a:noFill/>
                  </pic:spPr>
                </pic:pic>
              </a:graphicData>
            </a:graphic>
          </wp:anchor>
        </w:drawing>
      </w:r>
    </w:p>
    <w:p>
      <w:pPr>
        <w:spacing w:after="0" w:line="76" w:lineRule="exact"/>
        <w:rPr>
          <w:sz w:val="20"/>
          <w:szCs w:val="20"/>
          <w:color w:val="auto"/>
        </w:rPr>
      </w:pPr>
    </w:p>
    <w:tbl>
      <w:tblPr>
        <w:tblLayout w:type="fixed"/>
        <w:tblInd w:w="66" w:type="dxa"/>
        <w:tblCellMar>
          <w:top w:w="0" w:type="dxa"/>
          <w:left w:w="0" w:type="dxa"/>
          <w:bottom w:w="0" w:type="dxa"/>
          <w:right w:w="0" w:type="dxa"/>
        </w:tblCellMar>
      </w:tblPr>
      <w:tr>
        <w:trPr>
          <w:trHeight w:val="162"/>
        </w:trPr>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rPr>
              <w:t>Termination</w:t>
            </w:r>
          </w:p>
        </w:tc>
        <w:tc>
          <w:tcPr>
            <w:tcW w:w="0" w:type="dxa"/>
            <w:vAlign w:val="bottom"/>
          </w:tcPr>
          <w:p>
            <w:pPr>
              <w:spacing w:after="0"/>
              <w:rPr>
                <w:sz w:val="1"/>
                <w:szCs w:val="1"/>
                <w:color w:val="auto"/>
              </w:rPr>
            </w:pPr>
          </w:p>
        </w:tc>
      </w:tr>
      <w:tr>
        <w:trPr>
          <w:trHeight w:val="162"/>
        </w:trPr>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rPr>
              <w:t>Without Cause</w:t>
            </w:r>
          </w:p>
        </w:tc>
        <w:tc>
          <w:tcPr>
            <w:tcW w:w="0" w:type="dxa"/>
            <w:vAlign w:val="bottom"/>
          </w:tcPr>
          <w:p>
            <w:pPr>
              <w:spacing w:after="0"/>
              <w:rPr>
                <w:sz w:val="1"/>
                <w:szCs w:val="1"/>
                <w:color w:val="auto"/>
              </w:rPr>
            </w:pPr>
          </w:p>
        </w:tc>
      </w:tr>
      <w:tr>
        <w:trPr>
          <w:trHeight w:val="162"/>
        </w:trPr>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or by Executive</w:t>
            </w:r>
          </w:p>
        </w:tc>
        <w:tc>
          <w:tcPr>
            <w:tcW w:w="0" w:type="dxa"/>
            <w:vAlign w:val="bottom"/>
          </w:tcPr>
          <w:p>
            <w:pPr>
              <w:spacing w:after="0"/>
              <w:rPr>
                <w:sz w:val="1"/>
                <w:szCs w:val="1"/>
                <w:color w:val="auto"/>
              </w:rPr>
            </w:pPr>
          </w:p>
        </w:tc>
      </w:tr>
      <w:tr>
        <w:trPr>
          <w:trHeight w:val="162"/>
        </w:trPr>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ind w:left="200"/>
              <w:spacing w:after="0"/>
              <w:rPr>
                <w:sz w:val="20"/>
                <w:szCs w:val="20"/>
                <w:color w:val="auto"/>
              </w:rPr>
            </w:pPr>
            <w:r>
              <w:rPr>
                <w:rFonts w:ascii="Arial" w:cs="Arial" w:eastAsia="Arial" w:hAnsi="Arial"/>
                <w:sz w:val="14"/>
                <w:szCs w:val="14"/>
                <w:b w:val="1"/>
                <w:bCs w:val="1"/>
                <w:color w:val="auto"/>
              </w:rPr>
              <w:t>for Good</w:t>
            </w:r>
          </w:p>
        </w:tc>
        <w:tc>
          <w:tcPr>
            <w:tcW w:w="0" w:type="dxa"/>
            <w:vAlign w:val="bottom"/>
          </w:tcPr>
          <w:p>
            <w:pPr>
              <w:spacing w:after="0"/>
              <w:rPr>
                <w:sz w:val="1"/>
                <w:szCs w:val="1"/>
                <w:color w:val="auto"/>
              </w:rPr>
            </w:pPr>
          </w:p>
        </w:tc>
      </w:tr>
      <w:tr>
        <w:trPr>
          <w:trHeight w:val="162"/>
        </w:trPr>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rPr>
              <w:t>Reason</w:t>
            </w:r>
          </w:p>
        </w:tc>
        <w:tc>
          <w:tcPr>
            <w:tcW w:w="0" w:type="dxa"/>
            <w:vAlign w:val="bottom"/>
          </w:tcPr>
          <w:p>
            <w:pPr>
              <w:spacing w:after="0"/>
              <w:rPr>
                <w:sz w:val="1"/>
                <w:szCs w:val="1"/>
                <w:color w:val="auto"/>
              </w:rPr>
            </w:pPr>
          </w:p>
        </w:tc>
      </w:tr>
      <w:tr>
        <w:trPr>
          <w:trHeight w:val="162"/>
        </w:trPr>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Termination</w:t>
            </w:r>
          </w:p>
        </w:tc>
        <w:tc>
          <w:tcPr>
            <w:tcW w:w="8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Change-</w:t>
            </w: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rPr>
              <w:t>Following a</w:t>
            </w:r>
          </w:p>
        </w:tc>
        <w:tc>
          <w:tcPr>
            <w:tcW w:w="0" w:type="dxa"/>
            <w:vAlign w:val="bottom"/>
          </w:tcPr>
          <w:p>
            <w:pPr>
              <w:spacing w:after="0"/>
              <w:rPr>
                <w:sz w:val="1"/>
                <w:szCs w:val="1"/>
                <w:color w:val="auto"/>
              </w:rPr>
            </w:pPr>
          </w:p>
        </w:tc>
      </w:tr>
      <w:tr>
        <w:trPr>
          <w:trHeight w:val="162"/>
        </w:trPr>
        <w:tc>
          <w:tcPr>
            <w:tcW w:w="166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Executive Benefits</w:t>
            </w:r>
            <w:r>
              <w:rPr>
                <w:rFonts w:ascii="Arial" w:cs="Arial" w:eastAsia="Arial" w:hAnsi="Arial"/>
                <w:sz w:val="23"/>
                <w:szCs w:val="23"/>
                <w:b w:val="1"/>
                <w:bCs w:val="1"/>
                <w:color w:val="auto"/>
                <w:vertAlign w:val="superscript"/>
              </w:rPr>
              <w:t>(1)</w:t>
            </w:r>
          </w:p>
        </w:tc>
        <w:tc>
          <w:tcPr>
            <w:tcW w:w="160" w:type="dxa"/>
            <w:vAlign w:val="bottom"/>
            <w:vMerge w:val="restart"/>
          </w:tcPr>
          <w:p>
            <w:pPr>
              <w:spacing w:after="0"/>
              <w:rPr>
                <w:sz w:val="14"/>
                <w:szCs w:val="14"/>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Termination</w:t>
            </w: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9"/>
              </w:rPr>
              <w:t>Voluntary</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3"/>
          </w:tcPr>
          <w:p>
            <w:pPr>
              <w:ind w:left="120"/>
              <w:spacing w:after="0"/>
              <w:rPr>
                <w:sz w:val="20"/>
                <w:szCs w:val="20"/>
                <w:color w:val="auto"/>
              </w:rPr>
            </w:pPr>
            <w:r>
              <w:rPr>
                <w:rFonts w:ascii="Arial" w:cs="Arial" w:eastAsia="Arial" w:hAnsi="Arial"/>
                <w:sz w:val="14"/>
                <w:szCs w:val="14"/>
                <w:b w:val="1"/>
                <w:bCs w:val="1"/>
                <w:color w:val="auto"/>
              </w:rPr>
              <w:t>Without</w:t>
            </w:r>
          </w:p>
        </w:tc>
        <w:tc>
          <w:tcPr>
            <w:tcW w:w="180" w:type="dxa"/>
            <w:vAlign w:val="bottom"/>
          </w:tcPr>
          <w:p>
            <w:pPr>
              <w:spacing w:after="0"/>
              <w:rPr>
                <w:sz w:val="14"/>
                <w:szCs w:val="14"/>
                <w:color w:val="auto"/>
              </w:rPr>
            </w:pPr>
          </w:p>
        </w:tc>
        <w:tc>
          <w:tcPr>
            <w:tcW w:w="7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w:t>
            </w: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rPr>
              <w:t>Change-in-</w:t>
            </w:r>
          </w:p>
        </w:tc>
        <w:tc>
          <w:tcPr>
            <w:tcW w:w="0" w:type="dxa"/>
            <w:vAlign w:val="bottom"/>
          </w:tcPr>
          <w:p>
            <w:pPr>
              <w:spacing w:after="0"/>
              <w:rPr>
                <w:sz w:val="1"/>
                <w:szCs w:val="1"/>
                <w:color w:val="auto"/>
              </w:rPr>
            </w:pPr>
          </w:p>
        </w:tc>
      </w:tr>
      <w:tr>
        <w:trPr>
          <w:trHeight w:val="218"/>
        </w:trPr>
        <w:tc>
          <w:tcPr>
            <w:tcW w:w="1660" w:type="dxa"/>
            <w:vAlign w:val="bottom"/>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for Cause</w:t>
            </w:r>
          </w:p>
        </w:tc>
        <w:tc>
          <w:tcPr>
            <w:tcW w:w="1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9"/>
              </w:rPr>
              <w:t>Termination</w:t>
            </w:r>
          </w:p>
        </w:tc>
        <w:tc>
          <w:tcPr>
            <w:tcW w:w="1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rPr>
              <w:t>Death</w:t>
            </w:r>
          </w:p>
        </w:tc>
        <w:tc>
          <w:tcPr>
            <w:tcW w:w="1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Disability</w:t>
            </w:r>
          </w:p>
        </w:tc>
        <w:tc>
          <w:tcPr>
            <w:tcW w:w="120" w:type="dxa"/>
            <w:vAlign w:val="bottom"/>
          </w:tcPr>
          <w:p>
            <w:pPr>
              <w:spacing w:after="0"/>
              <w:rPr>
                <w:sz w:val="18"/>
                <w:szCs w:val="18"/>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Retirement</w:t>
            </w:r>
          </w:p>
        </w:tc>
        <w:tc>
          <w:tcPr>
            <w:tcW w:w="960" w:type="dxa"/>
            <w:vAlign w:val="bottom"/>
            <w:gridSpan w:val="3"/>
          </w:tcPr>
          <w:p>
            <w:pPr>
              <w:ind w:left="200"/>
              <w:spacing w:after="0"/>
              <w:rPr>
                <w:sz w:val="20"/>
                <w:szCs w:val="20"/>
                <w:color w:val="auto"/>
              </w:rPr>
            </w:pPr>
            <w:r>
              <w:rPr>
                <w:rFonts w:ascii="Arial" w:cs="Arial" w:eastAsia="Arial" w:hAnsi="Arial"/>
                <w:sz w:val="14"/>
                <w:szCs w:val="14"/>
                <w:b w:val="1"/>
                <w:bCs w:val="1"/>
                <w:color w:val="auto"/>
              </w:rPr>
              <w:t>Cause</w:t>
            </w:r>
          </w:p>
        </w:tc>
        <w:tc>
          <w:tcPr>
            <w:tcW w:w="880" w:type="dxa"/>
            <w:vAlign w:val="bottom"/>
            <w:gridSpan w:val="3"/>
          </w:tcPr>
          <w:p>
            <w:pPr>
              <w:ind w:left="120"/>
              <w:spacing w:after="0"/>
              <w:rPr>
                <w:sz w:val="20"/>
                <w:szCs w:val="20"/>
                <w:color w:val="auto"/>
              </w:rPr>
            </w:pPr>
            <w:r>
              <w:rPr>
                <w:rFonts w:ascii="Arial" w:cs="Arial" w:eastAsia="Arial" w:hAnsi="Arial"/>
                <w:sz w:val="14"/>
                <w:szCs w:val="14"/>
                <w:b w:val="1"/>
                <w:bCs w:val="1"/>
                <w:color w:val="auto"/>
              </w:rPr>
              <w:t>Control</w:t>
            </w: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rPr>
              <w:t>Control</w:t>
            </w:r>
          </w:p>
        </w:tc>
        <w:tc>
          <w:tcPr>
            <w:tcW w:w="0" w:type="dxa"/>
            <w:vAlign w:val="bottom"/>
          </w:tcPr>
          <w:p>
            <w:pPr>
              <w:spacing w:after="0"/>
              <w:rPr>
                <w:sz w:val="1"/>
                <w:szCs w:val="1"/>
                <w:color w:val="auto"/>
              </w:rPr>
            </w:pPr>
          </w:p>
        </w:tc>
      </w:tr>
      <w:tr>
        <w:trPr>
          <w:trHeight w:val="20"/>
        </w:trPr>
        <w:tc>
          <w:tcPr>
            <w:tcW w:w="1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660" w:type="dxa"/>
            <w:vAlign w:val="bottom"/>
          </w:tcPr>
          <w:p>
            <w:pPr>
              <w:ind w:left="20"/>
              <w:spacing w:after="0" w:line="224" w:lineRule="exact"/>
              <w:rPr>
                <w:sz w:val="20"/>
                <w:szCs w:val="20"/>
                <w:color w:val="auto"/>
              </w:rPr>
            </w:pPr>
            <w:r>
              <w:rPr>
                <w:rFonts w:ascii="Arial" w:cs="Arial" w:eastAsia="Arial" w:hAnsi="Arial"/>
                <w:sz w:val="13"/>
                <w:szCs w:val="13"/>
                <w:color w:val="auto"/>
              </w:rPr>
              <w:t>Annual Incentive</w:t>
            </w:r>
            <w:r>
              <w:rPr>
                <w:rFonts w:ascii="Arial" w:cs="Arial" w:eastAsia="Arial" w:hAnsi="Arial"/>
                <w:sz w:val="20"/>
                <w:szCs w:val="20"/>
                <w:color w:val="auto"/>
                <w:vertAlign w:val="superscript"/>
              </w:rPr>
              <w:t>(2)</w:t>
            </w:r>
          </w:p>
        </w:tc>
        <w:tc>
          <w:tcPr>
            <w:tcW w:w="16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3"/>
                <w:szCs w:val="13"/>
                <w:color w:val="auto"/>
                <w:w w:val="88"/>
              </w:rPr>
              <w:t>$—</w:t>
            </w:r>
          </w:p>
        </w:tc>
        <w:tc>
          <w:tcPr>
            <w:tcW w:w="16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3"/>
                <w:szCs w:val="13"/>
                <w:color w:val="auto"/>
                <w:w w:val="88"/>
              </w:rPr>
              <w:t>$—</w:t>
            </w:r>
          </w:p>
        </w:tc>
        <w:tc>
          <w:tcPr>
            <w:tcW w:w="1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ind w:left="140"/>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80" w:type="dxa"/>
            <w:vAlign w:val="bottom"/>
          </w:tcPr>
          <w:p>
            <w:pPr>
              <w:ind w:left="100"/>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36"/>
              <w:spacing w:after="0"/>
              <w:rPr>
                <w:sz w:val="20"/>
                <w:szCs w:val="20"/>
                <w:color w:val="auto"/>
              </w:rPr>
            </w:pPr>
            <w:r>
              <w:rPr>
                <w:rFonts w:ascii="Arial" w:cs="Arial" w:eastAsia="Arial" w:hAnsi="Arial"/>
                <w:sz w:val="13"/>
                <w:szCs w:val="13"/>
                <w:color w:val="auto"/>
                <w:w w:val="93"/>
              </w:rPr>
              <w:t>255,000</w:t>
            </w:r>
          </w:p>
        </w:tc>
        <w:tc>
          <w:tcPr>
            <w:tcW w:w="140" w:type="dxa"/>
            <w:vAlign w:val="bottom"/>
          </w:tcPr>
          <w:p>
            <w:pPr>
              <w:spacing w:after="0"/>
              <w:rPr>
                <w:sz w:val="19"/>
                <w:szCs w:val="19"/>
                <w:color w:val="auto"/>
              </w:rPr>
            </w:pPr>
          </w:p>
        </w:tc>
        <w:tc>
          <w:tcPr>
            <w:tcW w:w="280" w:type="dxa"/>
            <w:vAlign w:val="bottom"/>
          </w:tcPr>
          <w:p>
            <w:pPr>
              <w:ind w:left="220"/>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ind w:right="157"/>
              <w:spacing w:after="0"/>
              <w:rPr>
                <w:sz w:val="20"/>
                <w:szCs w:val="20"/>
                <w:color w:val="auto"/>
              </w:rPr>
            </w:pPr>
            <w:r>
              <w:rPr>
                <w:rFonts w:ascii="Arial" w:cs="Arial" w:eastAsia="Arial" w:hAnsi="Arial"/>
                <w:sz w:val="13"/>
                <w:szCs w:val="13"/>
                <w:color w:val="auto"/>
              </w:rPr>
              <w:t>255,000</w:t>
            </w:r>
          </w:p>
        </w:tc>
        <w:tc>
          <w:tcPr>
            <w:tcW w:w="0" w:type="dxa"/>
            <w:vAlign w:val="bottom"/>
          </w:tcPr>
          <w:p>
            <w:pPr>
              <w:spacing w:after="0"/>
              <w:rPr>
                <w:sz w:val="1"/>
                <w:szCs w:val="1"/>
                <w:color w:val="auto"/>
              </w:rPr>
            </w:pPr>
          </w:p>
        </w:tc>
      </w:tr>
      <w:tr>
        <w:trPr>
          <w:trHeight w:val="216"/>
        </w:trPr>
        <w:tc>
          <w:tcPr>
            <w:tcW w:w="1820" w:type="dxa"/>
            <w:vAlign w:val="bottom"/>
            <w:gridSpan w:val="2"/>
          </w:tcPr>
          <w:p>
            <w:pPr>
              <w:ind w:left="20"/>
              <w:spacing w:after="0" w:line="216" w:lineRule="exact"/>
              <w:rPr>
                <w:sz w:val="20"/>
                <w:szCs w:val="20"/>
                <w:color w:val="auto"/>
              </w:rPr>
            </w:pPr>
            <w:r>
              <w:rPr>
                <w:rFonts w:ascii="Arial" w:cs="Arial" w:eastAsia="Arial" w:hAnsi="Arial"/>
                <w:sz w:val="13"/>
                <w:szCs w:val="13"/>
                <w:color w:val="auto"/>
              </w:rPr>
              <w:t>Accelerated Stock Options</w:t>
            </w:r>
            <w:r>
              <w:rPr>
                <w:rFonts w:ascii="Arial" w:cs="Arial" w:eastAsia="Arial" w:hAnsi="Arial"/>
                <w:sz w:val="20"/>
                <w:szCs w:val="20"/>
                <w:color w:val="auto"/>
                <w:vertAlign w:val="superscript"/>
              </w:rPr>
              <w:t>(3)</w:t>
            </w:r>
          </w:p>
        </w:tc>
        <w:tc>
          <w:tcPr>
            <w:tcW w:w="1000" w:type="dxa"/>
            <w:vAlign w:val="bottom"/>
            <w:gridSpan w:val="2"/>
          </w:tcPr>
          <w:p>
            <w:pPr>
              <w:jc w:val="center"/>
              <w:ind w:right="180"/>
              <w:spacing w:after="0"/>
              <w:rPr>
                <w:sz w:val="20"/>
                <w:szCs w:val="20"/>
                <w:color w:val="auto"/>
              </w:rPr>
            </w:pPr>
            <w:r>
              <w:rPr>
                <w:rFonts w:ascii="Arial" w:cs="Arial" w:eastAsia="Arial" w:hAnsi="Arial"/>
                <w:sz w:val="13"/>
                <w:szCs w:val="13"/>
                <w:color w:val="auto"/>
                <w:w w:val="88"/>
              </w:rPr>
              <w:t>$—</w:t>
            </w:r>
          </w:p>
        </w:tc>
        <w:tc>
          <w:tcPr>
            <w:tcW w:w="1000" w:type="dxa"/>
            <w:vAlign w:val="bottom"/>
            <w:gridSpan w:val="2"/>
          </w:tcPr>
          <w:p>
            <w:pPr>
              <w:jc w:val="center"/>
              <w:ind w:right="180"/>
              <w:spacing w:after="0"/>
              <w:rPr>
                <w:sz w:val="20"/>
                <w:szCs w:val="20"/>
                <w:color w:val="auto"/>
              </w:rPr>
            </w:pPr>
            <w:r>
              <w:rPr>
                <w:rFonts w:ascii="Arial" w:cs="Arial" w:eastAsia="Arial" w:hAnsi="Arial"/>
                <w:sz w:val="13"/>
                <w:szCs w:val="13"/>
                <w:color w:val="auto"/>
                <w:w w:val="88"/>
              </w:rPr>
              <w:t>$—</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68,892</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17"/>
              <w:spacing w:after="0"/>
              <w:rPr>
                <w:sz w:val="20"/>
                <w:szCs w:val="20"/>
                <w:color w:val="auto"/>
              </w:rPr>
            </w:pPr>
            <w:r>
              <w:rPr>
                <w:rFonts w:ascii="Arial" w:cs="Arial" w:eastAsia="Arial" w:hAnsi="Arial"/>
                <w:sz w:val="13"/>
                <w:szCs w:val="13"/>
                <w:color w:val="auto"/>
              </w:rPr>
              <w:t>68,892</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32,560</w:t>
            </w:r>
          </w:p>
        </w:tc>
        <w:tc>
          <w:tcPr>
            <w:tcW w:w="140" w:type="dxa"/>
            <w:vAlign w:val="bottom"/>
          </w:tcPr>
          <w:p>
            <w:pPr>
              <w:spacing w:after="0"/>
              <w:rPr>
                <w:sz w:val="18"/>
                <w:szCs w:val="18"/>
                <w:color w:val="auto"/>
              </w:rPr>
            </w:pPr>
          </w:p>
        </w:tc>
        <w:tc>
          <w:tcPr>
            <w:tcW w:w="220" w:type="dxa"/>
            <w:vAlign w:val="bottom"/>
          </w:tcPr>
          <w:p>
            <w:pPr>
              <w:ind w:left="140"/>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80" w:type="dxa"/>
            <w:vAlign w:val="bottom"/>
          </w:tcPr>
          <w:p>
            <w:pPr>
              <w:ind w:left="100"/>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80" w:type="dxa"/>
            <w:vAlign w:val="bottom"/>
          </w:tcPr>
          <w:p>
            <w:pPr>
              <w:ind w:left="220"/>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ind w:right="157"/>
              <w:spacing w:after="0"/>
              <w:rPr>
                <w:sz w:val="20"/>
                <w:szCs w:val="20"/>
                <w:color w:val="auto"/>
              </w:rPr>
            </w:pPr>
            <w:r>
              <w:rPr>
                <w:rFonts w:ascii="Arial" w:cs="Arial" w:eastAsia="Arial" w:hAnsi="Arial"/>
                <w:sz w:val="13"/>
                <w:szCs w:val="13"/>
                <w:color w:val="auto"/>
              </w:rPr>
              <w:t>68,892</w:t>
            </w:r>
          </w:p>
        </w:tc>
        <w:tc>
          <w:tcPr>
            <w:tcW w:w="0" w:type="dxa"/>
            <w:vAlign w:val="bottom"/>
          </w:tcPr>
          <w:p>
            <w:pPr>
              <w:spacing w:after="0"/>
              <w:rPr>
                <w:sz w:val="1"/>
                <w:szCs w:val="1"/>
                <w:color w:val="auto"/>
              </w:rPr>
            </w:pPr>
          </w:p>
        </w:tc>
      </w:tr>
      <w:tr>
        <w:trPr>
          <w:trHeight w:val="220"/>
        </w:trPr>
        <w:tc>
          <w:tcPr>
            <w:tcW w:w="1820" w:type="dxa"/>
            <w:vAlign w:val="bottom"/>
            <w:gridSpan w:val="2"/>
          </w:tcPr>
          <w:p>
            <w:pPr>
              <w:ind w:left="20"/>
              <w:spacing w:after="0" w:line="220" w:lineRule="exact"/>
              <w:rPr>
                <w:sz w:val="20"/>
                <w:szCs w:val="20"/>
                <w:color w:val="auto"/>
              </w:rPr>
            </w:pPr>
            <w:r>
              <w:rPr>
                <w:rFonts w:ascii="Arial" w:cs="Arial" w:eastAsia="Arial" w:hAnsi="Arial"/>
                <w:sz w:val="13"/>
                <w:szCs w:val="13"/>
                <w:color w:val="auto"/>
              </w:rPr>
              <w:t>Severance</w:t>
            </w:r>
            <w:r>
              <w:rPr>
                <w:rFonts w:ascii="Arial" w:cs="Arial" w:eastAsia="Arial" w:hAnsi="Arial"/>
                <w:sz w:val="20"/>
                <w:szCs w:val="20"/>
                <w:color w:val="auto"/>
                <w:vertAlign w:val="superscript"/>
              </w:rPr>
              <w:t>(4)</w:t>
            </w:r>
          </w:p>
        </w:tc>
        <w:tc>
          <w:tcPr>
            <w:tcW w:w="1000" w:type="dxa"/>
            <w:vAlign w:val="bottom"/>
            <w:gridSpan w:val="2"/>
          </w:tcPr>
          <w:p>
            <w:pPr>
              <w:jc w:val="center"/>
              <w:ind w:right="180"/>
              <w:spacing w:after="0"/>
              <w:rPr>
                <w:sz w:val="20"/>
                <w:szCs w:val="20"/>
                <w:color w:val="auto"/>
              </w:rPr>
            </w:pPr>
            <w:r>
              <w:rPr>
                <w:rFonts w:ascii="Arial" w:cs="Arial" w:eastAsia="Arial" w:hAnsi="Arial"/>
                <w:sz w:val="13"/>
                <w:szCs w:val="13"/>
                <w:color w:val="auto"/>
                <w:w w:val="88"/>
              </w:rPr>
              <w:t>$—</w:t>
            </w:r>
          </w:p>
        </w:tc>
        <w:tc>
          <w:tcPr>
            <w:tcW w:w="1000" w:type="dxa"/>
            <w:vAlign w:val="bottom"/>
            <w:gridSpan w:val="2"/>
          </w:tcPr>
          <w:p>
            <w:pPr>
              <w:jc w:val="center"/>
              <w:ind w:right="180"/>
              <w:spacing w:after="0"/>
              <w:rPr>
                <w:sz w:val="20"/>
                <w:szCs w:val="20"/>
                <w:color w:val="auto"/>
              </w:rPr>
            </w:pPr>
            <w:r>
              <w:rPr>
                <w:rFonts w:ascii="Arial" w:cs="Arial" w:eastAsia="Arial" w:hAnsi="Arial"/>
                <w:sz w:val="13"/>
                <w:szCs w:val="13"/>
                <w:color w:val="auto"/>
                <w:w w:val="88"/>
              </w:rPr>
              <w:t>$—</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ind w:left="140"/>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ind w:right="97"/>
              <w:spacing w:after="0"/>
              <w:rPr>
                <w:sz w:val="20"/>
                <w:szCs w:val="20"/>
                <w:color w:val="auto"/>
              </w:rPr>
            </w:pPr>
            <w:r>
              <w:rPr>
                <w:rFonts w:ascii="Arial" w:cs="Arial" w:eastAsia="Arial" w:hAnsi="Arial"/>
                <w:sz w:val="13"/>
                <w:szCs w:val="13"/>
                <w:color w:val="auto"/>
                <w:w w:val="89"/>
              </w:rPr>
              <w:t>457,788</w:t>
            </w:r>
          </w:p>
        </w:tc>
        <w:tc>
          <w:tcPr>
            <w:tcW w:w="140" w:type="dxa"/>
            <w:vAlign w:val="bottom"/>
          </w:tcPr>
          <w:p>
            <w:pPr>
              <w:spacing w:after="0"/>
              <w:rPr>
                <w:sz w:val="19"/>
                <w:szCs w:val="19"/>
                <w:color w:val="auto"/>
              </w:rPr>
            </w:pPr>
          </w:p>
        </w:tc>
        <w:tc>
          <w:tcPr>
            <w:tcW w:w="180" w:type="dxa"/>
            <w:vAlign w:val="bottom"/>
          </w:tcPr>
          <w:p>
            <w:pPr>
              <w:ind w:left="100"/>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80" w:type="dxa"/>
            <w:vAlign w:val="bottom"/>
          </w:tcPr>
          <w:p>
            <w:pPr>
              <w:ind w:left="220"/>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ind w:right="157"/>
              <w:spacing w:after="0"/>
              <w:rPr>
                <w:sz w:val="20"/>
                <w:szCs w:val="20"/>
                <w:color w:val="auto"/>
              </w:rPr>
            </w:pPr>
            <w:r>
              <w:rPr>
                <w:rFonts w:ascii="Arial" w:cs="Arial" w:eastAsia="Arial" w:hAnsi="Arial"/>
                <w:sz w:val="13"/>
                <w:szCs w:val="13"/>
                <w:color w:val="auto"/>
                <w:w w:val="93"/>
              </w:rPr>
              <w:t>1,360,000</w:t>
            </w:r>
          </w:p>
        </w:tc>
        <w:tc>
          <w:tcPr>
            <w:tcW w:w="0" w:type="dxa"/>
            <w:vAlign w:val="bottom"/>
          </w:tcPr>
          <w:p>
            <w:pPr>
              <w:spacing w:after="0"/>
              <w:rPr>
                <w:sz w:val="1"/>
                <w:szCs w:val="1"/>
                <w:color w:val="auto"/>
              </w:rPr>
            </w:pPr>
          </w:p>
        </w:tc>
      </w:tr>
      <w:tr>
        <w:trPr>
          <w:trHeight w:val="170"/>
        </w:trPr>
        <w:tc>
          <w:tcPr>
            <w:tcW w:w="1820" w:type="dxa"/>
            <w:vAlign w:val="bottom"/>
            <w:gridSpan w:val="2"/>
          </w:tcPr>
          <w:p>
            <w:pPr>
              <w:ind w:left="20"/>
              <w:spacing w:after="0"/>
              <w:rPr>
                <w:sz w:val="20"/>
                <w:szCs w:val="20"/>
                <w:color w:val="auto"/>
              </w:rPr>
            </w:pPr>
            <w:r>
              <w:rPr>
                <w:rFonts w:ascii="Arial" w:cs="Arial" w:eastAsia="Arial" w:hAnsi="Arial"/>
                <w:sz w:val="13"/>
                <w:szCs w:val="13"/>
                <w:color w:val="auto"/>
              </w:rPr>
              <w:t>Benefit Continuation</w:t>
            </w:r>
          </w:p>
        </w:tc>
        <w:tc>
          <w:tcPr>
            <w:tcW w:w="1000" w:type="dxa"/>
            <w:vAlign w:val="bottom"/>
            <w:gridSpan w:val="2"/>
          </w:tcPr>
          <w:p>
            <w:pPr>
              <w:jc w:val="center"/>
              <w:ind w:right="180"/>
              <w:spacing w:after="0"/>
              <w:rPr>
                <w:sz w:val="20"/>
                <w:szCs w:val="20"/>
                <w:color w:val="auto"/>
              </w:rPr>
            </w:pPr>
            <w:r>
              <w:rPr>
                <w:rFonts w:ascii="Arial" w:cs="Arial" w:eastAsia="Arial" w:hAnsi="Arial"/>
                <w:sz w:val="13"/>
                <w:szCs w:val="13"/>
                <w:color w:val="auto"/>
                <w:w w:val="88"/>
              </w:rPr>
              <w:t>$—</w:t>
            </w:r>
          </w:p>
        </w:tc>
        <w:tc>
          <w:tcPr>
            <w:tcW w:w="1000" w:type="dxa"/>
            <w:vAlign w:val="bottom"/>
            <w:gridSpan w:val="2"/>
          </w:tcPr>
          <w:p>
            <w:pPr>
              <w:jc w:val="center"/>
              <w:ind w:right="180"/>
              <w:spacing w:after="0"/>
              <w:rPr>
                <w:sz w:val="20"/>
                <w:szCs w:val="20"/>
                <w:color w:val="auto"/>
              </w:rPr>
            </w:pPr>
            <w:r>
              <w:rPr>
                <w:rFonts w:ascii="Arial" w:cs="Arial" w:eastAsia="Arial" w:hAnsi="Arial"/>
                <w:sz w:val="13"/>
                <w:szCs w:val="13"/>
                <w:color w:val="auto"/>
                <w:w w:val="88"/>
              </w:rPr>
              <w:t>$—</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ind w:left="140"/>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80" w:type="dxa"/>
            <w:vAlign w:val="bottom"/>
          </w:tcPr>
          <w:p>
            <w:pPr>
              <w:ind w:left="100"/>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80" w:type="dxa"/>
            <w:vAlign w:val="bottom"/>
          </w:tcPr>
          <w:p>
            <w:pPr>
              <w:ind w:left="220"/>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ind w:right="157"/>
              <w:spacing w:after="0"/>
              <w:rPr>
                <w:sz w:val="20"/>
                <w:szCs w:val="20"/>
                <w:color w:val="auto"/>
              </w:rPr>
            </w:pPr>
            <w:r>
              <w:rPr>
                <w:rFonts w:ascii="Arial" w:cs="Arial" w:eastAsia="Arial" w:hAnsi="Arial"/>
                <w:sz w:val="13"/>
                <w:szCs w:val="13"/>
                <w:color w:val="auto"/>
              </w:rPr>
              <w:t>47,576</w:t>
            </w:r>
          </w:p>
        </w:tc>
        <w:tc>
          <w:tcPr>
            <w:tcW w:w="0" w:type="dxa"/>
            <w:vAlign w:val="bottom"/>
          </w:tcPr>
          <w:p>
            <w:pPr>
              <w:spacing w:after="0"/>
              <w:rPr>
                <w:sz w:val="1"/>
                <w:szCs w:val="1"/>
                <w:color w:val="auto"/>
              </w:rPr>
            </w:pPr>
          </w:p>
        </w:tc>
      </w:tr>
      <w:tr>
        <w:trPr>
          <w:trHeight w:val="262"/>
        </w:trPr>
        <w:tc>
          <w:tcPr>
            <w:tcW w:w="1820" w:type="dxa"/>
            <w:vAlign w:val="bottom"/>
            <w:gridSpan w:val="2"/>
          </w:tcPr>
          <w:p>
            <w:pPr>
              <w:ind w:left="20"/>
              <w:spacing w:after="0"/>
              <w:rPr>
                <w:sz w:val="20"/>
                <w:szCs w:val="20"/>
                <w:color w:val="auto"/>
              </w:rPr>
            </w:pPr>
            <w:r>
              <w:rPr>
                <w:rFonts w:ascii="Arial" w:cs="Arial" w:eastAsia="Arial" w:hAnsi="Arial"/>
                <w:sz w:val="13"/>
                <w:szCs w:val="13"/>
                <w:color w:val="auto"/>
              </w:rPr>
              <w:t>Accelerated RSUs</w:t>
            </w:r>
            <w:r>
              <w:rPr>
                <w:rFonts w:ascii="Arial" w:cs="Arial" w:eastAsia="Arial" w:hAnsi="Arial"/>
                <w:sz w:val="20"/>
                <w:szCs w:val="20"/>
                <w:color w:val="auto"/>
                <w:vertAlign w:val="superscript"/>
              </w:rPr>
              <w:t>(5)</w:t>
            </w:r>
          </w:p>
        </w:tc>
        <w:tc>
          <w:tcPr>
            <w:tcW w:w="1000" w:type="dxa"/>
            <w:vAlign w:val="bottom"/>
            <w:gridSpan w:val="2"/>
          </w:tcPr>
          <w:p>
            <w:pPr>
              <w:jc w:val="center"/>
              <w:ind w:right="180"/>
              <w:spacing w:after="0"/>
              <w:rPr>
                <w:sz w:val="20"/>
                <w:szCs w:val="20"/>
                <w:color w:val="auto"/>
              </w:rPr>
            </w:pPr>
            <w:r>
              <w:rPr>
                <w:rFonts w:ascii="Arial" w:cs="Arial" w:eastAsia="Arial" w:hAnsi="Arial"/>
                <w:sz w:val="13"/>
                <w:szCs w:val="13"/>
                <w:color w:val="auto"/>
                <w:w w:val="88"/>
              </w:rPr>
              <w:t>$—</w:t>
            </w:r>
          </w:p>
        </w:tc>
        <w:tc>
          <w:tcPr>
            <w:tcW w:w="1000" w:type="dxa"/>
            <w:vAlign w:val="bottom"/>
            <w:gridSpan w:val="2"/>
          </w:tcPr>
          <w:p>
            <w:pPr>
              <w:jc w:val="center"/>
              <w:ind w:right="180"/>
              <w:spacing w:after="0"/>
              <w:rPr>
                <w:sz w:val="20"/>
                <w:szCs w:val="20"/>
                <w:color w:val="auto"/>
              </w:rPr>
            </w:pPr>
            <w:r>
              <w:rPr>
                <w:rFonts w:ascii="Arial" w:cs="Arial" w:eastAsia="Arial" w:hAnsi="Arial"/>
                <w:sz w:val="13"/>
                <w:szCs w:val="13"/>
                <w:color w:val="auto"/>
                <w:w w:val="88"/>
              </w:rPr>
              <w:t>$—</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40" w:type="dxa"/>
            <w:vAlign w:val="bottom"/>
          </w:tcPr>
          <w:p>
            <w:pPr>
              <w:jc w:val="right"/>
              <w:spacing w:after="0"/>
              <w:rPr>
                <w:sz w:val="20"/>
                <w:szCs w:val="20"/>
                <w:color w:val="auto"/>
              </w:rPr>
            </w:pPr>
            <w:r>
              <w:rPr>
                <w:rFonts w:ascii="Arial" w:cs="Arial" w:eastAsia="Arial" w:hAnsi="Arial"/>
                <w:sz w:val="13"/>
                <w:szCs w:val="13"/>
                <w:color w:val="auto"/>
                <w:w w:val="89"/>
              </w:rPr>
              <w:t>373,435</w:t>
            </w:r>
          </w:p>
        </w:tc>
        <w:tc>
          <w:tcPr>
            <w:tcW w:w="14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17"/>
              <w:spacing w:after="0"/>
              <w:rPr>
                <w:sz w:val="20"/>
                <w:szCs w:val="20"/>
                <w:color w:val="auto"/>
              </w:rPr>
            </w:pPr>
            <w:r>
              <w:rPr>
                <w:rFonts w:ascii="Arial" w:cs="Arial" w:eastAsia="Arial" w:hAnsi="Arial"/>
                <w:sz w:val="13"/>
                <w:szCs w:val="13"/>
                <w:color w:val="auto"/>
                <w:w w:val="89"/>
              </w:rPr>
              <w:t>373,435</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w w:val="93"/>
              </w:rPr>
              <w:t>249,820</w:t>
            </w:r>
          </w:p>
        </w:tc>
        <w:tc>
          <w:tcPr>
            <w:tcW w:w="140" w:type="dxa"/>
            <w:vAlign w:val="bottom"/>
          </w:tcPr>
          <w:p>
            <w:pPr>
              <w:spacing w:after="0"/>
              <w:rPr>
                <w:sz w:val="22"/>
                <w:szCs w:val="22"/>
                <w:color w:val="auto"/>
              </w:rPr>
            </w:pPr>
          </w:p>
        </w:tc>
        <w:tc>
          <w:tcPr>
            <w:tcW w:w="220" w:type="dxa"/>
            <w:vAlign w:val="bottom"/>
          </w:tcPr>
          <w:p>
            <w:pPr>
              <w:ind w:left="140"/>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80" w:type="dxa"/>
            <w:vAlign w:val="bottom"/>
          </w:tcPr>
          <w:p>
            <w:pPr>
              <w:ind w:left="100"/>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80" w:type="dxa"/>
            <w:vAlign w:val="bottom"/>
          </w:tcPr>
          <w:p>
            <w:pPr>
              <w:ind w:left="220"/>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ind w:right="157"/>
              <w:spacing w:after="0"/>
              <w:rPr>
                <w:sz w:val="20"/>
                <w:szCs w:val="20"/>
                <w:color w:val="auto"/>
              </w:rPr>
            </w:pPr>
            <w:r>
              <w:rPr>
                <w:rFonts w:ascii="Arial" w:cs="Arial" w:eastAsia="Arial" w:hAnsi="Arial"/>
                <w:sz w:val="13"/>
                <w:szCs w:val="13"/>
                <w:color w:val="auto"/>
              </w:rPr>
              <w:t>373,435</w:t>
            </w:r>
          </w:p>
        </w:tc>
        <w:tc>
          <w:tcPr>
            <w:tcW w:w="0" w:type="dxa"/>
            <w:vAlign w:val="bottom"/>
          </w:tcPr>
          <w:p>
            <w:pPr>
              <w:spacing w:after="0"/>
              <w:rPr>
                <w:sz w:val="1"/>
                <w:szCs w:val="1"/>
                <w:color w:val="auto"/>
              </w:rPr>
            </w:pPr>
          </w:p>
        </w:tc>
      </w:tr>
      <w:tr>
        <w:trPr>
          <w:trHeight w:val="131"/>
        </w:trPr>
        <w:tc>
          <w:tcPr>
            <w:tcW w:w="1820" w:type="dxa"/>
            <w:vAlign w:val="bottom"/>
            <w:gridSpan w:val="2"/>
          </w:tcPr>
          <w:p>
            <w:pPr>
              <w:ind w:left="20"/>
              <w:spacing w:after="0" w:line="131" w:lineRule="exact"/>
              <w:rPr>
                <w:sz w:val="20"/>
                <w:szCs w:val="20"/>
                <w:color w:val="auto"/>
              </w:rPr>
            </w:pPr>
            <w:r>
              <w:rPr>
                <w:rFonts w:ascii="Arial" w:cs="Arial" w:eastAsia="Arial" w:hAnsi="Arial"/>
                <w:sz w:val="13"/>
                <w:szCs w:val="13"/>
                <w:color w:val="auto"/>
              </w:rPr>
              <w:t>Accelerated Performance</w:t>
            </w:r>
          </w:p>
        </w:tc>
        <w:tc>
          <w:tcPr>
            <w:tcW w:w="1000" w:type="dxa"/>
            <w:vAlign w:val="bottom"/>
            <w:gridSpan w:val="2"/>
            <w:vMerge w:val="restart"/>
          </w:tcPr>
          <w:p>
            <w:pPr>
              <w:jc w:val="center"/>
              <w:ind w:right="180"/>
              <w:spacing w:after="0"/>
              <w:rPr>
                <w:sz w:val="20"/>
                <w:szCs w:val="20"/>
                <w:color w:val="auto"/>
              </w:rPr>
            </w:pPr>
            <w:r>
              <w:rPr>
                <w:rFonts w:ascii="Arial" w:cs="Arial" w:eastAsia="Arial" w:hAnsi="Arial"/>
                <w:sz w:val="13"/>
                <w:szCs w:val="13"/>
                <w:color w:val="auto"/>
                <w:w w:val="88"/>
              </w:rPr>
              <w:t>$—</w:t>
            </w:r>
          </w:p>
        </w:tc>
        <w:tc>
          <w:tcPr>
            <w:tcW w:w="1000" w:type="dxa"/>
            <w:vAlign w:val="bottom"/>
            <w:gridSpan w:val="2"/>
            <w:vMerge w:val="restart"/>
          </w:tcPr>
          <w:p>
            <w:pPr>
              <w:jc w:val="center"/>
              <w:ind w:right="180"/>
              <w:spacing w:after="0"/>
              <w:rPr>
                <w:sz w:val="20"/>
                <w:szCs w:val="20"/>
                <w:color w:val="auto"/>
              </w:rPr>
            </w:pPr>
            <w:r>
              <w:rPr>
                <w:rFonts w:ascii="Arial" w:cs="Arial" w:eastAsia="Arial" w:hAnsi="Arial"/>
                <w:sz w:val="13"/>
                <w:szCs w:val="13"/>
                <w:color w:val="auto"/>
                <w:w w:val="88"/>
              </w:rPr>
              <w:t>$—</w:t>
            </w:r>
          </w:p>
        </w:tc>
        <w:tc>
          <w:tcPr>
            <w:tcW w:w="8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440" w:type="dxa"/>
            <w:vAlign w:val="bottom"/>
            <w:vMerge w:val="restart"/>
          </w:tcPr>
          <w:p>
            <w:pPr>
              <w:jc w:val="right"/>
              <w:spacing w:after="0"/>
              <w:rPr>
                <w:sz w:val="20"/>
                <w:szCs w:val="20"/>
                <w:color w:val="auto"/>
              </w:rPr>
            </w:pPr>
            <w:r>
              <w:rPr>
                <w:rFonts w:ascii="Arial" w:cs="Arial" w:eastAsia="Arial" w:hAnsi="Arial"/>
                <w:sz w:val="13"/>
                <w:szCs w:val="13"/>
                <w:color w:val="auto"/>
                <w:w w:val="89"/>
              </w:rPr>
              <w:t>524,957</w:t>
            </w:r>
          </w:p>
        </w:tc>
        <w:tc>
          <w:tcPr>
            <w:tcW w:w="14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520" w:type="dxa"/>
            <w:vAlign w:val="bottom"/>
            <w:vMerge w:val="restart"/>
          </w:tcPr>
          <w:p>
            <w:pPr>
              <w:jc w:val="right"/>
              <w:ind w:right="17"/>
              <w:spacing w:after="0"/>
              <w:rPr>
                <w:sz w:val="20"/>
                <w:szCs w:val="20"/>
                <w:color w:val="auto"/>
              </w:rPr>
            </w:pPr>
            <w:r>
              <w:rPr>
                <w:rFonts w:ascii="Arial" w:cs="Arial" w:eastAsia="Arial" w:hAnsi="Arial"/>
                <w:sz w:val="13"/>
                <w:szCs w:val="13"/>
                <w:color w:val="auto"/>
                <w:w w:val="89"/>
              </w:rPr>
              <w:t>524,957</w:t>
            </w:r>
          </w:p>
        </w:tc>
        <w:tc>
          <w:tcPr>
            <w:tcW w:w="120" w:type="dxa"/>
            <w:vAlign w:val="bottom"/>
          </w:tcPr>
          <w:p>
            <w:pPr>
              <w:spacing w:after="0"/>
              <w:rPr>
                <w:sz w:val="11"/>
                <w:szCs w:val="11"/>
                <w:color w:val="auto"/>
              </w:rPr>
            </w:pPr>
          </w:p>
        </w:tc>
        <w:tc>
          <w:tcPr>
            <w:tcW w:w="1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580" w:type="dxa"/>
            <w:vAlign w:val="bottom"/>
            <w:vMerge w:val="restart"/>
          </w:tcPr>
          <w:p>
            <w:pPr>
              <w:jc w:val="right"/>
              <w:ind w:right="57"/>
              <w:spacing w:after="0"/>
              <w:rPr>
                <w:sz w:val="20"/>
                <w:szCs w:val="20"/>
                <w:color w:val="auto"/>
              </w:rPr>
            </w:pPr>
            <w:r>
              <w:rPr>
                <w:rFonts w:ascii="Arial" w:cs="Arial" w:eastAsia="Arial" w:hAnsi="Arial"/>
                <w:sz w:val="13"/>
                <w:szCs w:val="13"/>
                <w:color w:val="auto"/>
                <w:w w:val="93"/>
              </w:rPr>
              <w:t>277,726</w:t>
            </w:r>
          </w:p>
        </w:tc>
        <w:tc>
          <w:tcPr>
            <w:tcW w:w="140" w:type="dxa"/>
            <w:vAlign w:val="bottom"/>
          </w:tcPr>
          <w:p>
            <w:pPr>
              <w:spacing w:after="0"/>
              <w:rPr>
                <w:sz w:val="11"/>
                <w:szCs w:val="11"/>
                <w:color w:val="auto"/>
              </w:rPr>
            </w:pPr>
          </w:p>
        </w:tc>
        <w:tc>
          <w:tcPr>
            <w:tcW w:w="220" w:type="dxa"/>
            <w:vAlign w:val="bottom"/>
            <w:vMerge w:val="restart"/>
          </w:tcPr>
          <w:p>
            <w:pPr>
              <w:ind w:left="140"/>
              <w:spacing w:after="0"/>
              <w:rPr>
                <w:sz w:val="20"/>
                <w:szCs w:val="20"/>
                <w:color w:val="auto"/>
              </w:rPr>
            </w:pPr>
            <w:r>
              <w:rPr>
                <w:rFonts w:ascii="Arial" w:cs="Arial" w:eastAsia="Arial" w:hAnsi="Arial"/>
                <w:sz w:val="13"/>
                <w:szCs w:val="13"/>
                <w:color w:val="auto"/>
                <w:w w:val="82"/>
              </w:rPr>
              <w:t>$</w:t>
            </w:r>
          </w:p>
        </w:tc>
        <w:tc>
          <w:tcPr>
            <w:tcW w:w="740" w:type="dxa"/>
            <w:vAlign w:val="bottom"/>
            <w:gridSpan w:val="2"/>
            <w:vMerge w:val="restart"/>
          </w:tcPr>
          <w:p>
            <w:pPr>
              <w:jc w:val="right"/>
              <w:ind w:right="300"/>
              <w:spacing w:after="0"/>
              <w:rPr>
                <w:sz w:val="20"/>
                <w:szCs w:val="20"/>
                <w:color w:val="auto"/>
              </w:rPr>
            </w:pPr>
            <w:r>
              <w:rPr>
                <w:rFonts w:ascii="Arial" w:cs="Arial" w:eastAsia="Arial" w:hAnsi="Arial"/>
                <w:sz w:val="13"/>
                <w:szCs w:val="13"/>
                <w:color w:val="auto"/>
              </w:rPr>
              <w:t>—</w:t>
            </w:r>
          </w:p>
        </w:tc>
        <w:tc>
          <w:tcPr>
            <w:tcW w:w="180" w:type="dxa"/>
            <w:vAlign w:val="bottom"/>
            <w:vMerge w:val="restart"/>
          </w:tcPr>
          <w:p>
            <w:pPr>
              <w:ind w:left="100"/>
              <w:spacing w:after="0"/>
              <w:rPr>
                <w:sz w:val="20"/>
                <w:szCs w:val="20"/>
                <w:color w:val="auto"/>
              </w:rPr>
            </w:pPr>
            <w:r>
              <w:rPr>
                <w:rFonts w:ascii="Arial" w:cs="Arial" w:eastAsia="Arial" w:hAnsi="Arial"/>
                <w:sz w:val="13"/>
                <w:szCs w:val="13"/>
                <w:color w:val="auto"/>
                <w:w w:val="82"/>
              </w:rPr>
              <w:t>$</w:t>
            </w:r>
          </w:p>
        </w:tc>
        <w:tc>
          <w:tcPr>
            <w:tcW w:w="70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280" w:type="dxa"/>
            <w:vAlign w:val="bottom"/>
            <w:vMerge w:val="restart"/>
          </w:tcPr>
          <w:p>
            <w:pPr>
              <w:ind w:left="220"/>
              <w:spacing w:after="0"/>
              <w:rPr>
                <w:sz w:val="20"/>
                <w:szCs w:val="20"/>
                <w:color w:val="auto"/>
              </w:rPr>
            </w:pPr>
            <w:r>
              <w:rPr>
                <w:rFonts w:ascii="Arial" w:cs="Arial" w:eastAsia="Arial" w:hAnsi="Arial"/>
                <w:sz w:val="10"/>
                <w:szCs w:val="10"/>
                <w:color w:val="auto"/>
                <w:w w:val="71"/>
              </w:rPr>
              <w:t>$</w:t>
            </w:r>
          </w:p>
        </w:tc>
        <w:tc>
          <w:tcPr>
            <w:tcW w:w="780" w:type="dxa"/>
            <w:vAlign w:val="bottom"/>
            <w:vMerge w:val="restart"/>
          </w:tcPr>
          <w:p>
            <w:pPr>
              <w:jc w:val="right"/>
              <w:ind w:right="157"/>
              <w:spacing w:after="0"/>
              <w:rPr>
                <w:sz w:val="20"/>
                <w:szCs w:val="20"/>
                <w:color w:val="auto"/>
              </w:rPr>
            </w:pPr>
            <w:r>
              <w:rPr>
                <w:rFonts w:ascii="Arial" w:cs="Arial" w:eastAsia="Arial" w:hAnsi="Arial"/>
                <w:sz w:val="13"/>
                <w:szCs w:val="13"/>
                <w:color w:val="auto"/>
              </w:rPr>
              <w:t>99,352</w:t>
            </w:r>
          </w:p>
        </w:tc>
        <w:tc>
          <w:tcPr>
            <w:tcW w:w="0" w:type="dxa"/>
            <w:vAlign w:val="bottom"/>
          </w:tcPr>
          <w:p>
            <w:pPr>
              <w:spacing w:after="0"/>
              <w:rPr>
                <w:sz w:val="1"/>
                <w:szCs w:val="1"/>
                <w:color w:val="auto"/>
              </w:rPr>
            </w:pPr>
          </w:p>
        </w:tc>
      </w:tr>
      <w:tr>
        <w:trPr>
          <w:trHeight w:val="281"/>
        </w:trPr>
        <w:tc>
          <w:tcPr>
            <w:tcW w:w="1820" w:type="dxa"/>
            <w:vAlign w:val="bottom"/>
            <w:gridSpan w:val="2"/>
          </w:tcPr>
          <w:p>
            <w:pPr>
              <w:ind w:left="200"/>
              <w:spacing w:after="0"/>
              <w:rPr>
                <w:sz w:val="20"/>
                <w:szCs w:val="20"/>
                <w:color w:val="auto"/>
              </w:rPr>
            </w:pPr>
            <w:r>
              <w:rPr>
                <w:rFonts w:ascii="Arial" w:cs="Arial" w:eastAsia="Arial" w:hAnsi="Arial"/>
                <w:sz w:val="13"/>
                <w:szCs w:val="13"/>
                <w:color w:val="auto"/>
              </w:rPr>
              <w:t>RSUs (PRSUs)</w:t>
            </w:r>
            <w:r>
              <w:rPr>
                <w:rFonts w:ascii="Arial" w:cs="Arial" w:eastAsia="Arial" w:hAnsi="Arial"/>
                <w:sz w:val="20"/>
                <w:szCs w:val="20"/>
                <w:color w:val="auto"/>
                <w:vertAlign w:val="superscript"/>
              </w:rPr>
              <w:t>(6)</w:t>
            </w:r>
          </w:p>
        </w:tc>
        <w:tc>
          <w:tcPr>
            <w:tcW w:w="1000" w:type="dxa"/>
            <w:vAlign w:val="bottom"/>
            <w:gridSpan w:val="2"/>
            <w:vMerge w:val="continue"/>
          </w:tcPr>
          <w:p>
            <w:pPr>
              <w:spacing w:after="0"/>
              <w:rPr>
                <w:sz w:val="24"/>
                <w:szCs w:val="24"/>
                <w:color w:val="auto"/>
              </w:rPr>
            </w:pPr>
          </w:p>
        </w:tc>
        <w:tc>
          <w:tcPr>
            <w:tcW w:w="1000" w:type="dxa"/>
            <w:vAlign w:val="bottom"/>
            <w:gridSpan w:val="2"/>
            <w:vMerge w:val="continue"/>
          </w:tcPr>
          <w:p>
            <w:pPr>
              <w:spacing w:after="0"/>
              <w:rPr>
                <w:sz w:val="24"/>
                <w:szCs w:val="24"/>
                <w:color w:val="auto"/>
              </w:rPr>
            </w:pPr>
          </w:p>
        </w:tc>
        <w:tc>
          <w:tcPr>
            <w:tcW w:w="80" w:type="dxa"/>
            <w:vAlign w:val="bottom"/>
            <w:vMerge w:val="continue"/>
          </w:tcPr>
          <w:p>
            <w:pPr>
              <w:spacing w:after="0"/>
              <w:rPr>
                <w:sz w:val="24"/>
                <w:szCs w:val="24"/>
                <w:color w:val="auto"/>
              </w:rPr>
            </w:pPr>
          </w:p>
        </w:tc>
        <w:tc>
          <w:tcPr>
            <w:tcW w:w="4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vMerge w:val="continue"/>
          </w:tcPr>
          <w:p>
            <w:pPr>
              <w:spacing w:after="0"/>
              <w:rPr>
                <w:sz w:val="24"/>
                <w:szCs w:val="24"/>
                <w:color w:val="auto"/>
              </w:rPr>
            </w:pPr>
          </w:p>
        </w:tc>
        <w:tc>
          <w:tcPr>
            <w:tcW w:w="5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vMerge w:val="continue"/>
          </w:tcPr>
          <w:p>
            <w:pPr>
              <w:spacing w:after="0"/>
              <w:rPr>
                <w:sz w:val="24"/>
                <w:szCs w:val="24"/>
                <w:color w:val="auto"/>
              </w:rPr>
            </w:pPr>
          </w:p>
        </w:tc>
        <w:tc>
          <w:tcPr>
            <w:tcW w:w="5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vMerge w:val="continue"/>
          </w:tcPr>
          <w:p>
            <w:pPr>
              <w:spacing w:after="0"/>
              <w:rPr>
                <w:sz w:val="24"/>
                <w:szCs w:val="24"/>
                <w:color w:val="auto"/>
              </w:rPr>
            </w:pPr>
          </w:p>
        </w:tc>
        <w:tc>
          <w:tcPr>
            <w:tcW w:w="740" w:type="dxa"/>
            <w:vAlign w:val="bottom"/>
            <w:gridSpan w:val="2"/>
            <w:vMerge w:val="continue"/>
          </w:tcPr>
          <w:p>
            <w:pPr>
              <w:spacing w:after="0"/>
              <w:rPr>
                <w:sz w:val="24"/>
                <w:szCs w:val="24"/>
                <w:color w:val="auto"/>
              </w:rPr>
            </w:pPr>
          </w:p>
        </w:tc>
        <w:tc>
          <w:tcPr>
            <w:tcW w:w="180" w:type="dxa"/>
            <w:vAlign w:val="bottom"/>
            <w:vMerge w:val="continue"/>
          </w:tcPr>
          <w:p>
            <w:pPr>
              <w:spacing w:after="0"/>
              <w:rPr>
                <w:sz w:val="24"/>
                <w:szCs w:val="24"/>
                <w:color w:val="auto"/>
              </w:rPr>
            </w:pPr>
          </w:p>
        </w:tc>
        <w:tc>
          <w:tcPr>
            <w:tcW w:w="700" w:type="dxa"/>
            <w:vAlign w:val="bottom"/>
            <w:gridSpan w:val="2"/>
            <w:vMerge w:val="continue"/>
          </w:tcPr>
          <w:p>
            <w:pPr>
              <w:spacing w:after="0"/>
              <w:rPr>
                <w:sz w:val="24"/>
                <w:szCs w:val="24"/>
                <w:color w:val="auto"/>
              </w:rPr>
            </w:pPr>
          </w:p>
        </w:tc>
        <w:tc>
          <w:tcPr>
            <w:tcW w:w="280" w:type="dxa"/>
            <w:vAlign w:val="bottom"/>
            <w:vMerge w:val="continue"/>
          </w:tcPr>
          <w:p>
            <w:pPr>
              <w:spacing w:after="0"/>
              <w:rPr>
                <w:sz w:val="24"/>
                <w:szCs w:val="24"/>
                <w:color w:val="auto"/>
              </w:rPr>
            </w:pPr>
          </w:p>
        </w:tc>
        <w:tc>
          <w:tcPr>
            <w:tcW w:w="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52070</wp:posOffset>
            </wp:positionV>
            <wp:extent cx="82296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170" w:lineRule="exact"/>
        <w:rPr>
          <w:sz w:val="20"/>
          <w:szCs w:val="20"/>
          <w:color w:val="auto"/>
        </w:rPr>
      </w:pPr>
    </w:p>
    <w:p>
      <w:pPr>
        <w:ind w:left="346" w:right="40" w:hanging="346"/>
        <w:spacing w:after="0" w:line="249" w:lineRule="auto"/>
        <w:tabs>
          <w:tab w:leader="none" w:pos="346"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 above table does not include amounts under our Executive Deferred Compensation Plan, stock option awards that are fully vested, earned salary, and accrued vacation as those items are earned and due to the employee regardless of such termination or change-in-control events. It also does not include amounts payable under life insurance coverage, our accidental death &amp; dismemberment coverage or our business travel accident coverage, which are programs available to all employees. Under the change-in-control agreement with this executive the term is 24 months following a change-in-control and the severance payment is equal to 2 times the sum of the executive's base salary and target annual bonus. Each form of payment is mutually exclusive based on the individual circumstances or events and therefore represents a single payment and should not be added together.</w:t>
      </w:r>
    </w:p>
    <w:p>
      <w:pPr>
        <w:spacing w:after="0" w:line="45" w:lineRule="exact"/>
        <w:rPr>
          <w:rFonts w:ascii="Arial" w:cs="Arial" w:eastAsia="Arial" w:hAnsi="Arial"/>
          <w:sz w:val="14"/>
          <w:szCs w:val="14"/>
          <w:color w:val="auto"/>
        </w:rPr>
      </w:pPr>
    </w:p>
    <w:p>
      <w:pPr>
        <w:ind w:left="346" w:right="20" w:hanging="346"/>
        <w:spacing w:after="0" w:line="266" w:lineRule="auto"/>
        <w:tabs>
          <w:tab w:leader="none" w:pos="346" w:val="left"/>
        </w:tabs>
        <w:numPr>
          <w:ilvl w:val="0"/>
          <w:numId w:val="63"/>
        </w:numPr>
        <w:rPr>
          <w:rFonts w:ascii="Arial" w:cs="Arial" w:eastAsia="Arial" w:hAnsi="Arial"/>
          <w:sz w:val="14"/>
          <w:szCs w:val="14"/>
          <w:color w:val="auto"/>
        </w:rPr>
      </w:pPr>
      <w:r>
        <w:rPr>
          <w:rFonts w:ascii="Arial" w:cs="Arial" w:eastAsia="Arial" w:hAnsi="Arial"/>
          <w:sz w:val="14"/>
          <w:szCs w:val="14"/>
          <w:color w:val="auto"/>
        </w:rPr>
        <w:t>Pursuant to our change-in-control agreement with this executive, the annual bonus payable in the event of termination following a change-in-control is the greater of target or the actual amount earned. The annual incentive plan did not pay out in 2020, so the value represents the target bonus opportunity.</w:t>
      </w:r>
    </w:p>
    <w:p>
      <w:pPr>
        <w:spacing w:after="0" w:line="18" w:lineRule="exact"/>
        <w:rPr>
          <w:rFonts w:ascii="Arial" w:cs="Arial" w:eastAsia="Arial" w:hAnsi="Arial"/>
          <w:sz w:val="14"/>
          <w:szCs w:val="14"/>
          <w:color w:val="auto"/>
        </w:rPr>
      </w:pPr>
    </w:p>
    <w:p>
      <w:pPr>
        <w:ind w:left="346" w:hanging="346"/>
        <w:spacing w:after="0" w:line="249" w:lineRule="auto"/>
        <w:tabs>
          <w:tab w:leader="none" w:pos="346" w:val="left"/>
        </w:tabs>
        <w:numPr>
          <w:ilvl w:val="0"/>
          <w:numId w:val="63"/>
        </w:numPr>
        <w:rPr>
          <w:rFonts w:ascii="Arial" w:cs="Arial" w:eastAsia="Arial" w:hAnsi="Arial"/>
          <w:sz w:val="14"/>
          <w:szCs w:val="14"/>
          <w:color w:val="auto"/>
        </w:rPr>
      </w:pPr>
      <w:r>
        <w:rPr>
          <w:rFonts w:ascii="Arial" w:cs="Arial" w:eastAsia="Arial" w:hAnsi="Arial"/>
          <w:sz w:val="14"/>
          <w:szCs w:val="14"/>
          <w:color w:val="auto"/>
        </w:rPr>
        <w:t>Represents in-the-money value of accelerated stock options based on the closing price of our common stock on December 31, 2020 ($95.90). For the awards in fiscal 2018, upon a termination due to retirement after 18 months from the grant date, stock options will continue to vest subject to non-compete/non-solicit and reasonable notice restrictions. For the awards in fiscal 2020, upon a termination due to retirement after the first anniversary of the grant date, stock options will continue to vest subject to non-compete/non-solicit and reasonable notice restrictions. 2020 awards are assumed forfeited, as retirement at December 31, 2020 is before the first anniversary from the grant date. Upon a change-in-control, stock options will accelerate only if they are not assumed or substituted, and otherwise provide for a double trigger; values presume that the acquirer assumes outstanding stock options.</w:t>
      </w:r>
    </w:p>
    <w:p>
      <w:pPr>
        <w:spacing w:after="0" w:line="32" w:lineRule="exact"/>
        <w:rPr>
          <w:rFonts w:ascii="Arial" w:cs="Arial" w:eastAsia="Arial" w:hAnsi="Arial"/>
          <w:sz w:val="14"/>
          <w:szCs w:val="14"/>
          <w:color w:val="auto"/>
        </w:rPr>
      </w:pPr>
    </w:p>
    <w:p>
      <w:pPr>
        <w:ind w:left="346" w:right="40" w:hanging="346"/>
        <w:spacing w:after="0" w:line="266" w:lineRule="auto"/>
        <w:tabs>
          <w:tab w:leader="none" w:pos="346" w:val="left"/>
        </w:tabs>
        <w:numPr>
          <w:ilvl w:val="0"/>
          <w:numId w:val="63"/>
        </w:numPr>
        <w:rPr>
          <w:rFonts w:ascii="Arial" w:cs="Arial" w:eastAsia="Arial" w:hAnsi="Arial"/>
          <w:sz w:val="14"/>
          <w:szCs w:val="14"/>
          <w:color w:val="auto"/>
        </w:rPr>
      </w:pPr>
      <w:r>
        <w:rPr>
          <w:rFonts w:ascii="Arial" w:cs="Arial" w:eastAsia="Arial" w:hAnsi="Arial"/>
          <w:sz w:val="14"/>
          <w:szCs w:val="14"/>
          <w:color w:val="auto"/>
        </w:rPr>
        <w:t>In December 2020, Mr. Reeves became entitled to the Executive Officer Severance Pay Policy which provides an executive officer, who is terminated involuntarily, a severance payment equal to 1 times base salary plus one year of continued benefits and outplacement. The change-in-control agreements provide for a severance payment equal to 2 times the sum of base salary and target annual bonus.</w:t>
      </w:r>
    </w:p>
    <w:p>
      <w:pPr>
        <w:spacing w:after="0" w:line="31" w:lineRule="exact"/>
        <w:rPr>
          <w:rFonts w:ascii="Arial" w:cs="Arial" w:eastAsia="Arial" w:hAnsi="Arial"/>
          <w:sz w:val="14"/>
          <w:szCs w:val="14"/>
          <w:color w:val="auto"/>
        </w:rPr>
      </w:pPr>
    </w:p>
    <w:p>
      <w:pPr>
        <w:ind w:left="346" w:right="60" w:hanging="346"/>
        <w:spacing w:after="0" w:line="254" w:lineRule="auto"/>
        <w:tabs>
          <w:tab w:leader="none" w:pos="346" w:val="left"/>
        </w:tabs>
        <w:numPr>
          <w:ilvl w:val="0"/>
          <w:numId w:val="63"/>
        </w:numPr>
        <w:rPr>
          <w:rFonts w:ascii="Arial" w:cs="Arial" w:eastAsia="Arial" w:hAnsi="Arial"/>
          <w:sz w:val="14"/>
          <w:szCs w:val="14"/>
          <w:color w:val="auto"/>
        </w:rPr>
      </w:pPr>
      <w:r>
        <w:rPr>
          <w:rFonts w:ascii="Arial" w:cs="Arial" w:eastAsia="Arial" w:hAnsi="Arial"/>
          <w:sz w:val="14"/>
          <w:szCs w:val="14"/>
          <w:color w:val="auto"/>
        </w:rPr>
        <w:t>For the time-vested RSUs, upon termination due to death or disability, represents the accelerated value of the RSUs based on the closing price of our common stock on December 31, 2020 ($95.90). For the awards in fiscal 2018, upon a termination due to retirement after</w:t>
      </w:r>
    </w:p>
    <w:p>
      <w:pPr>
        <w:spacing w:after="0" w:line="1" w:lineRule="exact"/>
        <w:rPr>
          <w:rFonts w:ascii="Arial" w:cs="Arial" w:eastAsia="Arial" w:hAnsi="Arial"/>
          <w:sz w:val="14"/>
          <w:szCs w:val="14"/>
          <w:color w:val="auto"/>
        </w:rPr>
      </w:pPr>
    </w:p>
    <w:p>
      <w:pPr>
        <w:ind w:left="346" w:right="180"/>
        <w:spacing w:after="0" w:line="247" w:lineRule="auto"/>
        <w:rPr>
          <w:rFonts w:ascii="Arial" w:cs="Arial" w:eastAsia="Arial" w:hAnsi="Arial"/>
          <w:sz w:val="14"/>
          <w:szCs w:val="14"/>
          <w:color w:val="auto"/>
        </w:rPr>
      </w:pPr>
      <w:r>
        <w:rPr>
          <w:rFonts w:ascii="Arial" w:cs="Arial" w:eastAsia="Arial" w:hAnsi="Arial"/>
          <w:sz w:val="14"/>
          <w:szCs w:val="14"/>
          <w:color w:val="auto"/>
        </w:rPr>
        <w:t>18 months from the grant date, RSUs will continue to vest subject to non-compete/non-solicit and reasonable notice restrictions. For the awards in fiscal 2019 and 2020, upon a termination due to retirement after the first anniversary of the grant date, RSUs will continue to vest subject to non-compete/non-solicit and reasonable notice restrictions. 2020 awards are assumed forfeited, as retirement at December 31, 2020 is before the first anniversary from the grant date. Upon a change-in-control only (single trigger), RSUs that are not assumed by an acquirer will accelerate; values presume that the acquirer assumes applicable outstanding RSUs.</w:t>
      </w:r>
    </w:p>
    <w:p>
      <w:pPr>
        <w:spacing w:after="0" w:line="31" w:lineRule="exact"/>
        <w:rPr>
          <w:rFonts w:ascii="Arial" w:cs="Arial" w:eastAsia="Arial" w:hAnsi="Arial"/>
          <w:sz w:val="14"/>
          <w:szCs w:val="14"/>
          <w:color w:val="auto"/>
        </w:rPr>
      </w:pPr>
    </w:p>
    <w:p>
      <w:pPr>
        <w:ind w:left="346" w:right="20" w:hanging="346"/>
        <w:spacing w:after="0" w:line="245" w:lineRule="auto"/>
        <w:tabs>
          <w:tab w:leader="none" w:pos="346" w:val="left"/>
        </w:tabs>
        <w:numPr>
          <w:ilvl w:val="0"/>
          <w:numId w:val="63"/>
        </w:numPr>
        <w:rPr>
          <w:rFonts w:ascii="Arial" w:cs="Arial" w:eastAsia="Arial" w:hAnsi="Arial"/>
          <w:sz w:val="14"/>
          <w:szCs w:val="14"/>
          <w:color w:val="auto"/>
        </w:rPr>
      </w:pPr>
      <w:r>
        <w:rPr>
          <w:rFonts w:ascii="Arial" w:cs="Arial" w:eastAsia="Arial" w:hAnsi="Arial"/>
          <w:sz w:val="14"/>
          <w:szCs w:val="14"/>
          <w:color w:val="auto"/>
        </w:rPr>
        <w:t>Upon a termination due to death or disability, awards will vest based on actual performance at the conclusion of the performance periods. Shares continue to vest through the year of death or disability and all unvested shares are accelerated. Fiscal 2019 and 2020 values assume target performance will be achieved. For the awards granted in fiscal 2018, upon a termination due to retirement after 18 months from the grant date, awards will vest in full based on actual performance at the end of the performance period (no pro-rated payout). For the awards granted in fiscal 2019 and 2020, upon a termination due to retirement after the first anniversary of the grant date, awards will vest in full based on actual performance at the end of the performance period (no pro-rated payout). 2020 awards are assumed forfeited, as retirement at December 31, 2020 is before the first anniversary of the grant date. Pursuant to our award agreements with this executive the PRSUs outstanding as of the change-in-control will be vested at the greater of target or actual performance for the year, and pro-rated based on the number of calendar days between the beginning of the performance period and the change-in-control. Upon a change-in-control only (single trigger), PRSUs that are not assumed by an acquirer will accelerate; values presume that the acquirer assumes applicable outstanding PRSUs. As of December 31, 2020, two three-year performance cycles (2019-2021 and 2020-2022) are not yet complete and target payouts are used. For the 2018-2020 performance cycle, actual payouts were less than target. Upon a termination following a change-in-control, value represents the incremental difference in values between target and actual performance (e.g. no value for cycles where actual payouts are greater than or equal to target amounts). Values are based on the closing price of our common stock on December 31, 2020 ($95.90).</w:t>
      </w:r>
    </w:p>
    <w:p>
      <w:pPr>
        <w:spacing w:after="0" w:line="200" w:lineRule="exact"/>
        <w:rPr>
          <w:sz w:val="20"/>
          <w:szCs w:val="20"/>
          <w:color w:val="auto"/>
        </w:rPr>
      </w:pPr>
    </w:p>
    <w:p>
      <w:pPr>
        <w:spacing w:after="0" w:line="244" w:lineRule="exact"/>
        <w:rPr>
          <w:sz w:val="20"/>
          <w:szCs w:val="20"/>
          <w:color w:val="auto"/>
        </w:rPr>
      </w:pPr>
    </w:p>
    <w:p>
      <w:pPr>
        <w:jc w:val="center"/>
        <w:ind w:right="-45"/>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157480</wp:posOffset>
            </wp:positionV>
            <wp:extent cx="699516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46"/>
          </w:cols>
          <w:pgMar w:left="1354" w:top="263" w:right="1399" w:bottom="1440" w:gutter="0" w:footer="0" w:header="0"/>
        </w:sectPr>
      </w:pPr>
    </w:p>
    <w:bookmarkStart w:id="54" w:name="page55"/>
    <w:bookmarkEnd w:id="54"/>
    <w:p>
      <w:pPr>
        <w:ind w:left="6"/>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122"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PROPOSAL 3 – RATIFICATION OF INDEPENDENT REGISTERED PUBLIC ACCOUNTANT</w:t>
      </w:r>
    </w:p>
    <w:p>
      <w:pPr>
        <w:spacing w:after="0" w:line="187" w:lineRule="exact"/>
        <w:rPr>
          <w:sz w:val="20"/>
          <w:szCs w:val="20"/>
          <w:color w:val="auto"/>
        </w:rPr>
      </w:pPr>
    </w:p>
    <w:p>
      <w:pPr>
        <w:ind w:left="6"/>
        <w:spacing w:after="0"/>
        <w:rPr>
          <w:sz w:val="20"/>
          <w:szCs w:val="20"/>
          <w:color w:val="auto"/>
        </w:rPr>
      </w:pPr>
      <w:r>
        <w:rPr>
          <w:rFonts w:ascii="Arial" w:cs="Arial" w:eastAsia="Arial" w:hAnsi="Arial"/>
          <w:sz w:val="18"/>
          <w:szCs w:val="18"/>
          <w:color w:val="auto"/>
        </w:rPr>
        <w:t>The Board, upon the recommendation of its Audit/Finance Committee, has selected Deloitte &amp; Touche LLP to serve as the Company’s independent registered public accountant for the 2021 fiscal year, subject to ratification by our shareholders. Although not required to do so, the Board is submitting the selection of Deloitte &amp; Touche LLP for ratification by the Company’s shareholders for their views on the Company’s independent registered public accountant and as a matter of good corporate practice. Deloitte &amp; Touche LLP has advised the Company that it has no direct, nor any material indirect, financial interest in the Company or any of its subsidiaries. Representatives of Deloitte &amp; Touche LLP are expected to be present at the Annual Meeting, will have the opportunity to make a statement, if they desire to do so, and will be available to respond to appropriate questions.</w:t>
      </w:r>
    </w:p>
    <w:p>
      <w:pPr>
        <w:spacing w:after="0" w:line="140" w:lineRule="exact"/>
        <w:rPr>
          <w:sz w:val="20"/>
          <w:szCs w:val="20"/>
          <w:color w:val="auto"/>
        </w:rPr>
      </w:pPr>
    </w:p>
    <w:p>
      <w:pPr>
        <w:ind w:left="6" w:right="20"/>
        <w:spacing w:after="0" w:line="245" w:lineRule="auto"/>
        <w:rPr>
          <w:sz w:val="20"/>
          <w:szCs w:val="20"/>
          <w:color w:val="auto"/>
        </w:rPr>
      </w:pPr>
      <w:r>
        <w:rPr>
          <w:rFonts w:ascii="Arial" w:cs="Arial" w:eastAsia="Arial" w:hAnsi="Arial"/>
          <w:sz w:val="18"/>
          <w:szCs w:val="18"/>
          <w:color w:val="auto"/>
        </w:rPr>
        <w:t>In the event that our shareholders fail to ratify the selection, it will be considered as a direction to the Board and the Audit/Finance Committee to consider the selection of a different firm. Even if the selection is ratified, the Audit/Finance Committee in its discretion may select a different independent registered public accounting firm, subject to ratification by the Board, at any time during the year if it determines that such a change would be in the best interest of the Company and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1543050</wp:posOffset>
            </wp:positionH>
            <wp:positionV relativeFrom="paragraph">
              <wp:posOffset>29210</wp:posOffset>
            </wp:positionV>
            <wp:extent cx="248285" cy="7200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48285" cy="720090"/>
                    </a:xfrm>
                    <a:prstGeom prst="rect">
                      <a:avLst/>
                    </a:prstGeom>
                    <a:noFill/>
                  </pic:spPr>
                </pic:pic>
              </a:graphicData>
            </a:graphic>
          </wp:anchor>
        </w:drawing>
      </w:r>
    </w:p>
    <w:p>
      <w:pPr>
        <w:spacing w:after="0" w:line="218" w:lineRule="exact"/>
        <w:rPr>
          <w:sz w:val="20"/>
          <w:szCs w:val="20"/>
          <w:color w:val="auto"/>
        </w:rPr>
      </w:pPr>
    </w:p>
    <w:p>
      <w:pPr>
        <w:ind w:left="2926"/>
        <w:spacing w:after="0"/>
        <w:rPr>
          <w:sz w:val="20"/>
          <w:szCs w:val="20"/>
          <w:color w:val="auto"/>
        </w:rPr>
      </w:pPr>
      <w:r>
        <w:rPr>
          <w:rFonts w:ascii="Arial" w:cs="Arial" w:eastAsia="Arial" w:hAnsi="Arial"/>
          <w:sz w:val="18"/>
          <w:szCs w:val="18"/>
          <w:b w:val="1"/>
          <w:bCs w:val="1"/>
          <w:color w:val="auto"/>
        </w:rPr>
        <w:t>The Board recommends that shareholders</w:t>
      </w:r>
    </w:p>
    <w:p>
      <w:pPr>
        <w:spacing w:after="0" w:line="15" w:lineRule="exact"/>
        <w:rPr>
          <w:sz w:val="20"/>
          <w:szCs w:val="20"/>
          <w:color w:val="auto"/>
        </w:rPr>
      </w:pPr>
    </w:p>
    <w:p>
      <w:pPr>
        <w:ind w:left="2926"/>
        <w:spacing w:after="0"/>
        <w:rPr>
          <w:sz w:val="20"/>
          <w:szCs w:val="20"/>
          <w:color w:val="auto"/>
        </w:rPr>
      </w:pPr>
      <w:r>
        <w:rPr>
          <w:rFonts w:ascii="Arial" w:cs="Arial" w:eastAsia="Arial" w:hAnsi="Arial"/>
          <w:sz w:val="18"/>
          <w:szCs w:val="18"/>
          <w:b w:val="1"/>
          <w:bCs w:val="1"/>
          <w:color w:val="auto"/>
        </w:rPr>
        <w:t>vote “FOR” the ratification of Deloitte &amp;</w:t>
      </w:r>
    </w:p>
    <w:p>
      <w:pPr>
        <w:ind w:left="2926"/>
        <w:spacing w:after="0" w:line="234" w:lineRule="auto"/>
        <w:rPr>
          <w:sz w:val="20"/>
          <w:szCs w:val="20"/>
          <w:color w:val="auto"/>
        </w:rPr>
      </w:pPr>
      <w:r>
        <w:rPr>
          <w:rFonts w:ascii="Arial" w:cs="Arial" w:eastAsia="Arial" w:hAnsi="Arial"/>
          <w:sz w:val="18"/>
          <w:szCs w:val="18"/>
          <w:b w:val="1"/>
          <w:bCs w:val="1"/>
          <w:color w:val="auto"/>
        </w:rPr>
        <w:t>Touche LLP as our independent registered</w:t>
      </w:r>
    </w:p>
    <w:p>
      <w:pPr>
        <w:spacing w:after="0" w:line="1" w:lineRule="exact"/>
        <w:rPr>
          <w:sz w:val="20"/>
          <w:szCs w:val="20"/>
          <w:color w:val="auto"/>
        </w:rPr>
      </w:pPr>
    </w:p>
    <w:p>
      <w:pPr>
        <w:ind w:left="2926"/>
        <w:spacing w:after="0"/>
        <w:rPr>
          <w:sz w:val="20"/>
          <w:szCs w:val="20"/>
          <w:color w:val="auto"/>
        </w:rPr>
      </w:pPr>
      <w:r>
        <w:rPr>
          <w:rFonts w:ascii="Arial" w:cs="Arial" w:eastAsia="Arial" w:hAnsi="Arial"/>
          <w:sz w:val="18"/>
          <w:szCs w:val="18"/>
          <w:b w:val="1"/>
          <w:bCs w:val="1"/>
          <w:color w:val="auto"/>
        </w:rPr>
        <w:t>public accountant for fiscal year 2021.</w:t>
      </w:r>
    </w:p>
    <w:p>
      <w:pPr>
        <w:spacing w:after="0" w:line="377"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INDEPENDENT REGISTERED PUBLIC ACCOUNTING FIRM’S AUDIT FEES AND SERVICES</w:t>
      </w:r>
    </w:p>
    <w:p>
      <w:pPr>
        <w:spacing w:after="0" w:line="187" w:lineRule="exact"/>
        <w:rPr>
          <w:sz w:val="20"/>
          <w:szCs w:val="20"/>
          <w:color w:val="auto"/>
        </w:rPr>
      </w:pPr>
    </w:p>
    <w:p>
      <w:pPr>
        <w:ind w:left="6" w:right="160"/>
        <w:spacing w:after="0" w:line="255" w:lineRule="auto"/>
        <w:rPr>
          <w:sz w:val="20"/>
          <w:szCs w:val="20"/>
          <w:color w:val="auto"/>
        </w:rPr>
      </w:pPr>
      <w:r>
        <w:rPr>
          <w:rFonts w:ascii="Arial" w:cs="Arial" w:eastAsia="Arial" w:hAnsi="Arial"/>
          <w:sz w:val="18"/>
          <w:szCs w:val="18"/>
          <w:color w:val="auto"/>
        </w:rPr>
        <w:t>For the years ended December 31, 2019 and 2020, professional services were performed by Deloitte &amp; Touche LLP and their respective affiliates (collectively, Deloitte). The aggregate fees billed by Deloitte for the years ended December 31, 2019 and 2020 were as follows:</w:t>
      </w:r>
    </w:p>
    <w:p>
      <w:pPr>
        <w:spacing w:after="0" w:line="77" w:lineRule="exact"/>
        <w:rPr>
          <w:sz w:val="20"/>
          <w:szCs w:val="20"/>
          <w:color w:val="auto"/>
        </w:rPr>
      </w:pPr>
    </w:p>
    <w:tbl>
      <w:tblPr>
        <w:tblLayout w:type="fixed"/>
        <w:tblInd w:w="6" w:type="dxa"/>
        <w:tblCellMar>
          <w:top w:w="0" w:type="dxa"/>
          <w:left w:w="0" w:type="dxa"/>
          <w:bottom w:w="0" w:type="dxa"/>
          <w:right w:w="0" w:type="dxa"/>
        </w:tblCellMar>
      </w:tblPr>
      <w:tr>
        <w:trPr>
          <w:trHeight w:val="202"/>
        </w:trPr>
        <w:tc>
          <w:tcPr>
            <w:tcW w:w="60" w:type="dxa"/>
            <w:vAlign w:val="bottom"/>
          </w:tcPr>
          <w:p>
            <w:pPr>
              <w:spacing w:after="0"/>
              <w:rPr>
                <w:sz w:val="17"/>
                <w:szCs w:val="17"/>
                <w:color w:val="auto"/>
              </w:rPr>
            </w:pPr>
          </w:p>
        </w:tc>
        <w:tc>
          <w:tcPr>
            <w:tcW w:w="6880" w:type="dxa"/>
            <w:vAlign w:val="bottom"/>
            <w:gridSpan w:val="3"/>
          </w:tcPr>
          <w:p>
            <w:pPr>
              <w:ind w:left="20"/>
              <w:spacing w:after="0"/>
              <w:rPr>
                <w:sz w:val="20"/>
                <w:szCs w:val="20"/>
                <w:color w:val="auto"/>
              </w:rPr>
            </w:pPr>
            <w:r>
              <w:rPr>
                <w:rFonts w:ascii="Arial" w:cs="Arial" w:eastAsia="Arial" w:hAnsi="Arial"/>
                <w:sz w:val="14"/>
                <w:szCs w:val="14"/>
                <w:b w:val="1"/>
                <w:bCs w:val="1"/>
                <w:color w:val="auto"/>
              </w:rPr>
              <w:t>Services Rendered</w:t>
            </w:r>
          </w:p>
        </w:tc>
        <w:tc>
          <w:tcPr>
            <w:tcW w:w="100" w:type="dxa"/>
            <w:vAlign w:val="bottom"/>
          </w:tcPr>
          <w:p>
            <w:pPr>
              <w:spacing w:after="0"/>
              <w:rPr>
                <w:sz w:val="17"/>
                <w:szCs w:val="17"/>
                <w:color w:val="auto"/>
              </w:rPr>
            </w:pPr>
          </w:p>
        </w:tc>
        <w:tc>
          <w:tcPr>
            <w:tcW w:w="780" w:type="dxa"/>
            <w:vAlign w:val="bottom"/>
          </w:tcPr>
          <w:p>
            <w:pPr>
              <w:jc w:val="right"/>
              <w:ind w:right="194"/>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7"/>
                <w:szCs w:val="17"/>
                <w:color w:val="auto"/>
              </w:rPr>
            </w:pPr>
          </w:p>
        </w:tc>
        <w:tc>
          <w:tcPr>
            <w:tcW w:w="126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7"/>
                <w:szCs w:val="17"/>
                <w:color w:val="auto"/>
              </w:rPr>
            </w:pPr>
          </w:p>
        </w:tc>
      </w:tr>
      <w:tr>
        <w:trPr>
          <w:trHeight w:val="29"/>
        </w:trPr>
        <w:tc>
          <w:tcPr>
            <w:tcW w:w="6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28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326"/>
        </w:trPr>
        <w:tc>
          <w:tcPr>
            <w:tcW w:w="60" w:type="dxa"/>
            <w:vAlign w:val="bottom"/>
          </w:tcPr>
          <w:p>
            <w:pPr>
              <w:spacing w:after="0"/>
              <w:rPr>
                <w:sz w:val="24"/>
                <w:szCs w:val="24"/>
                <w:color w:val="auto"/>
              </w:rPr>
            </w:pPr>
          </w:p>
        </w:tc>
        <w:tc>
          <w:tcPr>
            <w:tcW w:w="6880" w:type="dxa"/>
            <w:vAlign w:val="bottom"/>
            <w:gridSpan w:val="3"/>
          </w:tcPr>
          <w:p>
            <w:pPr>
              <w:ind w:left="20"/>
              <w:spacing w:after="0" w:line="326" w:lineRule="exact"/>
              <w:rPr>
                <w:sz w:val="20"/>
                <w:szCs w:val="20"/>
                <w:color w:val="auto"/>
              </w:rPr>
            </w:pPr>
            <w:r>
              <w:rPr>
                <w:rFonts w:ascii="Arial" w:cs="Arial" w:eastAsia="Arial" w:hAnsi="Arial"/>
                <w:sz w:val="18"/>
                <w:szCs w:val="18"/>
                <w:color w:val="auto"/>
              </w:rPr>
              <w:t>Audit Fees</w:t>
            </w:r>
            <w:r>
              <w:rPr>
                <w:rFonts w:ascii="Arial" w:cs="Arial" w:eastAsia="Arial" w:hAnsi="Arial"/>
                <w:sz w:val="29"/>
                <w:szCs w:val="29"/>
                <w:color w:val="auto"/>
                <w:vertAlign w:val="superscript"/>
              </w:rPr>
              <w:t>(1)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7,684,56</w:t>
            </w:r>
          </w:p>
        </w:tc>
        <w:tc>
          <w:tcPr>
            <w:tcW w:w="20" w:type="dxa"/>
            <w:vAlign w:val="bottom"/>
          </w:tcPr>
          <w:p>
            <w:pPr>
              <w:spacing w:after="0"/>
              <w:rPr>
                <w:sz w:val="24"/>
                <w:szCs w:val="24"/>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$6,363,549</w:t>
            </w:r>
          </w:p>
        </w:tc>
      </w:tr>
      <w:tr>
        <w:trPr>
          <w:trHeight w:val="235"/>
        </w:trPr>
        <w:tc>
          <w:tcPr>
            <w:tcW w:w="60" w:type="dxa"/>
            <w:vAlign w:val="bottom"/>
          </w:tcPr>
          <w:p>
            <w:pPr>
              <w:spacing w:after="0"/>
              <w:rPr>
                <w:sz w:val="20"/>
                <w:szCs w:val="20"/>
                <w:color w:val="auto"/>
              </w:rPr>
            </w:pPr>
          </w:p>
        </w:tc>
        <w:tc>
          <w:tcPr>
            <w:tcW w:w="6880" w:type="dxa"/>
            <w:vAlign w:val="bottom"/>
            <w:gridSpan w:val="3"/>
          </w:tcPr>
          <w:p>
            <w:pPr>
              <w:ind w:left="20"/>
              <w:spacing w:after="0" w:line="235" w:lineRule="exact"/>
              <w:rPr>
                <w:sz w:val="20"/>
                <w:szCs w:val="20"/>
                <w:color w:val="auto"/>
              </w:rPr>
            </w:pPr>
            <w:r>
              <w:rPr>
                <w:rFonts w:ascii="Arial" w:cs="Arial" w:eastAsia="Arial" w:hAnsi="Arial"/>
                <w:sz w:val="17"/>
                <w:szCs w:val="17"/>
                <w:color w:val="auto"/>
              </w:rPr>
              <w:t>Audit-Related Fees</w:t>
            </w:r>
            <w:r>
              <w:rPr>
                <w:rFonts w:ascii="Arial" w:cs="Arial" w:eastAsia="Arial" w:hAnsi="Arial"/>
                <w:sz w:val="27"/>
                <w:szCs w:val="27"/>
                <w:color w:val="auto"/>
                <w:vertAlign w:val="superscript"/>
              </w:rPr>
              <w:t>(2)</w:t>
            </w:r>
          </w:p>
        </w:tc>
        <w:tc>
          <w:tcPr>
            <w:tcW w:w="10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0"/>
        </w:trPr>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660" w:type="dxa"/>
            <w:vAlign w:val="bottom"/>
            <w:gridSpan w:val="2"/>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8"/>
        </w:trPr>
        <w:tc>
          <w:tcPr>
            <w:tcW w:w="60" w:type="dxa"/>
            <w:vAlign w:val="bottom"/>
          </w:tcPr>
          <w:p>
            <w:pPr>
              <w:spacing w:after="0"/>
              <w:rPr>
                <w:sz w:val="24"/>
                <w:szCs w:val="24"/>
                <w:color w:val="auto"/>
              </w:rPr>
            </w:pPr>
          </w:p>
        </w:tc>
        <w:tc>
          <w:tcPr>
            <w:tcW w:w="6880" w:type="dxa"/>
            <w:vAlign w:val="bottom"/>
            <w:gridSpan w:val="3"/>
          </w:tcPr>
          <w:p>
            <w:pPr>
              <w:ind w:left="200"/>
              <w:spacing w:after="0"/>
              <w:rPr>
                <w:sz w:val="20"/>
                <w:szCs w:val="20"/>
                <w:color w:val="auto"/>
              </w:rPr>
            </w:pPr>
            <w:r>
              <w:rPr>
                <w:rFonts w:ascii="Arial" w:cs="Arial" w:eastAsia="Arial" w:hAnsi="Arial"/>
                <w:sz w:val="18"/>
                <w:szCs w:val="18"/>
                <w:color w:val="auto"/>
              </w:rPr>
              <w:t>Total Audit and Audit-Related Fees</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7,684,560</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6,363,549</w:t>
            </w:r>
          </w:p>
        </w:tc>
      </w:tr>
      <w:tr>
        <w:trPr>
          <w:trHeight w:val="369"/>
        </w:trPr>
        <w:tc>
          <w:tcPr>
            <w:tcW w:w="60" w:type="dxa"/>
            <w:vAlign w:val="bottom"/>
          </w:tcPr>
          <w:p>
            <w:pPr>
              <w:spacing w:after="0"/>
              <w:rPr>
                <w:sz w:val="24"/>
                <w:szCs w:val="24"/>
                <w:color w:val="auto"/>
              </w:rPr>
            </w:pPr>
          </w:p>
        </w:tc>
        <w:tc>
          <w:tcPr>
            <w:tcW w:w="6880" w:type="dxa"/>
            <w:vAlign w:val="bottom"/>
            <w:gridSpan w:val="3"/>
          </w:tcPr>
          <w:p>
            <w:pPr>
              <w:ind w:left="20"/>
              <w:spacing w:after="0"/>
              <w:rPr>
                <w:sz w:val="20"/>
                <w:szCs w:val="20"/>
                <w:color w:val="auto"/>
              </w:rPr>
            </w:pPr>
            <w:r>
              <w:rPr>
                <w:rFonts w:ascii="Arial" w:cs="Arial" w:eastAsia="Arial" w:hAnsi="Arial"/>
                <w:sz w:val="18"/>
                <w:szCs w:val="18"/>
                <w:color w:val="auto"/>
              </w:rPr>
              <w:t>Tax Fees</w:t>
            </w:r>
            <w:r>
              <w:rPr>
                <w:rFonts w:ascii="Arial" w:cs="Arial" w:eastAsia="Arial" w:hAnsi="Arial"/>
                <w:sz w:val="29"/>
                <w:szCs w:val="29"/>
                <w:color w:val="auto"/>
                <w:vertAlign w:val="superscript"/>
              </w:rPr>
              <w:t>(3)</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1,965,159</w:t>
            </w:r>
          </w:p>
        </w:tc>
        <w:tc>
          <w:tcPr>
            <w:tcW w:w="20" w:type="dxa"/>
            <w:vAlign w:val="bottom"/>
          </w:tcPr>
          <w:p>
            <w:pPr>
              <w:spacing w:after="0"/>
              <w:rPr>
                <w:sz w:val="24"/>
                <w:szCs w:val="24"/>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1,962,798</w:t>
            </w:r>
          </w:p>
        </w:tc>
      </w:tr>
      <w:tr>
        <w:trPr>
          <w:trHeight w:val="235"/>
        </w:trPr>
        <w:tc>
          <w:tcPr>
            <w:tcW w:w="60" w:type="dxa"/>
            <w:vAlign w:val="bottom"/>
          </w:tcPr>
          <w:p>
            <w:pPr>
              <w:spacing w:after="0"/>
              <w:rPr>
                <w:sz w:val="20"/>
                <w:szCs w:val="20"/>
                <w:color w:val="auto"/>
              </w:rPr>
            </w:pPr>
          </w:p>
        </w:tc>
        <w:tc>
          <w:tcPr>
            <w:tcW w:w="6880" w:type="dxa"/>
            <w:vAlign w:val="bottom"/>
            <w:gridSpan w:val="3"/>
          </w:tcPr>
          <w:p>
            <w:pPr>
              <w:ind w:left="20"/>
              <w:spacing w:after="0" w:line="235" w:lineRule="exact"/>
              <w:rPr>
                <w:sz w:val="20"/>
                <w:szCs w:val="20"/>
                <w:color w:val="auto"/>
              </w:rPr>
            </w:pPr>
            <w:r>
              <w:rPr>
                <w:rFonts w:ascii="Arial" w:cs="Arial" w:eastAsia="Arial" w:hAnsi="Arial"/>
                <w:sz w:val="17"/>
                <w:szCs w:val="17"/>
                <w:color w:val="auto"/>
              </w:rPr>
              <w:t>Other Fees</w:t>
            </w:r>
            <w:r>
              <w:rPr>
                <w:rFonts w:ascii="Arial" w:cs="Arial" w:eastAsia="Arial" w:hAnsi="Arial"/>
                <w:sz w:val="27"/>
                <w:szCs w:val="27"/>
                <w:color w:val="auto"/>
                <w:vertAlign w:val="superscript"/>
              </w:rPr>
              <w:t>(4)</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2,064</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2,064</w:t>
            </w:r>
          </w:p>
        </w:tc>
      </w:tr>
      <w:tr>
        <w:trPr>
          <w:trHeight w:val="20"/>
        </w:trPr>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66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60" w:type="dxa"/>
            <w:vAlign w:val="bottom"/>
          </w:tcPr>
          <w:p>
            <w:pPr>
              <w:spacing w:after="0"/>
              <w:rPr>
                <w:sz w:val="24"/>
                <w:szCs w:val="24"/>
                <w:color w:val="auto"/>
              </w:rPr>
            </w:pPr>
          </w:p>
        </w:tc>
        <w:tc>
          <w:tcPr>
            <w:tcW w:w="6880" w:type="dxa"/>
            <w:vAlign w:val="bottom"/>
            <w:gridSpan w:val="3"/>
          </w:tcPr>
          <w:p>
            <w:pPr>
              <w:ind w:left="20"/>
              <w:spacing w:after="0"/>
              <w:rPr>
                <w:sz w:val="20"/>
                <w:szCs w:val="20"/>
                <w:color w:val="auto"/>
              </w:rPr>
            </w:pPr>
            <w:r>
              <w:rPr>
                <w:rFonts w:ascii="Arial" w:cs="Arial" w:eastAsia="Arial" w:hAnsi="Arial"/>
                <w:sz w:val="18"/>
                <w:szCs w:val="18"/>
                <w:color w:val="auto"/>
              </w:rPr>
              <w:t>Total Fees</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7"/>
              </w:rPr>
              <w:t>9,651,782</w:t>
            </w:r>
          </w:p>
        </w:tc>
        <w:tc>
          <w:tcPr>
            <w:tcW w:w="1260" w:type="dxa"/>
            <w:vAlign w:val="bottom"/>
            <w:gridSpan w:val="2"/>
          </w:tcPr>
          <w:p>
            <w:pPr>
              <w:jc w:val="cente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8,328,411</w:t>
            </w:r>
          </w:p>
        </w:tc>
        <w:tc>
          <w:tcPr>
            <w:tcW w:w="20" w:type="dxa"/>
            <w:vAlign w:val="bottom"/>
          </w:tcPr>
          <w:p>
            <w:pPr>
              <w:spacing w:after="0"/>
              <w:rPr>
                <w:sz w:val="24"/>
                <w:szCs w:val="24"/>
                <w:color w:val="auto"/>
              </w:rPr>
            </w:pPr>
          </w:p>
        </w:tc>
      </w:tr>
      <w:tr>
        <w:trPr>
          <w:trHeight w:val="21"/>
        </w:trPr>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5"/>
        </w:trPr>
        <w:tc>
          <w:tcPr>
            <w:tcW w:w="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5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r>
    </w:tbl>
    <w:p>
      <w:pPr>
        <w:spacing w:after="0" w:line="95" w:lineRule="exact"/>
        <w:rPr>
          <w:sz w:val="20"/>
          <w:szCs w:val="20"/>
          <w:color w:val="auto"/>
        </w:rPr>
      </w:pPr>
    </w:p>
    <w:p>
      <w:pPr>
        <w:ind w:left="346" w:right="180" w:hanging="346"/>
        <w:spacing w:after="0" w:line="258" w:lineRule="auto"/>
        <w:tabs>
          <w:tab w:leader="none" w:pos="346" w:val="left"/>
        </w:tabs>
        <w:numPr>
          <w:ilvl w:val="0"/>
          <w:numId w:val="64"/>
        </w:numPr>
        <w:rPr>
          <w:rFonts w:ascii="Arial" w:cs="Arial" w:eastAsia="Arial" w:hAnsi="Arial"/>
          <w:sz w:val="14"/>
          <w:szCs w:val="14"/>
          <w:color w:val="auto"/>
        </w:rPr>
      </w:pPr>
      <w:r>
        <w:rPr>
          <w:rFonts w:ascii="Arial" w:cs="Arial" w:eastAsia="Arial" w:hAnsi="Arial"/>
          <w:sz w:val="14"/>
          <w:szCs w:val="14"/>
          <w:color w:val="auto"/>
        </w:rPr>
        <w:t>Audit services include fees for professional services rendered for the audit of the Company’s annual financial statements and internal controls over financial reporting for the years ended December 31, 2019 and 2020, including out of pocket expenses, and reviews of the financial statements included in the Company’s Quarterly Reports on Form 10-Q. In addition, services include statutory audits required, and accounting consultations on matters related to the annual audits or interim reviews.</w:t>
      </w:r>
    </w:p>
    <w:p>
      <w:pPr>
        <w:spacing w:after="0" w:line="23" w:lineRule="exact"/>
        <w:rPr>
          <w:rFonts w:ascii="Arial" w:cs="Arial" w:eastAsia="Arial" w:hAnsi="Arial"/>
          <w:sz w:val="14"/>
          <w:szCs w:val="14"/>
          <w:color w:val="auto"/>
        </w:rPr>
      </w:pPr>
    </w:p>
    <w:p>
      <w:pPr>
        <w:ind w:left="346" w:right="100" w:hanging="346"/>
        <w:spacing w:after="0" w:line="266" w:lineRule="auto"/>
        <w:tabs>
          <w:tab w:leader="none" w:pos="346" w:val="left"/>
        </w:tabs>
        <w:numPr>
          <w:ilvl w:val="0"/>
          <w:numId w:val="64"/>
        </w:numPr>
        <w:rPr>
          <w:rFonts w:ascii="Arial" w:cs="Arial" w:eastAsia="Arial" w:hAnsi="Arial"/>
          <w:sz w:val="14"/>
          <w:szCs w:val="14"/>
          <w:color w:val="auto"/>
        </w:rPr>
      </w:pPr>
      <w:r>
        <w:rPr>
          <w:rFonts w:ascii="Arial" w:cs="Arial" w:eastAsia="Arial" w:hAnsi="Arial"/>
          <w:sz w:val="14"/>
          <w:szCs w:val="14"/>
          <w:color w:val="auto"/>
        </w:rPr>
        <w:t>Audit-related services are disclosed in the year incurred, based on when the work is performed. These services typically include due diligence in connection with acquisitions, accounting process advice, and agreed-upon procedures. We did not engage any such services during the years ended December 31, 2019 and 2020.</w:t>
      </w:r>
    </w:p>
    <w:p>
      <w:pPr>
        <w:spacing w:after="0" w:line="31" w:lineRule="exact"/>
        <w:rPr>
          <w:rFonts w:ascii="Arial" w:cs="Arial" w:eastAsia="Arial" w:hAnsi="Arial"/>
          <w:sz w:val="14"/>
          <w:szCs w:val="14"/>
          <w:color w:val="auto"/>
        </w:rPr>
      </w:pPr>
    </w:p>
    <w:p>
      <w:pPr>
        <w:ind w:left="346" w:right="80" w:hanging="346"/>
        <w:spacing w:after="0" w:line="291" w:lineRule="auto"/>
        <w:tabs>
          <w:tab w:leader="none" w:pos="346" w:val="left"/>
        </w:tabs>
        <w:numPr>
          <w:ilvl w:val="0"/>
          <w:numId w:val="64"/>
        </w:numPr>
        <w:rPr>
          <w:rFonts w:ascii="Arial" w:cs="Arial" w:eastAsia="Arial" w:hAnsi="Arial"/>
          <w:sz w:val="14"/>
          <w:szCs w:val="14"/>
          <w:color w:val="auto"/>
        </w:rPr>
      </w:pPr>
      <w:r>
        <w:rPr>
          <w:rFonts w:ascii="Arial" w:cs="Arial" w:eastAsia="Arial" w:hAnsi="Arial"/>
          <w:sz w:val="14"/>
          <w:szCs w:val="14"/>
          <w:color w:val="auto"/>
        </w:rPr>
        <w:t>Tax services are disclosed in the year incurred, based on when the work is performed. These services include tax compliance, tax advice, and tax planning during the years ended December 31, 2019 and 2020.</w:t>
      </w:r>
    </w:p>
    <w:p>
      <w:pPr>
        <w:spacing w:after="0" w:line="1" w:lineRule="exact"/>
        <w:rPr>
          <w:rFonts w:ascii="Arial" w:cs="Arial" w:eastAsia="Arial" w:hAnsi="Arial"/>
          <w:sz w:val="14"/>
          <w:szCs w:val="14"/>
          <w:color w:val="auto"/>
        </w:rPr>
      </w:pPr>
    </w:p>
    <w:p>
      <w:pPr>
        <w:ind w:left="346" w:right="20" w:hanging="346"/>
        <w:spacing w:after="0" w:line="291" w:lineRule="auto"/>
        <w:tabs>
          <w:tab w:leader="none" w:pos="346" w:val="left"/>
        </w:tabs>
        <w:numPr>
          <w:ilvl w:val="0"/>
          <w:numId w:val="64"/>
        </w:numPr>
        <w:rPr>
          <w:rFonts w:ascii="Arial" w:cs="Arial" w:eastAsia="Arial" w:hAnsi="Arial"/>
          <w:sz w:val="14"/>
          <w:szCs w:val="14"/>
          <w:color w:val="auto"/>
        </w:rPr>
      </w:pPr>
      <w:r>
        <w:rPr>
          <w:rFonts w:ascii="Arial" w:cs="Arial" w:eastAsia="Arial" w:hAnsi="Arial"/>
          <w:sz w:val="14"/>
          <w:szCs w:val="14"/>
          <w:color w:val="auto"/>
        </w:rPr>
        <w:t>Services performed by Deloitte qualifying as “Other” for the years ended December 31, 2019 and 2020, are related to accounting research tools and permitted consultation services.</w:t>
      </w:r>
    </w:p>
    <w:p>
      <w:pPr>
        <w:spacing w:after="0" w:line="99" w:lineRule="exact"/>
        <w:rPr>
          <w:sz w:val="20"/>
          <w:szCs w:val="20"/>
          <w:color w:val="auto"/>
        </w:rPr>
      </w:pPr>
    </w:p>
    <w:p>
      <w:pPr>
        <w:ind w:left="6" w:right="20"/>
        <w:spacing w:after="0" w:line="241" w:lineRule="auto"/>
        <w:rPr>
          <w:sz w:val="20"/>
          <w:szCs w:val="20"/>
          <w:color w:val="auto"/>
        </w:rPr>
      </w:pPr>
      <w:r>
        <w:rPr>
          <w:rFonts w:ascii="Arial" w:cs="Arial" w:eastAsia="Arial" w:hAnsi="Arial"/>
          <w:sz w:val="18"/>
          <w:szCs w:val="18"/>
          <w:color w:val="auto"/>
        </w:rPr>
        <w:t>The Audit/Finance Committee has adopted policies and procedures that require the Company to obtain the Committee’s pre-approval of all audit and permissible non-audit services to be provided by the Company’s independent registered public accounting firm. Pre-approval is generally granted on a quarterly basis, is detailed as to the particular service or category of services to be provided and is granted after consideration of the estimated fees for each service or category of service. Actual fees and any changes to estimated fees for pre-approved services are reported to the Committee on a quarterly basis. In 2019 and 2020, all services were pre-approved in accordance with the charter of the Audit/Finance Committee.</w:t>
      </w:r>
    </w:p>
    <w:p>
      <w:pPr>
        <w:spacing w:after="0" w:line="287" w:lineRule="exact"/>
        <w:rPr>
          <w:sz w:val="20"/>
          <w:szCs w:val="20"/>
          <w:color w:val="auto"/>
        </w:rPr>
      </w:pPr>
    </w:p>
    <w:p>
      <w:pPr>
        <w:jc w:val="center"/>
        <w:ind w:right="-45"/>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165735</wp:posOffset>
            </wp:positionV>
            <wp:extent cx="699516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66"/>
          </w:cols>
          <w:pgMar w:left="1354" w:top="263" w:right="1379" w:bottom="1440" w:gutter="0" w:footer="0" w:header="0"/>
        </w:sectPr>
      </w:pPr>
    </w:p>
    <w:bookmarkStart w:id="55" w:name="page56"/>
    <w:bookmarkEnd w:id="55"/>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AUDIT/FINANCE COMMITTEE REPORT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Audit/Finance Committee is composed of independent directors as defined by Rule 5605(a)(2) of the Nasdaq rules and acts under a written charter developed by the Committee and approved by the Board. Management is responsible for the Company’s internal controls and the financial reporting process. Deloitte &amp; Touche LLP, the Company’s independent registered public accounting firm in 2020, is responsible for performing an independent audit of the Company’s consolidated financial statements and internal control over financial reporting in accordance with auditing standards of the Public Company Accounting Oversight Board (United States) (the PCAOB) and for issuing a report thereon. The Committee’s responsibility is to monitor and oversee these processes on behalf of our Board of Directors.</w:t>
      </w:r>
    </w:p>
    <w:p>
      <w:pPr>
        <w:spacing w:after="0" w:line="140" w:lineRule="exact"/>
        <w:rPr>
          <w:sz w:val="20"/>
          <w:szCs w:val="20"/>
          <w:color w:val="auto"/>
        </w:rPr>
      </w:pPr>
    </w:p>
    <w:p>
      <w:pPr>
        <w:ind w:right="280"/>
        <w:spacing w:after="0" w:line="276" w:lineRule="auto"/>
        <w:rPr>
          <w:sz w:val="20"/>
          <w:szCs w:val="20"/>
          <w:color w:val="auto"/>
        </w:rPr>
      </w:pPr>
      <w:r>
        <w:rPr>
          <w:rFonts w:ascii="Arial" w:cs="Arial" w:eastAsia="Arial" w:hAnsi="Arial"/>
          <w:sz w:val="18"/>
          <w:szCs w:val="18"/>
          <w:color w:val="auto"/>
        </w:rPr>
        <w:t>In connection with the December 31, 2020 financial statements, the Audit/Finance Committee hereby reports as follows:</w:t>
      </w:r>
    </w:p>
    <w:p>
      <w:pPr>
        <w:spacing w:after="0" w:line="104" w:lineRule="exact"/>
        <w:rPr>
          <w:sz w:val="20"/>
          <w:szCs w:val="20"/>
          <w:color w:val="auto"/>
        </w:rPr>
      </w:pPr>
    </w:p>
    <w:p>
      <w:pPr>
        <w:ind w:left="700" w:right="60" w:hanging="346"/>
        <w:spacing w:after="0" w:line="276" w:lineRule="auto"/>
        <w:tabs>
          <w:tab w:leader="none" w:pos="7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Audit/Finance Committee has reviewed and discussed the audited financial statements and report on internal control over financial reporting with management.</w:t>
      </w:r>
    </w:p>
    <w:p>
      <w:pPr>
        <w:spacing w:after="0" w:line="117" w:lineRule="exact"/>
        <w:rPr>
          <w:rFonts w:ascii="Arial" w:cs="Arial" w:eastAsia="Arial" w:hAnsi="Arial"/>
          <w:sz w:val="18"/>
          <w:szCs w:val="18"/>
          <w:color w:val="auto"/>
        </w:rPr>
      </w:pPr>
    </w:p>
    <w:p>
      <w:pPr>
        <w:ind w:left="700" w:right="580" w:hanging="346"/>
        <w:spacing w:after="0" w:line="276" w:lineRule="auto"/>
        <w:tabs>
          <w:tab w:leader="none" w:pos="7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Audit/Finance Committee has discussed with the independent auditors the matters required by PCAOB Auditing Standards concerning Communications with Audit Committees</w:t>
      </w:r>
      <w:r>
        <w:rPr>
          <w:rFonts w:ascii="Arial" w:cs="Arial" w:eastAsia="Arial" w:hAnsi="Arial"/>
          <w:sz w:val="18"/>
          <w:szCs w:val="18"/>
          <w:i w:val="1"/>
          <w:iCs w:val="1"/>
          <w:color w:val="auto"/>
        </w:rPr>
        <w:t>.</w:t>
      </w:r>
    </w:p>
    <w:p>
      <w:pPr>
        <w:spacing w:after="0" w:line="104" w:lineRule="exact"/>
        <w:rPr>
          <w:rFonts w:ascii="Arial" w:cs="Arial" w:eastAsia="Arial" w:hAnsi="Arial"/>
          <w:sz w:val="18"/>
          <w:szCs w:val="18"/>
          <w:color w:val="auto"/>
        </w:rPr>
      </w:pPr>
    </w:p>
    <w:p>
      <w:pPr>
        <w:ind w:left="700" w:right="380" w:hanging="346"/>
        <w:spacing w:after="0" w:line="248" w:lineRule="auto"/>
        <w:tabs>
          <w:tab w:leader="none" w:pos="7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Audit/Finance Committee has received the written disclosures and the letter from the auditors, as required by applicable requirements of the PCAOB regarding the independent accountant’s communications with the Audit/Finance Committee concerning independence and discussed with the auditors the auditors’ independence.</w:t>
      </w:r>
    </w:p>
    <w:p>
      <w:pPr>
        <w:spacing w:after="0" w:line="129" w:lineRule="exact"/>
        <w:rPr>
          <w:rFonts w:ascii="Arial" w:cs="Arial" w:eastAsia="Arial" w:hAnsi="Arial"/>
          <w:sz w:val="18"/>
          <w:szCs w:val="18"/>
          <w:color w:val="auto"/>
        </w:rPr>
      </w:pPr>
    </w:p>
    <w:p>
      <w:pPr>
        <w:ind w:left="700" w:right="20" w:hanging="346"/>
        <w:spacing w:after="0" w:line="248" w:lineRule="auto"/>
        <w:tabs>
          <w:tab w:leader="none" w:pos="7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Based upon these reviews and discussions, the Audit/Finance Committee has recommended to the Board of Directors and the Board has approved, that the Company’s audited financial statements be included in its Annual Report on Form 10-K for the year ended December 31, 2020 and filed with the Securities and Exchange Commission.</w:t>
      </w:r>
    </w:p>
    <w:p>
      <w:pPr>
        <w:spacing w:after="0" w:line="105" w:lineRule="exact"/>
        <w:rPr>
          <w:sz w:val="20"/>
          <w:szCs w:val="20"/>
          <w:color w:val="auto"/>
        </w:rPr>
      </w:pPr>
    </w:p>
    <w:p>
      <w:pPr>
        <w:ind w:left="4180"/>
        <w:spacing w:after="0"/>
        <w:rPr>
          <w:sz w:val="20"/>
          <w:szCs w:val="20"/>
          <w:color w:val="auto"/>
        </w:rPr>
      </w:pPr>
      <w:r>
        <w:rPr>
          <w:rFonts w:ascii="Arial" w:cs="Arial" w:eastAsia="Arial" w:hAnsi="Arial"/>
          <w:sz w:val="18"/>
          <w:szCs w:val="18"/>
          <w:i w:val="1"/>
          <w:iCs w:val="1"/>
          <w:color w:val="auto"/>
        </w:rPr>
        <w:t>Audit/Finance Committee</w:t>
      </w:r>
    </w:p>
    <w:p>
      <w:pPr>
        <w:spacing w:after="0" w:line="304"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Timothy M. Leyden, Chair</w:t>
      </w:r>
    </w:p>
    <w:p>
      <w:pPr>
        <w:spacing w:after="0" w:line="13"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Thomas S. Glanville</w:t>
      </w:r>
    </w:p>
    <w:p>
      <w:pPr>
        <w:ind w:left="4180"/>
        <w:spacing w:after="0" w:line="234" w:lineRule="auto"/>
        <w:rPr>
          <w:sz w:val="20"/>
          <w:szCs w:val="20"/>
          <w:color w:val="auto"/>
        </w:rPr>
      </w:pPr>
      <w:r>
        <w:rPr>
          <w:rFonts w:ascii="Arial" w:cs="Arial" w:eastAsia="Arial" w:hAnsi="Arial"/>
          <w:sz w:val="18"/>
          <w:szCs w:val="18"/>
          <w:color w:val="auto"/>
        </w:rPr>
        <w:t>Jerome J. Lande</w:t>
      </w:r>
    </w:p>
    <w:p>
      <w:pPr>
        <w:spacing w:after="0" w:line="1"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Gary E. Pruitt</w:t>
      </w: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157480</wp:posOffset>
            </wp:positionV>
            <wp:extent cx="699516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60"/>
          </w:cols>
          <w:pgMar w:left="1360" w:top="263" w:right="1379" w:bottom="1440" w:gutter="0" w:footer="0" w:header="0"/>
        </w:sectPr>
      </w:pPr>
    </w:p>
    <w:bookmarkStart w:id="56" w:name="page57"/>
    <w:bookmarkEnd w:id="56"/>
    <w:p>
      <w:pPr>
        <w:ind w:left="6"/>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122"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87" w:lineRule="exact"/>
        <w:rPr>
          <w:sz w:val="20"/>
          <w:szCs w:val="20"/>
          <w:color w:val="auto"/>
        </w:rPr>
      </w:pPr>
    </w:p>
    <w:p>
      <w:pPr>
        <w:ind w:left="6" w:right="340"/>
        <w:spacing w:after="0" w:line="276" w:lineRule="auto"/>
        <w:rPr>
          <w:sz w:val="20"/>
          <w:szCs w:val="20"/>
          <w:color w:val="auto"/>
        </w:rPr>
      </w:pPr>
      <w:r>
        <w:rPr>
          <w:rFonts w:ascii="Arial" w:cs="Arial" w:eastAsia="Arial" w:hAnsi="Arial"/>
          <w:sz w:val="18"/>
          <w:szCs w:val="18"/>
          <w:color w:val="auto"/>
        </w:rPr>
        <w:t>The following table gives certain information about our equity compensation plans in effect as of December 31, 2020.</w:t>
      </w:r>
    </w:p>
    <w:p>
      <w:pPr>
        <w:spacing w:after="0" w:line="58" w:lineRule="exact"/>
        <w:rPr>
          <w:sz w:val="20"/>
          <w:szCs w:val="20"/>
          <w:color w:val="auto"/>
        </w:rPr>
      </w:pPr>
    </w:p>
    <w:tbl>
      <w:tblPr>
        <w:tblLayout w:type="fixed"/>
        <w:tblInd w:w="6" w:type="dxa"/>
        <w:tblCellMar>
          <w:top w:w="0" w:type="dxa"/>
          <w:left w:w="0" w:type="dxa"/>
          <w:bottom w:w="0" w:type="dxa"/>
          <w:right w:w="0" w:type="dxa"/>
        </w:tblCellMar>
      </w:tblPr>
      <w:tr>
        <w:trPr>
          <w:trHeight w:val="162"/>
        </w:trPr>
        <w:tc>
          <w:tcPr>
            <w:tcW w:w="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rPr>
              <w:t>Number of Shares</w:t>
            </w:r>
          </w:p>
        </w:tc>
      </w:tr>
      <w:tr>
        <w:trPr>
          <w:trHeight w:val="162"/>
        </w:trPr>
        <w:tc>
          <w:tcPr>
            <w:tcW w:w="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rPr>
              <w:t>Number of Shares to</w:t>
            </w: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rPr>
              <w:t>Remaining Available</w:t>
            </w:r>
          </w:p>
        </w:tc>
      </w:tr>
      <w:tr>
        <w:trPr>
          <w:trHeight w:val="162"/>
        </w:trPr>
        <w:tc>
          <w:tcPr>
            <w:tcW w:w="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rPr>
              <w:t>Be Issued Upon</w:t>
            </w:r>
          </w:p>
        </w:tc>
        <w:tc>
          <w:tcPr>
            <w:tcW w:w="16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rPr>
              <w:t>Weighted-Average</w:t>
            </w:r>
          </w:p>
        </w:tc>
        <w:tc>
          <w:tcPr>
            <w:tcW w:w="164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rPr>
              <w:t>for Issuance Under</w:t>
            </w:r>
          </w:p>
        </w:tc>
      </w:tr>
      <w:tr>
        <w:trPr>
          <w:trHeight w:val="162"/>
        </w:trPr>
        <w:tc>
          <w:tcPr>
            <w:tcW w:w="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rPr>
              <w:t>Exercise of</w:t>
            </w:r>
          </w:p>
        </w:tc>
        <w:tc>
          <w:tcPr>
            <w:tcW w:w="166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rPr>
              <w:t>Exercise Price of</w:t>
            </w:r>
          </w:p>
        </w:tc>
        <w:tc>
          <w:tcPr>
            <w:tcW w:w="164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rPr>
              <w:t>Equity Compensation</w:t>
            </w:r>
          </w:p>
        </w:tc>
      </w:tr>
      <w:tr>
        <w:trPr>
          <w:trHeight w:val="162"/>
        </w:trPr>
        <w:tc>
          <w:tcPr>
            <w:tcW w:w="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rPr>
              <w:t>Outstanding Options,</w:t>
            </w:r>
          </w:p>
        </w:tc>
        <w:tc>
          <w:tcPr>
            <w:tcW w:w="16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rPr>
              <w:t>Outstanding Options,</w:t>
            </w:r>
          </w:p>
        </w:tc>
        <w:tc>
          <w:tcPr>
            <w:tcW w:w="1640" w:type="dxa"/>
            <w:vAlign w:val="bottom"/>
            <w:gridSpan w:val="4"/>
          </w:tcPr>
          <w:p>
            <w:pPr>
              <w:jc w:val="center"/>
              <w:spacing w:after="0"/>
              <w:rPr>
                <w:sz w:val="20"/>
                <w:szCs w:val="20"/>
                <w:color w:val="auto"/>
              </w:rPr>
            </w:pPr>
            <w:r>
              <w:rPr>
                <w:rFonts w:ascii="Arial" w:cs="Arial" w:eastAsia="Arial" w:hAnsi="Arial"/>
                <w:sz w:val="14"/>
                <w:szCs w:val="14"/>
                <w:b w:val="1"/>
                <w:bCs w:val="1"/>
                <w:color w:val="auto"/>
              </w:rPr>
              <w:t>Plans (excluding shares</w:t>
            </w:r>
          </w:p>
        </w:tc>
      </w:tr>
      <w:tr>
        <w:trPr>
          <w:trHeight w:val="162"/>
        </w:trPr>
        <w:tc>
          <w:tcPr>
            <w:tcW w:w="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rPr>
              <w:t>Warrants and Rights</w:t>
            </w:r>
          </w:p>
        </w:tc>
        <w:tc>
          <w:tcPr>
            <w:tcW w:w="166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rPr>
              <w:t>Warrants and Rights</w:t>
            </w:r>
          </w:p>
        </w:tc>
        <w:tc>
          <w:tcPr>
            <w:tcW w:w="164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rPr>
              <w:t>reflected in column (a))</w:t>
            </w:r>
          </w:p>
        </w:tc>
      </w:tr>
      <w:tr>
        <w:trPr>
          <w:trHeight w:val="202"/>
        </w:trPr>
        <w:tc>
          <w:tcPr>
            <w:tcW w:w="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80" w:type="dxa"/>
            <w:vAlign w:val="bottom"/>
            <w:gridSpan w:val="2"/>
          </w:tcPr>
          <w:p>
            <w:pPr>
              <w:ind w:left="240"/>
              <w:spacing w:after="0"/>
              <w:rPr>
                <w:sz w:val="20"/>
                <w:szCs w:val="20"/>
                <w:color w:val="auto"/>
              </w:rPr>
            </w:pPr>
            <w:r>
              <w:rPr>
                <w:rFonts w:ascii="Arial" w:cs="Arial" w:eastAsia="Arial" w:hAnsi="Arial"/>
                <w:sz w:val="14"/>
                <w:szCs w:val="14"/>
                <w:b w:val="1"/>
                <w:bCs w:val="1"/>
                <w:color w:val="auto"/>
              </w:rPr>
              <w:t>Plan Category</w:t>
            </w:r>
          </w:p>
        </w:tc>
        <w:tc>
          <w:tcPr>
            <w:tcW w:w="400" w:type="dxa"/>
            <w:vAlign w:val="bottom"/>
          </w:tcPr>
          <w:p>
            <w:pPr>
              <w:spacing w:after="0"/>
              <w:rPr>
                <w:sz w:val="17"/>
                <w:szCs w:val="17"/>
                <w:color w:val="auto"/>
              </w:rPr>
            </w:pPr>
          </w:p>
        </w:tc>
        <w:tc>
          <w:tcPr>
            <w:tcW w:w="1260" w:type="dxa"/>
            <w:vAlign w:val="bottom"/>
            <w:gridSpan w:val="4"/>
          </w:tcPr>
          <w:p>
            <w:pPr>
              <w:jc w:val="center"/>
              <w:ind w:right="600"/>
              <w:spacing w:after="0"/>
              <w:rPr>
                <w:sz w:val="20"/>
                <w:szCs w:val="20"/>
                <w:color w:val="auto"/>
              </w:rPr>
            </w:pPr>
            <w:r>
              <w:rPr>
                <w:rFonts w:ascii="Arial" w:cs="Arial" w:eastAsia="Arial" w:hAnsi="Arial"/>
                <w:sz w:val="14"/>
                <w:szCs w:val="14"/>
                <w:b w:val="1"/>
                <w:bCs w:val="1"/>
                <w:color w:val="auto"/>
              </w:rPr>
              <w:t>(a)</w:t>
            </w:r>
          </w:p>
        </w:tc>
        <w:tc>
          <w:tcPr>
            <w:tcW w:w="460" w:type="dxa"/>
            <w:vAlign w:val="bottom"/>
          </w:tcPr>
          <w:p>
            <w:pPr>
              <w:spacing w:after="0"/>
              <w:rPr>
                <w:sz w:val="17"/>
                <w:szCs w:val="17"/>
                <w:color w:val="auto"/>
              </w:rPr>
            </w:pPr>
          </w:p>
        </w:tc>
        <w:tc>
          <w:tcPr>
            <w:tcW w:w="120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rPr>
              <w:t>(b)</w:t>
            </w:r>
          </w:p>
        </w:tc>
        <w:tc>
          <w:tcPr>
            <w:tcW w:w="420" w:type="dxa"/>
            <w:vAlign w:val="bottom"/>
          </w:tcPr>
          <w:p>
            <w:pPr>
              <w:spacing w:after="0"/>
              <w:rPr>
                <w:sz w:val="17"/>
                <w:szCs w:val="17"/>
                <w:color w:val="auto"/>
              </w:rPr>
            </w:pPr>
          </w:p>
        </w:tc>
        <w:tc>
          <w:tcPr>
            <w:tcW w:w="122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rPr>
              <w:t>(c)</w:t>
            </w:r>
          </w:p>
        </w:tc>
      </w:tr>
      <w:tr>
        <w:trPr>
          <w:trHeight w:val="56"/>
        </w:trPr>
        <w:tc>
          <w:tcPr>
            <w:tcW w:w="60" w:type="dxa"/>
            <w:vAlign w:val="bottom"/>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26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r>
      <w:tr>
        <w:trPr>
          <w:trHeight w:val="245"/>
        </w:trPr>
        <w:tc>
          <w:tcPr>
            <w:tcW w:w="60" w:type="dxa"/>
            <w:vAlign w:val="bottom"/>
          </w:tcPr>
          <w:p>
            <w:pPr>
              <w:spacing w:after="0"/>
              <w:rPr>
                <w:sz w:val="21"/>
                <w:szCs w:val="21"/>
                <w:color w:val="auto"/>
              </w:rPr>
            </w:pPr>
          </w:p>
        </w:tc>
        <w:tc>
          <w:tcPr>
            <w:tcW w:w="4100" w:type="dxa"/>
            <w:vAlign w:val="bottom"/>
            <w:gridSpan w:val="3"/>
          </w:tcPr>
          <w:p>
            <w:pPr>
              <w:ind w:left="20"/>
              <w:spacing w:after="0"/>
              <w:rPr>
                <w:sz w:val="20"/>
                <w:szCs w:val="20"/>
                <w:color w:val="auto"/>
              </w:rPr>
            </w:pPr>
            <w:r>
              <w:rPr>
                <w:rFonts w:ascii="Arial" w:cs="Arial" w:eastAsia="Arial" w:hAnsi="Arial"/>
                <w:sz w:val="18"/>
                <w:szCs w:val="18"/>
                <w:color w:val="auto"/>
              </w:rPr>
              <w:t>Equity Compensation Plans Approved by</w:t>
            </w:r>
          </w:p>
        </w:tc>
        <w:tc>
          <w:tcPr>
            <w:tcW w:w="4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374"/>
        </w:trPr>
        <w:tc>
          <w:tcPr>
            <w:tcW w:w="60" w:type="dxa"/>
            <w:vAlign w:val="bottom"/>
          </w:tcPr>
          <w:p>
            <w:pPr>
              <w:spacing w:after="0"/>
              <w:rPr>
                <w:sz w:val="24"/>
                <w:szCs w:val="24"/>
                <w:color w:val="auto"/>
              </w:rPr>
            </w:pPr>
          </w:p>
        </w:tc>
        <w:tc>
          <w:tcPr>
            <w:tcW w:w="4100" w:type="dxa"/>
            <w:vAlign w:val="bottom"/>
            <w:gridSpan w:val="3"/>
          </w:tcPr>
          <w:p>
            <w:pPr>
              <w:ind w:left="200"/>
              <w:spacing w:after="0"/>
              <w:rPr>
                <w:sz w:val="20"/>
                <w:szCs w:val="20"/>
                <w:color w:val="auto"/>
              </w:rPr>
            </w:pPr>
            <w:r>
              <w:rPr>
                <w:rFonts w:ascii="Arial" w:cs="Arial" w:eastAsia="Arial" w:hAnsi="Arial"/>
                <w:sz w:val="18"/>
                <w:szCs w:val="18"/>
                <w:color w:val="auto"/>
              </w:rPr>
              <w:t>Shareholders</w:t>
            </w:r>
            <w:r>
              <w:rPr>
                <w:rFonts w:ascii="Arial" w:cs="Arial" w:eastAsia="Arial" w:hAnsi="Arial"/>
                <w:sz w:val="29"/>
                <w:szCs w:val="29"/>
                <w:color w:val="auto"/>
                <w:vertAlign w:val="superscript"/>
              </w:rPr>
              <w:t>(1)</w:t>
            </w:r>
          </w:p>
        </w:tc>
        <w:tc>
          <w:tcPr>
            <w:tcW w:w="1060" w:type="dxa"/>
            <w:vAlign w:val="bottom"/>
            <w:gridSpan w:val="3"/>
          </w:tcPr>
          <w:p>
            <w:pPr>
              <w:jc w:val="center"/>
              <w:ind w:left="325"/>
              <w:spacing w:after="0"/>
              <w:rPr>
                <w:sz w:val="20"/>
                <w:szCs w:val="20"/>
                <w:color w:val="auto"/>
              </w:rPr>
            </w:pPr>
            <w:r>
              <w:rPr>
                <w:rFonts w:ascii="Arial" w:cs="Arial" w:eastAsia="Arial" w:hAnsi="Arial"/>
                <w:sz w:val="18"/>
                <w:szCs w:val="18"/>
                <w:color w:val="auto"/>
              </w:rPr>
              <w:t>976,944</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gridSpan w:val="3"/>
          </w:tcPr>
          <w:p>
            <w:pPr>
              <w:jc w:val="right"/>
              <w:ind w:right="280"/>
              <w:spacing w:after="0"/>
              <w:rPr>
                <w:sz w:val="20"/>
                <w:szCs w:val="20"/>
                <w:color w:val="auto"/>
              </w:rPr>
            </w:pPr>
            <w:r>
              <w:rPr>
                <w:rFonts w:ascii="Arial" w:cs="Arial" w:eastAsia="Arial" w:hAnsi="Arial"/>
                <w:sz w:val="18"/>
                <w:szCs w:val="18"/>
                <w:color w:val="auto"/>
              </w:rPr>
              <w:t>$61.95</w:t>
            </w:r>
            <w:r>
              <w:rPr>
                <w:rFonts w:ascii="Arial" w:cs="Arial" w:eastAsia="Arial" w:hAnsi="Arial"/>
                <w:sz w:val="29"/>
                <w:szCs w:val="29"/>
                <w:color w:val="auto"/>
                <w:vertAlign w:val="superscript"/>
              </w:rPr>
              <w:t>(2)</w:t>
            </w:r>
          </w:p>
        </w:tc>
        <w:tc>
          <w:tcPr>
            <w:tcW w:w="200" w:type="dxa"/>
            <w:vAlign w:val="bottom"/>
          </w:tcPr>
          <w:p>
            <w:pPr>
              <w:spacing w:after="0"/>
              <w:rPr>
                <w:sz w:val="24"/>
                <w:szCs w:val="24"/>
                <w:color w:val="auto"/>
              </w:rPr>
            </w:pPr>
          </w:p>
        </w:tc>
        <w:tc>
          <w:tcPr>
            <w:tcW w:w="1640" w:type="dxa"/>
            <w:vAlign w:val="bottom"/>
            <w:gridSpan w:val="4"/>
          </w:tcPr>
          <w:p>
            <w:pPr>
              <w:jc w:val="right"/>
              <w:ind w:right="240"/>
              <w:spacing w:after="0"/>
              <w:rPr>
                <w:sz w:val="20"/>
                <w:szCs w:val="20"/>
                <w:color w:val="auto"/>
              </w:rPr>
            </w:pPr>
            <w:r>
              <w:rPr>
                <w:rFonts w:ascii="Arial" w:cs="Arial" w:eastAsia="Arial" w:hAnsi="Arial"/>
                <w:sz w:val="18"/>
                <w:szCs w:val="18"/>
                <w:color w:val="auto"/>
              </w:rPr>
              <w:t>5,775,577</w:t>
            </w:r>
            <w:r>
              <w:rPr>
                <w:rFonts w:ascii="Arial" w:cs="Arial" w:eastAsia="Arial" w:hAnsi="Arial"/>
                <w:sz w:val="29"/>
                <w:szCs w:val="29"/>
                <w:color w:val="auto"/>
                <w:vertAlign w:val="superscript"/>
              </w:rPr>
              <w:t>(3)</w:t>
            </w:r>
          </w:p>
        </w:tc>
      </w:tr>
      <w:tr>
        <w:trPr>
          <w:trHeight w:val="203"/>
        </w:trPr>
        <w:tc>
          <w:tcPr>
            <w:tcW w:w="60" w:type="dxa"/>
            <w:vAlign w:val="bottom"/>
          </w:tcPr>
          <w:p>
            <w:pPr>
              <w:spacing w:after="0"/>
              <w:rPr>
                <w:sz w:val="17"/>
                <w:szCs w:val="17"/>
                <w:color w:val="auto"/>
              </w:rPr>
            </w:pPr>
          </w:p>
        </w:tc>
        <w:tc>
          <w:tcPr>
            <w:tcW w:w="410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Equity Compensation Plans Not Approved by</w:t>
            </w: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25"/>
        </w:trPr>
        <w:tc>
          <w:tcPr>
            <w:tcW w:w="60" w:type="dxa"/>
            <w:vAlign w:val="bottom"/>
          </w:tcPr>
          <w:p>
            <w:pPr>
              <w:spacing w:after="0"/>
              <w:rPr>
                <w:sz w:val="19"/>
                <w:szCs w:val="19"/>
                <w:color w:val="auto"/>
              </w:rPr>
            </w:pPr>
          </w:p>
        </w:tc>
        <w:tc>
          <w:tcPr>
            <w:tcW w:w="4100" w:type="dxa"/>
            <w:vAlign w:val="bottom"/>
            <w:gridSpan w:val="3"/>
          </w:tcPr>
          <w:p>
            <w:pPr>
              <w:ind w:left="200"/>
              <w:spacing w:after="0"/>
              <w:rPr>
                <w:sz w:val="20"/>
                <w:szCs w:val="20"/>
                <w:color w:val="auto"/>
              </w:rPr>
            </w:pPr>
            <w:r>
              <w:rPr>
                <w:rFonts w:ascii="Arial" w:cs="Arial" w:eastAsia="Arial" w:hAnsi="Arial"/>
                <w:sz w:val="18"/>
                <w:szCs w:val="18"/>
                <w:color w:val="auto"/>
              </w:rPr>
              <w:t>Shareholders</w:t>
            </w:r>
          </w:p>
        </w:tc>
        <w:tc>
          <w:tcPr>
            <w:tcW w:w="400" w:type="dxa"/>
            <w:vAlign w:val="bottom"/>
          </w:tcPr>
          <w:p>
            <w:pPr>
              <w:spacing w:after="0"/>
              <w:rPr>
                <w:sz w:val="19"/>
                <w:szCs w:val="19"/>
                <w:color w:val="auto"/>
              </w:rPr>
            </w:pPr>
          </w:p>
        </w:tc>
        <w:tc>
          <w:tcPr>
            <w:tcW w:w="1260" w:type="dxa"/>
            <w:vAlign w:val="bottom"/>
            <w:gridSpan w:val="4"/>
          </w:tcPr>
          <w:p>
            <w:pPr>
              <w:ind w:left="4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20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22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r>
      <w:tr>
        <w:trPr>
          <w:trHeight w:val="20"/>
        </w:trPr>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45"/>
        </w:trPr>
        <w:tc>
          <w:tcPr>
            <w:tcW w:w="60" w:type="dxa"/>
            <w:vAlign w:val="bottom"/>
          </w:tcPr>
          <w:p>
            <w:pPr>
              <w:spacing w:after="0"/>
              <w:rPr>
                <w:sz w:val="24"/>
                <w:szCs w:val="24"/>
                <w:color w:val="auto"/>
              </w:rPr>
            </w:pPr>
          </w:p>
        </w:tc>
        <w:tc>
          <w:tcPr>
            <w:tcW w:w="4100" w:type="dxa"/>
            <w:vAlign w:val="bottom"/>
            <w:gridSpan w:val="3"/>
          </w:tcPr>
          <w:p>
            <w:pPr>
              <w:ind w:left="20"/>
              <w:spacing w:after="0"/>
              <w:rPr>
                <w:sz w:val="20"/>
                <w:szCs w:val="20"/>
                <w:color w:val="auto"/>
              </w:rPr>
            </w:pPr>
            <w:r>
              <w:rPr>
                <w:rFonts w:ascii="Arial" w:cs="Arial" w:eastAsia="Arial" w:hAnsi="Arial"/>
                <w:sz w:val="18"/>
                <w:szCs w:val="18"/>
                <w:color w:val="auto"/>
              </w:rPr>
              <w:t>Total</w:t>
            </w:r>
          </w:p>
        </w:tc>
        <w:tc>
          <w:tcPr>
            <w:tcW w:w="400" w:type="dxa"/>
            <w:vAlign w:val="bottom"/>
          </w:tcPr>
          <w:p>
            <w:pPr>
              <w:spacing w:after="0"/>
              <w:rPr>
                <w:sz w:val="24"/>
                <w:szCs w:val="24"/>
                <w:color w:val="auto"/>
              </w:rPr>
            </w:pP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rPr>
              <w:t>976,944</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gridSpan w:val="3"/>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61.95</w:t>
            </w:r>
            <w:r>
              <w:rPr>
                <w:rFonts w:ascii="Arial" w:cs="Arial" w:eastAsia="Arial" w:hAnsi="Arial"/>
                <w:sz w:val="29"/>
                <w:szCs w:val="29"/>
                <w:color w:val="auto"/>
                <w:vertAlign w:val="superscript"/>
              </w:rPr>
              <w:t>(2)</w:t>
            </w:r>
          </w:p>
        </w:tc>
        <w:tc>
          <w:tcPr>
            <w:tcW w:w="200" w:type="dxa"/>
            <w:vAlign w:val="bottom"/>
          </w:tcPr>
          <w:p>
            <w:pPr>
              <w:spacing w:after="0"/>
              <w:rPr>
                <w:sz w:val="24"/>
                <w:szCs w:val="24"/>
                <w:color w:val="auto"/>
              </w:rPr>
            </w:pPr>
          </w:p>
        </w:tc>
        <w:tc>
          <w:tcPr>
            <w:tcW w:w="1640" w:type="dxa"/>
            <w:vAlign w:val="bottom"/>
            <w:gridSpan w:val="4"/>
          </w:tcPr>
          <w:p>
            <w:pPr>
              <w:jc w:val="right"/>
              <w:ind w:right="240"/>
              <w:spacing w:after="0"/>
              <w:rPr>
                <w:sz w:val="20"/>
                <w:szCs w:val="20"/>
                <w:color w:val="auto"/>
              </w:rPr>
            </w:pPr>
            <w:r>
              <w:rPr>
                <w:rFonts w:ascii="Arial" w:cs="Arial" w:eastAsia="Arial" w:hAnsi="Arial"/>
                <w:sz w:val="18"/>
                <w:szCs w:val="18"/>
                <w:color w:val="auto"/>
              </w:rPr>
              <w:t>5,755,577</w:t>
            </w:r>
            <w:r>
              <w:rPr>
                <w:rFonts w:ascii="Arial" w:cs="Arial" w:eastAsia="Arial" w:hAnsi="Arial"/>
                <w:sz w:val="29"/>
                <w:szCs w:val="29"/>
                <w:color w:val="auto"/>
                <w:vertAlign w:val="superscript"/>
              </w:rPr>
              <w:t>(3)</w:t>
            </w:r>
          </w:p>
        </w:tc>
      </w:tr>
      <w:tr>
        <w:trPr>
          <w:trHeight w:val="20"/>
        </w:trPr>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42"/>
        </w:trPr>
        <w:tc>
          <w:tcPr>
            <w:tcW w:w="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2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r>
    </w:tbl>
    <w:p>
      <w:pPr>
        <w:spacing w:after="0" w:line="95" w:lineRule="exact"/>
        <w:rPr>
          <w:sz w:val="20"/>
          <w:szCs w:val="20"/>
          <w:color w:val="auto"/>
        </w:rPr>
      </w:pPr>
    </w:p>
    <w:p>
      <w:pPr>
        <w:ind w:left="346" w:right="340" w:hanging="346"/>
        <w:spacing w:after="0" w:line="266" w:lineRule="auto"/>
        <w:tabs>
          <w:tab w:leader="none" w:pos="346" w:val="left"/>
        </w:tabs>
        <w:numPr>
          <w:ilvl w:val="0"/>
          <w:numId w:val="66"/>
        </w:numPr>
        <w:rPr>
          <w:rFonts w:ascii="Arial" w:cs="Arial" w:eastAsia="Arial" w:hAnsi="Arial"/>
          <w:sz w:val="14"/>
          <w:szCs w:val="14"/>
          <w:color w:val="auto"/>
        </w:rPr>
      </w:pPr>
      <w:r>
        <w:rPr>
          <w:rFonts w:ascii="Arial" w:cs="Arial" w:eastAsia="Arial" w:hAnsi="Arial"/>
          <w:sz w:val="14"/>
          <w:szCs w:val="14"/>
          <w:color w:val="auto"/>
        </w:rPr>
        <w:t>Under the provisions of the Second A&amp;R 2010 Plan, the Company may grant stock awards, stock units, performance shares, stock appreciation rights, and performance units (collectively Awards) in addition to stock options. For purposes of this table, the number of PRSUs included are determined based on achievement of target performance goals.</w:t>
      </w:r>
    </w:p>
    <w:p>
      <w:pPr>
        <w:spacing w:after="0" w:line="31" w:lineRule="exact"/>
        <w:rPr>
          <w:rFonts w:ascii="Arial" w:cs="Arial" w:eastAsia="Arial" w:hAnsi="Arial"/>
          <w:sz w:val="14"/>
          <w:szCs w:val="14"/>
          <w:color w:val="auto"/>
        </w:rPr>
      </w:pPr>
    </w:p>
    <w:p>
      <w:pPr>
        <w:ind w:left="346" w:right="600" w:hanging="346"/>
        <w:spacing w:after="0" w:line="291" w:lineRule="auto"/>
        <w:tabs>
          <w:tab w:leader="none" w:pos="346" w:val="left"/>
        </w:tabs>
        <w:numPr>
          <w:ilvl w:val="0"/>
          <w:numId w:val="66"/>
        </w:numPr>
        <w:rPr>
          <w:rFonts w:ascii="Arial" w:cs="Arial" w:eastAsia="Arial" w:hAnsi="Arial"/>
          <w:sz w:val="14"/>
          <w:szCs w:val="14"/>
          <w:color w:val="auto"/>
        </w:rPr>
      </w:pPr>
      <w:r>
        <w:rPr>
          <w:rFonts w:ascii="Arial" w:cs="Arial" w:eastAsia="Arial" w:hAnsi="Arial"/>
          <w:sz w:val="14"/>
          <w:szCs w:val="14"/>
          <w:color w:val="auto"/>
        </w:rPr>
        <w:t>The weighted-average exercise price pertains only to outstanding options and excludes 493,630 shares issuable upon vesting of outstanding Awards.</w:t>
      </w:r>
    </w:p>
    <w:p>
      <w:pPr>
        <w:spacing w:after="0" w:line="1" w:lineRule="exact"/>
        <w:rPr>
          <w:rFonts w:ascii="Arial" w:cs="Arial" w:eastAsia="Arial" w:hAnsi="Arial"/>
          <w:sz w:val="14"/>
          <w:szCs w:val="14"/>
          <w:color w:val="auto"/>
        </w:rPr>
      </w:pPr>
    </w:p>
    <w:p>
      <w:pPr>
        <w:ind w:left="346" w:right="500" w:hanging="346"/>
        <w:spacing w:after="0" w:line="291" w:lineRule="auto"/>
        <w:tabs>
          <w:tab w:leader="none" w:pos="346" w:val="left"/>
        </w:tabs>
        <w:numPr>
          <w:ilvl w:val="0"/>
          <w:numId w:val="66"/>
        </w:numPr>
        <w:rPr>
          <w:rFonts w:ascii="Arial" w:cs="Arial" w:eastAsia="Arial" w:hAnsi="Arial"/>
          <w:sz w:val="14"/>
          <w:szCs w:val="14"/>
          <w:color w:val="auto"/>
        </w:rPr>
      </w:pPr>
      <w:r>
        <w:rPr>
          <w:rFonts w:ascii="Arial" w:cs="Arial" w:eastAsia="Arial" w:hAnsi="Arial"/>
          <w:sz w:val="14"/>
          <w:szCs w:val="14"/>
          <w:color w:val="auto"/>
        </w:rPr>
        <w:t>This number includes 5,597,418 shares available for issuance under the Second A&amp;R 2010 Plan and 178,159 shares available for issuance under the 2012 Employee Stock Purchase Plan, as amended.</w:t>
      </w:r>
    </w:p>
    <w:p>
      <w:pPr>
        <w:spacing w:after="0" w:line="248" w:lineRule="exact"/>
        <w:rPr>
          <w:sz w:val="20"/>
          <w:szCs w:val="20"/>
          <w:color w:val="auto"/>
        </w:rPr>
      </w:pPr>
    </w:p>
    <w:p>
      <w:pPr>
        <w:jc w:val="center"/>
        <w:ind w:right="-85"/>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157480</wp:posOffset>
            </wp:positionV>
            <wp:extent cx="699516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26"/>
          </w:cols>
          <w:pgMar w:left="1354" w:top="263" w:right="1419" w:bottom="1440" w:gutter="0" w:footer="0" w:header="0"/>
        </w:sectPr>
      </w:pPr>
    </w:p>
    <w:bookmarkStart w:id="57" w:name="page58"/>
    <w:bookmarkEnd w:id="57"/>
    <w:p>
      <w:pPr>
        <w:ind w:left="6"/>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122" w:lineRule="exact"/>
        <w:rPr>
          <w:sz w:val="20"/>
          <w:szCs w:val="20"/>
          <w:color w:val="auto"/>
        </w:rPr>
      </w:pPr>
    </w:p>
    <w:p>
      <w:pPr>
        <w:ind w:left="6" w:right="2160"/>
        <w:spacing w:after="0" w:line="423" w:lineRule="auto"/>
        <w:rPr>
          <w:sz w:val="20"/>
          <w:szCs w:val="20"/>
          <w:color w:val="auto"/>
        </w:rPr>
      </w:pPr>
      <w:r>
        <w:rPr>
          <w:rFonts w:ascii="Arial" w:cs="Arial" w:eastAsia="Arial" w:hAnsi="Arial"/>
          <w:sz w:val="18"/>
          <w:szCs w:val="18"/>
          <w:b w:val="1"/>
          <w:bCs w:val="1"/>
          <w:color w:val="auto"/>
        </w:rPr>
        <w:t>SECURITY OWNERSHIP OF CERTAIN BENEFICIAL OWNERS AND MANAGEMENT Directors and Executive Officers</w:t>
      </w:r>
    </w:p>
    <w:p>
      <w:pPr>
        <w:spacing w:after="0" w:line="1" w:lineRule="exact"/>
        <w:rPr>
          <w:sz w:val="20"/>
          <w:szCs w:val="20"/>
          <w:color w:val="auto"/>
        </w:rPr>
      </w:pPr>
    </w:p>
    <w:p>
      <w:pPr>
        <w:ind w:left="6"/>
        <w:spacing w:after="0" w:line="238" w:lineRule="auto"/>
        <w:rPr>
          <w:sz w:val="20"/>
          <w:szCs w:val="20"/>
          <w:color w:val="auto"/>
        </w:rPr>
      </w:pPr>
      <w:r>
        <w:rPr>
          <w:rFonts w:ascii="Arial" w:cs="Arial" w:eastAsia="Arial" w:hAnsi="Arial"/>
          <w:sz w:val="18"/>
          <w:szCs w:val="18"/>
          <w:color w:val="auto"/>
        </w:rPr>
        <w:t>The following table provides information with respect to the beneficial ownership of our common stock as of March 16, 2021 by each of our directors, each of our named executive officers listed in the Summary Compensation Table, and all of our director nominees, directors, and executive officers as a group. The percentage ownership data is based on 45,121,684 shares of our common stock outstanding as of March 16, 2021. Under SEC rules, beneficial ownership includes shares over that which the indicated beneficial owner exercises voting and/or investment power. Shares of common stock subject to options that are currently exercisable or will become exercisable within 60 days or shares of restricted stock units vested or that will vest within 60 days are deemed outstanding for computing the number of shares and the percentage ownership of the person holding the option, but are not deemed outstanding for purposes of computing the percentage ownership of any other person. Except as otherwise noted, we believe that the beneficial owners of the shares of common stock listed below have sole voting and investment power with respect to all shares beneficially owned, subject to applicable community property laws.</w:t>
      </w:r>
    </w:p>
    <w:p>
      <w:pPr>
        <w:spacing w:after="0" w:line="96" w:lineRule="exact"/>
        <w:rPr>
          <w:sz w:val="20"/>
          <w:szCs w:val="20"/>
          <w:color w:val="auto"/>
        </w:rPr>
      </w:pPr>
    </w:p>
    <w:tbl>
      <w:tblPr>
        <w:tblLayout w:type="fixed"/>
        <w:tblInd w:w="46" w:type="dxa"/>
        <w:tblCellMar>
          <w:top w:w="0" w:type="dxa"/>
          <w:left w:w="0" w:type="dxa"/>
          <w:bottom w:w="0" w:type="dxa"/>
          <w:right w:w="0" w:type="dxa"/>
        </w:tblCellMar>
      </w:tblPr>
      <w:tr>
        <w:trPr>
          <w:trHeight w:val="162"/>
        </w:trPr>
        <w:tc>
          <w:tcPr>
            <w:tcW w:w="7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40" w:type="dxa"/>
            <w:vAlign w:val="bottom"/>
            <w:gridSpan w:val="4"/>
          </w:tcPr>
          <w:p>
            <w:pPr>
              <w:jc w:val="center"/>
              <w:spacing w:after="0"/>
              <w:rPr>
                <w:sz w:val="20"/>
                <w:szCs w:val="20"/>
                <w:color w:val="auto"/>
              </w:rPr>
            </w:pPr>
            <w:r>
              <w:rPr>
                <w:rFonts w:ascii="Arial" w:cs="Arial" w:eastAsia="Arial" w:hAnsi="Arial"/>
                <w:sz w:val="14"/>
                <w:szCs w:val="14"/>
                <w:b w:val="1"/>
                <w:bCs w:val="1"/>
                <w:color w:val="auto"/>
              </w:rPr>
              <w:t>Shares Beneficially</w:t>
            </w:r>
          </w:p>
        </w:tc>
      </w:tr>
      <w:tr>
        <w:trPr>
          <w:trHeight w:val="202"/>
        </w:trPr>
        <w:tc>
          <w:tcPr>
            <w:tcW w:w="7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gridSpan w:val="3"/>
          </w:tcPr>
          <w:p>
            <w:pPr>
              <w:jc w:val="center"/>
              <w:ind w:left="493"/>
              <w:spacing w:after="0"/>
              <w:rPr>
                <w:sz w:val="20"/>
                <w:szCs w:val="20"/>
                <w:color w:val="auto"/>
              </w:rPr>
            </w:pPr>
            <w:r>
              <w:rPr>
                <w:rFonts w:ascii="Arial" w:cs="Arial" w:eastAsia="Arial" w:hAnsi="Arial"/>
                <w:sz w:val="14"/>
                <w:szCs w:val="14"/>
                <w:b w:val="1"/>
                <w:bCs w:val="1"/>
                <w:color w:val="auto"/>
              </w:rPr>
              <w:t>Owned</w:t>
            </w:r>
          </w:p>
        </w:tc>
        <w:tc>
          <w:tcPr>
            <w:tcW w:w="580" w:type="dxa"/>
            <w:vAlign w:val="bottom"/>
          </w:tcPr>
          <w:p>
            <w:pPr>
              <w:spacing w:after="0"/>
              <w:rPr>
                <w:sz w:val="17"/>
                <w:szCs w:val="17"/>
                <w:color w:val="auto"/>
              </w:rPr>
            </w:pPr>
          </w:p>
        </w:tc>
      </w:tr>
      <w:tr>
        <w:trPr>
          <w:trHeight w:val="29"/>
        </w:trPr>
        <w:tc>
          <w:tcPr>
            <w:tcW w:w="7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34"/>
        </w:trPr>
        <w:tc>
          <w:tcPr>
            <w:tcW w:w="744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1060" w:type="dxa"/>
            <w:vAlign w:val="bottom"/>
            <w:gridSpan w:val="3"/>
          </w:tcPr>
          <w:p>
            <w:pPr>
              <w:ind w:left="60"/>
              <w:spacing w:after="0"/>
              <w:rPr>
                <w:sz w:val="20"/>
                <w:szCs w:val="20"/>
                <w:color w:val="auto"/>
              </w:rPr>
            </w:pPr>
            <w:r>
              <w:rPr>
                <w:rFonts w:ascii="Arial" w:cs="Arial" w:eastAsia="Arial" w:hAnsi="Arial"/>
                <w:sz w:val="14"/>
                <w:szCs w:val="14"/>
                <w:b w:val="1"/>
                <w:bCs w:val="1"/>
                <w:color w:val="auto"/>
              </w:rPr>
              <w:t>Number</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Percent</w:t>
            </w:r>
          </w:p>
        </w:tc>
      </w:tr>
      <w:tr>
        <w:trPr>
          <w:trHeight w:val="29"/>
        </w:trPr>
        <w:tc>
          <w:tcPr>
            <w:tcW w:w="71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76"/>
        </w:trPr>
        <w:tc>
          <w:tcPr>
            <w:tcW w:w="7440" w:type="dxa"/>
            <w:vAlign w:val="bottom"/>
            <w:gridSpan w:val="2"/>
          </w:tcPr>
          <w:p>
            <w:pPr>
              <w:ind w:left="20"/>
              <w:spacing w:after="0"/>
              <w:rPr>
                <w:sz w:val="20"/>
                <w:szCs w:val="20"/>
                <w:color w:val="auto"/>
              </w:rPr>
            </w:pPr>
            <w:r>
              <w:rPr>
                <w:rFonts w:ascii="Arial" w:cs="Arial" w:eastAsia="Arial" w:hAnsi="Arial"/>
                <w:sz w:val="18"/>
                <w:szCs w:val="18"/>
                <w:b w:val="1"/>
                <w:bCs w:val="1"/>
                <w:color w:val="auto"/>
              </w:rPr>
              <w:t>Directors and Executive Officers:</w:t>
            </w:r>
          </w:p>
        </w:tc>
        <w:tc>
          <w:tcPr>
            <w:tcW w:w="6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80" w:type="dxa"/>
            <w:vAlign w:val="bottom"/>
          </w:tcPr>
          <w:p>
            <w:pPr>
              <w:spacing w:after="0"/>
              <w:rPr>
                <w:sz w:val="23"/>
                <w:szCs w:val="23"/>
                <w:color w:val="auto"/>
              </w:rPr>
            </w:pPr>
          </w:p>
        </w:tc>
      </w:tr>
      <w:tr>
        <w:trPr>
          <w:trHeight w:val="361"/>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Thomas L. Deitrich</w:t>
            </w:r>
            <w:r>
              <w:rPr>
                <w:rFonts w:ascii="Arial" w:cs="Arial" w:eastAsia="Arial" w:hAnsi="Arial"/>
                <w:sz w:val="29"/>
                <w:szCs w:val="29"/>
                <w:color w:val="auto"/>
                <w:vertAlign w:val="superscript"/>
              </w:rPr>
              <w:t>(1)</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310,449</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310"/>
        </w:trPr>
        <w:tc>
          <w:tcPr>
            <w:tcW w:w="7440" w:type="dxa"/>
            <w:vAlign w:val="bottom"/>
            <w:gridSpan w:val="2"/>
          </w:tcPr>
          <w:p>
            <w:pPr>
              <w:ind w:left="20"/>
              <w:spacing w:after="0" w:line="310" w:lineRule="exact"/>
              <w:rPr>
                <w:sz w:val="20"/>
                <w:szCs w:val="20"/>
                <w:color w:val="auto"/>
              </w:rPr>
            </w:pPr>
            <w:r>
              <w:rPr>
                <w:rFonts w:ascii="Arial" w:cs="Arial" w:eastAsia="Arial" w:hAnsi="Arial"/>
                <w:sz w:val="18"/>
                <w:szCs w:val="18"/>
                <w:color w:val="auto"/>
              </w:rPr>
              <w:t>Joan S. Hooper</w:t>
            </w:r>
            <w:r>
              <w:rPr>
                <w:rFonts w:ascii="Arial" w:cs="Arial" w:eastAsia="Arial" w:hAnsi="Arial"/>
                <w:sz w:val="29"/>
                <w:szCs w:val="29"/>
                <w:color w:val="auto"/>
                <w:vertAlign w:val="superscript"/>
              </w:rPr>
              <w:t>(2)</w:t>
            </w:r>
          </w:p>
        </w:tc>
        <w:tc>
          <w:tcPr>
            <w:tcW w:w="660" w:type="dxa"/>
            <w:vAlign w:val="bottom"/>
          </w:tcPr>
          <w:p>
            <w:pPr>
              <w:jc w:val="right"/>
              <w:spacing w:after="0"/>
              <w:rPr>
                <w:sz w:val="20"/>
                <w:szCs w:val="20"/>
                <w:color w:val="auto"/>
              </w:rPr>
            </w:pPr>
            <w:r>
              <w:rPr>
                <w:rFonts w:ascii="Arial" w:cs="Arial" w:eastAsia="Arial" w:hAnsi="Arial"/>
                <w:sz w:val="18"/>
                <w:szCs w:val="18"/>
                <w:color w:val="auto"/>
              </w:rPr>
              <w:t>45,958</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311"/>
        </w:trPr>
        <w:tc>
          <w:tcPr>
            <w:tcW w:w="7440" w:type="dxa"/>
            <w:vAlign w:val="bottom"/>
            <w:gridSpan w:val="2"/>
          </w:tcPr>
          <w:p>
            <w:pPr>
              <w:ind w:left="20"/>
              <w:spacing w:after="0" w:line="310" w:lineRule="exact"/>
              <w:rPr>
                <w:sz w:val="20"/>
                <w:szCs w:val="20"/>
                <w:color w:val="auto"/>
              </w:rPr>
            </w:pPr>
            <w:r>
              <w:rPr>
                <w:rFonts w:ascii="Arial" w:cs="Arial" w:eastAsia="Arial" w:hAnsi="Arial"/>
                <w:sz w:val="18"/>
                <w:szCs w:val="18"/>
                <w:color w:val="auto"/>
              </w:rPr>
              <w:t>Michel C. Cadieux</w:t>
            </w:r>
            <w:r>
              <w:rPr>
                <w:rFonts w:ascii="Arial" w:cs="Arial" w:eastAsia="Arial" w:hAnsi="Arial"/>
                <w:sz w:val="29"/>
                <w:szCs w:val="29"/>
                <w:color w:val="auto"/>
                <w:vertAlign w:val="superscript"/>
              </w:rPr>
              <w:t>(3)</w:t>
            </w:r>
          </w:p>
        </w:tc>
        <w:tc>
          <w:tcPr>
            <w:tcW w:w="660" w:type="dxa"/>
            <w:vAlign w:val="bottom"/>
          </w:tcPr>
          <w:p>
            <w:pPr>
              <w:jc w:val="right"/>
              <w:spacing w:after="0"/>
              <w:rPr>
                <w:sz w:val="20"/>
                <w:szCs w:val="20"/>
                <w:color w:val="auto"/>
              </w:rPr>
            </w:pPr>
            <w:r>
              <w:rPr>
                <w:rFonts w:ascii="Arial" w:cs="Arial" w:eastAsia="Arial" w:hAnsi="Arial"/>
                <w:sz w:val="18"/>
                <w:szCs w:val="18"/>
                <w:color w:val="auto"/>
              </w:rPr>
              <w:t>47,276</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311"/>
        </w:trPr>
        <w:tc>
          <w:tcPr>
            <w:tcW w:w="7440" w:type="dxa"/>
            <w:vAlign w:val="bottom"/>
            <w:gridSpan w:val="2"/>
          </w:tcPr>
          <w:p>
            <w:pPr>
              <w:ind w:left="20"/>
              <w:spacing w:after="0" w:line="310" w:lineRule="exact"/>
              <w:rPr>
                <w:sz w:val="20"/>
                <w:szCs w:val="20"/>
                <w:color w:val="auto"/>
              </w:rPr>
            </w:pPr>
            <w:r>
              <w:rPr>
                <w:rFonts w:ascii="Arial" w:cs="Arial" w:eastAsia="Arial" w:hAnsi="Arial"/>
                <w:sz w:val="18"/>
                <w:szCs w:val="18"/>
                <w:color w:val="auto"/>
              </w:rPr>
              <w:t>Sarah E. Hlavinka</w:t>
            </w:r>
            <w:r>
              <w:rPr>
                <w:rFonts w:ascii="Arial" w:cs="Arial" w:eastAsia="Arial" w:hAnsi="Arial"/>
                <w:sz w:val="29"/>
                <w:szCs w:val="29"/>
                <w:color w:val="auto"/>
                <w:vertAlign w:val="superscript"/>
              </w:rPr>
              <w:t>(4)</w:t>
            </w:r>
          </w:p>
        </w:tc>
        <w:tc>
          <w:tcPr>
            <w:tcW w:w="660" w:type="dxa"/>
            <w:vAlign w:val="bottom"/>
          </w:tcPr>
          <w:p>
            <w:pPr>
              <w:jc w:val="right"/>
              <w:spacing w:after="0"/>
              <w:rPr>
                <w:sz w:val="20"/>
                <w:szCs w:val="20"/>
                <w:color w:val="auto"/>
              </w:rPr>
            </w:pPr>
            <w:r>
              <w:rPr>
                <w:rFonts w:ascii="Arial" w:cs="Arial" w:eastAsia="Arial" w:hAnsi="Arial"/>
                <w:sz w:val="18"/>
                <w:szCs w:val="18"/>
                <w:color w:val="auto"/>
              </w:rPr>
              <w:t>17,059</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310"/>
        </w:trPr>
        <w:tc>
          <w:tcPr>
            <w:tcW w:w="7440" w:type="dxa"/>
            <w:vAlign w:val="bottom"/>
            <w:gridSpan w:val="2"/>
          </w:tcPr>
          <w:p>
            <w:pPr>
              <w:ind w:left="20"/>
              <w:spacing w:after="0" w:line="310" w:lineRule="exact"/>
              <w:rPr>
                <w:sz w:val="20"/>
                <w:szCs w:val="20"/>
                <w:color w:val="auto"/>
              </w:rPr>
            </w:pPr>
            <w:r>
              <w:rPr>
                <w:rFonts w:ascii="Arial" w:cs="Arial" w:eastAsia="Arial" w:hAnsi="Arial"/>
                <w:sz w:val="18"/>
                <w:szCs w:val="18"/>
                <w:color w:val="auto"/>
              </w:rPr>
              <w:t>Donald L. Reeves</w:t>
            </w:r>
            <w:r>
              <w:rPr>
                <w:rFonts w:ascii="Arial" w:cs="Arial" w:eastAsia="Arial" w:hAnsi="Arial"/>
                <w:sz w:val="29"/>
                <w:szCs w:val="29"/>
                <w:color w:val="auto"/>
                <w:vertAlign w:val="superscript"/>
              </w:rPr>
              <w:t>(5)</w:t>
            </w:r>
          </w:p>
        </w:tc>
        <w:tc>
          <w:tcPr>
            <w:tcW w:w="660" w:type="dxa"/>
            <w:vAlign w:val="bottom"/>
          </w:tcPr>
          <w:p>
            <w:pPr>
              <w:jc w:val="right"/>
              <w:spacing w:after="0"/>
              <w:rPr>
                <w:sz w:val="20"/>
                <w:szCs w:val="20"/>
                <w:color w:val="auto"/>
              </w:rPr>
            </w:pPr>
            <w:r>
              <w:rPr>
                <w:rFonts w:ascii="Arial" w:cs="Arial" w:eastAsia="Arial" w:hAnsi="Arial"/>
                <w:sz w:val="18"/>
                <w:szCs w:val="18"/>
                <w:color w:val="auto"/>
              </w:rPr>
              <w:t>11,267</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311"/>
        </w:trPr>
        <w:tc>
          <w:tcPr>
            <w:tcW w:w="7440" w:type="dxa"/>
            <w:vAlign w:val="bottom"/>
            <w:gridSpan w:val="2"/>
          </w:tcPr>
          <w:p>
            <w:pPr>
              <w:ind w:left="20"/>
              <w:spacing w:after="0" w:line="310" w:lineRule="exact"/>
              <w:rPr>
                <w:sz w:val="20"/>
                <w:szCs w:val="20"/>
                <w:color w:val="auto"/>
              </w:rPr>
            </w:pPr>
            <w:r>
              <w:rPr>
                <w:rFonts w:ascii="Arial" w:cs="Arial" w:eastAsia="Arial" w:hAnsi="Arial"/>
                <w:sz w:val="18"/>
                <w:szCs w:val="18"/>
                <w:color w:val="auto"/>
              </w:rPr>
              <w:t>Thomas S. Glanville</w:t>
            </w:r>
            <w:r>
              <w:rPr>
                <w:rFonts w:ascii="Arial" w:cs="Arial" w:eastAsia="Arial" w:hAnsi="Arial"/>
                <w:sz w:val="29"/>
                <w:szCs w:val="29"/>
                <w:color w:val="auto"/>
                <w:vertAlign w:val="superscript"/>
              </w:rPr>
              <w:t>(6)</w:t>
            </w:r>
          </w:p>
        </w:tc>
        <w:tc>
          <w:tcPr>
            <w:tcW w:w="660" w:type="dxa"/>
            <w:vAlign w:val="bottom"/>
          </w:tcPr>
          <w:p>
            <w:pPr>
              <w:jc w:val="right"/>
              <w:spacing w:after="0"/>
              <w:rPr>
                <w:sz w:val="20"/>
                <w:szCs w:val="20"/>
                <w:color w:val="auto"/>
              </w:rPr>
            </w:pPr>
            <w:r>
              <w:rPr>
                <w:rFonts w:ascii="Arial" w:cs="Arial" w:eastAsia="Arial" w:hAnsi="Arial"/>
                <w:sz w:val="18"/>
                <w:szCs w:val="18"/>
                <w:color w:val="auto"/>
              </w:rPr>
              <w:t>9,421</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310"/>
        </w:trPr>
        <w:tc>
          <w:tcPr>
            <w:tcW w:w="7440" w:type="dxa"/>
            <w:vAlign w:val="bottom"/>
            <w:gridSpan w:val="2"/>
          </w:tcPr>
          <w:p>
            <w:pPr>
              <w:ind w:left="20"/>
              <w:spacing w:after="0" w:line="310" w:lineRule="exact"/>
              <w:rPr>
                <w:sz w:val="20"/>
                <w:szCs w:val="20"/>
                <w:color w:val="auto"/>
              </w:rPr>
            </w:pPr>
            <w:r>
              <w:rPr>
                <w:rFonts w:ascii="Arial" w:cs="Arial" w:eastAsia="Arial" w:hAnsi="Arial"/>
                <w:sz w:val="18"/>
                <w:szCs w:val="18"/>
                <w:color w:val="auto"/>
              </w:rPr>
              <w:t>Frank M. Jaehnert</w:t>
            </w:r>
            <w:r>
              <w:rPr>
                <w:rFonts w:ascii="Arial" w:cs="Arial" w:eastAsia="Arial" w:hAnsi="Arial"/>
                <w:sz w:val="29"/>
                <w:szCs w:val="29"/>
                <w:color w:val="auto"/>
                <w:vertAlign w:val="superscript"/>
              </w:rPr>
              <w:t>(7)</w:t>
            </w:r>
          </w:p>
        </w:tc>
        <w:tc>
          <w:tcPr>
            <w:tcW w:w="660" w:type="dxa"/>
            <w:vAlign w:val="bottom"/>
          </w:tcPr>
          <w:p>
            <w:pPr>
              <w:jc w:val="right"/>
              <w:spacing w:after="0"/>
              <w:rPr>
                <w:sz w:val="20"/>
                <w:szCs w:val="20"/>
                <w:color w:val="auto"/>
              </w:rPr>
            </w:pPr>
            <w:r>
              <w:rPr>
                <w:rFonts w:ascii="Arial" w:cs="Arial" w:eastAsia="Arial" w:hAnsi="Arial"/>
                <w:sz w:val="18"/>
                <w:szCs w:val="18"/>
                <w:color w:val="auto"/>
              </w:rPr>
              <w:t>11,729</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311"/>
        </w:trPr>
        <w:tc>
          <w:tcPr>
            <w:tcW w:w="7440" w:type="dxa"/>
            <w:vAlign w:val="bottom"/>
            <w:gridSpan w:val="2"/>
          </w:tcPr>
          <w:p>
            <w:pPr>
              <w:ind w:left="20"/>
              <w:spacing w:after="0" w:line="310" w:lineRule="exact"/>
              <w:rPr>
                <w:sz w:val="20"/>
                <w:szCs w:val="20"/>
                <w:color w:val="auto"/>
              </w:rPr>
            </w:pPr>
            <w:r>
              <w:rPr>
                <w:rFonts w:ascii="Arial" w:cs="Arial" w:eastAsia="Arial" w:hAnsi="Arial"/>
                <w:sz w:val="18"/>
                <w:szCs w:val="18"/>
                <w:color w:val="auto"/>
              </w:rPr>
              <w:t>Jerome J. Lande</w:t>
            </w:r>
            <w:r>
              <w:rPr>
                <w:rFonts w:ascii="Arial" w:cs="Arial" w:eastAsia="Arial" w:hAnsi="Arial"/>
                <w:sz w:val="29"/>
                <w:szCs w:val="29"/>
                <w:color w:val="auto"/>
                <w:vertAlign w:val="superscript"/>
              </w:rPr>
              <w:t>(8)</w:t>
            </w:r>
          </w:p>
        </w:tc>
        <w:tc>
          <w:tcPr>
            <w:tcW w:w="660" w:type="dxa"/>
            <w:vAlign w:val="bottom"/>
          </w:tcPr>
          <w:p>
            <w:pPr>
              <w:jc w:val="right"/>
              <w:spacing w:after="0"/>
              <w:rPr>
                <w:sz w:val="20"/>
                <w:szCs w:val="20"/>
                <w:color w:val="auto"/>
              </w:rPr>
            </w:pPr>
            <w:r>
              <w:rPr>
                <w:rFonts w:ascii="Arial" w:cs="Arial" w:eastAsia="Arial" w:hAnsi="Arial"/>
                <w:sz w:val="18"/>
                <w:szCs w:val="18"/>
                <w:color w:val="auto"/>
              </w:rPr>
              <w:t>12,894</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310"/>
        </w:trPr>
        <w:tc>
          <w:tcPr>
            <w:tcW w:w="7440" w:type="dxa"/>
            <w:vAlign w:val="bottom"/>
            <w:gridSpan w:val="2"/>
          </w:tcPr>
          <w:p>
            <w:pPr>
              <w:ind w:left="20"/>
              <w:spacing w:after="0" w:line="310" w:lineRule="exact"/>
              <w:rPr>
                <w:sz w:val="20"/>
                <w:szCs w:val="20"/>
                <w:color w:val="auto"/>
              </w:rPr>
            </w:pPr>
            <w:r>
              <w:rPr>
                <w:rFonts w:ascii="Arial" w:cs="Arial" w:eastAsia="Arial" w:hAnsi="Arial"/>
                <w:sz w:val="18"/>
                <w:szCs w:val="18"/>
                <w:color w:val="auto"/>
              </w:rPr>
              <w:t>Timothy M. Leyden</w:t>
            </w:r>
            <w:r>
              <w:rPr>
                <w:rFonts w:ascii="Arial" w:cs="Arial" w:eastAsia="Arial" w:hAnsi="Arial"/>
                <w:sz w:val="29"/>
                <w:szCs w:val="29"/>
                <w:color w:val="auto"/>
                <w:vertAlign w:val="superscript"/>
              </w:rPr>
              <w:t>(9)</w:t>
            </w:r>
          </w:p>
        </w:tc>
        <w:tc>
          <w:tcPr>
            <w:tcW w:w="660" w:type="dxa"/>
            <w:vAlign w:val="bottom"/>
          </w:tcPr>
          <w:p>
            <w:pPr>
              <w:jc w:val="right"/>
              <w:spacing w:after="0"/>
              <w:rPr>
                <w:sz w:val="20"/>
                <w:szCs w:val="20"/>
                <w:color w:val="auto"/>
              </w:rPr>
            </w:pPr>
            <w:r>
              <w:rPr>
                <w:rFonts w:ascii="Arial" w:cs="Arial" w:eastAsia="Arial" w:hAnsi="Arial"/>
                <w:sz w:val="18"/>
                <w:szCs w:val="18"/>
                <w:color w:val="auto"/>
              </w:rPr>
              <w:t>12,360</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310"/>
        </w:trPr>
        <w:tc>
          <w:tcPr>
            <w:tcW w:w="7440" w:type="dxa"/>
            <w:vAlign w:val="bottom"/>
            <w:gridSpan w:val="2"/>
          </w:tcPr>
          <w:p>
            <w:pPr>
              <w:ind w:left="20"/>
              <w:spacing w:after="0" w:line="310" w:lineRule="exact"/>
              <w:rPr>
                <w:sz w:val="20"/>
                <w:szCs w:val="20"/>
                <w:color w:val="auto"/>
              </w:rPr>
            </w:pPr>
            <w:r>
              <w:rPr>
                <w:rFonts w:ascii="Arial" w:cs="Arial" w:eastAsia="Arial" w:hAnsi="Arial"/>
                <w:sz w:val="18"/>
                <w:szCs w:val="18"/>
                <w:color w:val="auto"/>
              </w:rPr>
              <w:t>Daniel S. Pelino</w:t>
            </w:r>
            <w:r>
              <w:rPr>
                <w:rFonts w:ascii="Arial" w:cs="Arial" w:eastAsia="Arial" w:hAnsi="Arial"/>
                <w:sz w:val="29"/>
                <w:szCs w:val="29"/>
                <w:color w:val="auto"/>
                <w:vertAlign w:val="superscript"/>
              </w:rPr>
              <w:t>(10)</w:t>
            </w:r>
          </w:p>
        </w:tc>
        <w:tc>
          <w:tcPr>
            <w:tcW w:w="660" w:type="dxa"/>
            <w:vAlign w:val="bottom"/>
          </w:tcPr>
          <w:p>
            <w:pPr>
              <w:jc w:val="right"/>
              <w:spacing w:after="0"/>
              <w:rPr>
                <w:sz w:val="20"/>
                <w:szCs w:val="20"/>
                <w:color w:val="auto"/>
              </w:rPr>
            </w:pPr>
            <w:r>
              <w:rPr>
                <w:rFonts w:ascii="Arial" w:cs="Arial" w:eastAsia="Arial" w:hAnsi="Arial"/>
                <w:sz w:val="18"/>
                <w:szCs w:val="18"/>
                <w:color w:val="auto"/>
              </w:rPr>
              <w:t>15,403</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310"/>
        </w:trPr>
        <w:tc>
          <w:tcPr>
            <w:tcW w:w="7440" w:type="dxa"/>
            <w:vAlign w:val="bottom"/>
            <w:gridSpan w:val="2"/>
          </w:tcPr>
          <w:p>
            <w:pPr>
              <w:ind w:left="20"/>
              <w:spacing w:after="0" w:line="310" w:lineRule="exact"/>
              <w:rPr>
                <w:sz w:val="20"/>
                <w:szCs w:val="20"/>
                <w:color w:val="auto"/>
              </w:rPr>
            </w:pPr>
            <w:r>
              <w:rPr>
                <w:rFonts w:ascii="Arial" w:cs="Arial" w:eastAsia="Arial" w:hAnsi="Arial"/>
                <w:sz w:val="18"/>
                <w:szCs w:val="18"/>
                <w:color w:val="auto"/>
              </w:rPr>
              <w:t>Gary E. Pruitt</w:t>
            </w:r>
            <w:r>
              <w:rPr>
                <w:rFonts w:ascii="Arial" w:cs="Arial" w:eastAsia="Arial" w:hAnsi="Arial"/>
                <w:sz w:val="29"/>
                <w:szCs w:val="29"/>
                <w:color w:val="auto"/>
                <w:vertAlign w:val="superscript"/>
              </w:rPr>
              <w:t>(11)</w:t>
            </w:r>
          </w:p>
        </w:tc>
        <w:tc>
          <w:tcPr>
            <w:tcW w:w="660" w:type="dxa"/>
            <w:vAlign w:val="bottom"/>
          </w:tcPr>
          <w:p>
            <w:pPr>
              <w:jc w:val="right"/>
              <w:spacing w:after="0"/>
              <w:rPr>
                <w:sz w:val="20"/>
                <w:szCs w:val="20"/>
                <w:color w:val="auto"/>
              </w:rPr>
            </w:pPr>
            <w:r>
              <w:rPr>
                <w:rFonts w:ascii="Arial" w:cs="Arial" w:eastAsia="Arial" w:hAnsi="Arial"/>
                <w:sz w:val="18"/>
                <w:szCs w:val="18"/>
                <w:color w:val="auto"/>
              </w:rPr>
              <w:t>43,791</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310"/>
        </w:trPr>
        <w:tc>
          <w:tcPr>
            <w:tcW w:w="7440" w:type="dxa"/>
            <w:vAlign w:val="bottom"/>
            <w:gridSpan w:val="2"/>
          </w:tcPr>
          <w:p>
            <w:pPr>
              <w:ind w:left="20"/>
              <w:spacing w:after="0" w:line="310" w:lineRule="exact"/>
              <w:rPr>
                <w:sz w:val="20"/>
                <w:szCs w:val="20"/>
                <w:color w:val="auto"/>
              </w:rPr>
            </w:pPr>
            <w:r>
              <w:rPr>
                <w:rFonts w:ascii="Arial" w:cs="Arial" w:eastAsia="Arial" w:hAnsi="Arial"/>
                <w:sz w:val="18"/>
                <w:szCs w:val="18"/>
                <w:color w:val="auto"/>
              </w:rPr>
              <w:t>Diana D. Tremblay</w:t>
            </w:r>
            <w:r>
              <w:rPr>
                <w:rFonts w:ascii="Arial" w:cs="Arial" w:eastAsia="Arial" w:hAnsi="Arial"/>
                <w:sz w:val="29"/>
                <w:szCs w:val="29"/>
                <w:color w:val="auto"/>
                <w:vertAlign w:val="superscript"/>
              </w:rPr>
              <w:t>(11)</w:t>
            </w:r>
          </w:p>
        </w:tc>
        <w:tc>
          <w:tcPr>
            <w:tcW w:w="660" w:type="dxa"/>
            <w:vAlign w:val="bottom"/>
          </w:tcPr>
          <w:p>
            <w:pPr>
              <w:jc w:val="right"/>
              <w:spacing w:after="0"/>
              <w:rPr>
                <w:sz w:val="20"/>
                <w:szCs w:val="20"/>
                <w:color w:val="auto"/>
              </w:rPr>
            </w:pPr>
            <w:r>
              <w:rPr>
                <w:rFonts w:ascii="Arial" w:cs="Arial" w:eastAsia="Arial" w:hAnsi="Arial"/>
                <w:sz w:val="18"/>
                <w:szCs w:val="18"/>
                <w:color w:val="auto"/>
              </w:rPr>
              <w:t>11,729</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310"/>
        </w:trPr>
        <w:tc>
          <w:tcPr>
            <w:tcW w:w="7440" w:type="dxa"/>
            <w:vAlign w:val="bottom"/>
            <w:gridSpan w:val="2"/>
          </w:tcPr>
          <w:p>
            <w:pPr>
              <w:ind w:left="20"/>
              <w:spacing w:after="0" w:line="310" w:lineRule="exact"/>
              <w:rPr>
                <w:sz w:val="20"/>
                <w:szCs w:val="20"/>
                <w:color w:val="auto"/>
              </w:rPr>
            </w:pPr>
            <w:r>
              <w:rPr>
                <w:rFonts w:ascii="Arial" w:cs="Arial" w:eastAsia="Arial" w:hAnsi="Arial"/>
                <w:sz w:val="18"/>
                <w:szCs w:val="18"/>
                <w:color w:val="auto"/>
              </w:rPr>
              <w:t>Lynda L. Ziegler</w:t>
            </w:r>
            <w:r>
              <w:rPr>
                <w:rFonts w:ascii="Arial" w:cs="Arial" w:eastAsia="Arial" w:hAnsi="Arial"/>
                <w:sz w:val="29"/>
                <w:szCs w:val="29"/>
                <w:color w:val="auto"/>
                <w:vertAlign w:val="superscript"/>
              </w:rPr>
              <w:t>(13)</w:t>
            </w:r>
          </w:p>
        </w:tc>
        <w:tc>
          <w:tcPr>
            <w:tcW w:w="660" w:type="dxa"/>
            <w:vAlign w:val="bottom"/>
          </w:tcPr>
          <w:p>
            <w:pPr>
              <w:jc w:val="right"/>
              <w:spacing w:after="0"/>
              <w:rPr>
                <w:sz w:val="20"/>
                <w:szCs w:val="20"/>
                <w:color w:val="auto"/>
              </w:rPr>
            </w:pPr>
            <w:r>
              <w:rPr>
                <w:rFonts w:ascii="Arial" w:cs="Arial" w:eastAsia="Arial" w:hAnsi="Arial"/>
                <w:sz w:val="18"/>
                <w:szCs w:val="18"/>
                <w:color w:val="auto"/>
              </w:rPr>
              <w:t>13,730</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405"/>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All directors and executive officers as a group (15 persons)</w:t>
            </w:r>
            <w:r>
              <w:rPr>
                <w:rFonts w:ascii="Arial" w:cs="Arial" w:eastAsia="Arial" w:hAnsi="Arial"/>
                <w:sz w:val="29"/>
                <w:szCs w:val="29"/>
                <w:color w:val="auto"/>
                <w:vertAlign w:val="superscript"/>
              </w:rPr>
              <w:t>(14)</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566,339</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28575</wp:posOffset>
            </wp:positionV>
            <wp:extent cx="82296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34" w:lineRule="exact"/>
        <w:rPr>
          <w:sz w:val="20"/>
          <w:szCs w:val="20"/>
          <w:color w:val="auto"/>
        </w:rPr>
      </w:pPr>
    </w:p>
    <w:p>
      <w:pPr>
        <w:ind w:left="346" w:hanging="346"/>
        <w:spacing w:after="0"/>
        <w:tabs>
          <w:tab w:leader="none" w:pos="346" w:val="left"/>
        </w:tabs>
        <w:numPr>
          <w:ilvl w:val="0"/>
          <w:numId w:val="67"/>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69" w:lineRule="exact"/>
        <w:rPr>
          <w:sz w:val="20"/>
          <w:szCs w:val="20"/>
          <w:color w:val="auto"/>
        </w:rPr>
      </w:pPr>
    </w:p>
    <w:p>
      <w:pPr>
        <w:ind w:left="346" w:right="200" w:hanging="346"/>
        <w:spacing w:after="0" w:line="291" w:lineRule="auto"/>
        <w:tabs>
          <w:tab w:leader="none" w:pos="346" w:val="left"/>
        </w:tabs>
        <w:numPr>
          <w:ilvl w:val="0"/>
          <w:numId w:val="68"/>
        </w:numPr>
        <w:rPr>
          <w:rFonts w:ascii="Arial" w:cs="Arial" w:eastAsia="Arial" w:hAnsi="Arial"/>
          <w:sz w:val="14"/>
          <w:szCs w:val="14"/>
          <w:color w:val="auto"/>
        </w:rPr>
      </w:pPr>
      <w:r>
        <w:rPr>
          <w:rFonts w:ascii="Arial" w:cs="Arial" w:eastAsia="Arial" w:hAnsi="Arial"/>
          <w:sz w:val="14"/>
          <w:szCs w:val="14"/>
          <w:color w:val="auto"/>
        </w:rPr>
        <w:t>For Mr. Deitrich, includes 199,354 shares issuable on exercise of outstanding options exercisable within 60 days at a weighted average exercise price of $50.71 per share.</w:t>
      </w:r>
    </w:p>
    <w:p>
      <w:pPr>
        <w:spacing w:after="0" w:line="14" w:lineRule="exact"/>
        <w:rPr>
          <w:rFonts w:ascii="Arial" w:cs="Arial" w:eastAsia="Arial" w:hAnsi="Arial"/>
          <w:sz w:val="14"/>
          <w:szCs w:val="14"/>
          <w:color w:val="auto"/>
        </w:rPr>
      </w:pPr>
    </w:p>
    <w:p>
      <w:pPr>
        <w:ind w:left="346" w:right="280" w:hanging="346"/>
        <w:spacing w:after="0" w:line="291" w:lineRule="auto"/>
        <w:tabs>
          <w:tab w:leader="none" w:pos="346" w:val="left"/>
        </w:tabs>
        <w:numPr>
          <w:ilvl w:val="0"/>
          <w:numId w:val="68"/>
        </w:numPr>
        <w:rPr>
          <w:rFonts w:ascii="Arial" w:cs="Arial" w:eastAsia="Arial" w:hAnsi="Arial"/>
          <w:sz w:val="14"/>
          <w:szCs w:val="14"/>
          <w:color w:val="auto"/>
        </w:rPr>
      </w:pPr>
      <w:r>
        <w:rPr>
          <w:rFonts w:ascii="Arial" w:cs="Arial" w:eastAsia="Arial" w:hAnsi="Arial"/>
          <w:sz w:val="14"/>
          <w:szCs w:val="14"/>
          <w:color w:val="auto"/>
        </w:rPr>
        <w:t>For Ms. Hooper, includes 25,471 shares issuable on exercise of outstanding options exercisable within 60 days at a weighted average exercise price of $71.67 per share, and 1,239 RSU shares vesting within 60 days.</w:t>
      </w:r>
    </w:p>
    <w:p>
      <w:pPr>
        <w:spacing w:after="0" w:line="1" w:lineRule="exact"/>
        <w:rPr>
          <w:rFonts w:ascii="Arial" w:cs="Arial" w:eastAsia="Arial" w:hAnsi="Arial"/>
          <w:sz w:val="14"/>
          <w:szCs w:val="14"/>
          <w:color w:val="auto"/>
        </w:rPr>
      </w:pPr>
    </w:p>
    <w:p>
      <w:pPr>
        <w:ind w:left="346" w:right="240" w:hanging="346"/>
        <w:spacing w:after="0" w:line="291" w:lineRule="auto"/>
        <w:tabs>
          <w:tab w:leader="none" w:pos="346" w:val="left"/>
        </w:tabs>
        <w:numPr>
          <w:ilvl w:val="0"/>
          <w:numId w:val="68"/>
        </w:numPr>
        <w:rPr>
          <w:rFonts w:ascii="Arial" w:cs="Arial" w:eastAsia="Arial" w:hAnsi="Arial"/>
          <w:sz w:val="14"/>
          <w:szCs w:val="14"/>
          <w:color w:val="auto"/>
        </w:rPr>
      </w:pPr>
      <w:r>
        <w:rPr>
          <w:rFonts w:ascii="Arial" w:cs="Arial" w:eastAsia="Arial" w:hAnsi="Arial"/>
          <w:sz w:val="14"/>
          <w:szCs w:val="14"/>
          <w:color w:val="auto"/>
        </w:rPr>
        <w:t>For Mr. Cadieux, includes 19,621 shares issuable on exercise of outstanding options exercisable within 60 days at a weighted average exercise price of $69.85 per share.</w:t>
      </w:r>
    </w:p>
    <w:p>
      <w:pPr>
        <w:spacing w:after="0" w:line="1" w:lineRule="exact"/>
        <w:rPr>
          <w:rFonts w:ascii="Arial" w:cs="Arial" w:eastAsia="Arial" w:hAnsi="Arial"/>
          <w:sz w:val="14"/>
          <w:szCs w:val="14"/>
          <w:color w:val="auto"/>
        </w:rPr>
      </w:pPr>
    </w:p>
    <w:p>
      <w:pPr>
        <w:ind w:left="346" w:right="280" w:hanging="346"/>
        <w:spacing w:after="0" w:line="291" w:lineRule="auto"/>
        <w:tabs>
          <w:tab w:leader="none" w:pos="346" w:val="left"/>
        </w:tabs>
        <w:numPr>
          <w:ilvl w:val="0"/>
          <w:numId w:val="68"/>
        </w:numPr>
        <w:rPr>
          <w:rFonts w:ascii="Arial" w:cs="Arial" w:eastAsia="Arial" w:hAnsi="Arial"/>
          <w:sz w:val="14"/>
          <w:szCs w:val="14"/>
          <w:color w:val="auto"/>
        </w:rPr>
      </w:pPr>
      <w:r>
        <w:rPr>
          <w:rFonts w:ascii="Arial" w:cs="Arial" w:eastAsia="Arial" w:hAnsi="Arial"/>
          <w:sz w:val="14"/>
          <w:szCs w:val="14"/>
          <w:color w:val="auto"/>
        </w:rPr>
        <w:t>For Ms. Hlavinka, includes 8,049 shares issuable on exercise of outstanding options exercisable within 60 days at a weighted average exercise price of $71.99 per share.</w:t>
      </w:r>
    </w:p>
    <w:p>
      <w:pPr>
        <w:spacing w:after="0" w:line="14" w:lineRule="exact"/>
        <w:rPr>
          <w:rFonts w:ascii="Arial" w:cs="Arial" w:eastAsia="Arial" w:hAnsi="Arial"/>
          <w:sz w:val="14"/>
          <w:szCs w:val="14"/>
          <w:color w:val="auto"/>
        </w:rPr>
      </w:pPr>
    </w:p>
    <w:p>
      <w:pPr>
        <w:ind w:left="346" w:right="360" w:hanging="346"/>
        <w:spacing w:after="0" w:line="291" w:lineRule="auto"/>
        <w:tabs>
          <w:tab w:leader="none" w:pos="346" w:val="left"/>
        </w:tabs>
        <w:numPr>
          <w:ilvl w:val="0"/>
          <w:numId w:val="68"/>
        </w:numPr>
        <w:rPr>
          <w:rFonts w:ascii="Arial" w:cs="Arial" w:eastAsia="Arial" w:hAnsi="Arial"/>
          <w:sz w:val="14"/>
          <w:szCs w:val="14"/>
          <w:color w:val="auto"/>
        </w:rPr>
      </w:pPr>
      <w:r>
        <w:rPr>
          <w:rFonts w:ascii="Arial" w:cs="Arial" w:eastAsia="Arial" w:hAnsi="Arial"/>
          <w:sz w:val="14"/>
          <w:szCs w:val="14"/>
          <w:color w:val="auto"/>
        </w:rPr>
        <w:t>For Mr. Reeves, includes 9,388 shares issuable on exercise of outstanding options exercisable within 60 days at a weighted average exercise price of $63.57 per share.</w:t>
      </w:r>
    </w:p>
    <w:p>
      <w:pPr>
        <w:spacing w:after="0" w:line="1" w:lineRule="exact"/>
        <w:rPr>
          <w:rFonts w:ascii="Arial" w:cs="Arial" w:eastAsia="Arial" w:hAnsi="Arial"/>
          <w:sz w:val="14"/>
          <w:szCs w:val="14"/>
          <w:color w:val="auto"/>
        </w:rPr>
      </w:pPr>
    </w:p>
    <w:p>
      <w:pPr>
        <w:ind w:left="346" w:hanging="346"/>
        <w:spacing w:after="0"/>
        <w:tabs>
          <w:tab w:leader="none" w:pos="346" w:val="left"/>
        </w:tabs>
        <w:numPr>
          <w:ilvl w:val="0"/>
          <w:numId w:val="68"/>
        </w:numPr>
        <w:rPr>
          <w:rFonts w:ascii="Arial" w:cs="Arial" w:eastAsia="Arial" w:hAnsi="Arial"/>
          <w:sz w:val="14"/>
          <w:szCs w:val="14"/>
          <w:color w:val="auto"/>
        </w:rPr>
      </w:pPr>
      <w:r>
        <w:rPr>
          <w:rFonts w:ascii="Arial" w:cs="Arial" w:eastAsia="Arial" w:hAnsi="Arial"/>
          <w:sz w:val="14"/>
          <w:szCs w:val="14"/>
          <w:color w:val="auto"/>
        </w:rPr>
        <w:t>For Mr. Glanville, represents shares owned as of March 16, 2021.</w:t>
      </w:r>
    </w:p>
    <w:p>
      <w:pPr>
        <w:spacing w:after="0" w:line="68" w:lineRule="exact"/>
        <w:rPr>
          <w:rFonts w:ascii="Arial" w:cs="Arial" w:eastAsia="Arial" w:hAnsi="Arial"/>
          <w:sz w:val="14"/>
          <w:szCs w:val="14"/>
          <w:color w:val="auto"/>
        </w:rPr>
      </w:pPr>
    </w:p>
    <w:p>
      <w:pPr>
        <w:ind w:left="346" w:hanging="346"/>
        <w:spacing w:after="0"/>
        <w:tabs>
          <w:tab w:leader="none" w:pos="346" w:val="left"/>
        </w:tabs>
        <w:numPr>
          <w:ilvl w:val="0"/>
          <w:numId w:val="68"/>
        </w:numPr>
        <w:rPr>
          <w:rFonts w:ascii="Arial" w:cs="Arial" w:eastAsia="Arial" w:hAnsi="Arial"/>
          <w:sz w:val="14"/>
          <w:szCs w:val="14"/>
          <w:color w:val="auto"/>
        </w:rPr>
      </w:pPr>
      <w:r>
        <w:rPr>
          <w:rFonts w:ascii="Arial" w:cs="Arial" w:eastAsia="Arial" w:hAnsi="Arial"/>
          <w:sz w:val="14"/>
          <w:szCs w:val="14"/>
          <w:color w:val="auto"/>
        </w:rPr>
        <w:t>For Mr. Jaehnert, represents shares owned as of March 16, 2021.</w:t>
      </w:r>
    </w:p>
    <w:p>
      <w:pPr>
        <w:spacing w:after="0" w:line="82" w:lineRule="exact"/>
        <w:rPr>
          <w:rFonts w:ascii="Arial" w:cs="Arial" w:eastAsia="Arial" w:hAnsi="Arial"/>
          <w:sz w:val="14"/>
          <w:szCs w:val="14"/>
          <w:color w:val="auto"/>
        </w:rPr>
      </w:pPr>
    </w:p>
    <w:p>
      <w:pPr>
        <w:ind w:left="346" w:right="20" w:hanging="346"/>
        <w:spacing w:after="0" w:line="258" w:lineRule="auto"/>
        <w:tabs>
          <w:tab w:leader="none" w:pos="346" w:val="left"/>
        </w:tabs>
        <w:numPr>
          <w:ilvl w:val="0"/>
          <w:numId w:val="68"/>
        </w:numPr>
        <w:rPr>
          <w:rFonts w:ascii="Arial" w:cs="Arial" w:eastAsia="Arial" w:hAnsi="Arial"/>
          <w:sz w:val="14"/>
          <w:szCs w:val="14"/>
          <w:color w:val="auto"/>
        </w:rPr>
      </w:pPr>
      <w:r>
        <w:rPr>
          <w:rFonts w:ascii="Arial" w:cs="Arial" w:eastAsia="Arial" w:hAnsi="Arial"/>
          <w:sz w:val="14"/>
          <w:szCs w:val="14"/>
          <w:color w:val="auto"/>
        </w:rPr>
        <w:t>For Mr. Lande, represents shares owned as of March 16, 2021. Mr. Lande was appointed to our Board through an agreement with Scopia. Through November 1, 2020, Mr. Lande waived equity grants for compensation for his service as a director on our Board, and, as an employee of Scopia, did not have voting or investment power over and disclaimed beneficial ownership of the shares of the Company owned by Scopia. Beginning on November 1, 2020, Mr. Lande began again receiving his equity grants.</w:t>
      </w:r>
    </w:p>
    <w:p>
      <w:pPr>
        <w:spacing w:after="0" w:line="23" w:lineRule="exact"/>
        <w:rPr>
          <w:rFonts w:ascii="Arial" w:cs="Arial" w:eastAsia="Arial" w:hAnsi="Arial"/>
          <w:sz w:val="14"/>
          <w:szCs w:val="14"/>
          <w:color w:val="auto"/>
        </w:rPr>
      </w:pPr>
    </w:p>
    <w:p>
      <w:pPr>
        <w:ind w:left="346" w:hanging="346"/>
        <w:spacing w:after="0"/>
        <w:tabs>
          <w:tab w:leader="none" w:pos="346" w:val="left"/>
        </w:tabs>
        <w:numPr>
          <w:ilvl w:val="0"/>
          <w:numId w:val="68"/>
        </w:numPr>
        <w:rPr>
          <w:rFonts w:ascii="Arial" w:cs="Arial" w:eastAsia="Arial" w:hAnsi="Arial"/>
          <w:sz w:val="14"/>
          <w:szCs w:val="14"/>
          <w:color w:val="auto"/>
        </w:rPr>
      </w:pPr>
      <w:r>
        <w:rPr>
          <w:rFonts w:ascii="Arial" w:cs="Arial" w:eastAsia="Arial" w:hAnsi="Arial"/>
          <w:sz w:val="14"/>
          <w:szCs w:val="14"/>
          <w:color w:val="auto"/>
        </w:rPr>
        <w:t>For Mr. Leyden, represents shares owned as of March 16, 2021.</w:t>
      </w:r>
    </w:p>
    <w:p>
      <w:pPr>
        <w:spacing w:after="0" w:line="68" w:lineRule="exact"/>
        <w:rPr>
          <w:rFonts w:ascii="Arial" w:cs="Arial" w:eastAsia="Arial" w:hAnsi="Arial"/>
          <w:sz w:val="14"/>
          <w:szCs w:val="14"/>
          <w:color w:val="auto"/>
        </w:rPr>
      </w:pPr>
    </w:p>
    <w:p>
      <w:pPr>
        <w:ind w:left="346" w:hanging="346"/>
        <w:spacing w:after="0"/>
        <w:tabs>
          <w:tab w:leader="none" w:pos="346" w:val="left"/>
        </w:tabs>
        <w:numPr>
          <w:ilvl w:val="0"/>
          <w:numId w:val="68"/>
        </w:numPr>
        <w:rPr>
          <w:rFonts w:ascii="Arial" w:cs="Arial" w:eastAsia="Arial" w:hAnsi="Arial"/>
          <w:sz w:val="14"/>
          <w:szCs w:val="14"/>
          <w:color w:val="auto"/>
        </w:rPr>
      </w:pPr>
      <w:r>
        <w:rPr>
          <w:rFonts w:ascii="Arial" w:cs="Arial" w:eastAsia="Arial" w:hAnsi="Arial"/>
          <w:sz w:val="14"/>
          <w:szCs w:val="14"/>
          <w:color w:val="auto"/>
        </w:rPr>
        <w:t>For Mr. Pelino, represents shares owned as of March 16, 2021.</w:t>
      </w:r>
    </w:p>
    <w:p>
      <w:pPr>
        <w:spacing w:after="0" w:line="82" w:lineRule="exact"/>
        <w:rPr>
          <w:rFonts w:ascii="Arial" w:cs="Arial" w:eastAsia="Arial" w:hAnsi="Arial"/>
          <w:sz w:val="14"/>
          <w:szCs w:val="14"/>
          <w:color w:val="auto"/>
        </w:rPr>
      </w:pPr>
    </w:p>
    <w:p>
      <w:pPr>
        <w:ind w:left="346" w:hanging="346"/>
        <w:spacing w:after="0"/>
        <w:tabs>
          <w:tab w:leader="none" w:pos="346" w:val="left"/>
        </w:tabs>
        <w:numPr>
          <w:ilvl w:val="0"/>
          <w:numId w:val="68"/>
        </w:numPr>
        <w:rPr>
          <w:rFonts w:ascii="Arial" w:cs="Arial" w:eastAsia="Arial" w:hAnsi="Arial"/>
          <w:sz w:val="14"/>
          <w:szCs w:val="14"/>
          <w:color w:val="auto"/>
        </w:rPr>
      </w:pPr>
      <w:r>
        <w:rPr>
          <w:rFonts w:ascii="Arial" w:cs="Arial" w:eastAsia="Arial" w:hAnsi="Arial"/>
          <w:sz w:val="14"/>
          <w:szCs w:val="14"/>
          <w:color w:val="auto"/>
        </w:rPr>
        <w:t>For Mr. Pruitt, represents shares owned as of March 16, 2021.</w:t>
      </w:r>
    </w:p>
    <w:p>
      <w:pPr>
        <w:spacing w:after="0" w:line="68" w:lineRule="exact"/>
        <w:rPr>
          <w:rFonts w:ascii="Arial" w:cs="Arial" w:eastAsia="Arial" w:hAnsi="Arial"/>
          <w:sz w:val="14"/>
          <w:szCs w:val="14"/>
          <w:color w:val="auto"/>
        </w:rPr>
      </w:pPr>
    </w:p>
    <w:p>
      <w:pPr>
        <w:ind w:left="346" w:hanging="346"/>
        <w:spacing w:after="0"/>
        <w:tabs>
          <w:tab w:leader="none" w:pos="346" w:val="left"/>
        </w:tabs>
        <w:numPr>
          <w:ilvl w:val="0"/>
          <w:numId w:val="68"/>
        </w:numPr>
        <w:rPr>
          <w:rFonts w:ascii="Arial" w:cs="Arial" w:eastAsia="Arial" w:hAnsi="Arial"/>
          <w:sz w:val="14"/>
          <w:szCs w:val="14"/>
          <w:color w:val="auto"/>
        </w:rPr>
      </w:pPr>
      <w:r>
        <w:rPr>
          <w:rFonts w:ascii="Arial" w:cs="Arial" w:eastAsia="Arial" w:hAnsi="Arial"/>
          <w:sz w:val="14"/>
          <w:szCs w:val="14"/>
          <w:color w:val="auto"/>
        </w:rPr>
        <w:t>For Ms. Tremblay, represents shares owned as of March 16, 2021.</w:t>
      </w:r>
    </w:p>
    <w:p>
      <w:pPr>
        <w:sectPr>
          <w:pgSz w:w="11900" w:h="16838" w:orient="portrait"/>
          <w:cols w:equalWidth="0" w:num="1">
            <w:col w:w="9146"/>
          </w:cols>
          <w:pgMar w:left="1354" w:top="263" w:right="1399" w:bottom="1440" w:gutter="0" w:footer="0" w:header="0"/>
        </w:sectPr>
      </w:pPr>
    </w:p>
    <w:p>
      <w:pPr>
        <w:spacing w:after="0" w:line="315" w:lineRule="exact"/>
        <w:rPr>
          <w:sz w:val="20"/>
          <w:szCs w:val="20"/>
          <w:color w:val="auto"/>
        </w:rPr>
      </w:pPr>
    </w:p>
    <w:p>
      <w:pPr>
        <w:jc w:val="center"/>
        <w:ind w:right="-65"/>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164465</wp:posOffset>
            </wp:positionV>
            <wp:extent cx="699516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46"/>
          </w:cols>
          <w:pgMar w:left="1354" w:top="263" w:right="1399" w:bottom="1440" w:gutter="0" w:footer="0" w:header="0"/>
          <w:type w:val="continuous"/>
        </w:sectPr>
      </w:pPr>
    </w:p>
    <w:bookmarkStart w:id="58" w:name="page59"/>
    <w:bookmarkEnd w:id="58"/>
    <w:p>
      <w:pPr>
        <w:ind w:left="6"/>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134" w:lineRule="exact"/>
        <w:rPr>
          <w:sz w:val="20"/>
          <w:szCs w:val="20"/>
          <w:color w:val="auto"/>
        </w:rPr>
      </w:pPr>
    </w:p>
    <w:p>
      <w:pPr>
        <w:ind w:left="346" w:hanging="346"/>
        <w:spacing w:after="0"/>
        <w:tabs>
          <w:tab w:leader="none" w:pos="346" w:val="left"/>
        </w:tabs>
        <w:numPr>
          <w:ilvl w:val="0"/>
          <w:numId w:val="69"/>
        </w:numPr>
        <w:rPr>
          <w:rFonts w:ascii="Arial" w:cs="Arial" w:eastAsia="Arial" w:hAnsi="Arial"/>
          <w:sz w:val="14"/>
          <w:szCs w:val="14"/>
          <w:color w:val="auto"/>
        </w:rPr>
      </w:pPr>
      <w:r>
        <w:rPr>
          <w:rFonts w:ascii="Arial" w:cs="Arial" w:eastAsia="Arial" w:hAnsi="Arial"/>
          <w:sz w:val="14"/>
          <w:szCs w:val="14"/>
          <w:color w:val="auto"/>
        </w:rPr>
        <w:t>For Ms. Ziegler, represents shares owned as of March 16, 2021.</w:t>
      </w:r>
    </w:p>
    <w:p>
      <w:pPr>
        <w:spacing w:after="0" w:line="82" w:lineRule="exact"/>
        <w:rPr>
          <w:rFonts w:ascii="Arial" w:cs="Arial" w:eastAsia="Arial" w:hAnsi="Arial"/>
          <w:sz w:val="14"/>
          <w:szCs w:val="14"/>
          <w:color w:val="auto"/>
        </w:rPr>
      </w:pPr>
    </w:p>
    <w:p>
      <w:pPr>
        <w:ind w:left="346" w:right="220" w:hanging="346"/>
        <w:spacing w:after="0" w:line="291" w:lineRule="auto"/>
        <w:tabs>
          <w:tab w:leader="none" w:pos="346" w:val="left"/>
        </w:tabs>
        <w:numPr>
          <w:ilvl w:val="0"/>
          <w:numId w:val="69"/>
        </w:numPr>
        <w:rPr>
          <w:rFonts w:ascii="Arial" w:cs="Arial" w:eastAsia="Arial" w:hAnsi="Arial"/>
          <w:sz w:val="14"/>
          <w:szCs w:val="14"/>
          <w:color w:val="auto"/>
        </w:rPr>
      </w:pPr>
      <w:r>
        <w:rPr>
          <w:rFonts w:ascii="Arial" w:cs="Arial" w:eastAsia="Arial" w:hAnsi="Arial"/>
          <w:sz w:val="14"/>
          <w:szCs w:val="14"/>
          <w:color w:val="auto"/>
        </w:rPr>
        <w:t>Includes 262,974 shares issuable on exercise of outstanding options that are held by all current directors and executive officers and are exercisable within 60 days.</w:t>
      </w:r>
    </w:p>
    <w:p>
      <w:pPr>
        <w:spacing w:after="0" w:line="124"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Principal Shareholders</w:t>
      </w:r>
    </w:p>
    <w:p>
      <w:pPr>
        <w:spacing w:after="0" w:line="173" w:lineRule="exact"/>
        <w:rPr>
          <w:sz w:val="20"/>
          <w:szCs w:val="20"/>
          <w:color w:val="auto"/>
        </w:rPr>
      </w:pPr>
    </w:p>
    <w:p>
      <w:pPr>
        <w:ind w:left="6" w:right="100"/>
        <w:spacing w:after="0" w:line="276" w:lineRule="auto"/>
        <w:rPr>
          <w:sz w:val="20"/>
          <w:szCs w:val="20"/>
          <w:color w:val="auto"/>
        </w:rPr>
      </w:pPr>
      <w:r>
        <w:rPr>
          <w:rFonts w:ascii="Arial" w:cs="Arial" w:eastAsia="Arial" w:hAnsi="Arial"/>
          <w:sz w:val="18"/>
          <w:szCs w:val="18"/>
          <w:color w:val="auto"/>
        </w:rPr>
        <w:t>The following table provides information with respect to the beneficial ownership of our common stock as of March 16, 2021 by each person that we know beneficially owns more than five percent (5%) of our common stock.</w:t>
      </w:r>
    </w:p>
    <w:p>
      <w:pPr>
        <w:spacing w:after="0" w:line="72" w:lineRule="exact"/>
        <w:rPr>
          <w:sz w:val="20"/>
          <w:szCs w:val="20"/>
          <w:color w:val="auto"/>
        </w:rPr>
      </w:pPr>
    </w:p>
    <w:tbl>
      <w:tblPr>
        <w:tblLayout w:type="fixed"/>
        <w:tblInd w:w="46" w:type="dxa"/>
        <w:tblCellMar>
          <w:top w:w="0" w:type="dxa"/>
          <w:left w:w="0" w:type="dxa"/>
          <w:bottom w:w="0" w:type="dxa"/>
          <w:right w:w="0" w:type="dxa"/>
        </w:tblCellMar>
      </w:tblPr>
      <w:tr>
        <w:trPr>
          <w:trHeight w:val="202"/>
        </w:trPr>
        <w:tc>
          <w:tcPr>
            <w:tcW w:w="6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160" w:type="dxa"/>
            <w:vAlign w:val="bottom"/>
            <w:gridSpan w:val="3"/>
          </w:tcPr>
          <w:p>
            <w:pPr>
              <w:jc w:val="right"/>
              <w:ind w:right="76"/>
              <w:spacing w:after="0"/>
              <w:rPr>
                <w:sz w:val="20"/>
                <w:szCs w:val="20"/>
                <w:color w:val="auto"/>
              </w:rPr>
            </w:pPr>
            <w:r>
              <w:rPr>
                <w:rFonts w:ascii="Arial" w:cs="Arial" w:eastAsia="Arial" w:hAnsi="Arial"/>
                <w:sz w:val="14"/>
                <w:szCs w:val="14"/>
                <w:b w:val="1"/>
                <w:bCs w:val="1"/>
                <w:color w:val="auto"/>
              </w:rPr>
              <w:t>Shares Beneficially Owned</w:t>
            </w:r>
          </w:p>
        </w:tc>
      </w:tr>
      <w:tr>
        <w:trPr>
          <w:trHeight w:val="56"/>
        </w:trPr>
        <w:tc>
          <w:tcPr>
            <w:tcW w:w="6900" w:type="dxa"/>
            <w:vAlign w:val="bottom"/>
            <w:gridSpan w:val="2"/>
          </w:tcPr>
          <w:p>
            <w:pPr>
              <w:spacing w:after="0"/>
              <w:rPr>
                <w:sz w:val="4"/>
                <w:szCs w:val="4"/>
                <w:color w:val="auto"/>
              </w:rPr>
            </w:pPr>
          </w:p>
        </w:tc>
        <w:tc>
          <w:tcPr>
            <w:tcW w:w="1420" w:type="dxa"/>
            <w:vAlign w:val="bottom"/>
            <w:tcBorders>
              <w:bottom w:val="single" w:sz="8" w:color="auto"/>
            </w:tcBorders>
            <w:gridSpan w:val="2"/>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r>
      <w:tr>
        <w:trPr>
          <w:trHeight w:val="261"/>
        </w:trPr>
        <w:tc>
          <w:tcPr>
            <w:tcW w:w="6900" w:type="dxa"/>
            <w:vAlign w:val="bottom"/>
            <w:gridSpan w:val="2"/>
          </w:tcPr>
          <w:p>
            <w:pPr>
              <w:ind w:left="2600"/>
              <w:spacing w:after="0"/>
              <w:rPr>
                <w:sz w:val="20"/>
                <w:szCs w:val="20"/>
                <w:color w:val="auto"/>
              </w:rPr>
            </w:pPr>
            <w:r>
              <w:rPr>
                <w:rFonts w:ascii="Arial" w:cs="Arial" w:eastAsia="Arial" w:hAnsi="Arial"/>
                <w:sz w:val="14"/>
                <w:szCs w:val="14"/>
                <w:b w:val="1"/>
                <w:bCs w:val="1"/>
                <w:color w:val="auto"/>
              </w:rPr>
              <w:t>Name and Address</w:t>
            </w:r>
          </w:p>
        </w:tc>
        <w:tc>
          <w:tcPr>
            <w:tcW w:w="14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Number</w:t>
            </w:r>
          </w:p>
        </w:tc>
        <w:tc>
          <w:tcPr>
            <w:tcW w:w="740" w:type="dxa"/>
            <w:vAlign w:val="bottom"/>
          </w:tcPr>
          <w:p>
            <w:pPr>
              <w:jc w:val="right"/>
              <w:ind w:right="16"/>
              <w:spacing w:after="0"/>
              <w:rPr>
                <w:sz w:val="20"/>
                <w:szCs w:val="20"/>
                <w:color w:val="auto"/>
              </w:rPr>
            </w:pPr>
            <w:r>
              <w:rPr>
                <w:rFonts w:ascii="Arial" w:cs="Arial" w:eastAsia="Arial" w:hAnsi="Arial"/>
                <w:sz w:val="14"/>
                <w:szCs w:val="14"/>
                <w:b w:val="1"/>
                <w:bCs w:val="1"/>
                <w:color w:val="auto"/>
              </w:rPr>
              <w:t>Percent</w:t>
            </w:r>
          </w:p>
        </w:tc>
      </w:tr>
      <w:tr>
        <w:trPr>
          <w:trHeight w:val="56"/>
        </w:trPr>
        <w:tc>
          <w:tcPr>
            <w:tcW w:w="6500" w:type="dxa"/>
            <w:vAlign w:val="bottom"/>
            <w:tcBorders>
              <w:bottom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r>
      <w:tr>
        <w:trPr>
          <w:trHeight w:val="245"/>
        </w:trPr>
        <w:tc>
          <w:tcPr>
            <w:tcW w:w="6900" w:type="dxa"/>
            <w:vAlign w:val="bottom"/>
            <w:gridSpan w:val="2"/>
          </w:tcPr>
          <w:p>
            <w:pPr>
              <w:ind w:left="40"/>
              <w:spacing w:after="0" w:line="245" w:lineRule="exact"/>
              <w:rPr>
                <w:sz w:val="20"/>
                <w:szCs w:val="20"/>
                <w:color w:val="auto"/>
              </w:rPr>
            </w:pPr>
            <w:r>
              <w:rPr>
                <w:rFonts w:ascii="Arial" w:cs="Arial" w:eastAsia="Arial" w:hAnsi="Arial"/>
                <w:sz w:val="17"/>
                <w:szCs w:val="17"/>
                <w:color w:val="auto"/>
              </w:rPr>
              <w:t>BlackRock, Inc.</w:t>
            </w:r>
            <w:r>
              <w:rPr>
                <w:rFonts w:ascii="Arial" w:cs="Arial" w:eastAsia="Arial" w:hAnsi="Arial"/>
                <w:sz w:val="28"/>
                <w:szCs w:val="28"/>
                <w:color w:val="auto"/>
                <w:vertAlign w:val="superscript"/>
              </w:rPr>
              <w:t>(1)</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6,122,597</w:t>
            </w:r>
          </w:p>
        </w:tc>
        <w:tc>
          <w:tcPr>
            <w:tcW w:w="4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13.57%</w:t>
            </w:r>
          </w:p>
        </w:tc>
      </w:tr>
      <w:tr>
        <w:trPr>
          <w:trHeight w:val="212"/>
        </w:trPr>
        <w:tc>
          <w:tcPr>
            <w:tcW w:w="6900" w:type="dxa"/>
            <w:vAlign w:val="bottom"/>
            <w:gridSpan w:val="2"/>
          </w:tcPr>
          <w:p>
            <w:pPr>
              <w:ind w:left="220"/>
              <w:spacing w:after="0" w:line="212" w:lineRule="exact"/>
              <w:rPr>
                <w:sz w:val="20"/>
                <w:szCs w:val="20"/>
                <w:color w:val="auto"/>
              </w:rPr>
            </w:pPr>
            <w:r>
              <w:rPr>
                <w:rFonts w:ascii="Arial" w:cs="Arial" w:eastAsia="Arial" w:hAnsi="Arial"/>
                <w:sz w:val="15"/>
                <w:szCs w:val="15"/>
                <w:color w:val="auto"/>
              </w:rPr>
              <w:t>40 East 52</w:t>
            </w:r>
            <w:r>
              <w:rPr>
                <w:rFonts w:ascii="Arial" w:cs="Arial" w:eastAsia="Arial" w:hAnsi="Arial"/>
                <w:sz w:val="24"/>
                <w:szCs w:val="24"/>
                <w:color w:val="auto"/>
                <w:vertAlign w:val="superscript"/>
              </w:rPr>
              <w:t>nd</w:t>
            </w:r>
            <w:r>
              <w:rPr>
                <w:rFonts w:ascii="Arial" w:cs="Arial" w:eastAsia="Arial" w:hAnsi="Arial"/>
                <w:sz w:val="15"/>
                <w:szCs w:val="15"/>
                <w:color w:val="auto"/>
              </w:rPr>
              <w:t xml:space="preserve"> Street</w:t>
            </w: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43"/>
        </w:trPr>
        <w:tc>
          <w:tcPr>
            <w:tcW w:w="6900" w:type="dxa"/>
            <w:vAlign w:val="bottom"/>
            <w:gridSpan w:val="2"/>
          </w:tcPr>
          <w:p>
            <w:pPr>
              <w:ind w:left="220"/>
              <w:spacing w:after="0"/>
              <w:rPr>
                <w:sz w:val="20"/>
                <w:szCs w:val="20"/>
                <w:color w:val="auto"/>
              </w:rPr>
            </w:pPr>
            <w:r>
              <w:rPr>
                <w:rFonts w:ascii="Arial" w:cs="Arial" w:eastAsia="Arial" w:hAnsi="Arial"/>
                <w:sz w:val="18"/>
                <w:szCs w:val="18"/>
                <w:color w:val="auto"/>
              </w:rPr>
              <w:t>New York, NY 10055</w:t>
            </w:r>
          </w:p>
        </w:tc>
        <w:tc>
          <w:tcPr>
            <w:tcW w:w="10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527"/>
        </w:trPr>
        <w:tc>
          <w:tcPr>
            <w:tcW w:w="6900" w:type="dxa"/>
            <w:vAlign w:val="bottom"/>
            <w:gridSpan w:val="2"/>
          </w:tcPr>
          <w:p>
            <w:pPr>
              <w:ind w:left="40"/>
              <w:spacing w:after="0"/>
              <w:rPr>
                <w:sz w:val="20"/>
                <w:szCs w:val="20"/>
                <w:color w:val="auto"/>
              </w:rPr>
            </w:pPr>
            <w:r>
              <w:rPr>
                <w:rFonts w:ascii="Arial" w:cs="Arial" w:eastAsia="Arial" w:hAnsi="Arial"/>
                <w:sz w:val="18"/>
                <w:szCs w:val="18"/>
                <w:color w:val="auto"/>
              </w:rPr>
              <w:t>Vanguard Group</w:t>
            </w:r>
            <w:r>
              <w:rPr>
                <w:rFonts w:ascii="Arial" w:cs="Arial" w:eastAsia="Arial" w:hAnsi="Arial"/>
                <w:sz w:val="29"/>
                <w:szCs w:val="29"/>
                <w:color w:val="auto"/>
                <w:vertAlign w:val="superscript"/>
              </w:rPr>
              <w:t>(2)</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4,141,099</w:t>
            </w:r>
          </w:p>
        </w:tc>
        <w:tc>
          <w:tcPr>
            <w:tcW w:w="4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9.18%</w:t>
            </w:r>
          </w:p>
        </w:tc>
      </w:tr>
      <w:tr>
        <w:trPr>
          <w:trHeight w:val="203"/>
        </w:trPr>
        <w:tc>
          <w:tcPr>
            <w:tcW w:w="69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100 Vanguard Blvd.</w:t>
            </w: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43"/>
        </w:trPr>
        <w:tc>
          <w:tcPr>
            <w:tcW w:w="6900" w:type="dxa"/>
            <w:vAlign w:val="bottom"/>
            <w:gridSpan w:val="2"/>
          </w:tcPr>
          <w:p>
            <w:pPr>
              <w:ind w:left="220"/>
              <w:spacing w:after="0"/>
              <w:rPr>
                <w:sz w:val="20"/>
                <w:szCs w:val="20"/>
                <w:color w:val="auto"/>
              </w:rPr>
            </w:pPr>
            <w:r>
              <w:rPr>
                <w:rFonts w:ascii="Arial" w:cs="Arial" w:eastAsia="Arial" w:hAnsi="Arial"/>
                <w:sz w:val="18"/>
                <w:szCs w:val="18"/>
                <w:color w:val="auto"/>
              </w:rPr>
              <w:t>Malvern, PA 19355</w:t>
            </w:r>
          </w:p>
        </w:tc>
        <w:tc>
          <w:tcPr>
            <w:tcW w:w="10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357505</wp:posOffset>
            </wp:positionV>
            <wp:extent cx="82296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46" w:right="240" w:hanging="346"/>
        <w:spacing w:after="0" w:line="248" w:lineRule="auto"/>
        <w:tabs>
          <w:tab w:leader="none" w:pos="346" w:val="left"/>
        </w:tabs>
        <w:numPr>
          <w:ilvl w:val="0"/>
          <w:numId w:val="70"/>
        </w:numPr>
        <w:rPr>
          <w:rFonts w:ascii="Arial" w:cs="Arial" w:eastAsia="Arial" w:hAnsi="Arial"/>
          <w:sz w:val="14"/>
          <w:szCs w:val="14"/>
          <w:color w:val="auto"/>
        </w:rPr>
      </w:pPr>
      <w:r>
        <w:rPr>
          <w:rFonts w:ascii="Arial" w:cs="Arial" w:eastAsia="Arial" w:hAnsi="Arial"/>
          <w:sz w:val="14"/>
          <w:szCs w:val="14"/>
          <w:color w:val="auto"/>
        </w:rPr>
        <w:t>Information is based on Amendment No. 18 to a Schedule 13G filed with the SEC on January 26, 2021 by BlackRock, Inc., reporting beneficial ownership as of December 31, 2020 on behalf of its investment advisory subsidiaries, BlackRock Advisors, LLC, BlackRock Asset Management Canada Limited, BlackRock Asset Management Ireland Limited, BlackRock Asset Management Schweiz AG, BlackRock Financial Management, Inc., BlackRock Fund Advisors, BlackRock Institutional Trust Company, N.A., BlackRock Investment Management, LLC, BlackRock (Netherlands) B.V., BlackRock Investment Management (Australia) Limited, and BlackRock Investment Management (UK) Ltd. The Schedule 13G indicates that BlackRock Fund Advisors beneficially owns 5% or greater of these shares reported, and that BlackRock, Inc. has sole voting power over 6,122,597 of these shares and sole dispositive power over 6,167,292 of these shares.</w:t>
      </w:r>
    </w:p>
    <w:p>
      <w:pPr>
        <w:spacing w:after="0" w:line="32" w:lineRule="exact"/>
        <w:rPr>
          <w:rFonts w:ascii="Arial" w:cs="Arial" w:eastAsia="Arial" w:hAnsi="Arial"/>
          <w:sz w:val="14"/>
          <w:szCs w:val="14"/>
          <w:color w:val="auto"/>
        </w:rPr>
      </w:pPr>
    </w:p>
    <w:p>
      <w:pPr>
        <w:ind w:left="346" w:right="40" w:hanging="346"/>
        <w:spacing w:after="0" w:line="258" w:lineRule="auto"/>
        <w:tabs>
          <w:tab w:leader="none" w:pos="346" w:val="left"/>
        </w:tabs>
        <w:numPr>
          <w:ilvl w:val="0"/>
          <w:numId w:val="70"/>
        </w:numPr>
        <w:rPr>
          <w:rFonts w:ascii="Arial" w:cs="Arial" w:eastAsia="Arial" w:hAnsi="Arial"/>
          <w:sz w:val="14"/>
          <w:szCs w:val="14"/>
          <w:color w:val="auto"/>
        </w:rPr>
      </w:pPr>
      <w:r>
        <w:rPr>
          <w:rFonts w:ascii="Arial" w:cs="Arial" w:eastAsia="Arial" w:hAnsi="Arial"/>
          <w:sz w:val="14"/>
          <w:szCs w:val="14"/>
          <w:color w:val="auto"/>
        </w:rPr>
        <w:t>Information is based on Amendment No. 9 to a Schedule 13G filed with the SEC on February 10, 2021 by The Vanguard Group (Vanguard), reporting beneficial ownership as of December 31, 2020. The Schedule 13G indicates that Vanguard has sole dispositive power over 4,018,134 of these shares and shared dispositive power over 122,965 of these shares. Vanguard has sole voting power over 0 of these shares and shared voting power over 91,099 of these shares.</w:t>
      </w:r>
    </w:p>
    <w:p>
      <w:pPr>
        <w:spacing w:after="0" w:line="147"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DELINQUENT SECTION 16(a) REPORTS</w:t>
      </w:r>
    </w:p>
    <w:p>
      <w:pPr>
        <w:spacing w:after="0" w:line="187" w:lineRule="exact"/>
        <w:rPr>
          <w:sz w:val="20"/>
          <w:szCs w:val="20"/>
          <w:color w:val="auto"/>
        </w:rPr>
      </w:pPr>
    </w:p>
    <w:p>
      <w:pPr>
        <w:jc w:val="both"/>
        <w:ind w:left="6" w:right="260"/>
        <w:spacing w:after="0" w:line="248" w:lineRule="auto"/>
        <w:rPr>
          <w:sz w:val="20"/>
          <w:szCs w:val="20"/>
          <w:color w:val="auto"/>
        </w:rPr>
      </w:pPr>
      <w:r>
        <w:rPr>
          <w:rFonts w:ascii="Arial" w:cs="Arial" w:eastAsia="Arial" w:hAnsi="Arial"/>
          <w:sz w:val="18"/>
          <w:szCs w:val="18"/>
          <w:color w:val="auto"/>
        </w:rPr>
        <w:t>Section 16(a) of the Exchange Act requires our executive officers and directors and persons who own more than 10% of a registered class of our equity securities, to file reports of ownership and changes in ownership with the SEC. SEC regulations require our executive officers, directors, and greater than 10% shareholders to provide us with copies of all Section 16(a) forms they file.</w:t>
      </w:r>
    </w:p>
    <w:p>
      <w:pPr>
        <w:spacing w:after="0" w:line="130" w:lineRule="exact"/>
        <w:rPr>
          <w:sz w:val="20"/>
          <w:szCs w:val="20"/>
          <w:color w:val="auto"/>
        </w:rPr>
      </w:pPr>
    </w:p>
    <w:p>
      <w:pPr>
        <w:ind w:left="6"/>
        <w:spacing w:after="0" w:line="255" w:lineRule="auto"/>
        <w:rPr>
          <w:sz w:val="20"/>
          <w:szCs w:val="20"/>
          <w:color w:val="auto"/>
        </w:rPr>
      </w:pPr>
      <w:r>
        <w:rPr>
          <w:rFonts w:ascii="Arial" w:cs="Arial" w:eastAsia="Arial" w:hAnsi="Arial"/>
          <w:sz w:val="18"/>
          <w:szCs w:val="18"/>
          <w:color w:val="auto"/>
        </w:rPr>
        <w:t>Based solely on our review of these forms and written representations received from certain reporting persons, we believe that during 2020 all of our executive officers, directors, and greater than 10% shareholders complied with all Section 16(a) filing requirements applicable to them.</w:t>
      </w:r>
    </w:p>
    <w:p>
      <w:pPr>
        <w:spacing w:after="0" w:line="175"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LIST OF SHAREHOLDERS OF RECORD</w:t>
      </w:r>
    </w:p>
    <w:p>
      <w:pPr>
        <w:spacing w:after="0" w:line="173" w:lineRule="exact"/>
        <w:rPr>
          <w:sz w:val="20"/>
          <w:szCs w:val="20"/>
          <w:color w:val="auto"/>
        </w:rPr>
      </w:pPr>
    </w:p>
    <w:p>
      <w:pPr>
        <w:ind w:left="6" w:right="180"/>
        <w:spacing w:after="0" w:line="248" w:lineRule="auto"/>
        <w:rPr>
          <w:sz w:val="20"/>
          <w:szCs w:val="20"/>
          <w:color w:val="auto"/>
        </w:rPr>
      </w:pPr>
      <w:r>
        <w:rPr>
          <w:rFonts w:ascii="Arial" w:cs="Arial" w:eastAsia="Arial" w:hAnsi="Arial"/>
          <w:sz w:val="18"/>
          <w:szCs w:val="18"/>
          <w:color w:val="auto"/>
        </w:rPr>
        <w:t>A list of shareholders of record entitled to vote at the Annual Meeting will be available at the Annual Meeting and will also be available ten days prior to the annual meeting between the hours of 9:00 a.m. and 4:00 p.m., Pacific time, at the office of the Corporate Secretary, Itron, Inc., 2111 N. Molter Road, Liberty Lake, Washington 99019. A shareholder may examine the list for any legally valid purpose related to the annual meeting.</w:t>
      </w:r>
    </w:p>
    <w:p>
      <w:pPr>
        <w:spacing w:after="0" w:line="182"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ANNUAL REPORT AND FINANCIAL STATEMENTS</w:t>
      </w:r>
    </w:p>
    <w:p>
      <w:pPr>
        <w:spacing w:after="0" w:line="173" w:lineRule="exact"/>
        <w:rPr>
          <w:sz w:val="20"/>
          <w:szCs w:val="20"/>
          <w:color w:val="auto"/>
        </w:rPr>
      </w:pPr>
    </w:p>
    <w:p>
      <w:pPr>
        <w:ind w:left="6" w:right="420"/>
        <w:spacing w:after="0" w:line="248" w:lineRule="auto"/>
        <w:rPr>
          <w:sz w:val="20"/>
          <w:szCs w:val="20"/>
          <w:color w:val="auto"/>
        </w:rPr>
      </w:pPr>
      <w:r>
        <w:rPr>
          <w:rFonts w:ascii="Arial" w:cs="Arial" w:eastAsia="Arial" w:hAnsi="Arial"/>
          <w:sz w:val="18"/>
          <w:szCs w:val="18"/>
          <w:color w:val="auto"/>
        </w:rPr>
        <w:t xml:space="preserve">A copy of our 2020 Annual Report to Shareholders, which includes our financial statements for the year ended December 31, 2020, accompanies this proxy statement. In addition, you may view the Annual Report and this proxy statement on our Company website, </w:t>
      </w:r>
      <w:r>
        <w:rPr>
          <w:rFonts w:ascii="Arial" w:cs="Arial" w:eastAsia="Arial" w:hAnsi="Arial"/>
          <w:sz w:val="18"/>
          <w:szCs w:val="18"/>
          <w:i w:val="1"/>
          <w:iCs w:val="1"/>
          <w:color w:val="auto"/>
        </w:rPr>
        <w:t>www.itron.com</w:t>
      </w:r>
      <w:r>
        <w:rPr>
          <w:rFonts w:ascii="Arial" w:cs="Arial" w:eastAsia="Arial" w:hAnsi="Arial"/>
          <w:sz w:val="18"/>
          <w:szCs w:val="18"/>
          <w:color w:val="auto"/>
        </w:rPr>
        <w:t>, by selecting “Investors” and then “Financials and Filings.”</w:t>
      </w:r>
    </w:p>
    <w:p>
      <w:pPr>
        <w:spacing w:after="0" w:line="278" w:lineRule="exact"/>
        <w:rPr>
          <w:sz w:val="20"/>
          <w:szCs w:val="20"/>
          <w:color w:val="auto"/>
        </w:rPr>
      </w:pPr>
    </w:p>
    <w:p>
      <w:pPr>
        <w:jc w:val="center"/>
        <w:ind w:right="-25"/>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157480</wp:posOffset>
            </wp:positionV>
            <wp:extent cx="699516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263" w:right="1359" w:bottom="1440" w:gutter="0" w:footer="0" w:header="0"/>
        </w:sectPr>
      </w:pPr>
    </w:p>
    <w:bookmarkStart w:id="59" w:name="page60"/>
    <w:bookmarkEnd w:id="59"/>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PROPOSALS FOR THE 2022 ANNUAL MEETING</w:t>
      </w:r>
    </w:p>
    <w:p>
      <w:pPr>
        <w:spacing w:after="0" w:line="187"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Under the SEC’s proxy rules, shareholder proposals that meet specified conditions must be included in our proxy statement and proxy for the 2022 annual meeting. Under Exchange Act Rules 14a-5(e) and 14a-8(e), shareholders that intend to present a proposal at our 2022 annual meeting must give us written notice of the proposal not later than November 26, 2021 for the proposal to be considered for inclusion in our proxy materials for that meeting. In addition, shareholders who wish to submit nominations for the election of directors or proposals that will not be included in our proxy materials must do so in accordance with the advance notice provisions and other applicable requirements set forth in our Amended and Restated Bylaws. Our Amended and Restated Bylaws provide that the notice of proposals to be considered at our annual meeting must be received by Itron at least 90 days and not more than 120 days prior to the anniversary date of the prior year’s annual meeting, and that the notice of nominations for election of directors must be received at least 60 days and not more than 90 days prior to the date of our annual meeting (or if less than 60 days’ notice or prior public disclosure of the date of such annual meeting is given or made to the shareholders, not later than the tenth day following the day on which notice of the date of the annual meeting was mailed or public disclosure was made). Shareholders who intend to present proposals at the 2022 annual meeting that will not be included in our proxy materials must provide to our Corporate Secretary written notice of the business they wish to propose not later than February 12, 2022 and no sooner than January 13, 2022. Our timely receipt of a proposal by a qualified shareholder will not guarantee the proposal’s inclusion in our proxy materials or presentation at the 2022 annual meeting, because there are other requirements in the proxy rules. We reserve the right to reject, rule out of order, or take other appropriate action with respect to any proposal that does not comply with all applicable requirements of the SEC’s proxy rules, state law, and our Amended and Restated Bylaws.</w:t>
      </w:r>
    </w:p>
    <w:p>
      <w:pPr>
        <w:spacing w:after="0" w:line="138" w:lineRule="exact"/>
        <w:rPr>
          <w:sz w:val="20"/>
          <w:szCs w:val="20"/>
          <w:color w:val="auto"/>
        </w:rPr>
      </w:pPr>
    </w:p>
    <w:p>
      <w:pPr>
        <w:ind w:right="320"/>
        <w:spacing w:after="0" w:line="276" w:lineRule="auto"/>
        <w:rPr>
          <w:sz w:val="20"/>
          <w:szCs w:val="20"/>
          <w:color w:val="auto"/>
        </w:rPr>
      </w:pPr>
      <w:r>
        <w:rPr>
          <w:rFonts w:ascii="Arial" w:cs="Arial" w:eastAsia="Arial" w:hAnsi="Arial"/>
          <w:sz w:val="18"/>
          <w:szCs w:val="18"/>
          <w:color w:val="auto"/>
        </w:rPr>
        <w:t>Shareholder proposals should be directed to the attention of our Corporate Secretary, Itron, Inc., 2111 N. Molter Road, Liberty Lake, Washington 99019.</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INFORMATION</w:t>
      </w:r>
    </w:p>
    <w:p>
      <w:pPr>
        <w:spacing w:after="0" w:line="173"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 xml:space="preserve">We make available, free of charge, copies of our filings with the SEC, including this proxy statement and our Annual Report to Shareholders, upon the request of shareholders. The documents are also available for downloading or printing by going to our website at </w:t>
      </w:r>
      <w:r>
        <w:rPr>
          <w:rFonts w:ascii="Arial" w:cs="Arial" w:eastAsia="Arial" w:hAnsi="Arial"/>
          <w:sz w:val="18"/>
          <w:szCs w:val="18"/>
          <w:i w:val="1"/>
          <w:iCs w:val="1"/>
          <w:color w:val="auto"/>
        </w:rPr>
        <w:t>www.itron.com</w:t>
      </w:r>
      <w:r>
        <w:rPr>
          <w:rFonts w:ascii="Arial" w:cs="Arial" w:eastAsia="Arial" w:hAnsi="Arial"/>
          <w:sz w:val="18"/>
          <w:szCs w:val="18"/>
          <w:color w:val="auto"/>
        </w:rPr>
        <w:t xml:space="preserve">, and selecting “Investors” and then “Investor Relations - Financial Information.” Shareholders may submit a request for printed copies by e-mail through our website at </w:t>
      </w:r>
      <w:r>
        <w:rPr>
          <w:rFonts w:ascii="Arial" w:cs="Arial" w:eastAsia="Arial" w:hAnsi="Arial"/>
          <w:sz w:val="18"/>
          <w:szCs w:val="18"/>
          <w:i w:val="1"/>
          <w:iCs w:val="1"/>
          <w:color w:val="auto"/>
        </w:rPr>
        <w:t>www.itron.com</w:t>
      </w:r>
      <w:r>
        <w:rPr>
          <w:rFonts w:ascii="Arial" w:cs="Arial" w:eastAsia="Arial" w:hAnsi="Arial"/>
          <w:sz w:val="18"/>
          <w:szCs w:val="18"/>
          <w:color w:val="auto"/>
        </w:rPr>
        <w:t>, by selecting “Investors” and then “Contact Investor Relations” or by mail to the following address: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Itron, Inc. – Attention: Investor Relations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2111 N. Molter Road</w:t>
      </w:r>
    </w:p>
    <w:p>
      <w:pPr>
        <w:jc w:val="center"/>
        <w:ind w:right="20"/>
        <w:spacing w:after="0"/>
        <w:rPr>
          <w:sz w:val="20"/>
          <w:szCs w:val="20"/>
          <w:color w:val="auto"/>
        </w:rPr>
      </w:pPr>
      <w:r>
        <w:rPr>
          <w:rFonts w:ascii="Arial" w:cs="Arial" w:eastAsia="Arial" w:hAnsi="Arial"/>
          <w:sz w:val="18"/>
          <w:szCs w:val="18"/>
          <w:color w:val="auto"/>
        </w:rPr>
        <w:t>Liberty Lake, Washington 99019</w:t>
      </w: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165735</wp:posOffset>
            </wp:positionV>
            <wp:extent cx="699516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60"/>
          </w:cols>
          <w:pgMar w:left="1360" w:top="263" w:right="1379" w:bottom="1440" w:gutter="0" w:footer="0" w:header="0"/>
        </w:sectPr>
      </w:pPr>
    </w:p>
    <w:bookmarkStart w:id="60" w:name="page61"/>
    <w:bookmarkEnd w:id="60"/>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93345</wp:posOffset>
            </wp:positionV>
            <wp:extent cx="6995160" cy="841819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995160" cy="841819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bookmarkStart w:id="61" w:name="page62"/>
    <w:bookmarkEnd w:id="61"/>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93345</wp:posOffset>
            </wp:positionV>
            <wp:extent cx="6995160" cy="841819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995160" cy="841819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bookmarkStart w:id="62" w:name="page63"/>
    <w:bookmarkEnd w:id="62"/>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93345</wp:posOffset>
            </wp:positionV>
            <wp:extent cx="6995160" cy="841819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995160" cy="841819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bookmarkStart w:id="63" w:name="page64"/>
    <w:bookmarkEnd w:id="63"/>
    <w:p>
      <w:pPr>
        <w:spacing w:after="0"/>
        <w:rPr>
          <w:rFonts w:ascii="Times New Roman" w:cs="Times New Roman" w:eastAsia="Times New Roman" w:hAnsi="Times New Roman"/>
          <w:sz w:val="14"/>
          <w:szCs w:val="14"/>
          <w:b w:val="1"/>
          <w:bCs w:val="1"/>
          <w:u w:val="single" w:color="auto"/>
          <w:color w:val="0000EE"/>
        </w:rPr>
      </w:pPr>
      <w:hyperlink w:anchor="page3">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93345</wp:posOffset>
            </wp:positionV>
            <wp:extent cx="6300470" cy="815213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300470" cy="8152130"/>
                    </a:xfrm>
                    <a:prstGeom prst="rect">
                      <a:avLst/>
                    </a:prstGeom>
                    <a:noFill/>
                  </pic:spPr>
                </pic:pic>
              </a:graphicData>
            </a:graphic>
          </wp:anchor>
        </w:drawing>
      </w:r>
    </w:p>
    <w:sectPr>
      <w:pgSz w:w="11900" w:h="16838" w:orient="portrait"/>
      <w:cols w:equalWidth="0" w:num="1">
        <w:col w:w="10039"/>
      </w:cols>
      <w:pgMar w:left="420" w:top="26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40BADFC"/>
    <w:multiLevelType w:val="hybridMultilevel"/>
    <w:lvl w:ilvl="0">
      <w:lvlJc w:val="left"/>
      <w:lvlText w:val="☒"/>
      <w:numFmt w:val="bullet"/>
      <w:start w:val="1"/>
    </w:lvl>
    <w:lvl w:ilvl="1">
      <w:lvlJc w:val="left"/>
      <w:lvlText w:val="☐"/>
      <w:numFmt w:val="bullet"/>
      <w:start w:val="1"/>
    </w:lvl>
  </w:abstractNum>
  <w:abstractNum w:abstractNumId="1">
    <w:nsid w:val="5072367"/>
    <w:multiLevelType w:val="hybridMultilevel"/>
    <w:lvl w:ilvl="0">
      <w:lvlJc w:val="left"/>
      <w:lvlText w:val="☒"/>
      <w:numFmt w:val="bullet"/>
      <w:start w:val="1"/>
    </w:lvl>
    <w:lvl w:ilvl="1">
      <w:lvlJc w:val="left"/>
      <w:lvlText w:val="☐"/>
      <w:numFmt w:val="bullet"/>
      <w:start w:val="1"/>
    </w:lvl>
    <w:lvl w:ilvl="2">
      <w:lvlJc w:val="left"/>
      <w:lvlText w:val="(%3)"/>
      <w:numFmt w:val="decimal"/>
      <w:start w:val="1"/>
    </w:lvl>
  </w:abstractNum>
  <w:abstractNum w:abstractNumId="2">
    <w:nsid w:val="3804823E"/>
    <w:multiLevelType w:val="hybridMultilevel"/>
    <w:lvl w:ilvl="0">
      <w:lvlJc w:val="left"/>
      <w:lvlText w:val="%1."/>
      <w:numFmt w:val="decimal"/>
      <w:start w:val="1"/>
    </w:lvl>
  </w:abstractNum>
  <w:abstractNum w:abstractNumId="3">
    <w:nsid w:val="77465F01"/>
    <w:multiLevelType w:val="hybridMultilevel"/>
    <w:lvl w:ilvl="0">
      <w:lvlJc w:val="left"/>
      <w:lvlText w:val="•"/>
      <w:numFmt w:val="bullet"/>
      <w:start w:val="1"/>
    </w:lvl>
  </w:abstractNum>
  <w:abstractNum w:abstractNumId="4">
    <w:nsid w:val="7724C67E"/>
    <w:multiLevelType w:val="hybridMultilevel"/>
    <w:lvl w:ilvl="0">
      <w:lvlJc w:val="left"/>
      <w:lvlText w:val="(%1)"/>
      <w:numFmt w:val="decimal"/>
      <w:start w:val="1"/>
    </w:lvl>
  </w:abstractNum>
  <w:abstractNum w:abstractNumId="5">
    <w:nsid w:val="5C482A97"/>
    <w:multiLevelType w:val="hybridMultilevel"/>
    <w:lvl w:ilvl="0">
      <w:lvlJc w:val="left"/>
      <w:lvlText w:val="(%1)"/>
      <w:numFmt w:val="decimal"/>
      <w:start w:val="1"/>
    </w:lvl>
  </w:abstractNum>
  <w:abstractNum w:abstractNumId="6">
    <w:nsid w:val="2463B9EA"/>
    <w:multiLevelType w:val="hybridMultilevel"/>
    <w:lvl w:ilvl="0">
      <w:lvlJc w:val="left"/>
      <w:lvlText w:val="•"/>
      <w:numFmt w:val="bullet"/>
      <w:start w:val="1"/>
    </w:lvl>
  </w:abstractNum>
  <w:abstractNum w:abstractNumId="7">
    <w:nsid w:val="5E884ADC"/>
    <w:multiLevelType w:val="hybridMultilevel"/>
    <w:lvl w:ilvl="0">
      <w:lvlJc w:val="left"/>
      <w:lvlText w:val="*"/>
      <w:numFmt w:val="bullet"/>
      <w:start w:val="1"/>
    </w:lvl>
  </w:abstractNum>
  <w:abstractNum w:abstractNumId="8">
    <w:nsid w:val="51EAD36B"/>
    <w:multiLevelType w:val="hybridMultilevel"/>
    <w:lvl w:ilvl="0">
      <w:lvlJc w:val="left"/>
      <w:lvlText w:val="**"/>
      <w:numFmt w:val="bullet"/>
      <w:start w:val="1"/>
    </w:lvl>
  </w:abstractNum>
  <w:abstractNum w:abstractNumId="9">
    <w:nsid w:val="2D517796"/>
    <w:multiLevelType w:val="hybridMultilevel"/>
    <w:lvl w:ilvl="0">
      <w:lvlJc w:val="left"/>
      <w:lvlText w:val="(%1)"/>
      <w:numFmt w:val="decimal"/>
      <w:start w:val="1"/>
    </w:lvl>
  </w:abstractNum>
  <w:abstractNum w:abstractNumId="10">
    <w:nsid w:val="580BD78F"/>
    <w:multiLevelType w:val="hybridMultilevel"/>
    <w:lvl w:ilvl="0">
      <w:lvlJc w:val="left"/>
      <w:lvlText w:val="(%1)"/>
      <w:numFmt w:val="decimal"/>
      <w:start w:val="1"/>
    </w:lvl>
  </w:abstractNum>
  <w:abstractNum w:abstractNumId="11">
    <w:nsid w:val="153EA438"/>
    <w:multiLevelType w:val="hybridMultilevel"/>
    <w:lvl w:ilvl="0">
      <w:lvlJc w:val="left"/>
      <w:lvlText w:val="(%1)"/>
      <w:numFmt w:val="decimal"/>
      <w:start w:val="1"/>
    </w:lvl>
  </w:abstractNum>
  <w:abstractNum w:abstractNumId="12">
    <w:nsid w:val="3855585C"/>
    <w:multiLevelType w:val="hybridMultilevel"/>
    <w:lvl w:ilvl="0">
      <w:lvlJc w:val="left"/>
      <w:lvlText w:val="•"/>
      <w:numFmt w:val="bullet"/>
      <w:start w:val="1"/>
    </w:lvl>
  </w:abstractNum>
  <w:abstractNum w:abstractNumId="13">
    <w:nsid w:val="70A64E2A"/>
    <w:multiLevelType w:val="hybridMultilevel"/>
    <w:lvl w:ilvl="0">
      <w:lvlJc w:val="left"/>
      <w:lvlText w:val="•"/>
      <w:numFmt w:val="bullet"/>
      <w:start w:val="1"/>
    </w:lvl>
  </w:abstractNum>
  <w:abstractNum w:abstractNumId="14">
    <w:nsid w:val="6A2342EC"/>
    <w:multiLevelType w:val="hybridMultilevel"/>
    <w:lvl w:ilvl="0">
      <w:lvlJc w:val="left"/>
      <w:lvlText w:val="•"/>
      <w:numFmt w:val="bullet"/>
      <w:start w:val="1"/>
    </w:lvl>
  </w:abstractNum>
  <w:abstractNum w:abstractNumId="15">
    <w:nsid w:val="2A487CB0"/>
    <w:multiLevelType w:val="hybridMultilevel"/>
    <w:lvl w:ilvl="0">
      <w:lvlJc w:val="left"/>
      <w:lvlText w:val="•"/>
      <w:numFmt w:val="bullet"/>
      <w:start w:val="1"/>
    </w:lvl>
  </w:abstractNum>
  <w:abstractNum w:abstractNumId="16">
    <w:nsid w:val="1D4ED43B"/>
    <w:multiLevelType w:val="hybridMultilevel"/>
    <w:lvl w:ilvl="0">
      <w:lvlJc w:val="left"/>
      <w:lvlText w:val="•"/>
      <w:numFmt w:val="bullet"/>
      <w:start w:val="1"/>
    </w:lvl>
  </w:abstractNum>
  <w:abstractNum w:abstractNumId="17">
    <w:nsid w:val="725A06FB"/>
    <w:multiLevelType w:val="hybridMultilevel"/>
    <w:lvl w:ilvl="0">
      <w:lvlJc w:val="left"/>
      <w:lvlText w:val="•"/>
      <w:numFmt w:val="bullet"/>
      <w:start w:val="1"/>
    </w:lvl>
  </w:abstractNum>
  <w:abstractNum w:abstractNumId="18">
    <w:nsid w:val="2CD89A32"/>
    <w:multiLevelType w:val="hybridMultilevel"/>
    <w:lvl w:ilvl="0">
      <w:lvlJc w:val="left"/>
      <w:lvlText w:val="•"/>
      <w:numFmt w:val="bullet"/>
      <w:start w:val="1"/>
    </w:lvl>
  </w:abstractNum>
  <w:abstractNum w:abstractNumId="19">
    <w:nsid w:val="57E4CCAF"/>
    <w:multiLevelType w:val="hybridMultilevel"/>
    <w:lvl w:ilvl="0">
      <w:lvlJc w:val="left"/>
      <w:lvlText w:val="•"/>
      <w:numFmt w:val="bullet"/>
      <w:start w:val="1"/>
    </w:lvl>
  </w:abstractNum>
  <w:abstractNum w:abstractNumId="20">
    <w:nsid w:val="7A6D8D3C"/>
    <w:multiLevelType w:val="hybridMultilevel"/>
    <w:lvl w:ilvl="0">
      <w:lvlJc w:val="left"/>
      <w:lvlText w:val="•"/>
      <w:numFmt w:val="bullet"/>
      <w:start w:val="1"/>
    </w:lvl>
  </w:abstractNum>
  <w:abstractNum w:abstractNumId="21">
    <w:nsid w:val="4B588F54"/>
    <w:multiLevelType w:val="hybridMultilevel"/>
    <w:lvl w:ilvl="0">
      <w:lvlJc w:val="left"/>
      <w:lvlText w:val="•"/>
      <w:numFmt w:val="bullet"/>
      <w:start w:val="1"/>
    </w:lvl>
  </w:abstractNum>
  <w:abstractNum w:abstractNumId="22">
    <w:nsid w:val="542289EC"/>
    <w:multiLevelType w:val="hybridMultilevel"/>
    <w:lvl w:ilvl="0">
      <w:lvlJc w:val="left"/>
      <w:lvlText w:val="•"/>
      <w:numFmt w:val="bullet"/>
      <w:start w:val="1"/>
    </w:lvl>
  </w:abstractNum>
  <w:abstractNum w:abstractNumId="23">
    <w:nsid w:val="6DE91B18"/>
    <w:multiLevelType w:val="hybridMultilevel"/>
    <w:lvl w:ilvl="0">
      <w:lvlJc w:val="left"/>
      <w:lvlText w:val="•"/>
      <w:numFmt w:val="bullet"/>
      <w:start w:val="1"/>
    </w:lvl>
  </w:abstractNum>
  <w:abstractNum w:abstractNumId="24">
    <w:nsid w:val="38437FDB"/>
    <w:multiLevelType w:val="hybridMultilevel"/>
    <w:lvl w:ilvl="0">
      <w:lvlJc w:val="left"/>
      <w:lvlText w:val="(%1)"/>
      <w:numFmt w:val="decimal"/>
      <w:start w:val="2"/>
    </w:lvl>
  </w:abstractNum>
  <w:abstractNum w:abstractNumId="25">
    <w:nsid w:val="7644A45C"/>
    <w:multiLevelType w:val="hybridMultilevel"/>
    <w:lvl w:ilvl="0">
      <w:lvlJc w:val="left"/>
      <w:lvlText w:val="•"/>
      <w:numFmt w:val="bullet"/>
      <w:start w:val="1"/>
    </w:lvl>
  </w:abstractNum>
  <w:abstractNum w:abstractNumId="26">
    <w:nsid w:val="32FFF902"/>
    <w:multiLevelType w:val="hybridMultilevel"/>
    <w:lvl w:ilvl="0">
      <w:lvlJc w:val="left"/>
      <w:lvlText w:val="•"/>
      <w:numFmt w:val="bullet"/>
      <w:start w:val="1"/>
    </w:lvl>
  </w:abstractNum>
  <w:abstractNum w:abstractNumId="27">
    <w:nsid w:val="684A481A"/>
    <w:multiLevelType w:val="hybridMultilevel"/>
    <w:lvl w:ilvl="0">
      <w:lvlJc w:val="left"/>
      <w:lvlText w:val="○"/>
      <w:numFmt w:val="bullet"/>
      <w:start w:val="1"/>
    </w:lvl>
  </w:abstractNum>
  <w:abstractNum w:abstractNumId="28">
    <w:nsid w:val="579478FE"/>
    <w:multiLevelType w:val="hybridMultilevel"/>
    <w:lvl w:ilvl="0">
      <w:lvlJc w:val="left"/>
      <w:lvlText w:val="*"/>
      <w:numFmt w:val="bullet"/>
      <w:start w:val="1"/>
    </w:lvl>
  </w:abstractNum>
  <w:abstractNum w:abstractNumId="29">
    <w:nsid w:val="749ABB43"/>
    <w:multiLevelType w:val="hybridMultilevel"/>
    <w:lvl w:ilvl="0">
      <w:lvlJc w:val="left"/>
      <w:lvlText w:val="•"/>
      <w:numFmt w:val="bullet"/>
      <w:start w:val="1"/>
    </w:lvl>
  </w:abstractNum>
  <w:abstractNum w:abstractNumId="30">
    <w:nsid w:val="3DC240FB"/>
    <w:multiLevelType w:val="hybridMultilevel"/>
    <w:lvl w:ilvl="0">
      <w:lvlJc w:val="left"/>
      <w:lvlText w:val="•"/>
      <w:numFmt w:val="bullet"/>
      <w:start w:val="1"/>
    </w:lvl>
  </w:abstractNum>
  <w:abstractNum w:abstractNumId="31">
    <w:nsid w:val="1BA026FA"/>
    <w:multiLevelType w:val="hybridMultilevel"/>
    <w:lvl w:ilvl="0">
      <w:lvlJc w:val="left"/>
      <w:lvlText w:val="•"/>
      <w:numFmt w:val="bullet"/>
      <w:start w:val="1"/>
    </w:lvl>
  </w:abstractNum>
  <w:abstractNum w:abstractNumId="32">
    <w:nsid w:val="79A1DEAA"/>
    <w:multiLevelType w:val="hybridMultilevel"/>
    <w:lvl w:ilvl="0">
      <w:lvlJc w:val="left"/>
      <w:lvlText w:val="•"/>
      <w:numFmt w:val="bullet"/>
      <w:start w:val="1"/>
    </w:lvl>
  </w:abstractNum>
  <w:abstractNum w:abstractNumId="33">
    <w:nsid w:val="75C6C33A"/>
    <w:multiLevelType w:val="hybridMultilevel"/>
    <w:lvl w:ilvl="0">
      <w:lvlJc w:val="left"/>
      <w:lvlText w:val="•"/>
      <w:numFmt w:val="bullet"/>
      <w:start w:val="1"/>
    </w:lvl>
  </w:abstractNum>
  <w:abstractNum w:abstractNumId="34">
    <w:nsid w:val="12E685FB"/>
    <w:multiLevelType w:val="hybridMultilevel"/>
    <w:lvl w:ilvl="0">
      <w:lvlJc w:val="left"/>
      <w:lvlText w:val="•"/>
      <w:numFmt w:val="bullet"/>
      <w:start w:val="1"/>
    </w:lvl>
  </w:abstractNum>
  <w:abstractNum w:abstractNumId="35">
    <w:nsid w:val="70C6A529"/>
    <w:multiLevelType w:val="hybridMultilevel"/>
    <w:lvl w:ilvl="0">
      <w:lvlJc w:val="left"/>
      <w:lvlText w:val="*"/>
      <w:numFmt w:val="bullet"/>
      <w:start w:val="1"/>
    </w:lvl>
  </w:abstractNum>
  <w:abstractNum w:abstractNumId="36">
    <w:nsid w:val="520EEDD1"/>
    <w:multiLevelType w:val="hybridMultilevel"/>
    <w:lvl w:ilvl="0">
      <w:lvlJc w:val="left"/>
      <w:lvlText w:val="*"/>
      <w:numFmt w:val="bullet"/>
      <w:start w:val="1"/>
    </w:lvl>
  </w:abstractNum>
  <w:abstractNum w:abstractNumId="37">
    <w:nsid w:val="374A3FE6"/>
    <w:multiLevelType w:val="hybridMultilevel"/>
    <w:lvl w:ilvl="0">
      <w:lvlJc w:val="left"/>
      <w:lvlText w:val="*"/>
      <w:numFmt w:val="bullet"/>
      <w:start w:val="1"/>
    </w:lvl>
  </w:abstractNum>
  <w:abstractNum w:abstractNumId="38">
    <w:nsid w:val="4F4EF005"/>
    <w:multiLevelType w:val="hybridMultilevel"/>
    <w:lvl w:ilvl="0">
      <w:lvlJc w:val="left"/>
      <w:lvlText w:val="*"/>
      <w:numFmt w:val="bullet"/>
      <w:start w:val="1"/>
    </w:lvl>
  </w:abstractNum>
  <w:abstractNum w:abstractNumId="39">
    <w:nsid w:val="23F9C13C"/>
    <w:multiLevelType w:val="hybridMultilevel"/>
    <w:lvl w:ilvl="0">
      <w:lvlJc w:val="left"/>
      <w:lvlText w:val="**"/>
      <w:numFmt w:val="bullet"/>
      <w:start w:val="1"/>
    </w:lvl>
  </w:abstractNum>
  <w:abstractNum w:abstractNumId="40">
    <w:nsid w:val="649BB77C"/>
    <w:multiLevelType w:val="hybridMultilevel"/>
    <w:lvl w:ilvl="0">
      <w:lvlJc w:val="left"/>
      <w:lvlText w:val="•"/>
      <w:numFmt w:val="bullet"/>
      <w:start w:val="1"/>
    </w:lvl>
  </w:abstractNum>
  <w:abstractNum w:abstractNumId="41">
    <w:nsid w:val="275AC794"/>
    <w:multiLevelType w:val="hybridMultilevel"/>
    <w:lvl w:ilvl="0">
      <w:lvlJc w:val="left"/>
      <w:lvlText w:val="•"/>
      <w:numFmt w:val="bullet"/>
      <w:start w:val="1"/>
    </w:lvl>
  </w:abstractNum>
  <w:abstractNum w:abstractNumId="42">
    <w:nsid w:val="39386575"/>
    <w:multiLevelType w:val="hybridMultilevel"/>
    <w:lvl w:ilvl="0">
      <w:lvlJc w:val="left"/>
      <w:lvlText w:val="*"/>
      <w:numFmt w:val="bullet"/>
      <w:start w:val="1"/>
    </w:lvl>
  </w:abstractNum>
  <w:abstractNum w:abstractNumId="43">
    <w:nsid w:val="1CF10FD8"/>
    <w:multiLevelType w:val="hybridMultilevel"/>
    <w:lvl w:ilvl="0">
      <w:lvlJc w:val="left"/>
      <w:lvlText w:val="(%1)"/>
      <w:numFmt w:val="lowerRoman"/>
      <w:start w:val="2"/>
    </w:lvl>
  </w:abstractNum>
  <w:abstractNum w:abstractNumId="44">
    <w:nsid w:val="180115BE"/>
    <w:multiLevelType w:val="hybridMultilevel"/>
    <w:lvl w:ilvl="0">
      <w:lvlJc w:val="left"/>
      <w:lvlText w:val="•"/>
      <w:numFmt w:val="bullet"/>
      <w:start w:val="1"/>
    </w:lvl>
  </w:abstractNum>
  <w:abstractNum w:abstractNumId="45">
    <w:nsid w:val="235BA861"/>
    <w:multiLevelType w:val="hybridMultilevel"/>
    <w:lvl w:ilvl="0">
      <w:lvlJc w:val="left"/>
      <w:lvlText w:val="(%1)"/>
      <w:numFmt w:val="decimal"/>
      <w:start w:val="1"/>
    </w:lvl>
  </w:abstractNum>
  <w:abstractNum w:abstractNumId="46">
    <w:nsid w:val="47398C89"/>
    <w:multiLevelType w:val="hybridMultilevel"/>
    <w:lvl w:ilvl="0">
      <w:lvlJc w:val="left"/>
      <w:lvlText w:val="(%1)"/>
      <w:numFmt w:val="decimal"/>
      <w:start w:val="1"/>
    </w:lvl>
  </w:abstractNum>
  <w:abstractNum w:abstractNumId="47">
    <w:nsid w:val="354FE9F9"/>
    <w:multiLevelType w:val="hybridMultilevel"/>
    <w:lvl w:ilvl="0">
      <w:lvlJc w:val="left"/>
      <w:lvlText w:val="\endash "/>
      <w:numFmt w:val="bullet"/>
      <w:start w:val="1"/>
    </w:lvl>
  </w:abstractNum>
  <w:abstractNum w:abstractNumId="48">
    <w:nsid w:val="15B5AF5C"/>
    <w:multiLevelType w:val="hybridMultilevel"/>
    <w:lvl w:ilvl="0">
      <w:lvlJc w:val="left"/>
      <w:lvlText w:val="(%1)"/>
      <w:numFmt w:val="decimal"/>
      <w:start w:val="1"/>
    </w:lvl>
  </w:abstractNum>
  <w:abstractNum w:abstractNumId="49">
    <w:nsid w:val="741226BB"/>
    <w:multiLevelType w:val="hybridMultilevel"/>
    <w:lvl w:ilvl="0">
      <w:lvlJc w:val="left"/>
      <w:lvlText w:val="(%1)"/>
      <w:numFmt w:val="decimal"/>
      <w:start w:val="2"/>
    </w:lvl>
  </w:abstractNum>
  <w:abstractNum w:abstractNumId="50">
    <w:nsid w:val="D34B6A8"/>
    <w:multiLevelType w:val="hybridMultilevel"/>
    <w:lvl w:ilvl="0">
      <w:lvlJc w:val="left"/>
      <w:lvlText w:val="(%1)"/>
      <w:numFmt w:val="decimal"/>
      <w:start w:val="3"/>
    </w:lvl>
  </w:abstractNum>
  <w:abstractNum w:abstractNumId="51">
    <w:nsid w:val="10233C99"/>
    <w:multiLevelType w:val="hybridMultilevel"/>
    <w:lvl w:ilvl="0">
      <w:lvlJc w:val="left"/>
      <w:lvlText w:val="(%1)"/>
      <w:numFmt w:val="decimal"/>
      <w:start w:val="1"/>
    </w:lvl>
  </w:abstractNum>
  <w:abstractNum w:abstractNumId="52">
    <w:nsid w:val="3F6AB60F"/>
    <w:multiLevelType w:val="hybridMultilevel"/>
    <w:lvl w:ilvl="0">
      <w:lvlJc w:val="left"/>
      <w:lvlText w:val="(%1)"/>
      <w:numFmt w:val="decimal"/>
      <w:start w:val="1"/>
    </w:lvl>
  </w:abstractNum>
  <w:abstractNum w:abstractNumId="53">
    <w:nsid w:val="61574095"/>
    <w:multiLevelType w:val="hybridMultilevel"/>
    <w:lvl w:ilvl="0">
      <w:lvlJc w:val="left"/>
      <w:lvlText w:val="(%1)"/>
      <w:numFmt w:val="decimal"/>
      <w:start w:val="1"/>
    </w:lvl>
  </w:abstractNum>
  <w:abstractNum w:abstractNumId="54">
    <w:nsid w:val="7E0C57B1"/>
    <w:multiLevelType w:val="hybridMultilevel"/>
    <w:lvl w:ilvl="0">
      <w:lvlJc w:val="left"/>
      <w:lvlText w:val="(%1)"/>
      <w:numFmt w:val="decimal"/>
      <w:start w:val="5"/>
    </w:lvl>
  </w:abstractNum>
  <w:abstractNum w:abstractNumId="55">
    <w:nsid w:val="77AE35EB"/>
    <w:multiLevelType w:val="hybridMultilevel"/>
    <w:lvl w:ilvl="0">
      <w:lvlJc w:val="left"/>
      <w:lvlText w:val="•"/>
      <w:numFmt w:val="bullet"/>
      <w:start w:val="1"/>
    </w:lvl>
  </w:abstractNum>
  <w:abstractNum w:abstractNumId="56">
    <w:nsid w:val="579BE4F1"/>
    <w:multiLevelType w:val="hybridMultilevel"/>
    <w:lvl w:ilvl="0">
      <w:lvlJc w:val="left"/>
      <w:lvlText w:val="•"/>
      <w:numFmt w:val="bullet"/>
      <w:start w:val="1"/>
    </w:lvl>
  </w:abstractNum>
  <w:abstractNum w:abstractNumId="57">
    <w:nsid w:val="310C50B3"/>
    <w:multiLevelType w:val="hybridMultilevel"/>
    <w:lvl w:ilvl="0">
      <w:lvlJc w:val="left"/>
      <w:lvlText w:val="•"/>
      <w:numFmt w:val="bullet"/>
      <w:start w:val="1"/>
    </w:lvl>
    <w:lvl w:ilvl="1">
      <w:lvlJc w:val="left"/>
      <w:lvlText w:val="•"/>
      <w:numFmt w:val="bullet"/>
      <w:start w:val="1"/>
    </w:lvl>
  </w:abstractNum>
  <w:abstractNum w:abstractNumId="58">
    <w:nsid w:val="5FF87E05"/>
    <w:multiLevelType w:val="hybridMultilevel"/>
    <w:lvl w:ilvl="0">
      <w:lvlJc w:val="left"/>
      <w:lvlText w:val="(%1)"/>
      <w:numFmt w:val="decimal"/>
      <w:start w:val="1"/>
    </w:lvl>
  </w:abstractNum>
  <w:abstractNum w:abstractNumId="59">
    <w:nsid w:val="2F305DEF"/>
    <w:multiLevelType w:val="hybridMultilevel"/>
    <w:lvl w:ilvl="0">
      <w:lvlJc w:val="left"/>
      <w:lvlText w:val="(%1)"/>
      <w:numFmt w:val="decimal"/>
      <w:start w:val="1"/>
    </w:lvl>
  </w:abstractNum>
  <w:abstractNum w:abstractNumId="60">
    <w:nsid w:val="25A70BF7"/>
    <w:multiLevelType w:val="hybridMultilevel"/>
    <w:lvl w:ilvl="0">
      <w:lvlJc w:val="left"/>
      <w:lvlText w:val="(%1)"/>
      <w:numFmt w:val="decimal"/>
      <w:start w:val="1"/>
    </w:lvl>
  </w:abstractNum>
  <w:abstractNum w:abstractNumId="61">
    <w:nsid w:val="1DBABF00"/>
    <w:multiLevelType w:val="hybridMultilevel"/>
    <w:lvl w:ilvl="0">
      <w:lvlJc w:val="left"/>
      <w:lvlText w:val="(%1)"/>
      <w:numFmt w:val="decimal"/>
      <w:start w:val="1"/>
    </w:lvl>
  </w:abstractNum>
  <w:abstractNum w:abstractNumId="62">
    <w:nsid w:val="4AD084E9"/>
    <w:multiLevelType w:val="hybridMultilevel"/>
    <w:lvl w:ilvl="0">
      <w:lvlJc w:val="left"/>
      <w:lvlText w:val="(%1)"/>
      <w:numFmt w:val="decimal"/>
      <w:start w:val="1"/>
    </w:lvl>
  </w:abstractNum>
  <w:abstractNum w:abstractNumId="63">
    <w:nsid w:val="1F48EAA1"/>
    <w:multiLevelType w:val="hybridMultilevel"/>
    <w:lvl w:ilvl="0">
      <w:lvlJc w:val="left"/>
      <w:lvlText w:val="(%1)"/>
      <w:numFmt w:val="decimal"/>
      <w:start w:val="1"/>
    </w:lvl>
  </w:abstractNum>
  <w:abstractNum w:abstractNumId="64">
    <w:nsid w:val="1381823A"/>
    <w:multiLevelType w:val="hybridMultilevel"/>
    <w:lvl w:ilvl="0">
      <w:lvlJc w:val="left"/>
      <w:lvlText w:val="(%1)"/>
      <w:numFmt w:val="decimal"/>
      <w:start w:val="1"/>
    </w:lvl>
  </w:abstractNum>
  <w:abstractNum w:abstractNumId="65">
    <w:nsid w:val="5DB70AE5"/>
    <w:multiLevelType w:val="hybridMultilevel"/>
    <w:lvl w:ilvl="0">
      <w:lvlJc w:val="left"/>
      <w:lvlText w:val="(%1)"/>
      <w:numFmt w:val="decimal"/>
      <w:start w:val="1"/>
    </w:lvl>
  </w:abstractNum>
  <w:abstractNum w:abstractNumId="66">
    <w:nsid w:val="100F8FCA"/>
    <w:multiLevelType w:val="hybridMultilevel"/>
    <w:lvl w:ilvl="0">
      <w:lvlJc w:val="left"/>
      <w:lvlText w:val="*"/>
      <w:numFmt w:val="bullet"/>
      <w:start w:val="1"/>
    </w:lvl>
  </w:abstractNum>
  <w:abstractNum w:abstractNumId="67">
    <w:nsid w:val="6590700B"/>
    <w:multiLevelType w:val="hybridMultilevel"/>
    <w:lvl w:ilvl="0">
      <w:lvlJc w:val="left"/>
      <w:lvlText w:val="(%1)"/>
      <w:numFmt w:val="decimal"/>
      <w:start w:val="1"/>
    </w:lvl>
  </w:abstractNum>
  <w:abstractNum w:abstractNumId="68">
    <w:nsid w:val="15014ACB"/>
    <w:multiLevelType w:val="hybridMultilevel"/>
    <w:lvl w:ilvl="0">
      <w:lvlJc w:val="left"/>
      <w:lvlText w:val="(%1)"/>
      <w:numFmt w:val="decimal"/>
      <w:start w:val="13"/>
    </w:lvl>
  </w:abstractNum>
  <w:abstractNum w:abstractNumId="69">
    <w:nsid w:val="5F5E7FD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2021-03-22T15:51:54Z</dcterms:created>
  <dcterms:modified xsi:type="dcterms:W3CDTF">2021-03-22T15:51:54Z</dcterms:modified>
</cp:coreProperties>
</file>