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62"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August 31, 2004</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ITRON,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440"/>
        <w:spacing w:after="0"/>
        <w:rPr>
          <w:sz w:val="20"/>
          <w:szCs w:val="20"/>
          <w:color w:val="auto"/>
        </w:rPr>
      </w:pPr>
      <w:r>
        <w:rPr>
          <w:rFonts w:ascii="Arial" w:cs="Arial" w:eastAsia="Arial" w:hAnsi="Arial"/>
          <w:sz w:val="15"/>
          <w:szCs w:val="15"/>
          <w:b w:val="1"/>
          <w:bCs w:val="1"/>
          <w:color w:val="auto"/>
        </w:rPr>
        <w:t>Washington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00"/>
        <w:spacing w:after="0"/>
        <w:rPr>
          <w:sz w:val="20"/>
          <w:szCs w:val="20"/>
          <w:color w:val="auto"/>
        </w:rPr>
      </w:pPr>
      <w:r>
        <w:rPr>
          <w:rFonts w:ascii="Arial" w:cs="Arial" w:eastAsia="Arial" w:hAnsi="Arial"/>
          <w:sz w:val="15"/>
          <w:szCs w:val="15"/>
          <w:b w:val="1"/>
          <w:bCs w:val="1"/>
          <w:color w:val="auto"/>
        </w:rPr>
        <w:t>000-22418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91-1011792</w:t>
      </w:r>
    </w:p>
    <w:p>
      <w:pPr>
        <w:spacing w:after="0" w:line="47" w:lineRule="exact"/>
        <w:rPr>
          <w:sz w:val="24"/>
          <w:szCs w:val="24"/>
          <w:color w:val="auto"/>
        </w:rPr>
      </w:pPr>
    </w:p>
    <w:p>
      <w:pPr>
        <w:sectPr>
          <w:pgSz w:w="11900" w:h="16838" w:orient="portrait"/>
          <w:cols w:equalWidth="0" w:num="3">
            <w:col w:w="4680" w:space="720"/>
            <w:col w:w="30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6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6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12"/>
          <w:szCs w:val="12"/>
          <w:b w:val="1"/>
          <w:bCs w:val="1"/>
          <w:color w:val="auto"/>
        </w:rPr>
        <w:t>(Commission File No.)</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420" w:space="720"/>
            <w:col w:w="3200" w:space="720"/>
            <w:col w:w="196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2818 N. Sullivan Road, Spokane, WA 99216</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2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(509) 924-9900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ind w:left="380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170815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p>
      <w:pPr>
        <w:spacing w:after="0" w:line="200" w:lineRule="exact"/>
        <w:rPr>
          <w:sz w:val="24"/>
          <w:szCs w:val="24"/>
          <w:color w:val="auto"/>
        </w:rPr>
      </w:pPr>
    </w:p>
    <w:p>
      <w:pPr>
        <w:spacing w:after="0" w:line="3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 Other Events</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May 10, 2004, Itron, Inc. (“we,” “our” or “the Company”) completed a private placement of $125 million aggregate principal amount of Senior Subordinated Notes (“the Notes”) guaranteed by our domestic subsidiaries. Our foreign subsidiaries and an outsourcing project subsidiary have not guaranteed the Notes. Pursuant to a registration rights agreement entered into in connection with the issuance of the Notes, we are required to file a registration statement registering the exchange of the Notes within 120 days after the closing of the Notes.</w:t>
      </w:r>
    </w:p>
    <w:p>
      <w:pPr>
        <w:spacing w:after="0" w:line="13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Rule 3-10 of Regulation S-X requires that when a company issues securities that are guaranteed by fewer than all of its subsidiaries, the issuer’s financial statements are required to include consolidating financial information in sufficient detail to allow investors to determine the assets, results of operations and cash flows of the guaranteeing entities as well as the non-guaranteeing entities in a footnote for the same periods as the financial statements. This information is required for previously issued annual financial statements for the years presented in the Company’s Form 10-K if those financial statements are incorporated by reference in subsequent filings with the SEC made under the Securities Act of 1933, as amended, even though those financial statements relate to periods prior to the date of the completion of the private placement of the Notes.</w:t>
      </w:r>
    </w:p>
    <w:p>
      <w:pPr>
        <w:spacing w:after="0" w:line="107"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In addition, as a result of our 2004 organizational change that resulted in a change in our segment reporting from five market facing business units (Electric, Natural Gas, Water &amp; Public Power, International and End User Solutions) to two operating groups (Hardware Solutions and Software Solutions), we have restated our segment footnote and revised management’s discussion and analysis (MD&amp;A) in our December 31, 2003 Form 10-K to reflect the new segment reporting structure as of June 30, 2004.</w:t>
      </w:r>
    </w:p>
    <w:p>
      <w:pPr>
        <w:spacing w:after="0" w:line="13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This Report on Form 8-K updates Item 7 and Item 8 in Itron’s Annual Report on Form 10-K for the year ended December 31, 2003, filed with the SEC on March 12, 2004, to reflect this additional financial information.</w:t>
      </w:r>
    </w:p>
    <w:p>
      <w:pPr>
        <w:spacing w:after="0" w:line="118"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The foregoing is qualified by reference to the financials statements, including a note containing guarantor and non-guarantor financial information (Note 22), restated segment information (Note 19), subsequent events (Note 21) filed as Exhibit 99.1 and revised MD&amp;A filed as Exhibit 99.2 to this Current Report on Form 8-K, which are incorporated herein by reference. All other items of the Form 10-K remain unchanged from versions previously filed with Itron, Inc.’s Annual Report on Form 10-K. No attempt has been made to update matters in the Form 10-K except to the extent expressly provided above.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3"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300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60325</wp:posOffset>
            </wp:positionV>
            <wp:extent cx="445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23.1</w:t>
            </w:r>
          </w:p>
        </w:tc>
        <w:tc>
          <w:tcPr>
            <w:tcW w:w="10680" w:type="dxa"/>
            <w:vAlign w:val="bottom"/>
          </w:tcPr>
          <w:p>
            <w:pPr>
              <w:ind w:left="4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18"/>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99.1</w:t>
            </w:r>
          </w:p>
        </w:tc>
        <w:tc>
          <w:tcPr>
            <w:tcW w:w="10680" w:type="dxa"/>
            <w:vAlign w:val="bottom"/>
          </w:tcPr>
          <w:p>
            <w:pPr>
              <w:ind w:left="420"/>
              <w:spacing w:after="0"/>
              <w:rPr>
                <w:sz w:val="20"/>
                <w:szCs w:val="20"/>
                <w:color w:val="auto"/>
              </w:rPr>
            </w:pPr>
            <w:r>
              <w:rPr>
                <w:rFonts w:ascii="Arial" w:cs="Arial" w:eastAsia="Arial" w:hAnsi="Arial"/>
                <w:sz w:val="18"/>
                <w:szCs w:val="18"/>
                <w:color w:val="auto"/>
                <w:w w:val="89"/>
              </w:rPr>
              <w:t>Item 8: Consolidated Balance Sheets as of December 31, 2003 and 2002 and the related Consolidated Statements of Operations, Shareholders’</w:t>
            </w:r>
          </w:p>
        </w:tc>
      </w:tr>
      <w:tr>
        <w:trPr>
          <w:trHeight w:val="222"/>
        </w:trPr>
        <w:tc>
          <w:tcPr>
            <w:tcW w:w="740" w:type="dxa"/>
            <w:vAlign w:val="bottom"/>
          </w:tcPr>
          <w:p>
            <w:pPr>
              <w:spacing w:after="0"/>
              <w:rPr>
                <w:sz w:val="19"/>
                <w:szCs w:val="19"/>
                <w:color w:val="auto"/>
              </w:rPr>
            </w:pPr>
          </w:p>
        </w:tc>
        <w:tc>
          <w:tcPr>
            <w:tcW w:w="10680" w:type="dxa"/>
            <w:vAlign w:val="bottom"/>
          </w:tcPr>
          <w:p>
            <w:pPr>
              <w:ind w:left="420"/>
              <w:spacing w:after="0"/>
              <w:rPr>
                <w:sz w:val="20"/>
                <w:szCs w:val="20"/>
                <w:color w:val="auto"/>
              </w:rPr>
            </w:pPr>
            <w:r>
              <w:rPr>
                <w:rFonts w:ascii="Arial" w:cs="Arial" w:eastAsia="Arial" w:hAnsi="Arial"/>
                <w:sz w:val="18"/>
                <w:szCs w:val="18"/>
                <w:color w:val="auto"/>
              </w:rPr>
              <w:t>Equity and Cash-Flows for each of the three years in the period ended December 31, 2003</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99.2</w:t>
            </w:r>
          </w:p>
        </w:tc>
        <w:tc>
          <w:tcPr>
            <w:tcW w:w="10680" w:type="dxa"/>
            <w:vAlign w:val="bottom"/>
          </w:tcPr>
          <w:p>
            <w:pPr>
              <w:ind w:left="420"/>
              <w:spacing w:after="0"/>
              <w:rPr>
                <w:sz w:val="20"/>
                <w:szCs w:val="20"/>
                <w:color w:val="auto"/>
              </w:rPr>
            </w:pPr>
            <w:r>
              <w:rPr>
                <w:rFonts w:ascii="Arial" w:cs="Arial" w:eastAsia="Arial" w:hAnsi="Arial"/>
                <w:sz w:val="18"/>
                <w:szCs w:val="18"/>
                <w:color w:val="auto"/>
                <w:w w:val="88"/>
              </w:rPr>
              <w:t>Item 7: Management’s Discussion and Analysis of Financial Condition and Results of Operations as of and for the year ended December 31, 2003</w:t>
            </w:r>
          </w:p>
        </w:tc>
      </w:tr>
    </w:tbl>
    <w:p>
      <w:pPr>
        <w:spacing w:after="0" w:line="14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information presented in this Current Report on Form 8-K may contain forward-looking statements and certain assumptions upon which such forward-looking statements are in part based. Numerous important factors, including those factors identified in Itron, Inc.’s Annual Report on Form 10-K and other of the Company’s filings with the Securities and Exchange Commission, and the fact that the assumptions set forth in this Current Report on Form 8-K could prove incorrect, could cause actual results to differ materially from those contained in such forward-looking statements.</w:t>
      </w:r>
    </w:p>
    <w:p>
      <w:pPr>
        <w:sectPr>
          <w:pgSz w:w="11900" w:h="16838" w:orient="portrait"/>
          <w:cols w:equalWidth="0" w:num="1">
            <w:col w:w="11420"/>
          </w:cols>
          <w:pgMar w:left="240" w:top="274"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Dated: August 31,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G. REMINGTON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G. Remington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0980"/>
          </w:cols>
          <w:pgMar w:left="240" w:top="274" w:right="6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56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24"/>
                <w:szCs w:val="24"/>
                <w:color w:val="auto"/>
              </w:rPr>
            </w:pPr>
          </w:p>
        </w:tc>
        <w:tc>
          <w:tcPr>
            <w:tcW w:w="9560" w:type="dxa"/>
            <w:vAlign w:val="bottom"/>
          </w:tcPr>
          <w:p>
            <w:pPr>
              <w:spacing w:after="0"/>
              <w:rPr>
                <w:sz w:val="24"/>
                <w:szCs w:val="24"/>
                <w:color w:val="auto"/>
              </w:rPr>
            </w:pPr>
          </w:p>
        </w:tc>
      </w:tr>
      <w:tr>
        <w:trPr>
          <w:trHeight w:val="174"/>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4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560" w:type="dxa"/>
            <w:vAlign w:val="bottom"/>
          </w:tcPr>
          <w:p>
            <w:pPr>
              <w:spacing w:after="0"/>
              <w:rPr>
                <w:sz w:val="8"/>
                <w:szCs w:val="8"/>
                <w:color w:val="auto"/>
              </w:rPr>
            </w:pPr>
          </w:p>
        </w:tc>
      </w:tr>
      <w:tr>
        <w:trPr>
          <w:trHeight w:val="424"/>
        </w:trPr>
        <w:tc>
          <w:tcPr>
            <w:tcW w:w="480" w:type="dxa"/>
            <w:vAlign w:val="bottom"/>
          </w:tcPr>
          <w:p>
            <w:pPr>
              <w:spacing w:after="0"/>
              <w:rPr>
                <w:sz w:val="20"/>
                <w:szCs w:val="20"/>
                <w:color w:val="auto"/>
              </w:rPr>
            </w:pPr>
            <w:r>
              <w:rPr>
                <w:rFonts w:ascii="Arial" w:cs="Arial" w:eastAsia="Arial" w:hAnsi="Arial"/>
                <w:sz w:val="18"/>
                <w:szCs w:val="18"/>
                <w:color w:val="auto"/>
              </w:rPr>
              <w:t>23.1</w:t>
            </w:r>
          </w:p>
        </w:tc>
        <w:tc>
          <w:tcPr>
            <w:tcW w:w="6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18"/>
        </w:trPr>
        <w:tc>
          <w:tcPr>
            <w:tcW w:w="48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Item 8: Consolidated Balance Sheets as of December 31, 2003 and 2002 and the related Consolidated Statements of Operations, Shareholders’</w:t>
            </w:r>
          </w:p>
        </w:tc>
      </w:tr>
      <w:tr>
        <w:trPr>
          <w:trHeight w:val="222"/>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Equity and Cash Flows for each of the three years in the period ended December 31, 2003</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99.2</w:t>
            </w:r>
          </w:p>
        </w:tc>
        <w:tc>
          <w:tcPr>
            <w:tcW w:w="6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8"/>
              </w:rPr>
              <w:t>Item 7: Management’s Discussion and Analysis of Financial Condition and Results of Operations as of and for the year ended December 31, 2003</w:t>
            </w: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23.1</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Nos. 333-04685, 333-28933, 333-63147, 333-81925, 333-86581, 333-40356, 333-89966, 333-97571, 333-110703 and 333-115987 of Itron, Inc. on Form S-8 of our report dated March 8, 2004 (August 26, 2004, as to Notes 19, 21 and 22), which expresses an unqualified opinion and includes an explanatory paragraph relating to the change in the method of accounting for goodwill and other intangible assets in 2002, appearing in this Current Report on Form 8-K of Itron, Inc.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31, 2004</w:t>
      </w:r>
    </w:p>
    <w:p>
      <w:pPr>
        <w:sectPr>
          <w:pgSz w:w="11900" w:h="16838" w:orient="portrait"/>
          <w:cols w:equalWidth="0" w:num="1">
            <w:col w:w="11420"/>
          </w:cols>
          <w:pgMar w:left="240" w:top="12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5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REPORT OF MANAGEMENT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Itron, Inc.</w:t>
      </w:r>
    </w:p>
    <w:p>
      <w:pPr>
        <w:spacing w:after="0" w:line="158"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Management is responsible for the preparation of our consolidated financial statements and related information appearing in this annual report. Management believes that the consolidated financial statements fairly reflect the form and substance of transactions and that the financial statements reasonably present our financial position and results of operations in conformity with accounting principles generally accepted in the United States of America. Management has included in our financial statements amounts based on estimates and judgments that it believes are reasonable under the circumstances.</w:t>
      </w:r>
    </w:p>
    <w:p>
      <w:pPr>
        <w:spacing w:after="0" w:line="9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Management’s explanation and interpretation of our overall operating results and financial position, with the basic financial statements presented, should be read in conjunction with the entire report. The Notes to Consolidated Financial Statements, an integral part of the basic financial statements, provide additional detailed financial information. Our Board of Directors has an Audit and Finance Committee composed of independent Directors. The Committee meets regularly with financial management and Deloitte &amp; Touche LLP to review accounting control, auditing and financial reporting matters.</w:t>
      </w:r>
    </w:p>
    <w:p>
      <w:pPr>
        <w:sectPr>
          <w:pgSz w:w="11900" w:h="16838" w:orient="portrait"/>
          <w:cols w:equalWidth="0" w:num="1">
            <w:col w:w="11420"/>
          </w:cols>
          <w:pgMar w:left="240" w:top="125" w:right="23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LeRoy D. Nosbaum</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and Chief Executive Officer</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David G. Remington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Vice President and Chief Financial Officer</w:t>
      </w:r>
    </w:p>
    <w:p>
      <w:pPr>
        <w:spacing w:after="0" w:line="168" w:lineRule="exact"/>
        <w:rPr>
          <w:sz w:val="20"/>
          <w:szCs w:val="20"/>
          <w:color w:val="auto"/>
        </w:rPr>
      </w:pPr>
    </w:p>
    <w:p>
      <w:pPr>
        <w:sectPr>
          <w:pgSz w:w="11900" w:h="16838" w:orient="portrait"/>
          <w:cols w:equalWidth="0" w:num="2">
            <w:col w:w="5860" w:space="720"/>
            <w:col w:w="4840"/>
          </w:cols>
          <w:pgMar w:left="240" w:top="125" w:right="239" w:bottom="1440" w:gutter="0" w:footer="0" w:header="0"/>
          <w:type w:val="continuous"/>
        </w:sect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15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have audited the accompanying consolidated balance sheets of Itron, Inc. and subsidiaries (the “Company”) as of December 31, 2003 and 2002, and the related consolidated statements of operations, shareholders’ equity and cash flows for each of the three years in the period ended December 31, 2003. Our audits also included the financial statement schedule listed in the Index at Item 15 of the Company’s annual report on Form 10-K for the year ended December 31, 2003. These financial statements and financial statement schedule are the responsibility of the Company’s management. Our responsibility is to express an opinion on these financial statements and financial statement schedule based on our audits.</w:t>
      </w:r>
    </w:p>
    <w:p>
      <w:pPr>
        <w:spacing w:after="0" w:line="1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Itron, Inc. and subsidiaries at December 31, 2003 and 2002, and the results of their operations and their cash flows for each of the three years in the period ended December 31, 2003,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1 to the consolidated financial statements, the Company changed its method of accounting for goodwill and other intangible assets in 2002.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8, 2004 (August 26, 2004, as to Notes 19, 21 and 22)</w:t>
      </w:r>
    </w:p>
    <w:p>
      <w:pPr>
        <w:sectPr>
          <w:pgSz w:w="11900" w:h="16838" w:orient="portrait"/>
          <w:cols w:equalWidth="0" w:num="1">
            <w:col w:w="11420"/>
          </w:cols>
          <w:pgMar w:left="240" w:top="125"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2002</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gridSpan w:val="2"/>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6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85"/>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273,783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241,158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183,425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43,684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316,965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284,842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225,555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135,940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122,189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100,692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Service</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37,471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30,384</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27,004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173,411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152,573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127,696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143,554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132,269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30,603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43,017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36,780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28,944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26,653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9,618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7,200</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accrual</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121,860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114,127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18,142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affiliates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(1,395)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18,859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(7,421)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(10,176)</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(7,916)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Basic net income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0.51</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0.45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20,413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19,262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21,380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18,834</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1"/>
              </w:rPr>
              <w:t>ASSETS</w:t>
            </w:r>
          </w:p>
        </w:tc>
        <w:tc>
          <w:tcPr>
            <w:tcW w:w="428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tcPr>
          <w:p>
            <w:pPr>
              <w:ind w:left="42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70,782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tcPr>
          <w:p>
            <w:pPr>
              <w:ind w:left="420"/>
              <w:spacing w:after="0"/>
              <w:rPr>
                <w:sz w:val="20"/>
                <w:szCs w:val="20"/>
                <w:color w:val="auto"/>
              </w:rPr>
            </w:pPr>
            <w:r>
              <w:rPr>
                <w:rFonts w:ascii="Arial" w:cs="Arial" w:eastAsia="Arial" w:hAnsi="Arial"/>
                <w:sz w:val="18"/>
                <w:szCs w:val="18"/>
                <w:color w:val="auto"/>
              </w:rPr>
              <w:t>Deferred income taxes,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11,673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109,289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114,492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tcPr>
          <w:p>
            <w:pPr>
              <w:ind w:left="4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32,414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Equipment used in outsourcing,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tcPr>
          <w:p>
            <w:pPr>
              <w:ind w:left="4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22,979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tcPr>
          <w:p>
            <w:pPr>
              <w:ind w:left="420"/>
              <w:spacing w:after="0"/>
              <w:rPr>
                <w:sz w:val="20"/>
                <w:szCs w:val="20"/>
                <w:color w:val="auto"/>
              </w:rPr>
            </w:pPr>
            <w:r>
              <w:rPr>
                <w:rFonts w:ascii="Arial" w:cs="Arial" w:eastAsia="Arial" w:hAnsi="Arial"/>
                <w:sz w:val="18"/>
                <w:szCs w:val="18"/>
                <w:color w:val="auto"/>
              </w:rPr>
              <w:t>Deferred income taxes,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31,755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303,489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247,246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17"/>
                <w:szCs w:val="17"/>
                <w:color w:val="auto"/>
              </w:rPr>
            </w:pPr>
          </w:p>
        </w:tc>
        <w:tc>
          <w:tcPr>
            <w:tcW w:w="3860" w:type="dxa"/>
            <w:vAlign w:val="bottom"/>
            <w:tcBorders>
              <w:bottom w:val="single" w:sz="8" w:color="auto"/>
            </w:tcBorders>
            <w:gridSpan w:val="3"/>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rPr>
              <w:t>LIABILITIES AND SHARE HOLDERS’ EQUITY</w:t>
            </w:r>
          </w:p>
        </w:tc>
        <w:tc>
          <w:tcPr>
            <w:tcW w:w="26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tcPr>
          <w:p>
            <w:pPr>
              <w:ind w:left="420"/>
              <w:spacing w:after="0"/>
              <w:rPr>
                <w:sz w:val="20"/>
                <w:szCs w:val="20"/>
                <w:color w:val="auto"/>
              </w:rPr>
            </w:pPr>
            <w:r>
              <w:rPr>
                <w:rFonts w:ascii="Arial" w:cs="Arial" w:eastAsia="Arial" w:hAnsi="Arial"/>
                <w:sz w:val="18"/>
                <w:szCs w:val="18"/>
                <w:color w:val="auto"/>
              </w:rPr>
              <w:t>Wages and benefits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10,711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Accrued litigation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tcPr>
          <w:p>
            <w:pPr>
              <w:ind w:left="420"/>
              <w:spacing w:after="0"/>
              <w:rPr>
                <w:sz w:val="20"/>
                <w:szCs w:val="20"/>
                <w:color w:val="auto"/>
              </w:rPr>
            </w:pPr>
            <w:r>
              <w:rPr>
                <w:rFonts w:ascii="Arial" w:cs="Arial" w:eastAsia="Arial" w:hAnsi="Arial"/>
                <w:sz w:val="18"/>
                <w:szCs w:val="18"/>
                <w:color w:val="auto"/>
              </w:rPr>
              <w:t>Short-term borrowings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Current portion of debt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gridSpan w:val="5"/>
          </w:tcPr>
          <w:p>
            <w:pPr>
              <w:ind w:left="420"/>
              <w:spacing w:after="0"/>
              <w:rPr>
                <w:sz w:val="20"/>
                <w:szCs w:val="20"/>
                <w:color w:val="auto"/>
              </w:rPr>
            </w:pPr>
            <w:r>
              <w:rPr>
                <w:rFonts w:ascii="Arial" w:cs="Arial" w:eastAsia="Arial" w:hAnsi="Arial"/>
                <w:sz w:val="18"/>
                <w:szCs w:val="18"/>
                <w:color w:val="auto"/>
              </w:rPr>
              <w:t>Unearned revenue</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12,004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11,580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111,135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tcPr>
          <w:p>
            <w:pPr>
              <w:ind w:left="420"/>
              <w:spacing w:after="0"/>
              <w:rPr>
                <w:sz w:val="20"/>
                <w:szCs w:val="20"/>
                <w:color w:val="auto"/>
              </w:rPr>
            </w:pPr>
            <w:r>
              <w:rPr>
                <w:rFonts w:ascii="Arial" w:cs="Arial" w:eastAsia="Arial" w:hAnsi="Arial"/>
                <w:sz w:val="18"/>
                <w:szCs w:val="18"/>
                <w:color w:val="auto"/>
              </w:rPr>
              <w:t>Project financing debt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4,024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Warranty and other obligations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126,245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85,645</w:t>
            </w:r>
          </w:p>
        </w:tc>
        <w:tc>
          <w:tcPr>
            <w:tcW w:w="0" w:type="dxa"/>
            <w:vAlign w:val="bottom"/>
          </w:tcPr>
          <w:p>
            <w:pPr>
              <w:spacing w:after="0"/>
              <w:rPr>
                <w:sz w:val="1"/>
                <w:szCs w:val="1"/>
                <w:color w:val="auto"/>
              </w:rPr>
            </w:pPr>
          </w:p>
        </w:tc>
      </w:tr>
      <w:tr>
        <w:trPr>
          <w:trHeight w:val="322"/>
        </w:trPr>
        <w:tc>
          <w:tcPr>
            <w:tcW w:w="9080" w:type="dxa"/>
            <w:vAlign w:val="bottom"/>
            <w:gridSpan w:val="6"/>
          </w:tcPr>
          <w:p>
            <w:pPr>
              <w:spacing w:after="0"/>
              <w:rPr>
                <w:sz w:val="20"/>
                <w:szCs w:val="20"/>
                <w:color w:val="auto"/>
              </w:rPr>
            </w:pPr>
            <w:r>
              <w:rPr>
                <w:rFonts w:ascii="Arial" w:cs="Arial" w:eastAsia="Arial" w:hAnsi="Arial"/>
                <w:sz w:val="18"/>
                <w:szCs w:val="18"/>
                <w:color w:val="auto"/>
              </w:rPr>
              <w:t>Commitments and contingencies (Notes 9 and 18)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tcPr>
          <w:p>
            <w:pPr>
              <w:ind w:left="420"/>
              <w:spacing w:after="0"/>
              <w:rPr>
                <w:sz w:val="20"/>
                <w:szCs w:val="20"/>
                <w:color w:val="auto"/>
              </w:rPr>
            </w:pPr>
            <w:r>
              <w:rPr>
                <w:rFonts w:ascii="Arial" w:cs="Arial" w:eastAsia="Arial" w:hAnsi="Arial"/>
                <w:sz w:val="18"/>
                <w:szCs w:val="18"/>
                <w:color w:val="auto"/>
              </w:rPr>
              <w:t>Preferred stock, no par value, 10 million shares authorized, no shares issued or outstanding</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w w:val="91"/>
              </w:rPr>
              <w:t>Common stock, no par value, 75 million shares authorized, 20,572,382 and 20,192,847 shares issued and outstanding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200,567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195,546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tcPr>
          <w:p>
            <w:pPr>
              <w:ind w:left="4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(23,187)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(33,665)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shareholders’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177,244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161,601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303,489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247,246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6540" w:type="dxa"/>
            <w:vAlign w:val="bottom"/>
            <w:gridSpan w:val="4"/>
            <w:vMerge w:val="restart"/>
          </w:tcPr>
          <w:p>
            <w:pPr>
              <w:jc w:val="center"/>
              <w:ind w:right="200"/>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54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400" w:type="dxa"/>
            <w:vAlign w:val="bottom"/>
            <w:gridSpan w:val="5"/>
          </w:tcPr>
          <w:p>
            <w:pPr>
              <w:jc w:val="right"/>
              <w:ind w:right="640"/>
              <w:spacing w:after="0"/>
              <w:rPr>
                <w:sz w:val="20"/>
                <w:szCs w:val="20"/>
                <w:color w:val="auto"/>
              </w:rPr>
            </w:pPr>
            <w:r>
              <w:rPr>
                <w:rFonts w:ascii="Arial" w:cs="Arial" w:eastAsia="Arial" w:hAnsi="Arial"/>
                <w:sz w:val="18"/>
                <w:szCs w:val="18"/>
                <w:color w:val="auto"/>
              </w:rPr>
              <w:t>3</w:t>
            </w:r>
          </w:p>
        </w:tc>
        <w:tc>
          <w:tcPr>
            <w:tcW w:w="2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SHAREHOLDERS’ EQUITY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Other</w:t>
            </w: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12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Shares</w:t>
            </w: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5"/>
                <w:szCs w:val="15"/>
                <w:color w:val="auto"/>
              </w:rPr>
            </w:pPr>
          </w:p>
        </w:tc>
        <w:tc>
          <w:tcPr>
            <w:tcW w:w="15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5"/>
                <w:szCs w:val="15"/>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15,329</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$ 109,730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(55,798)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13,450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 net of tax</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Unrealized gain on investments, net of tax</w:t>
            </w: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Stock issues (repurchases):</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exercised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7,396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Stock option income tax benefits</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4,419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repurchased by Company</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Director compensation</w:t>
            </w: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Conversion of subordinated debt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Employee stock purchase plan</w:t>
            </w:r>
          </w:p>
        </w:tc>
        <w:tc>
          <w:tcPr>
            <w:tcW w:w="500" w:type="dxa"/>
            <w:vAlign w:val="bottom"/>
          </w:tcPr>
          <w:p>
            <w:pPr>
              <w:jc w:val="right"/>
              <w:spacing w:after="0"/>
              <w:rPr>
                <w:sz w:val="20"/>
                <w:szCs w:val="20"/>
                <w:color w:val="auto"/>
              </w:rPr>
            </w:pPr>
            <w:r>
              <w:rPr>
                <w:rFonts w:ascii="Arial" w:cs="Arial" w:eastAsia="Arial" w:hAnsi="Arial"/>
                <w:sz w:val="18"/>
                <w:szCs w:val="18"/>
                <w:color w:val="auto"/>
              </w:rPr>
              <w:t>111</w:t>
            </w:r>
          </w:p>
        </w:tc>
        <w:tc>
          <w:tcPr>
            <w:tcW w:w="6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421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16,221</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$ 120,316</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(42,348)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76,052</w:t>
            </w:r>
          </w:p>
        </w:tc>
        <w:tc>
          <w:tcPr>
            <w:tcW w:w="0" w:type="dxa"/>
            <w:vAlign w:val="bottom"/>
          </w:tcPr>
          <w:p>
            <w:pPr>
              <w:spacing w:after="0"/>
              <w:rPr>
                <w:sz w:val="1"/>
                <w:szCs w:val="1"/>
                <w:color w:val="auto"/>
              </w:rPr>
            </w:pPr>
          </w:p>
        </w:tc>
      </w:tr>
      <w:tr>
        <w:trPr>
          <w:trHeight w:val="322"/>
        </w:trPr>
        <w:tc>
          <w:tcPr>
            <w:tcW w:w="5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8,683</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8,683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 net of tax</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Reclassification adjustment for gains realized in net income, net of</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tax</w:t>
            </w: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Stock issues (repurchases):</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exercised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7,362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Stock option income tax benefits</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5,066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repurchased by Company</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(808)</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(12,555)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Director compensation</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Conversion of subordinated debt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53,108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Employee stock purchase plan</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6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LineSoft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21,801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20,193</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$ 195,546</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(33,665)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161,601</w:t>
            </w:r>
          </w:p>
        </w:tc>
        <w:tc>
          <w:tcPr>
            <w:tcW w:w="0" w:type="dxa"/>
            <w:vAlign w:val="bottom"/>
          </w:tcPr>
          <w:p>
            <w:pPr>
              <w:spacing w:after="0"/>
              <w:rPr>
                <w:sz w:val="1"/>
                <w:szCs w:val="1"/>
                <w:color w:val="auto"/>
              </w:rPr>
            </w:pPr>
          </w:p>
        </w:tc>
      </w:tr>
      <w:tr>
        <w:trPr>
          <w:trHeight w:val="322"/>
        </w:trPr>
        <w:tc>
          <w:tcPr>
            <w:tcW w:w="5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10,478</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10,478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 net of tax</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Stock issues (repurchases):</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exercised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Stock option and employee stock purchase plan income tax</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640"/>
              <w:spacing w:after="0"/>
              <w:rPr>
                <w:sz w:val="20"/>
                <w:szCs w:val="20"/>
                <w:color w:val="auto"/>
              </w:rPr>
            </w:pPr>
            <w:r>
              <w:rPr>
                <w:rFonts w:ascii="Arial" w:cs="Arial" w:eastAsia="Arial" w:hAnsi="Arial"/>
                <w:sz w:val="18"/>
                <w:szCs w:val="18"/>
                <w:color w:val="auto"/>
              </w:rPr>
              <w:t>benefits</w:t>
            </w: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1,156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Director compensation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Employee stock purchase plan</w:t>
            </w:r>
          </w:p>
        </w:tc>
        <w:tc>
          <w:tcPr>
            <w:tcW w:w="500" w:type="dxa"/>
            <w:vAlign w:val="bottom"/>
          </w:tcPr>
          <w:p>
            <w:pPr>
              <w:jc w:val="right"/>
              <w:spacing w:after="0"/>
              <w:rPr>
                <w:sz w:val="20"/>
                <w:szCs w:val="20"/>
                <w:color w:val="auto"/>
              </w:rPr>
            </w:pPr>
            <w:r>
              <w:rPr>
                <w:rFonts w:ascii="Arial" w:cs="Arial" w:eastAsia="Arial" w:hAnsi="Arial"/>
                <w:sz w:val="18"/>
                <w:szCs w:val="18"/>
                <w:color w:val="auto"/>
              </w:rPr>
              <w:t>91</w:t>
            </w:r>
          </w:p>
        </w:tc>
        <w:tc>
          <w:tcPr>
            <w:tcW w:w="6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1,384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Settlement of related party note receivable in partial exchange</w:t>
            </w: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 common stock</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20,572</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$ 200,567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(23,187)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177,244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2002</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10,478</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8,683</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charges (credits) to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19,040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10,184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 provision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Impairment of investments</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2,244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option and employee stock purchase plan income tax benefits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Acquired in-process research and development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7,200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Realization of accumulative currency translation losses due to restructuring</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Impairment loss</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early extinguishment of debt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Gain on sale of building</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affiliates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1,050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(11,792)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2,615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3,321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4,449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Wages and benefits payable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(10,766)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Unearned revenue</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(2,482)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warranty and other obligations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(393)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10,256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49,226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32,337</w:t>
            </w:r>
          </w:p>
        </w:tc>
        <w:tc>
          <w:tcPr>
            <w:tcW w:w="0" w:type="dxa"/>
            <w:vAlign w:val="bottom"/>
          </w:tcPr>
          <w:p>
            <w:pPr>
              <w:spacing w:after="0"/>
              <w:rPr>
                <w:sz w:val="1"/>
                <w:szCs w:val="1"/>
                <w:color w:val="auto"/>
              </w:rPr>
            </w:pPr>
          </w:p>
        </w:tc>
      </w:tr>
      <w:tr>
        <w:trPr>
          <w:trHeight w:val="323"/>
        </w:trPr>
        <w:tc>
          <w:tcPr>
            <w:tcW w:w="80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and maturities of investment securities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48,979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Purchase of short-term investments</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(26,922)</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(30,371)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restricted cash</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Proceeds from the sale of property, plant and equipment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1,901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property, plant and equipment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(9,630)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(10,536)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Issuance of notes receivable</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(405)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net of cash and cash equivalents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(71,054)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(42,917)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Pre-acquisition costs</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(3,749)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used by investing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(85,179)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(23,352)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(38,029)</w:t>
            </w:r>
          </w:p>
        </w:tc>
        <w:tc>
          <w:tcPr>
            <w:tcW w:w="0" w:type="dxa"/>
            <w:vAlign w:val="bottom"/>
          </w:tcPr>
          <w:p>
            <w:pPr>
              <w:spacing w:after="0"/>
              <w:rPr>
                <w:sz w:val="1"/>
                <w:szCs w:val="1"/>
                <w:color w:val="auto"/>
              </w:rPr>
            </w:pPr>
          </w:p>
        </w:tc>
      </w:tr>
      <w:tr>
        <w:trPr>
          <w:trHeight w:val="323"/>
        </w:trPr>
        <w:tc>
          <w:tcPr>
            <w:tcW w:w="80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borrowings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50,000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Change in short-term borrowings, net</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debt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(13,184)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3,706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7,666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(12,555)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Payments on mortgage note payable</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(4,853)</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(used) by financing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48,599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(13,892)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(26,324)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11,982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32,564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20,582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21,216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6,240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32,564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20,582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Acquisition of RER, contingent purchase price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1,844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 of note in partial exchange for common stock</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Acquisition of LineSoft in partial exchange for common stock</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21,801</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to equity conversion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53,313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420"/>
              <w:spacing w:after="0"/>
              <w:rPr>
                <w:sz w:val="20"/>
                <w:szCs w:val="20"/>
                <w:color w:val="auto"/>
              </w:rPr>
            </w:pPr>
            <w:r>
              <w:rPr>
                <w:rFonts w:ascii="Arial" w:cs="Arial" w:eastAsia="Arial" w:hAnsi="Arial"/>
                <w:sz w:val="18"/>
                <w:szCs w:val="18"/>
                <w:color w:val="auto"/>
              </w:rPr>
              <w:t>Conversion of debt issuance costs</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eMobile, non-cash consideration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8060" w:type="dxa"/>
            <w:vAlign w:val="bottom"/>
            <w:gridSpan w:val="2"/>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950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379</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4,335</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274" w:right="239" w:bottom="261"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274" w:right="239" w:bottom="261" w:gutter="0" w:footer="0" w:header="0"/>
          <w:type w:val="continuous"/>
        </w:sectPr>
      </w:pPr>
    </w:p>
    <w:bookmarkStart w:id="10" w:name="page11"/>
    <w:bookmarkEnd w:id="10"/>
    <w:p>
      <w:pPr>
        <w:ind w:left="3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Consolidation</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consolidated financial statements include the accounts of Itron, Inc. (Itron) and our wholly owned subsidiaries. Significant inter-company transactions and balances are eliminated upon consolidation. We consolidate all entities in which we have a greater than 50% ownership interest and over which we have control. We account for entities in which we have a 50% or less investment and exercise significant influence under the equity method of accounting. Entities in which we have less than a 20% investment and do not exercise significant influence are accounted for under the cost method. Any variable interest entity of which we are the primary beneficiary is also considered for consolidation. We are not the primary beneficiary of any variable interest entities.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consider all highly liquid instruments with original maturities of three months or less to be cash equivalents. Cash equivalents are recorded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Short-term Investments</w:t>
      </w:r>
    </w:p>
    <w:p>
      <w:pPr>
        <w:spacing w:after="0" w:line="7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Our short-term investments are classified as available-for-sale and are recorded at market value. Investment purchases and sales are accounted for on a trade date basis and market value at a period end is based upon quoted market prices for each security. Realized gains and losses are determined on the specific identification method. Unrealized holding gains and losses, net of any tax effect, are recorded as a component of other comprehensive income.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Doubtful Accounts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doubtful accounts is based on our historical experience of bad debts and is adjusted for estimated uncollectible amounts.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jc w:val="both"/>
        <w:ind w:right="280"/>
        <w:spacing w:after="0" w:line="298" w:lineRule="auto"/>
        <w:rPr>
          <w:sz w:val="20"/>
          <w:szCs w:val="20"/>
          <w:color w:val="auto"/>
        </w:rPr>
      </w:pPr>
      <w:r>
        <w:rPr>
          <w:rFonts w:ascii="Arial" w:cs="Arial" w:eastAsia="Arial" w:hAnsi="Arial"/>
          <w:sz w:val="16"/>
          <w:szCs w:val="16"/>
          <w:color w:val="auto"/>
        </w:rPr>
        <w:t>Inventories are stated at the lower of cost or market using the first-in, first-out method. Cost includes raw materials and labor, plus applied direct and indirect costs. Service inventories consist primarily of sub-assemblies and components necessary to support post-sale maintenance. A large portion of our low-volume manufacturing and all of our repair services for our domestic handheld meter reading units are provided by an outside vendor in which we have a 30% equity interest. Consigned inventory at the outside vendor affiliate totaled $538,000 at December 31, 2003 and $1.3 million at December 31, 2002.</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Plant and Equipment and Equipment used in Outsourcing</w:t>
      </w:r>
    </w:p>
    <w:p>
      <w:pPr>
        <w:spacing w:after="0" w:line="7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Property, plant and equipment are stated at cost. Depreciation, which includes the depreciation of assets recorded under capital leases, is computed using the straight-line method over the assets’ estimated useful lives of three to seven years, or over the term of the applicable capital lease, if shorter. Project management and installation costs and equipment used in outsourcing contracts are depreciated using the straight-line method over the shorter of the useful life or the term of the contract. Plant is depreciated over 30 years using the straight-line method. We review long-lived assets for possible impairment whenever events or circumstances indicate the carrying amount of an asset may not be recoverable. There were no significant impairments in each of the three years in the period ended December 31, 2003. If there were an indication of impairment, management would prepare an estimate of future cash flows (undiscounted and without interest charges) expected to result from the use of the asset and its eventual disposition. If these cash flows were less than the carrying amount of the assets, an impairment loss would be recognized to write down the assets to their estimated fair value.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Software Development Costs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accounting standards require the capitalization of development costs for software to be marketed or sold after technological feasibility of the software is established. Due to the relatively short period between technological feasibility of a product and the completion of product development and the insignificance of related costs we generally do not capitalize software development costs.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Acquisitions</w:t>
      </w:r>
    </w:p>
    <w:p>
      <w:pPr>
        <w:spacing w:after="0" w:line="7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In accordance with Statement of Financial Accounting Standards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we utilize the purchase method of accounting for business combinations. Business combinations accounted for under the purchase method include the results of operations of the acquired business from the date of acquisition. Net assets of the company acquired and intangible assets that arise from contractual/legal rights, or are capable of being separated, are recorded at their fair values at the date of acquisition. The balance of the purchase price after fair value allocations represents goodwill. Amounts allocated to in-process research and development (IPR&amp;D) are expensed in the period of acquisition.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11" w:name="page12"/>
    <w:bookmarkEnd w:id="11"/>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Intangible Assets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Effective January 1, 2002, we adopted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There was no impairment of goodwill upon adoption of SFAS No.</w:t>
      </w:r>
    </w:p>
    <w:p>
      <w:pPr>
        <w:spacing w:after="0" w:line="38" w:lineRule="exact"/>
        <w:rPr>
          <w:sz w:val="20"/>
          <w:szCs w:val="20"/>
          <w:color w:val="auto"/>
        </w:rPr>
      </w:pPr>
    </w:p>
    <w:p>
      <w:pPr>
        <w:jc w:val="both"/>
        <w:ind w:right="120" w:firstLine="8"/>
        <w:spacing w:after="0" w:line="253" w:lineRule="auto"/>
        <w:tabs>
          <w:tab w:leader="none" w:pos="351" w:val="left"/>
        </w:tabs>
        <w:numPr>
          <w:ilvl w:val="0"/>
          <w:numId w:val="3"/>
        </w:numPr>
        <w:rPr>
          <w:rFonts w:ascii="Arial" w:cs="Arial" w:eastAsia="Arial" w:hAnsi="Arial"/>
          <w:sz w:val="17"/>
          <w:szCs w:val="17"/>
          <w:color w:val="auto"/>
        </w:rPr>
      </w:pPr>
      <w:r>
        <w:rPr>
          <w:rFonts w:ascii="Arial" w:cs="Arial" w:eastAsia="Arial" w:hAnsi="Arial"/>
          <w:sz w:val="17"/>
          <w:szCs w:val="17"/>
          <w:color w:val="auto"/>
        </w:rPr>
        <w:t>Goodwill is not amortized and is tested for impairment at the reporting unit level, which consists of our business units, annually, as of October 1</w:t>
      </w:r>
      <w:r>
        <w:rPr>
          <w:rFonts w:ascii="Arial" w:cs="Arial" w:eastAsia="Arial" w:hAnsi="Arial"/>
          <w:sz w:val="21"/>
          <w:szCs w:val="21"/>
          <w:color w:val="auto"/>
          <w:vertAlign w:val="superscript"/>
        </w:rPr>
        <w:t>st</w:t>
      </w:r>
      <w:r>
        <w:rPr>
          <w:rFonts w:ascii="Arial" w:cs="Arial" w:eastAsia="Arial" w:hAnsi="Arial"/>
          <w:sz w:val="17"/>
          <w:szCs w:val="17"/>
          <w:color w:val="auto"/>
        </w:rPr>
        <w:t>, or more frequently if a significant event occurs. Intangible assets with a finite life are amortized based on estimated discounted cash flows over weighted average useful lives. Prior to the adoption of SFAS No. 142, goodwill and intangible assets were amortized using the straight-line method over periods ranging from three to 20 years.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Warranty</w:t>
      </w:r>
    </w:p>
    <w:p>
      <w:pPr>
        <w:spacing w:after="0" w:line="7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offer standard warranty terms on most product sales of between one and three years and a longer warranty term for certain components of products. An accrual for estimated warranty costs is recorded at the time of sale and periodically adjusted to reflect actual experience. The short-term warranty accrual is included in accounts payable and accrued expenses. The long-term warranty accrual includes estimated warranty costs for the period beyond one year. Warranty expense was approximately $15.6 million and $5.3 million for the years ended December 31, 2003 and 2002,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153"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60325</wp:posOffset>
            </wp:positionV>
            <wp:extent cx="11576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8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00" w:type="dxa"/>
            <w:vAlign w:val="bottom"/>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$ 6,327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Standard accrual</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7,185</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5,262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pre-existing items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Utilization of accrual</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(7,527)</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December 31</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17,475</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Less: current portion of warranty</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13,939</w:t>
            </w: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Long-term warranty</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Contingencies</w:t>
      </w:r>
    </w:p>
    <w:p>
      <w:pPr>
        <w:spacing w:after="0" w:line="77"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An estimated loss for a contingency is charged to income if it is probable that an asset has been impaired or a liability has been incurred and the amount of the loss can be reasonably estimated. We evaluate, among other factors, the degree of probability of an unfavorable outcome and the ability to make a reasonable estimate of the amount of loss. Changes in these factors could materially impact our financial position or results of operations.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We account for income taxes using the asset and liability method. Under this method, deferred income taxes are recorded for the temporary differences between the financial reporting basis and tax basis of our assets and liabilities. These deferred taxes are measured using the provisions of currently enacted tax laws. We establish a valuation allowance for the portion of the deferred tax asset we may not be able to utilize.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consolidated financial statements are prepared in U.S. dollars. Assets and liabilities of foreign subsidiaries are denominated in foreign currencies and are translated to U.S. dollars at the exchange rates in effect on the balance sheet date. Revenues, costs of revenues and expenses for these subsidiaries are translated using a weighted average rate for the relevant reporting period. Translation adjustments resulting from this process are included in other comprehensive income in shareholders’ equity net of tax, as the transactions are considered to be of a long-term investment nature.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Sales revenues consist of hardware, software license fees, custom software development, field and project management services and engineering, consulting and installation services. Service revenues include post-sale maintenance support and outsourcing services.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2" w:name="page13"/>
    <w:bookmarkEnd w:id="12"/>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Outsourcing services encompass installation, operation and maintenance of meter reading systems to provide meter information to a customer for billing and management purposes. Outsourcing services can be provided for systems we own as well as those owned by our customers.</w:t>
      </w:r>
    </w:p>
    <w:p>
      <w:pPr>
        <w:spacing w:after="0" w:line="7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Revenue arrangements with multiple deliverables, entered into subsequent to June 30, 2003, are divided into separate units of accounting if the delivered item(s) have value to the customer on a standalone basis, there is objective and reliable evidence of fair value of the undelivered item(s) and delivery/performance of the undelivered item(s) is probable. The total arrangement consideration is allocated among the separate units of accounting based on their relative fair values and the applicable revenue recognition criteria is considered for each unit of accounting. For our standard contract arrangements that combine deliverables such as hardware, meter reading system software, installation and maintenance services, each deliverable is generally considered a single unit of accounting. The amount allocable to a delivered item(s) is limited to the amount that we are entitled to bill and collect and is not contingent upon the delivery/performance of additional item(s).</w:t>
      </w:r>
    </w:p>
    <w:p>
      <w:pPr>
        <w:spacing w:after="0" w:line="13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recognize revenues from hardware at the time of shipment, receipt by customer, or, if applicable, upon completion of customer acceptance provisions. Revenues for software licenses, custom software development, field and project management services, engineering and consulting, installation, outsourcing and maintenance services are recognized when (1) persuasive evidence of an arrangement exists, (2) delivery has occurred or services have been rendered, (3) the sales price is fixed or determinable and (4) collectibility is reasonably assured. For software arrangements with multiple elements, revenue recognition is dependent upon the existence of vendor-specific objective evidence (VSOE) of fair value for each of the elements. The availability of VSOE affects the timing of revenue recognition, which can vary from recognizing revenue at the time of delivery of each element, to the percentage of completion method, or ratably over the performance period. If the implementation services are essential to the software arrangement, revenue is recognized using the percentage of completion methodology. Under outsourcing arrangements, revenue is recognized as services are provided. Hardware and software post-contract customer support fees are recognized over the life of the related service contracts.</w:t>
      </w:r>
    </w:p>
    <w:p>
      <w:pPr>
        <w:spacing w:after="0" w:line="10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Unearned revenue is recorded for products or services that have not been provided but have been invoiced under contractual agreements or paid for by a customer, or when products or services have been provided but the criteria for revenue recognition have not been met. Unbilled receivables are recorded when revenues are recognized upon product shipment or service delivery and invoicing occurs at a later date.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Development Expenses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Product development costs are expensed as incurred.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w:t>
      </w:r>
    </w:p>
    <w:p>
      <w:pPr>
        <w:spacing w:after="0" w:line="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Advertising costs are expensed as incurred. Advertising expenses were $1.3 million, $979,000 and $633,000 for the years ended December 31, 2003, 2002 and 2001,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Earnings Per Share</w:t>
      </w:r>
    </w:p>
    <w:p>
      <w:pPr>
        <w:spacing w:after="0" w:line="7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Basic earnings per share (EPS) is calculated using net income divided by the weighted average common shares outstanding during the year. Diluted EPS is similar to Basic EPS except that the weighted average common shares outstanding are increased to include the number of additional common shares that would have been outstanding if dilutive options had been exercised and dilutive convertible subordinated notes had been converted. Diluted EPS assumes that common shares were issued upon the exercise of stock options for which the market price exceeded the exercise price, less shares that could have been repurchased with the related proceeds (treasury stock method). It also assumes that any dilutive convertible subordinated notes outstanding at the beginning of each year were converted, with related interest expense adjusted accordingly (if converted method).</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us to make estimates and assumptions. These estimates and assumptions affect the reported amounts of assets and liabilities and contingent assets and liabilities at the date of the financial statements and the reported amounts of revenues and expenses during the reporting period. Because of various factors affecting future costs and operations, actual results could differ from estimates.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 xml:space="preserve">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allows companies to either expense the estimated fair value of stock options or to continue to follow the intrinsic value method set forth in Accounting Principles Board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but disclose the pro forma effects on net income had the fair value of the options been expensed. We elected to continue to apply APB 25 in accounting for our stock-based compensation plans and disclose the pro forma effects of applying the fair value provisions of SFAS No. 123.</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3" w:name="page14"/>
    <w:bookmarkEnd w:id="13"/>
    <w:p>
      <w:pPr>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Had the compensation cost for our stock-based compensation plans been determined based on the fair value at the grant dates for awards under those plans consistent with the method prescribed in SFAS No. 123, our net income and earnings per share would have been reduced to the pro forma amounts indicated below:</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2002</w:t>
            </w: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gridSpan w:val="2"/>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600" w:type="dxa"/>
            <w:vAlign w:val="bottom"/>
            <w:gridSpan w:val="2"/>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85"/>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10,478</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8,683</w:t>
            </w:r>
          </w:p>
        </w:tc>
        <w:tc>
          <w:tcPr>
            <w:tcW w:w="5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6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3"/>
              </w:rPr>
              <w:t>Deduct: Total fair value of stock-based compensation expense, net of related tax</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effect</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(4,133)</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(3,300)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(2,139)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 net income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5,383</w:t>
            </w:r>
          </w:p>
        </w:tc>
        <w:tc>
          <w:tcPr>
            <w:tcW w:w="5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0.51</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0.45</w:t>
            </w:r>
          </w:p>
        </w:tc>
        <w:tc>
          <w:tcPr>
            <w:tcW w:w="5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reported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5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Pro forma</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0.26</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weighted average fair value of options granted was $18.17, $17.45 and $8.05 during 2003, 2002 and 2001, respectively. The fair value of each option granted is estimated on the date of grant using the Black-Scholes option-pricing model using the following assumptions: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Expected volatility</w:t>
            </w:r>
          </w:p>
        </w:tc>
        <w:tc>
          <w:tcPr>
            <w:tcW w:w="3900" w:type="dxa"/>
            <w:vAlign w:val="bottom"/>
            <w:gridSpan w:val="3"/>
          </w:tcPr>
          <w:p>
            <w:pPr>
              <w:jc w:val="right"/>
              <w:ind w:right="240"/>
              <w:spacing w:after="0"/>
              <w:rPr>
                <w:sz w:val="20"/>
                <w:szCs w:val="20"/>
                <w:color w:val="auto"/>
              </w:rPr>
            </w:pPr>
            <w:r>
              <w:rPr>
                <w:rFonts w:ascii="Arial" w:cs="Arial" w:eastAsia="Arial" w:hAnsi="Arial"/>
                <w:sz w:val="18"/>
                <w:szCs w:val="18"/>
                <w:color w:val="auto"/>
              </w:rPr>
              <w:t>77.3%</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86.7%</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Expected life (years)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2002 and 2001 have been reclassified to conform to the 2003 presentation.</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Accounting Pronouncements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May 2003, the Financial Accounting Standards Board (FASB) issued SFAS No. 150, </w:t>
      </w:r>
      <w:r>
        <w:rPr>
          <w:rFonts w:ascii="Arial" w:cs="Arial" w:eastAsia="Arial" w:hAnsi="Arial"/>
          <w:sz w:val="16"/>
          <w:szCs w:val="16"/>
          <w:i w:val="1"/>
          <w:iCs w:val="1"/>
          <w:color w:val="auto"/>
        </w:rPr>
        <w:t>Accounting for Certain Financial Instruments with Characteristics of</w:t>
      </w:r>
      <w:r>
        <w:rPr>
          <w:rFonts w:ascii="Arial" w:cs="Arial" w:eastAsia="Arial" w:hAnsi="Arial"/>
          <w:sz w:val="16"/>
          <w:szCs w:val="16"/>
          <w:color w:val="auto"/>
        </w:rPr>
        <w:t xml:space="preserve"> </w:t>
      </w:r>
      <w:r>
        <w:rPr>
          <w:rFonts w:ascii="Arial" w:cs="Arial" w:eastAsia="Arial" w:hAnsi="Arial"/>
          <w:sz w:val="16"/>
          <w:szCs w:val="16"/>
          <w:i w:val="1"/>
          <w:iCs w:val="1"/>
          <w:color w:val="auto"/>
        </w:rPr>
        <w:t>both Liabilities and Equity</w:t>
      </w:r>
      <w:r>
        <w:rPr>
          <w:rFonts w:ascii="Arial" w:cs="Arial" w:eastAsia="Arial" w:hAnsi="Arial"/>
          <w:sz w:val="16"/>
          <w:szCs w:val="16"/>
          <w:color w:val="auto"/>
        </w:rPr>
        <w:t>. The statement establishes standards for how an issuer classifies and measures certain financial instruments with characteristics of both</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and equity. The statement requires that an issuer classify a financial instrument that is within its scope as a liability (or an asset in some circumstances). Many of those instruments were previously classified as equity. The provisions of this statement are effective for financial instruments entered into or modified after May 31, 2003, and otherwise is effective at the beginning of the first interim period beginning after June 15, 2003. The provisions are to be implemented by reporting the cumulative effect of a change in an accounting principle for financial instruments created before the issuance date of the statement and still existing at the beginning of the interim period of adoption. We do not have any financial instruments to which this statement would apply.</w:t>
      </w:r>
    </w:p>
    <w:p>
      <w:pPr>
        <w:spacing w:after="0" w:line="105"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In May 2003, the FASB ratified the consensus on Emerging Issues Task Force (EITF) 01-08</w:t>
      </w:r>
      <w:r>
        <w:rPr>
          <w:rFonts w:ascii="Arial" w:cs="Arial" w:eastAsia="Arial" w:hAnsi="Arial"/>
          <w:sz w:val="16"/>
          <w:szCs w:val="16"/>
          <w:i w:val="1"/>
          <w:iCs w:val="1"/>
          <w:color w:val="auto"/>
        </w:rPr>
        <w:t>, Determining Whether an Arrangement Contains a Lease,</w:t>
      </w:r>
      <w:r>
        <w:rPr>
          <w:rFonts w:ascii="Arial" w:cs="Arial" w:eastAsia="Arial" w:hAnsi="Arial"/>
          <w:sz w:val="16"/>
          <w:szCs w:val="16"/>
          <w:color w:val="auto"/>
        </w:rPr>
        <w:t xml:space="preserve"> which provides guidance on when an arrangement represents a lease transaction and requires the application of SFAS No. 13, </w:t>
      </w:r>
      <w:r>
        <w:rPr>
          <w:rFonts w:ascii="Arial" w:cs="Arial" w:eastAsia="Arial" w:hAnsi="Arial"/>
          <w:sz w:val="16"/>
          <w:szCs w:val="16"/>
          <w:i w:val="1"/>
          <w:iCs w:val="1"/>
          <w:color w:val="auto"/>
        </w:rPr>
        <w:t>Accounting for Leases</w:t>
      </w:r>
      <w:r>
        <w:rPr>
          <w:rFonts w:ascii="Arial" w:cs="Arial" w:eastAsia="Arial" w:hAnsi="Arial"/>
          <w:sz w:val="16"/>
          <w:szCs w:val="16"/>
          <w:color w:val="auto"/>
        </w:rPr>
        <w:t>. The guidance is effective for arrangements entered into or modified after June 30, 2003. The provisions of this guidance may impact our accounting for future outsourcing contracts. We have not entered into or modified any arrangements subsequent to June 30, 2003 to which this guidance may apply.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Short-Term Investments</w:t>
      </w:r>
    </w:p>
    <w:p>
      <w:pPr>
        <w:spacing w:after="0" w:line="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Short-term investments, which are classified as available-for-sale, consist of United States (U.S.) government and agency paper, money market funds, repurchase agreements, master notes and certificates of deposits. During the year ended December 31, 2002, we liquidated our short-term investments, and realized a gain of $27,000. Cost was determined using the specific identification method in computing the realized gain in 2002. There were no significant realized gains or losses on short-term investments for the years ended December 31, 2003 and 2001. No interest income was earned on short-term investments for the year ended December 31, 2003.</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income earned on short-term investments was $486,000 and $658,000 for the years ended December 31, 2002 and 2001,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 and Capital Structure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20" w:type="dxa"/>
            <w:vAlign w:val="bottom"/>
            <w:gridSpan w:val="4"/>
          </w:tcPr>
          <w:p>
            <w:pPr>
              <w:jc w:val="center"/>
              <w:ind w:left="2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2002</w:t>
            </w: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except per share data)</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10,478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8,683</w:t>
            </w:r>
          </w:p>
        </w:tc>
        <w:tc>
          <w:tcPr>
            <w:tcW w:w="5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20,413</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19,262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5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10,478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8,683</w:t>
            </w:r>
          </w:p>
        </w:tc>
        <w:tc>
          <w:tcPr>
            <w:tcW w:w="5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debt, net of income taxes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available to common shareholders, assuming conversion</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10,478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8,854</w:t>
            </w:r>
          </w:p>
        </w:tc>
        <w:tc>
          <w:tcPr>
            <w:tcW w:w="5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20,413</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19,262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stock options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Convertible debt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428</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Adjusted weighted average shares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21,740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21,380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5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have granted options to purchase shares of our common stock to directors, employees and other key personnel at fair market value on the date of grant.</w:t>
      </w:r>
    </w:p>
    <w:p>
      <w:pPr>
        <w:spacing w:after="0" w:line="18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dilutive effect of options is calculated using the treasury stock method. Under this method, earnings per share is computed as if the options were exercised at the beginning of the period (or at time of issuance, if later) and as if the funds obtained thereby were used to purchase common stock at the average market price during the period. Weighted average common shares outstanding, assuming dilution, include the incremental shares that would be issued upon the assumed exercise of stock options. At December 31, 2003, 2002 and 2001, we had stock options outstanding of approximately 3.9 million, 3.5 million and 3.4 million at average option exercise prices of $13.22, $11.54 and $9.66, respectively. Approximately 589,000, 157,000 and 594,000 stock options were excluded from the calculation of diluted earnings per share for the years ended December 31, 2003, 2002 and 2001, respectively, because they were anti-dilutive. These options could be dilutive in future periods.</w:t>
      </w:r>
    </w:p>
    <w:p>
      <w:pPr>
        <w:spacing w:after="0" w:line="10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dilutive effect of our convertible subordinated notes is calculated using the if converted method. Under this method, the after-tax amount of interest expense related to the convertible debt is added back to net income. In 2001 and for a portion of 2002, we had subordinated convertible debt outstanding with conversion prices of $9.65, representing 1.5 million shares, and $23.70, representing an additional 1.6 million shares. During April and May of 2002, we exercised our option to redeem our subordinated convertible debt. All holders of the notes chose to convert their notes into common stock as opposed to redeem them. In both 2001 and 2002 certain portions of the convertible debt shares were excluded from the earnings per share calculation, as they were anti-dilutive.</w:t>
      </w:r>
    </w:p>
    <w:p>
      <w:pPr>
        <w:spacing w:after="0" w:line="10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November 2002, our Board of Directors authorized the repurchase of up to 1.0 million shares of our common stock. No shares have been repurchased under this repurchase authorization.</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May 1998, our Board of Directors authorized the repurchase of up to 1.0 million shares of our common stock. During the years ended December 31, 2002 and 2001, we repurchased 807,900 shares at an average price of $15.54 and 85,100 shares at an average price of $22.42, respectively, which along with shares purchased in the prior year, completed the repurchase program.</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2002, we amended and restated our Articles of Incorporation to authorize ten million shares of preferred common stock with no par value. The amendment brings the total number of authorized common and preferred shares to 85 million. In the event of a liquidation, dissolution or winding up of the affairs of the corporation, whether voluntary or involuntary, the holders of the preferred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5" w:name="page16"/>
    <w:bookmarkEnd w:id="15"/>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at the time outstanding shall be entitled to be paid the preferential amount per share to be determined by the Board of Directors prior to any payment to holders of common stock. Shares of preferred stock may be convertible into common stock based on terms, conditions, rates and subject to such adjustments set by the Board of Directors. There was no preferred stock issued or outstanding at December 31, 2003 and 2002.</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Certain Balance Sheet Components</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Trade (net of allowance for doubtful accounts of $695 and $1,291)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62,770</w:t>
            </w:r>
          </w:p>
        </w:tc>
        <w:tc>
          <w:tcPr>
            <w:tcW w:w="3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Unbilled revenue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accounts receivable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70,782</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Materials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4,081</w:t>
            </w:r>
          </w:p>
        </w:tc>
        <w:tc>
          <w:tcPr>
            <w:tcW w:w="3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 in process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Finished goods</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11,006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manufacturing inventories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ind w:left="840"/>
              <w:spacing w:after="0"/>
              <w:rPr>
                <w:sz w:val="20"/>
                <w:szCs w:val="20"/>
                <w:color w:val="auto"/>
              </w:rPr>
            </w:pPr>
            <w:r>
              <w:rPr>
                <w:rFonts w:ascii="Arial" w:cs="Arial" w:eastAsia="Arial" w:hAnsi="Arial"/>
                <w:sz w:val="18"/>
                <w:szCs w:val="18"/>
                <w:color w:val="auto"/>
              </w:rPr>
              <w:t>Service inventories</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inventories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Machinery and equipment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30,905</w:t>
            </w:r>
          </w:p>
        </w:tc>
        <w:tc>
          <w:tcPr>
            <w:tcW w:w="3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Equipment used in outsourcing</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Computers and purchased software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33,268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Buildings, furniture and improvements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Land</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cost</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103,350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ind w:left="840"/>
              <w:spacing w:after="0"/>
              <w:rPr>
                <w:sz w:val="20"/>
                <w:szCs w:val="20"/>
                <w:color w:val="auto"/>
              </w:rPr>
            </w:pPr>
            <w:r>
              <w:rPr>
                <w:rFonts w:ascii="Arial" w:cs="Arial" w:eastAsia="Arial" w:hAnsi="Arial"/>
                <w:sz w:val="18"/>
                <w:szCs w:val="18"/>
                <w:color w:val="auto"/>
              </w:rPr>
              <w:t>Accumulated depreciation</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(60,532)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(61,500)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Property, plant and equipment, net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42,818</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$9.4 million, $7.8 million and $8.1 million for the years ended December 31, 2003, 2002 and 2001, respectively.</w:t>
      </w:r>
    </w:p>
    <w:p>
      <w:pPr>
        <w:spacing w:after="0" w:line="158"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There was no provision to increase the allowance for doubtful accounts in 2003. Provisions to the allowance for doubtful accounts were $839,000 and $2.1 million in 2002 and 2001, respectively. There were no recoveries of previously charged-off accounts in 2003, 2002 or 2001.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w:t>
      </w:r>
    </w:p>
    <w:p>
      <w:pPr>
        <w:spacing w:after="0" w:line="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Silicon Energy Corp.: </w:t>
      </w:r>
      <w:r>
        <w:rPr>
          <w:rFonts w:ascii="Arial" w:cs="Arial" w:eastAsia="Arial" w:hAnsi="Arial"/>
          <w:sz w:val="16"/>
          <w:szCs w:val="16"/>
          <w:color w:val="auto"/>
        </w:rPr>
        <w:t>On March 4, 2003, we acquired Silicon Energy Corp. (Silicon), a leading provider of enterprise energy management software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to utilities and large energy users, for consideration equal to $71.1 million in cash, plus other direct transaction costs of approximately $1.3 million, less cash acquired of approximately $1.4 million. Of the consideration, approximately $6.4 million was retained in an indemnification escrow account, which terminates March 2005, to cover certain representations and warranties issued by Silicon. The amount of merger consideration was subject to a working capital adjustment that was finalized within 45 days from closing. No working capital adjustment was required. We acquired Silicon utilizing cash on hand and the proceeds from a $50 million term loan, repayable over three years with equal quarterly principal payments. The annual interest rate on the term loan at closing was approximately 3.8% and will vary according to market rates and our consolidated leverage ratio.</w:t>
      </w:r>
    </w:p>
    <w:p>
      <w:pPr>
        <w:spacing w:after="0" w:line="10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March 4, 2003, Silicon was in the process of developing new software products that had not yet reached technological feasibility. The fair value of the IPR&amp;D was estimated by an independent valuation using the income approach, which reflects the net present value of the projected cash flows expected to be generated by the products incorporating the in-process technology. The discount rate applicable to the cash flows of the products reflects the stage of completion and other risks inherent in the projects.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16" w:name="page17"/>
    <w:bookmarkEnd w:id="16"/>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discount rate used in the valuation of IPR&amp;D was 29 percent. The fair value of IPR&amp;D was estimated to be $900,000 with an estimated cost to complete of approximately $1.2 million. The in-process technology was substantially completed in 2003. The IPR&amp;D fair value of $900,000 was expensed in March 2003 and recorded within operating expenses. Other identifiable intangible assets with a total value of $14.3 million are being amortized over the lives of the estimated discounted cash flows assumed in the valuation models. Goodwill will be assessed for impairment on an annual basis, or upon a significant event during a year, in accordance with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w:t>
      </w:r>
    </w:p>
    <w:p>
      <w:pPr>
        <w:spacing w:after="0" w:line="1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condensed financial information reflects a preliminary allocation of the purchase price based on the estimated fair values of the assets and liabilities. The fair values of the majority of the assets and liabilities have been finalized. However, we continue to assess the allocation of fair value to assets and liabilities acquired and expect to make final adjustments in the quarter ended March 31, 2004.</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w:t>
            </w:r>
          </w:p>
        </w:tc>
      </w:tr>
      <w:tr>
        <w:trPr>
          <w:trHeight w:val="149"/>
        </w:trPr>
        <w:tc>
          <w:tcPr>
            <w:tcW w:w="56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74"/>
        </w:trPr>
        <w:tc>
          <w:tcPr>
            <w:tcW w:w="56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Fair Value</w:t>
            </w:r>
          </w:p>
        </w:tc>
        <w:tc>
          <w:tcPr>
            <w:tcW w:w="40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8"/>
              </w:rPr>
              <w:t>Life</w:t>
            </w:r>
          </w:p>
        </w:tc>
      </w:tr>
      <w:tr>
        <w:trPr>
          <w:trHeight w:val="95"/>
        </w:trPr>
        <w:tc>
          <w:tcPr>
            <w:tcW w:w="56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237"/>
        </w:trPr>
        <w:tc>
          <w:tcPr>
            <w:tcW w:w="56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(in</w:t>
            </w:r>
          </w:p>
        </w:tc>
        <w:tc>
          <w:tcPr>
            <w:tcW w:w="40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1"/>
              </w:rPr>
              <w:t>(in</w:t>
            </w:r>
          </w:p>
        </w:tc>
      </w:tr>
      <w:tr>
        <w:trPr>
          <w:trHeight w:val="161"/>
        </w:trPr>
        <w:tc>
          <w:tcPr>
            <w:tcW w:w="5600" w:type="dxa"/>
            <w:vAlign w:val="bottom"/>
          </w:tcPr>
          <w:p>
            <w:pPr>
              <w:spacing w:after="0"/>
              <w:rPr>
                <w:sz w:val="14"/>
                <w:szCs w:val="14"/>
                <w:color w:val="auto"/>
              </w:rPr>
            </w:pPr>
          </w:p>
        </w:tc>
        <w:tc>
          <w:tcPr>
            <w:tcW w:w="3720" w:type="dxa"/>
            <w:vAlign w:val="bottom"/>
            <w:gridSpan w:val="3"/>
          </w:tcPr>
          <w:p>
            <w:pPr>
              <w:jc w:val="center"/>
              <w:ind w:left="2234"/>
              <w:spacing w:after="0"/>
              <w:rPr>
                <w:sz w:val="20"/>
                <w:szCs w:val="20"/>
                <w:color w:val="auto"/>
              </w:rPr>
            </w:pPr>
            <w:r>
              <w:rPr>
                <w:rFonts w:ascii="Arial" w:cs="Arial" w:eastAsia="Arial" w:hAnsi="Arial"/>
                <w:sz w:val="14"/>
                <w:szCs w:val="14"/>
                <w:b w:val="1"/>
                <w:bCs w:val="1"/>
                <w:color w:val="auto"/>
                <w:w w:val="84"/>
              </w:rPr>
              <w:t>thousands)</w:t>
            </w:r>
          </w:p>
        </w:tc>
        <w:tc>
          <w:tcPr>
            <w:tcW w:w="4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months)</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net assets assumed</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$ 12,249</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Identified intangible assets—amortizable</w:t>
            </w:r>
          </w:p>
        </w:tc>
        <w:tc>
          <w:tcPr>
            <w:tcW w:w="2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Core-developed technology</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5,900</w:t>
            </w: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relationships/contracts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Customer backlog</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2,600</w:t>
            </w: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Trademarks and trade names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Partner relationships</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43,605</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108"/>
        </w:trPr>
        <w:tc>
          <w:tcPr>
            <w:tcW w:w="56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02"/>
        </w:trPr>
        <w:tc>
          <w:tcPr>
            <w:tcW w:w="56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assets acquired</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$ 71,054</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108"/>
        </w:trPr>
        <w:tc>
          <w:tcPr>
            <w:tcW w:w="56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r>
    </w:tbl>
    <w:p>
      <w:pPr>
        <w:spacing w:after="0" w:line="248"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LineSoft Corporation: </w:t>
      </w:r>
      <w:r>
        <w:rPr>
          <w:rFonts w:ascii="Arial" w:cs="Arial" w:eastAsia="Arial" w:hAnsi="Arial"/>
          <w:sz w:val="16"/>
          <w:szCs w:val="16"/>
          <w:color w:val="auto"/>
        </w:rPr>
        <w:t>In March 2002, we acquired LineSoft Corporation (LineSoft), a leading provider of engineering design software applications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consulting services for optimizing the construction or rebuilding of utility T&amp;D infrastructure. The purchase price was $43.5 million, distributed as $20.9 million in cash and 848,870 shares of common stock valued at $25.68 per share, plus acquisition expenses of $1.6 million. A working capital adjustment decreased the purchase price by $784,000. The value of the common shares issued was determined based on the average market price of our common shares over a specified period prior to closing. In addition, we are required to pay additional amounts to certain LineSoft shareholders of up to $13.5 million in the event that certain defined revenue targets in 2003 and/or 2004 are exceeded. Any earnout payments will be paid half in cash and half in our common stock. If an earnout is required, the purchase price will be increased by the fair value of the payment. The 2003 revenue target was not exceeded and an earnout was not recorded. We do not expect the 2004 revenue target to be exceeded and therefore, it is unlikely an earnout payment will be required in 2004.</w:t>
      </w:r>
    </w:p>
    <w:p>
      <w:pPr>
        <w:spacing w:after="0" w:line="1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replaced a pre-existing non-recourse loan in the amount of $2.0 million to the former Chief Executive Officer of LineSoft with a new non-recourse promissory note, secured with our common stock, in the same amount. At December 31, 2002, the loan balance was approximately $473,000 and bore interest at an annual rate of 6.0%. The replacement note matured on May 11, 2003 and to settle the note, the remaining shares that secured the note were transferred to us. The fair value of the shares was less than the outstanding balance on the note resulting in an expense of approximately $170,000 during 2003 to write-off the residual value of the note.</w:t>
      </w:r>
    </w:p>
    <w:p>
      <w:pPr>
        <w:spacing w:after="0" w:line="1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An independent valuation was performed to identify and value the acquired intangible assets. The assets primarily consist of core-developed technology and customer contracts. We are amortizing the acquired intangibles over the lives of the estimated discounted cash flows assumed in the valuation models. In addition to the amortizable intangible assets identified, IPR&amp;D was also identified. A fair value of $7.2 million attributed to IPR&amp;D was determined utilizing the income approach, which discounts expected future cash flows from projects under development to their net present value. Each project was analyzed to determine the technological innovations included, the utilization of core technology, the complexity, cost and time to complete development, any alternative future use or current technological feasibility and the stage of completion. Future cash flows were estimated taking into account the expected life cycles of the product and the underlying technology, relevant market sizes and industry trends. A discount rate was determined based on an assessment of the weighted average cost of capital of LineSoft, a weighted average return on assets, the internal rate of return of the investment in the acquisition of LineSoft and venture capital rates of return. The discount rate used in the valuation of all IPR&amp;D projects was 25 percent. We expensed the IPR&amp;D in 2002 and are amortizing the core-developed technology and customer contracts over weighted average useful lives of 29 and 30 months, respectively. Goodwill will be assessed for impairment on an annual basis, or upon a significant event during a year, in accordance with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7" w:name="page18"/>
    <w:bookmarkEnd w:id="17"/>
    <w:p>
      <w:pPr>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Regional Economic Research, Inc.: </w:t>
      </w:r>
      <w:r>
        <w:rPr>
          <w:rFonts w:ascii="Arial" w:cs="Arial" w:eastAsia="Arial" w:hAnsi="Arial"/>
          <w:sz w:val="16"/>
          <w:szCs w:val="16"/>
          <w:color w:val="auto"/>
        </w:rPr>
        <w:t>In October 2002, we acquired Regional Economic Research, Inc. (RER), a California based company specializing in energy</w:t>
      </w:r>
      <w:r>
        <w:rPr>
          <w:rFonts w:ascii="Arial" w:cs="Arial" w:eastAsia="Arial" w:hAnsi="Arial"/>
          <w:sz w:val="16"/>
          <w:szCs w:val="16"/>
          <w:i w:val="1"/>
          <w:iCs w:val="1"/>
          <w:color w:val="auto"/>
        </w:rPr>
        <w:t xml:space="preserve"> </w:t>
      </w:r>
      <w:r>
        <w:rPr>
          <w:rFonts w:ascii="Arial" w:cs="Arial" w:eastAsia="Arial" w:hAnsi="Arial"/>
          <w:sz w:val="16"/>
          <w:szCs w:val="16"/>
          <w:color w:val="auto"/>
        </w:rPr>
        <w:t>consulting, analysis and forecasting services and software. The initial purchase price of $14.3 million consisted of $13.9 million paid in cash, plus acquisition expenses of $428,500. We are required to pay additional amounts to certain RER shareholders of up to $4.0 million to the extent that certain defined revenue targets in 2003 and 2004 are exceeded. RER exceeded the defined revenue target established for 2003 and we accrued a liability of $1.8 million for the expected earnout payment. The purchase price was increased by the earnout and recorded as an addition to goodwill. We expect that the 2004 revenue target will be exceeded and that an additional earnout in the range of $1.0 to $2.0 million will be required in 2004. The form of the anticipated earnout is payable in cash and/or our common stock based solely upon our discretion. The 2003 earnout will be paid in cash on or before March 31, 2004.</w:t>
      </w:r>
    </w:p>
    <w:p>
      <w:pPr>
        <w:spacing w:after="0" w:line="10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An independent valuation was performed to identify and value the acquired intangible assets. The assets primarily consist of core-developed technology and software license renewal contracts. The fair values of the acquired intangible assets were determined utilizing the income approach based on projected revenues. We are amortizing the acquired intangibles over the lives of the estimated discounted cash flows assumed in the valuation models. Amortization periods for the core-developed technology and software license renewal contracts are 49 and 45 months, respectively. Goodwill will be assessed for impairment on an annual basis, or upon a significant event during a year, in accordance with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w:t>
      </w:r>
    </w:p>
    <w:p>
      <w:pPr>
        <w:spacing w:after="0" w:line="10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eMobile Data Corporation: </w:t>
      </w:r>
      <w:r>
        <w:rPr>
          <w:rFonts w:ascii="Arial" w:cs="Arial" w:eastAsia="Arial" w:hAnsi="Arial"/>
          <w:sz w:val="18"/>
          <w:szCs w:val="18"/>
          <w:color w:val="auto"/>
        </w:rPr>
        <w:t>Also in October 2002, we acquired eMobile Data Corporation (eMobile), a British Columbia, Canada based company that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web-based workforce management solutions for the utility industry. The purchase price of $9.4 million consisted of $6.4 million of cash, $2.5 million of non-cash consideration and $487,800 of acquisition expenses. A working capital adjustment decreased the purchase price by $28,500. During the year ended December 31, 2001, we loaned $2.0 million in the form of a convertible note to eMobile which, with accrued and unpaid interest, was considered part of the purchase price in 2002.</w:t>
      </w:r>
    </w:p>
    <w:p>
      <w:pPr>
        <w:spacing w:after="0" w:line="1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An independent valuation was performed to identify and value the acquired intangible assets. The significant asset identified related to core-developed technology. The fair values of the acquired intangible assets were determined utilizing the income approach based on projected revenues. We are amortizing the acquired intangibles over the lives of the estimated discounted cash flows assumed in the valuation models. The amortization period for the core-developed technology is 30 months. Goodwill will be assessed for impairment on an annual basis, or upon a significant event during a year, in accordance with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w:t>
      </w:r>
    </w:p>
    <w:p>
      <w:pPr>
        <w:spacing w:after="0" w:line="129"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The following is a summary of our 2002 acquisitions, the respective purchase price and the allocation of the purchase price based on the foreign currency exchange rate and estimated fair values at the date of acquisition, and the weighted average useful lives of the identified intangible assets.</w:t>
      </w:r>
    </w:p>
    <w:p>
      <w:pPr>
        <w:spacing w:after="0" w:line="5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2"/>
              </w:rPr>
              <w:t>Wtd Ave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2"/>
              </w:rPr>
              <w:t>Wtd Ave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2"/>
              </w:rPr>
              <w:t>Wtd Ave</w:t>
            </w:r>
          </w:p>
        </w:tc>
      </w:tr>
      <w:tr>
        <w:trPr>
          <w:trHeight w:val="174"/>
        </w:trPr>
        <w:tc>
          <w:tcPr>
            <w:tcW w:w="3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LineSoft</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Life (mos)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RER</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Life (mos)</w:t>
            </w:r>
          </w:p>
        </w:tc>
        <w:tc>
          <w:tcPr>
            <w:tcW w:w="66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eMobile</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Life (mos)</w:t>
            </w:r>
          </w:p>
        </w:tc>
      </w:tr>
      <w:tr>
        <w:trPr>
          <w:trHeight w:val="95"/>
        </w:trPr>
        <w:tc>
          <w:tcPr>
            <w:tcW w:w="3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250"/>
        </w:trPr>
        <w:tc>
          <w:tcPr>
            <w:tcW w:w="3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net assets assumed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Intangible assets—amortizable: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Core/developed technology</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3,600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060" w:type="dxa"/>
            <w:vAlign w:val="bottom"/>
          </w:tcPr>
          <w:p>
            <w:pPr>
              <w:ind w:left="440"/>
              <w:spacing w:after="0"/>
              <w:rPr>
                <w:sz w:val="20"/>
                <w:szCs w:val="20"/>
                <w:color w:val="auto"/>
              </w:rPr>
            </w:pPr>
            <w:r>
              <w:rPr>
                <w:rFonts w:ascii="Arial" w:cs="Arial" w:eastAsia="Arial" w:hAnsi="Arial"/>
                <w:sz w:val="18"/>
                <w:szCs w:val="18"/>
                <w:color w:val="auto"/>
              </w:rPr>
              <w:t>Customer/software contracts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7,200</w:t>
            </w:r>
          </w:p>
        </w:tc>
        <w:tc>
          <w:tcPr>
            <w:tcW w:w="6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n/a</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n/a</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23,568</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5,629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108"/>
        </w:trPr>
        <w:tc>
          <w:tcPr>
            <w:tcW w:w="3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02"/>
        </w:trPr>
        <w:tc>
          <w:tcPr>
            <w:tcW w:w="3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216"/>
        </w:trPr>
        <w:tc>
          <w:tcPr>
            <w:tcW w:w="3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43,519</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16,188</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9,417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108"/>
        </w:trPr>
        <w:tc>
          <w:tcPr>
            <w:tcW w:w="3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r>
    </w:tbl>
    <w:p>
      <w:pPr>
        <w:spacing w:after="0" w:line="2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Goodwill related to the eMobile acquisition was fully deductible for tax purposes, while goodwill related to Silicon, LineSoft and RER is not deductible. Goodwill and intangible assets were allocated to our defined reporting units based on the acquired entities’ percentage of forecasted revenue contributed to each reporting unit. The allocation was as follows: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8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Silicon</w:t>
            </w:r>
          </w:p>
        </w:tc>
        <w:tc>
          <w:tcPr>
            <w:tcW w:w="12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LineSoft</w:t>
            </w:r>
          </w:p>
        </w:tc>
        <w:tc>
          <w:tcPr>
            <w:tcW w:w="10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RER</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eMobile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Reporting unit</w:t>
            </w:r>
          </w:p>
        </w:tc>
        <w:tc>
          <w:tcPr>
            <w:tcW w:w="2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Electric</w:t>
            </w:r>
          </w:p>
        </w:tc>
        <w:tc>
          <w:tcPr>
            <w:tcW w:w="2840" w:type="dxa"/>
            <w:vAlign w:val="bottom"/>
            <w:gridSpan w:val="3"/>
          </w:tcPr>
          <w:p>
            <w:pPr>
              <w:jc w:val="right"/>
              <w:ind w:right="300"/>
              <w:spacing w:after="0"/>
              <w:rPr>
                <w:sz w:val="20"/>
                <w:szCs w:val="20"/>
                <w:color w:val="auto"/>
              </w:rPr>
            </w:pPr>
            <w:r>
              <w:rPr>
                <w:rFonts w:ascii="Arial" w:cs="Arial" w:eastAsia="Arial" w:hAnsi="Arial"/>
                <w:sz w:val="18"/>
                <w:szCs w:val="18"/>
                <w:color w:val="auto"/>
              </w:rPr>
              <w:t>60%</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96%</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85%</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Water and Public Power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End User Solutions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0" w:type="dxa"/>
            <w:vAlign w:val="bottom"/>
          </w:tcPr>
          <w:p>
            <w:pPr>
              <w:jc w:val="right"/>
              <w:ind w:right="355"/>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18" w:name="page19"/>
    <w:bookmarkEnd w:id="1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pro forma results for the years ending December 31, 2003 and 2002 are based on the individual historical results of Itron, Inc., Silicon and LineSoft (prior to the acquisitions on March 4, 2003 for Silicon and March 12, 2002 for LineSoft) with adjustments to give effect to the combined operations. The adjustments are related to amortization of acquired identified intangible assets, reduction of depreciation expense resulting from adjustments to the value of acquired fixed assets, elimination of interest expense on Silicon’s debt, which was paid in full upon acquisition, Silicon’s line of credit paid in full and the change in tax provision. The pro forma results are presented solely as unaudited supplemental information and do not necessarily represent what the combined results of operations or financial position would actually have been had the transactions in fact occurred at an earlier date, nor are they representative of results for any future date or period. The acquisitions of RER and eMobile have been excluded from the pro forma results as such amounts are immaterial.</w:t>
      </w:r>
    </w:p>
    <w:p>
      <w:pPr>
        <w:spacing w:after="0" w:line="10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left="458"/>
              <w:spacing w:after="0"/>
              <w:rPr>
                <w:sz w:val="20"/>
                <w:szCs w:val="20"/>
                <w:color w:val="auto"/>
              </w:rPr>
            </w:pPr>
            <w:r>
              <w:rPr>
                <w:rFonts w:ascii="Arial" w:cs="Arial" w:eastAsia="Arial" w:hAnsi="Arial"/>
                <w:sz w:val="14"/>
                <w:szCs w:val="14"/>
                <w:b w:val="1"/>
                <w:bCs w:val="1"/>
                <w:color w:val="auto"/>
                <w:w w:val="90"/>
              </w:rPr>
              <w:t>Pro forma</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138"/>
              <w:spacing w:after="0"/>
              <w:rPr>
                <w:sz w:val="20"/>
                <w:szCs w:val="20"/>
                <w:color w:val="auto"/>
              </w:rPr>
            </w:pPr>
            <w:r>
              <w:rPr>
                <w:rFonts w:ascii="Arial" w:cs="Arial" w:eastAsia="Arial" w:hAnsi="Arial"/>
                <w:sz w:val="14"/>
                <w:szCs w:val="14"/>
                <w:b w:val="1"/>
                <w:bCs w:val="1"/>
                <w:color w:val="auto"/>
              </w:rPr>
              <w:t>2003</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2"/>
                <w:szCs w:val="22"/>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(in thousands,</w:t>
            </w:r>
          </w:p>
        </w:tc>
      </w:t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6"/>
              </w:rPr>
              <w:t>except per share data)</w:t>
            </w: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318,687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304,435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Gross profit</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143,238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142,348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125,405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141,869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income (expense)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7,789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(1,199)</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Basic net income per share</w:t>
            </w: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0.77</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2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r>
      <w:tr>
        <w:trPr>
          <w:trHeight w:val="323"/>
        </w:trPr>
        <w:tc>
          <w:tcPr>
            <w:tcW w:w="5180" w:type="dxa"/>
            <w:vAlign w:val="bottom"/>
            <w:gridSpan w:val="2"/>
          </w:tcPr>
          <w:p>
            <w:pPr>
              <w:spacing w:after="0"/>
              <w:rPr>
                <w:sz w:val="20"/>
                <w:szCs w:val="20"/>
                <w:color w:val="auto"/>
              </w:rPr>
            </w:pPr>
            <w:r>
              <w:rPr>
                <w:rFonts w:ascii="Arial" w:cs="Arial" w:eastAsia="Arial" w:hAnsi="Arial"/>
                <w:sz w:val="18"/>
                <w:szCs w:val="18"/>
                <w:color w:val="auto"/>
              </w:rPr>
              <w:t>Weighted average shares assumed outstanding</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19,477</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Diluted</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21,740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21,167</w:t>
            </w:r>
          </w:p>
        </w:tc>
        <w:tc>
          <w:tcPr>
            <w:tcW w:w="80" w:type="dxa"/>
            <w:vAlign w:val="bottom"/>
          </w:tcPr>
          <w:p>
            <w:pPr>
              <w:spacing w:after="0"/>
              <w:rPr>
                <w:sz w:val="19"/>
                <w:szCs w:val="19"/>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Identified Intangible Assets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gross carrying amount and accumulated amortization of our intangible assets, other than goodwill, as of December 31, 2003 and 2002 were as follows:</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1800" w:type="dxa"/>
            <w:vAlign w:val="bottom"/>
            <w:gridSpan w:val="4"/>
          </w:tcPr>
          <w:p>
            <w:pPr>
              <w:ind w:left="66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1540" w:type="dxa"/>
            <w:vAlign w:val="bottom"/>
            <w:gridSpan w:val="4"/>
          </w:tcPr>
          <w:p>
            <w:pPr>
              <w:ind w:left="660"/>
              <w:spacing w:after="0"/>
              <w:rPr>
                <w:sz w:val="20"/>
                <w:szCs w:val="20"/>
                <w:color w:val="auto"/>
              </w:rPr>
            </w:pPr>
            <w:r>
              <w:rPr>
                <w:rFonts w:ascii="Arial" w:cs="Arial" w:eastAsia="Arial" w:hAnsi="Arial"/>
                <w:sz w:val="14"/>
                <w:szCs w:val="14"/>
                <w:b w:val="1"/>
                <w:bCs w:val="1"/>
                <w:color w:val="auto"/>
                <w:w w:val="97"/>
              </w:rPr>
              <w:t>Accumulated</w:t>
            </w:r>
          </w:p>
        </w:tc>
      </w:tr>
      <w:tr>
        <w:trPr>
          <w:trHeight w:val="149"/>
        </w:trPr>
        <w:tc>
          <w:tcPr>
            <w:tcW w:w="4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Assets</w:t>
            </w:r>
          </w:p>
        </w:tc>
        <w:tc>
          <w:tcPr>
            <w:tcW w:w="1800" w:type="dxa"/>
            <w:vAlign w:val="bottom"/>
            <w:gridSpan w:val="4"/>
          </w:tcPr>
          <w:p>
            <w:pPr>
              <w:ind w:left="660"/>
              <w:spacing w:after="0" w:line="149" w:lineRule="exact"/>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Assets</w:t>
            </w:r>
          </w:p>
        </w:tc>
        <w:tc>
          <w:tcPr>
            <w:tcW w:w="1540" w:type="dxa"/>
            <w:vAlign w:val="bottom"/>
            <w:gridSpan w:val="4"/>
          </w:tcPr>
          <w:p>
            <w:pPr>
              <w:ind w:left="660"/>
              <w:spacing w:after="0" w:line="149" w:lineRule="exact"/>
              <w:rPr>
                <w:sz w:val="20"/>
                <w:szCs w:val="20"/>
                <w:color w:val="auto"/>
              </w:rPr>
            </w:pPr>
            <w:r>
              <w:rPr>
                <w:rFonts w:ascii="Arial" w:cs="Arial" w:eastAsia="Arial" w:hAnsi="Arial"/>
                <w:sz w:val="14"/>
                <w:szCs w:val="14"/>
                <w:b w:val="1"/>
                <w:bCs w:val="1"/>
                <w:color w:val="auto"/>
              </w:rPr>
              <w:t>Amortization</w:t>
            </w:r>
          </w:p>
        </w:tc>
      </w:tr>
      <w:tr>
        <w:trPr>
          <w:trHeight w:val="174"/>
        </w:trPr>
        <w:tc>
          <w:tcPr>
            <w:tcW w:w="4060" w:type="dxa"/>
            <w:vAlign w:val="bottom"/>
          </w:tcPr>
          <w:p>
            <w:pPr>
              <w:spacing w:after="0"/>
              <w:rPr>
                <w:sz w:val="15"/>
                <w:szCs w:val="15"/>
                <w:color w:val="auto"/>
              </w:rPr>
            </w:pPr>
          </w:p>
        </w:tc>
        <w:tc>
          <w:tcPr>
            <w:tcW w:w="1960" w:type="dxa"/>
            <w:vAlign w:val="bottom"/>
            <w:gridSpan w:val="2"/>
          </w:tcPr>
          <w:p>
            <w:pPr>
              <w:jc w:val="center"/>
              <w:ind w:left="1235"/>
              <w:spacing w:after="0"/>
              <w:rPr>
                <w:sz w:val="20"/>
                <w:szCs w:val="20"/>
                <w:color w:val="auto"/>
              </w:rPr>
            </w:pPr>
            <w:r>
              <w:rPr>
                <w:rFonts w:ascii="Arial" w:cs="Arial" w:eastAsia="Arial" w:hAnsi="Arial"/>
                <w:sz w:val="14"/>
                <w:szCs w:val="14"/>
                <w:b w:val="1"/>
                <w:bCs w:val="1"/>
                <w:color w:val="auto"/>
                <w:w w:val="88"/>
              </w:rPr>
              <w:t>12/31/03</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12/31/03</w:t>
            </w:r>
          </w:p>
        </w:tc>
        <w:tc>
          <w:tcPr>
            <w:tcW w:w="360" w:type="dxa"/>
            <w:vAlign w:val="bottom"/>
          </w:tcPr>
          <w:p>
            <w:pPr>
              <w:spacing w:after="0"/>
              <w:rPr>
                <w:sz w:val="15"/>
                <w:szCs w:val="15"/>
                <w:color w:val="auto"/>
              </w:rPr>
            </w:pPr>
          </w:p>
        </w:tc>
        <w:tc>
          <w:tcPr>
            <w:tcW w:w="920" w:type="dxa"/>
            <w:vAlign w:val="bottom"/>
            <w:gridSpan w:val="2"/>
          </w:tcPr>
          <w:p>
            <w:pPr>
              <w:jc w:val="center"/>
              <w:ind w:left="195"/>
              <w:spacing w:after="0"/>
              <w:rPr>
                <w:sz w:val="20"/>
                <w:szCs w:val="20"/>
                <w:color w:val="auto"/>
              </w:rPr>
            </w:pPr>
            <w:r>
              <w:rPr>
                <w:rFonts w:ascii="Arial" w:cs="Arial" w:eastAsia="Arial" w:hAnsi="Arial"/>
                <w:sz w:val="14"/>
                <w:szCs w:val="14"/>
                <w:b w:val="1"/>
                <w:bCs w:val="1"/>
                <w:color w:val="auto"/>
                <w:w w:val="88"/>
              </w:rPr>
              <w:t>12/31/02</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75"/>
              <w:spacing w:after="0"/>
              <w:rPr>
                <w:sz w:val="20"/>
                <w:szCs w:val="20"/>
                <w:color w:val="auto"/>
              </w:rPr>
            </w:pPr>
            <w:r>
              <w:rPr>
                <w:rFonts w:ascii="Arial" w:cs="Arial" w:eastAsia="Arial" w:hAnsi="Arial"/>
                <w:sz w:val="14"/>
                <w:szCs w:val="14"/>
                <w:b w:val="1"/>
                <w:bCs w:val="1"/>
                <w:color w:val="auto"/>
                <w:w w:val="88"/>
              </w:rPr>
              <w:t>12/31/02</w:t>
            </w:r>
          </w:p>
        </w:tc>
        <w:tc>
          <w:tcPr>
            <w:tcW w:w="100" w:type="dxa"/>
            <w:vAlign w:val="bottom"/>
          </w:tcPr>
          <w:p>
            <w:pPr>
              <w:spacing w:after="0"/>
              <w:rPr>
                <w:sz w:val="15"/>
                <w:szCs w:val="15"/>
                <w:color w:val="auto"/>
              </w:rPr>
            </w:pPr>
          </w:p>
        </w:tc>
      </w:tr>
      <w:tr>
        <w:trPr>
          <w:trHeight w:val="95"/>
        </w:trPr>
        <w:tc>
          <w:tcPr>
            <w:tcW w:w="4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gridSpan w:val="2"/>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4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Core-developed technology</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$ 18,330</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(5,553)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$ 12,437</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Patents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7,088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(3,952)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7,088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(3,524)</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Distribution and production rights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3,935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(2,711)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2,480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(2,347)</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w:t>
            </w: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Other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5,101</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(3,672)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1,107</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(437)</w:t>
            </w:r>
          </w:p>
        </w:tc>
      </w:tr>
      <w:tr>
        <w:trPr>
          <w:trHeight w:val="102"/>
        </w:trPr>
        <w:tc>
          <w:tcPr>
            <w:tcW w:w="4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4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identified intangible assets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$ 45,169</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(22,190)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$ 30,887</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(12,582)</w:t>
            </w:r>
          </w:p>
        </w:tc>
      </w:tr>
      <w:tr>
        <w:trPr>
          <w:trHeight w:val="108"/>
        </w:trPr>
        <w:tc>
          <w:tcPr>
            <w:tcW w:w="40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4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Amortization expense on identified intangible assets was approximately $9.6 million in 2003, $2.4 million in 2002 and $737,000 in 2001. Estimated amortization expense is as follows: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w:t>
            </w:r>
          </w:p>
        </w:tc>
      </w:tr>
      <w:tr>
        <w:trPr>
          <w:trHeight w:val="174"/>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32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3"/>
              </w:rPr>
              <w:t>Amortization</w:t>
            </w:r>
          </w:p>
        </w:tc>
      </w:tr>
      <w:tr>
        <w:trPr>
          <w:trHeight w:val="95"/>
        </w:trPr>
        <w:tc>
          <w:tcPr>
            <w:tcW w:w="2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7140" w:type="dxa"/>
            <w:vAlign w:val="bottom"/>
            <w:gridSpan w:val="4"/>
          </w:tcPr>
          <w:p>
            <w:pPr>
              <w:ind w:left="6300"/>
              <w:spacing w:after="0"/>
              <w:rPr>
                <w:sz w:val="20"/>
                <w:szCs w:val="20"/>
                <w:color w:val="auto"/>
              </w:rPr>
            </w:pPr>
            <w:r>
              <w:rPr>
                <w:rFonts w:ascii="Arial" w:cs="Arial" w:eastAsia="Arial" w:hAnsi="Arial"/>
                <w:sz w:val="14"/>
                <w:szCs w:val="14"/>
                <w:b w:val="1"/>
                <w:bCs w:val="1"/>
                <w:color w:val="auto"/>
                <w:w w:val="84"/>
              </w:rPr>
              <w:t>(in thousands)</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6400" w:type="dxa"/>
            <w:vAlign w:val="bottom"/>
            <w:gridSpan w:val="2"/>
            <w:shd w:val="clear" w:color="auto" w:fill="CCEEFF"/>
          </w:tcPr>
          <w:p>
            <w:pPr>
              <w:ind w:left="63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2005</w:t>
            </w:r>
          </w:p>
        </w:tc>
        <w:tc>
          <w:tcPr>
            <w:tcW w:w="6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6,032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2007</w:t>
            </w:r>
          </w:p>
        </w:tc>
        <w:tc>
          <w:tcPr>
            <w:tcW w:w="6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Beyond 2008</w:t>
            </w:r>
          </w:p>
        </w:tc>
        <w:tc>
          <w:tcPr>
            <w:tcW w:w="6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2,315</w:t>
            </w:r>
          </w:p>
        </w:tc>
        <w:tc>
          <w:tcPr>
            <w:tcW w:w="20" w:type="dxa"/>
            <w:vAlign w:val="bottom"/>
          </w:tcPr>
          <w:p>
            <w:pPr>
              <w:spacing w:after="0"/>
              <w:rPr>
                <w:sz w:val="19"/>
                <w:szCs w:val="19"/>
                <w:color w:val="auto"/>
              </w:rPr>
            </w:pPr>
          </w:p>
        </w:tc>
      </w:tr>
      <w:tr>
        <w:trPr>
          <w:trHeight w:val="356"/>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320" w:type="dxa"/>
            <w:vAlign w:val="bottom"/>
          </w:tcPr>
          <w:p>
            <w:pPr>
              <w:jc w:val="right"/>
              <w:ind w:right="3599"/>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7: Goodwill</w:t>
      </w:r>
    </w:p>
    <w:p>
      <w:pPr>
        <w:spacing w:after="0" w:line="8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completed our initial impairment test of goodwill during the second quarter of 2002, and our annual impairment test in the fourth quarters of 2003 and 2002, and concluded that no impairment adjustment was required. Goodwill increased in 2003 primarily due to the acquisition of Silicon on March 4, 2003 and adjustments to goodwill balances associated with acquisitions made during 2002. In addition, the goodwill balance increased approximately $1.3 million with a corresponding increase in other comprehensive income, due to changes in currency exchange rates from December 31, 2002 to December 31, 2003. Goodwill increased in 2002 due to the acquisitions of LineSoft, RER and eMobile. Adjustments to goodwill represent the earnout payment accrued for RER at December 31, 2003 as well as other purchase accounting adjustments recorded in 2003 related to the 2002 acquisitions of LineSoft, RER and eMobile. The change in goodwill for the years ended December 31, 2003 and 2002 is as follows:</w:t>
      </w:r>
    </w:p>
    <w:p>
      <w:pPr>
        <w:spacing w:after="0" w:line="10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0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$44,187</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Goodwill acquired</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43,605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37,571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Goodwill adjustments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Effect of change in exchange rate</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1,325</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December 31</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$90,385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44,187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adjustments to our consolidated results had the adoption of SFAS No. 142 occurred at the beginning of 2001: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Pro forma</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gridSpan w:val="2"/>
          </w:tcPr>
          <w:p>
            <w:pPr>
              <w:jc w:val="right"/>
              <w:ind w:right="97"/>
              <w:spacing w:after="0"/>
              <w:rPr>
                <w:sz w:val="20"/>
                <w:szCs w:val="20"/>
                <w:color w:val="auto"/>
              </w:rPr>
            </w:pPr>
            <w:r>
              <w:rPr>
                <w:rFonts w:ascii="Arial" w:cs="Arial" w:eastAsia="Arial" w:hAnsi="Arial"/>
                <w:sz w:val="14"/>
                <w:szCs w:val="14"/>
                <w:b w:val="1"/>
                <w:bCs w:val="1"/>
                <w:color w:val="auto"/>
                <w:w w:val="96"/>
              </w:rPr>
              <w:t>2003</w:t>
            </w: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9"/>
              </w:rPr>
              <w:t>2002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2001</w:t>
            </w: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gridSpan w:val="2"/>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gridSpan w:val="7"/>
          </w:tcPr>
          <w:p>
            <w:pPr>
              <w:jc w:val="center"/>
              <w:spacing w:after="0"/>
              <w:rPr>
                <w:sz w:val="20"/>
                <w:szCs w:val="20"/>
                <w:color w:val="auto"/>
              </w:rPr>
            </w:pPr>
            <w:r>
              <w:rPr>
                <w:rFonts w:ascii="Arial" w:cs="Arial" w:eastAsia="Arial" w:hAnsi="Arial"/>
                <w:sz w:val="14"/>
                <w:szCs w:val="14"/>
                <w:b w:val="1"/>
                <w:bCs w:val="1"/>
                <w:color w:val="auto"/>
                <w:w w:val="85"/>
              </w:rPr>
              <w:t>(in thousands,</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20" w:type="dxa"/>
            <w:vAlign w:val="bottom"/>
            <w:gridSpan w:val="7"/>
          </w:tcPr>
          <w:p>
            <w:pPr>
              <w:ind w:left="120"/>
              <w:spacing w:after="0"/>
              <w:rPr>
                <w:sz w:val="20"/>
                <w:szCs w:val="20"/>
                <w:color w:val="auto"/>
              </w:rPr>
            </w:pPr>
            <w:r>
              <w:rPr>
                <w:rFonts w:ascii="Arial" w:cs="Arial" w:eastAsia="Arial" w:hAnsi="Arial"/>
                <w:sz w:val="14"/>
                <w:szCs w:val="14"/>
                <w:b w:val="1"/>
                <w:bCs w:val="1"/>
                <w:color w:val="auto"/>
                <w:w w:val="92"/>
              </w:rPr>
              <w:t>except per share data)</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$ 10,478</w:t>
            </w:r>
          </w:p>
        </w:tc>
        <w:tc>
          <w:tcPr>
            <w:tcW w:w="3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2"/>
              </w:rPr>
              <w:t>$ 13,450</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Goodwill amortization, net of tax effect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456</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$ 10,478</w:t>
            </w:r>
          </w:p>
        </w:tc>
        <w:tc>
          <w:tcPr>
            <w:tcW w:w="3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2"/>
              </w:rPr>
              <w:t>$ 13,906</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 as reported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0.86</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Goodwill amortization, net of tax effect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Adjusted basic net income per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as reported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Goodwill amortization, net of tax effect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Adjusted diluted net income per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0.77</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240" w:type="dxa"/>
            <w:vAlign w:val="bottom"/>
            <w:gridSpan w:val="11"/>
            <w:vMerge w:val="restart"/>
          </w:tcPr>
          <w:p>
            <w:pPr>
              <w:spacing w:after="0"/>
              <w:rPr>
                <w:sz w:val="20"/>
                <w:szCs w:val="20"/>
                <w:color w:val="auto"/>
              </w:rPr>
            </w:pPr>
            <w:r>
              <w:rPr>
                <w:rFonts w:ascii="Arial" w:cs="Arial" w:eastAsia="Arial" w:hAnsi="Arial"/>
                <w:sz w:val="18"/>
                <w:szCs w:val="18"/>
                <w:color w:val="auto"/>
                <w:w w:val="89"/>
              </w:rPr>
              <w:t>The following table reflects goodwill allocated to each business unit at December 31, 2003 and 2002:</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7240" w:type="dxa"/>
            <w:vAlign w:val="bottom"/>
            <w:gridSpan w:val="11"/>
            <w:vMerge w:val="continue"/>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Natural</w:t>
            </w:r>
          </w:p>
        </w:tc>
        <w:tc>
          <w:tcPr>
            <w:tcW w:w="12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7"/>
              </w:rPr>
              <w:t>Water and</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4"/>
          </w:tcPr>
          <w:p>
            <w:pPr>
              <w:ind w:left="380"/>
              <w:spacing w:after="0"/>
              <w:rPr>
                <w:sz w:val="20"/>
                <w:szCs w:val="20"/>
                <w:color w:val="auto"/>
              </w:rPr>
            </w:pPr>
            <w:r>
              <w:rPr>
                <w:rFonts w:ascii="Arial" w:cs="Arial" w:eastAsia="Arial" w:hAnsi="Arial"/>
                <w:sz w:val="14"/>
                <w:szCs w:val="14"/>
                <w:b w:val="1"/>
                <w:bCs w:val="1"/>
                <w:color w:val="auto"/>
                <w:w w:val="84"/>
              </w:rPr>
              <w:t>End User</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4"/>
                <w:szCs w:val="14"/>
                <w:b w:val="1"/>
                <w:bCs w:val="1"/>
                <w:color w:val="auto"/>
              </w:rPr>
              <w:t>Electric</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0"/>
              </w:rPr>
              <w:t>Gas</w:t>
            </w: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Public Power</w:t>
            </w:r>
          </w:p>
        </w:tc>
        <w:tc>
          <w:tcPr>
            <w:tcW w:w="1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0"/>
              </w:rPr>
              <w:t>International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w w:val="81"/>
              </w:rPr>
              <w:t>Solutions</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gridSpan w:val="3"/>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5"/>
          </w:tcPr>
          <w:p>
            <w:pPr>
              <w:jc w:val="right"/>
              <w:ind w:right="197"/>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balance at December 31, 2001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894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Goodwill acquired</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33,744</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2,070</w:t>
            </w: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1,757</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37,571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balance at December 31, 2002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37,157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2,964</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44,187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Goodwill acquired</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26,068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3,659</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5,421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w w:val="84"/>
              </w:rPr>
              <w:t>8,458</w:t>
            </w: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43,606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Goodwill adjustments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138</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Effect of change in exchange rate</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904</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8"/>
                <w:szCs w:val="18"/>
                <w:color w:val="auto"/>
              </w:rPr>
              <w:t>226</w:t>
            </w: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1,325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balance at December 31, 2003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65,088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6,987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8,458</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$ 90,385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8: Investments in and Loans to Affiliates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Investments in Affiliates</w:t>
      </w:r>
    </w:p>
    <w:p>
      <w:pPr>
        <w:spacing w:after="0" w:line="1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have a 30% interest in Servatron, Inc. (Servatron), a company that serves both as a contract manufacturer for our low volume products and as our handheld service repair depot. This investment is accounted for under the equity method of accounting.</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During 2001, we invested $500,000 in International Utility Information Systems Corporation (IUISC), an early stage company developing home energy gateway communication technology. The investment was accounted for under the cost method as we did not exercise significant influence over the company. We have not been able to obtain financial statements from the CEO of the company. Given that and other factors, we believe IUISC ceased operations during 2003. Consequently, we wrote-off our 10% ownership interest, resulting in a $500,000 charge to other income (expense) in 2003.</w:t>
      </w:r>
    </w:p>
    <w:p>
      <w:pPr>
        <w:spacing w:after="0" w:line="99"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During December 2002, we liquidated our 50% investment in Ensite. Ensite was created as a partnership with another utility, and its purpose was to serve as a marketing vehicle for a defined territory comprised of and surrounding the utility’s service territory. No gain or loss resulted from the liquidation.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Balances and equity in earnings relating to these investments, which are reflected in other assets, are as follows: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80" w:type="dxa"/>
            <w:vAlign w:val="bottom"/>
            <w:gridSpan w:val="3"/>
          </w:tcPr>
          <w:p>
            <w:pPr>
              <w:jc w:val="right"/>
              <w:ind w:right="392"/>
              <w:spacing w:after="0"/>
              <w:rPr>
                <w:sz w:val="20"/>
                <w:szCs w:val="20"/>
                <w:color w:val="auto"/>
              </w:rPr>
            </w:pPr>
            <w:r>
              <w:rPr>
                <w:rFonts w:ascii="Arial" w:cs="Arial" w:eastAsia="Arial" w:hAnsi="Arial"/>
                <w:sz w:val="14"/>
                <w:szCs w:val="14"/>
                <w:b w:val="1"/>
                <w:bCs w:val="1"/>
                <w:color w:val="auto"/>
              </w:rPr>
              <w:t>Balances at</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Equity in earnings for the</w:t>
            </w:r>
          </w:p>
        </w:tc>
        <w:tc>
          <w:tcPr>
            <w:tcW w:w="380" w:type="dxa"/>
            <w:vAlign w:val="bottom"/>
          </w:tcPr>
          <w:p>
            <w:pPr>
              <w:spacing w:after="0"/>
              <w:rPr>
                <w:sz w:val="14"/>
                <w:szCs w:val="14"/>
                <w:color w:val="auto"/>
              </w:rPr>
            </w:pPr>
          </w:p>
        </w:tc>
      </w:tr>
      <w:tr>
        <w:trPr>
          <w:trHeight w:val="174"/>
        </w:trPr>
        <w:tc>
          <w:tcPr>
            <w:tcW w:w="326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58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380" w:type="dxa"/>
            <w:vAlign w:val="bottom"/>
          </w:tcPr>
          <w:p>
            <w:pPr>
              <w:spacing w:after="0"/>
              <w:rPr>
                <w:sz w:val="15"/>
                <w:szCs w:val="15"/>
                <w:color w:val="auto"/>
              </w:rPr>
            </w:pPr>
          </w:p>
        </w:tc>
      </w:tr>
      <w:tr>
        <w:trPr>
          <w:trHeight w:val="95"/>
        </w:trPr>
        <w:tc>
          <w:tcPr>
            <w:tcW w:w="32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263"/>
        </w:trPr>
        <w:tc>
          <w:tcPr>
            <w:tcW w:w="3260" w:type="dxa"/>
            <w:vAlign w:val="bottom"/>
          </w:tcPr>
          <w:p>
            <w:pPr>
              <w:spacing w:after="0"/>
              <w:rPr>
                <w:sz w:val="22"/>
                <w:szCs w:val="22"/>
                <w:color w:val="auto"/>
              </w:rPr>
            </w:pPr>
          </w:p>
        </w:tc>
        <w:tc>
          <w:tcPr>
            <w:tcW w:w="310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2003</w:t>
            </w:r>
          </w:p>
        </w:tc>
        <w:tc>
          <w:tcPr>
            <w:tcW w:w="10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2002</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940" w:type="dxa"/>
            <w:vAlign w:val="bottom"/>
            <w:gridSpan w:val="2"/>
          </w:tcPr>
          <w:p>
            <w:pPr>
              <w:jc w:val="center"/>
              <w:ind w:left="504"/>
              <w:spacing w:after="0"/>
              <w:rPr>
                <w:sz w:val="20"/>
                <w:szCs w:val="20"/>
                <w:color w:val="auto"/>
              </w:rPr>
            </w:pPr>
            <w:r>
              <w:rPr>
                <w:rFonts w:ascii="Arial" w:cs="Arial" w:eastAsia="Arial" w:hAnsi="Arial"/>
                <w:sz w:val="14"/>
                <w:szCs w:val="14"/>
                <w:b w:val="1"/>
                <w:bCs w:val="1"/>
                <w:color w:val="auto"/>
                <w:w w:val="89"/>
              </w:rPr>
              <w:t>2002</w:t>
            </w:r>
          </w:p>
        </w:tc>
        <w:tc>
          <w:tcPr>
            <w:tcW w:w="5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2001</w:t>
            </w:r>
          </w:p>
        </w:tc>
      </w:tr>
      <w:tr>
        <w:trPr>
          <w:trHeight w:val="95"/>
        </w:trPr>
        <w:tc>
          <w:tcPr>
            <w:tcW w:w="32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250"/>
        </w:trPr>
        <w:tc>
          <w:tcPr>
            <w:tcW w:w="32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60" w:type="dxa"/>
            <w:vAlign w:val="bottom"/>
            <w:gridSpan w:val="5"/>
          </w:tcPr>
          <w:p>
            <w:pPr>
              <w:ind w:left="20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1"/>
                <w:szCs w:val="2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Servatron</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$ 97</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$ 85</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IUISC</w:t>
            </w:r>
          </w:p>
        </w:tc>
        <w:tc>
          <w:tcPr>
            <w:tcW w:w="26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5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18"/>
                <w:szCs w:val="18"/>
                <w:color w:val="auto"/>
              </w:rPr>
            </w:pPr>
          </w:p>
        </w:tc>
        <w:tc>
          <w:tcPr>
            <w:tcW w:w="94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Ensite</w:t>
            </w:r>
          </w:p>
        </w:tc>
        <w:tc>
          <w:tcPr>
            <w:tcW w:w="26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bl>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Loans to Affiliates</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loaned $500,000 to Servatron, in addition to our equity investment, at an interest rate equal to prime plus 700 basis points through January 2003. Servatron paid the balance in full during the year ended December 31, 2002.</w:t>
      </w:r>
    </w:p>
    <w:p>
      <w:pPr>
        <w:spacing w:after="0" w:line="11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March 2003, we loaned $405,000 to Home EcoSystems, Inc., dba Lanthorn Technologies, Inc. (Lanthorn), which is developing internet-based energy monitoring and management software and services. The form of the loan is a convertible note with a term of four years. In March 2002, we loaned $2.0 million to Lanthorn as a convertible note with a five year term. The loan balances are included within other noncurrent assets. The notes accrue interest at 7% and may be converted at any time into common stock of Lanthorn. If we had converted our notes into equity at December 31, 2003, they would have converted into approximately 22% of Lanthorn’s common stock assuming that all granted stock options and other convertible debt of the firm were exercised or converted. We have also entered into a distribution and licensing agreement with Lanthorn, which gives us non-exclusive distribution and licensing rights. Lanthorn has not yet produced any significant revenue. In December 2003, due to a consideration of the estimated fair market value of Lanthorn as indicated by Lanthorn’s last round of financing, we recorded a $1.9 million impairment to the loans and accrued interest, which consisted of a $176,000 reversal of interest income recognized in the first three quarters of 2003 and a $1.7 million charge to other income (expense), net, for the principal.</w:t>
      </w:r>
    </w:p>
    <w:p>
      <w:pPr>
        <w:spacing w:after="0" w:line="10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During 2001, we invested $850,000 in an early stage company (Metering Services.Com Corporation), which was developing a meter reading service. The company ceased its operations during 2001 and we wrote-off our equity investment of $500,000 and a note receivable of $350,000, resulting in an $850,000 charge to equity in affiliates in 2001.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Term Loan Debt and Revolving Credit Line</w:t>
      </w:r>
    </w:p>
    <w:p>
      <w:pPr>
        <w:spacing w:after="0" w:line="158"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On March 4, 2003, we entered into a secured credit facility for $105 million. At December 31, 2003, the secured credit facility was reduced to $92.5 million due to principal payments on the term loan. Collateral that has been granted to the lenders includes equipment, inventory, real property and intellectual property.</w:t>
      </w:r>
    </w:p>
    <w:p>
      <w:pPr>
        <w:spacing w:after="0" w:line="7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credit facility consists of a $50 million three year term loan to finance a portion of the Silicon acquisition, which had an outstanding balance of $37.5 million at December 31, 2003. The term loan is payable with equal quarterly principal payments. Remaining principal payments under the term loan are $16,667,000 in 2004 and 2005 and $4,166,000 in 2006. The annual interest rate on the term loan will vary according to market rates and our consolidated leverage ratio. The weighted average interest rate during 2003 was approximately 3.5%. Our requirement to enter into an interest rate agreement to substantially fix or limit the interest rate on at least 50% of the term loan principal for a minimum of two years has been waived to March 31, 2004. Interest expense related to the term loan in 2003 was approximately $1.4 million.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1" w:name="page22"/>
    <w:bookmarkEnd w:id="21"/>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the term loan, the credit facility provides a $55 million revolving credit line with a three year term, which was available for general use at December 31, 2003. Borrowings of $10.0 million were outstanding on the revolving credit line at December 31, 2003. Interest expense related to the revolving credit line in 2003 was approximately $16,000 based on a weighted average interest rate during 2003 of approximately 3.9%.</w:t>
      </w:r>
    </w:p>
    <w:p>
      <w:pPr>
        <w:spacing w:after="0" w:line="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At December 31, 2003, $15.0 million of the revolving credit line was utilized by outstanding standby letters of credit resulting in $30 million available for additional borrowing. We incur an annual commitment fee on the unused portion of the available revolving credit line, which varies according to our consolidated leverage ratio. The annual commitment fee at closing was 0.375%. We incur annual letter of credit fees based on (a) a fronting fee of 0.125% and (b) a letter of credit fee based on our consolidated leverage ratio for outstanding letters of credit. The letter of credit fee at closing was 2.625%. The annual commitment and letter of credit fees are paid on a quarterly basis. In 2003, annual commitment and letter of credit fee expenses were approximately $701,000. Approximately $1.9 million in upfront fees for the credit facility were paid at closing. The upfront fees are being amortized over the life of the credit facility using the effective interest rate method.</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credit facility contains financial covenants, which require us to maintain certain liquidity and coverage ratios on a quarterly basis. At December 31, 2003, our fixed charge coverage ratio was below the minimum required according to a covenant in our loan agreement. In early February 2004, we received a waiver of compliance with the covenant from our lenders.</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our acquisition of SEM, we intend to replace our current credit facility with $365 million of new debt for a net increase in our debt facilities of approximately $272.5 million. On December 17, 2003, on a documentary or “paper” basis we closed a new $240 million senior secured credit facility comprised of a replacement $55 million revolving credit line and a $185 million seven year term loan. The new facility does not permit borrowing until certain conditions are satisfied, including closing the acquisition of SEM. Without the satisfaction of the remaining conditions the new credit facility expires the later of March 31, 2004, or the deadline date of the SEM acquisition agreement, but no later than May 15, 2004. The annual interest rates under the new facility will vary depending on market rates, with initial interest rates of LIBOR plus 2.75% for the revolving line of credit and LIBOR plus 2.25% for the term loan.</w:t>
      </w:r>
    </w:p>
    <w:p>
      <w:pPr>
        <w:spacing w:after="0" w:line="10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If we are unable to complete the final or financial closing of the new credit facility by March 31, 2004, or thereafter, in respect of our existing credit facility, we anticipate we will be below the minimum required fixed charge coverage ratio covenant referred to above for the first three quarters of 2004 and a debt leverage ratio covenant for the quarter ended March 31, 2004, due in part to a four quarter rolling calculation of a component of our covenant requirements. Consequently, the $20.8 million long-term portion of our term loan has been classified as a current liability at December 31, 2003.</w:t>
      </w:r>
    </w:p>
    <w:p>
      <w:pPr>
        <w:spacing w:after="0" w:line="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 the signing of our current credit facility in March 2003, our former $35 million credit line was terminated. At December 31, 2002, the maximum amount we could borrow under the former credit line was $20 million due to outstanding standby letters of credit of $15.0 million. The former credit line was secured by accounts receivable, inventory and general intangibles, excluding intellectual property. We paid an origination fee of 0.125% for the line of credit and paid an annual commitment fee of 0.125% on the unused portion of the available line of credit. We paid an issuance fee of 0.9% per annum for outstanding letters of credit. No borrowings were outstanding at December 31, 2002.</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Project Financing</w:t>
      </w:r>
    </w:p>
    <w:p>
      <w:pPr>
        <w:spacing w:after="0" w:line="77"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In conjunction with project financing for one of our outsourcing contracts, we entered into a note secured by the assets of the project. Principal payments due under the note are $739,000 in 2004, $797,000 in 2005, $860,000 in 2006, $927,000 in 2007, $1.0 million in 2008 and $440,000 million thereafter.</w:t>
      </w:r>
    </w:p>
    <w:p>
      <w:pPr>
        <w:spacing w:after="0" w:line="67" w:lineRule="exact"/>
        <w:rPr>
          <w:sz w:val="20"/>
          <w:szCs w:val="20"/>
          <w:color w:val="auto"/>
        </w:rPr>
      </w:pPr>
    </w:p>
    <w:p>
      <w:pPr>
        <w:ind w:left="9020"/>
        <w:spacing w:after="0"/>
        <w:rPr>
          <w:sz w:val="20"/>
          <w:szCs w:val="20"/>
          <w:color w:val="auto"/>
        </w:rPr>
      </w:pPr>
      <w:r>
        <w:rPr>
          <w:rFonts w:ascii="Arial" w:cs="Arial" w:eastAsia="Arial" w:hAnsi="Arial"/>
          <w:sz w:val="14"/>
          <w:szCs w:val="14"/>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68580</wp:posOffset>
            </wp:positionV>
            <wp:extent cx="9779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197" w:lineRule="exact"/>
        <w:rPr>
          <w:sz w:val="20"/>
          <w:szCs w:val="20"/>
          <w:color w:val="auto"/>
        </w:rPr>
      </w:pPr>
    </w:p>
    <w:p>
      <w:pPr>
        <w:ind w:left="8860"/>
        <w:spacing w:after="0"/>
        <w:tabs>
          <w:tab w:leader="none" w:pos="9880" w:val="left"/>
        </w:tabs>
        <w:rPr>
          <w:sz w:val="20"/>
          <w:szCs w:val="20"/>
          <w:color w:val="auto"/>
        </w:rPr>
      </w:pPr>
      <w:r>
        <w:rPr>
          <w:rFonts w:ascii="Arial" w:cs="Arial" w:eastAsia="Arial" w:hAnsi="Arial"/>
          <w:sz w:val="14"/>
          <w:szCs w:val="14"/>
          <w:b w:val="1"/>
          <w:bCs w:val="1"/>
          <w:color w:val="auto"/>
        </w:rPr>
        <w:t>2003</w:t>
      </w:r>
      <w:r>
        <w:rPr>
          <w:sz w:val="20"/>
          <w:szCs w:val="20"/>
          <w:color w:val="auto"/>
        </w:rPr>
        <w:tab/>
      </w:r>
      <w:r>
        <w:rPr>
          <w:rFonts w:ascii="Arial" w:cs="Arial" w:eastAsia="Arial" w:hAnsi="Arial"/>
          <w:sz w:val="14"/>
          <w:szCs w:val="14"/>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68580</wp:posOffset>
            </wp:positionV>
            <wp:extent cx="317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68580</wp:posOffset>
            </wp:positionV>
            <wp:extent cx="317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197"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w w:val="93"/>
              </w:rPr>
              <w:t>Secured note payable with principal and interest payments of 7.6% until maturity on May 31, 2009</w:t>
            </w:r>
          </w:p>
        </w:tc>
        <w:tc>
          <w:tcPr>
            <w:tcW w:w="10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$4,763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w:t>
            </w: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Mortgage Note Payable</w:t>
      </w:r>
    </w:p>
    <w:p>
      <w:pPr>
        <w:spacing w:after="0" w:line="7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January 2002, we paid in full a secured mortgage note payable to a shareholder at a discounted amount of $4.9 million, resulting in a gain of $200,000, which is included in other income (expense) in 2002. The note was incurred in conjunction with the purchase of our headquarters and related manufacturing space in Spokane, Washington, required principal and interest payments of 9% and was scheduled to mature in August 2015.</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2" w:name="page23"/>
    <w:bookmarkEnd w:id="22"/>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Convertible Subordinated Debt</w:t>
      </w:r>
    </w:p>
    <w:p>
      <w:pPr>
        <w:spacing w:after="0" w:line="7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completed a $63.4 million convertible subordinated note offering in March and April of 1997. Interest of 6.75% on the notes was payable semi-annually on March 31 and September 30 of each year until maturity on March 31, 2004. In February 1999, we exchanged $22 million principal amount of original notes for $15.8 million principal amount of exchange notes. The exchange notes had the same maturity date, interest payment dates and rate of interest as the original notes. Both the original notes and the exchange notes had no sinking fund requirements and were redeemable, in whole or in part, at our option at any time on or after April 4, 2000, (for the original notes) or March 12, 2002 (for the exchange notes). The notes were convertible, in whole or in part, at the option of the holder at any time prior to maturity at a price of $23.70 per common share for the original notes and $9.65 per common share for the exchange notes. In 2000, we repurchased $3.8 million of notes from a holder for $2.1 million. During 2001, $146,000 of notes were converted to common stock by individual holders. During 2002, the remaining $53.3 million of convertible notes, along with accrued interest of $142,000, were converted into common stock by individual holders, less unamortized debt issuance costs of $347,000.</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Values of Financial Instruments</w:t>
      </w:r>
    </w:p>
    <w:p>
      <w:pPr>
        <w:spacing w:after="0" w:line="8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estimated fair value of financial instruments has been determined by using available market information and appropriate valuation methodologies. The values provided are representative of fair values only as of December 31, 2003 and 2002, and do not reflect subsequent changes in the economy, interest and tax rates and other variables that may affect determination of fair value. The following methods and assumptions were used in estimating fair values.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Due to the liquid nature of these instruments, the carrying value approximates fair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r>
        <w:rPr>
          <w:rFonts w:ascii="Arial" w:cs="Arial" w:eastAsia="Arial" w:hAnsi="Arial"/>
          <w:sz w:val="18"/>
          <w:szCs w:val="18"/>
          <w:color w:val="auto"/>
        </w:rPr>
        <w:t>: The fair value approximates book value as we expect receipt in the near term.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r>
        <w:rPr>
          <w:rFonts w:ascii="Arial" w:cs="Arial" w:eastAsia="Arial" w:hAnsi="Arial"/>
          <w:sz w:val="18"/>
          <w:szCs w:val="18"/>
          <w:color w:val="auto"/>
        </w:rPr>
        <w:t>: The carrying value approximates fair value as the interest rate varies according to market rates.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debt</w:t>
      </w:r>
      <w:r>
        <w:rPr>
          <w:rFonts w:ascii="Arial" w:cs="Arial" w:eastAsia="Arial" w:hAnsi="Arial"/>
          <w:sz w:val="18"/>
          <w:szCs w:val="18"/>
          <w:color w:val="auto"/>
        </w:rPr>
        <w:t>: The carrying value approximates fair value as the interest rates are periodically adjusted to market rates by our lenders.</w:t>
      </w:r>
    </w:p>
    <w:p>
      <w:pPr>
        <w:spacing w:after="0" w:line="15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Project financing debt</w:t>
      </w:r>
      <w:r>
        <w:rPr>
          <w:rFonts w:ascii="Arial" w:cs="Arial" w:eastAsia="Arial" w:hAnsi="Arial"/>
          <w:sz w:val="18"/>
          <w:szCs w:val="18"/>
          <w:color w:val="auto"/>
        </w:rPr>
        <w:t>: The fair value is estimated based on an internally generated fair value model, using estimated spreads above quoted treasury rates for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issues.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jc w:val="right"/>
              <w:ind w:right="76"/>
              <w:spacing w:after="0"/>
              <w:rPr>
                <w:sz w:val="20"/>
                <w:szCs w:val="20"/>
                <w:color w:val="auto"/>
              </w:rPr>
            </w:pPr>
            <w:r>
              <w:rPr>
                <w:rFonts w:ascii="Arial" w:cs="Arial" w:eastAsia="Arial" w:hAnsi="Arial"/>
                <w:sz w:val="14"/>
                <w:szCs w:val="14"/>
                <w:b w:val="1"/>
                <w:bCs w:val="1"/>
                <w:color w:val="auto"/>
              </w:rPr>
              <w:t>2003</w:t>
            </w: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jc w:val="right"/>
              <w:ind w:right="97"/>
              <w:spacing w:after="0"/>
              <w:rPr>
                <w:sz w:val="20"/>
                <w:szCs w:val="20"/>
                <w:color w:val="auto"/>
              </w:rPr>
            </w:pPr>
            <w:r>
              <w:rPr>
                <w:rFonts w:ascii="Arial" w:cs="Arial" w:eastAsia="Arial" w:hAnsi="Arial"/>
                <w:sz w:val="14"/>
                <w:szCs w:val="14"/>
                <w:b w:val="1"/>
                <w:bCs w:val="1"/>
                <w:color w:val="auto"/>
              </w:rPr>
              <w:t>2002</w:t>
            </w:r>
          </w:p>
        </w:tc>
        <w:tc>
          <w:tcPr>
            <w:tcW w:w="58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37"/>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0"/>
              </w:rPr>
              <w:t>Carrying</w:t>
            </w:r>
          </w:p>
        </w:tc>
        <w:tc>
          <w:tcPr>
            <w:tcW w:w="600" w:type="dxa"/>
            <w:vAlign w:val="bottom"/>
          </w:tcPr>
          <w:p>
            <w:pPr>
              <w:spacing w:after="0"/>
              <w:rPr>
                <w:sz w:val="20"/>
                <w:szCs w:val="20"/>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Fair</w:t>
            </w:r>
          </w:p>
        </w:tc>
        <w:tc>
          <w:tcPr>
            <w:tcW w:w="6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0"/>
              </w:rPr>
              <w:t>Carrying</w:t>
            </w:r>
          </w:p>
        </w:tc>
        <w:tc>
          <w:tcPr>
            <w:tcW w:w="600" w:type="dxa"/>
            <w:vAlign w:val="bottom"/>
          </w:tcPr>
          <w:p>
            <w:pPr>
              <w:spacing w:after="0"/>
              <w:rPr>
                <w:sz w:val="20"/>
                <w:szCs w:val="20"/>
                <w:color w:val="auto"/>
              </w:rPr>
            </w:pPr>
          </w:p>
        </w:tc>
        <w:tc>
          <w:tcPr>
            <w:tcW w:w="580" w:type="dxa"/>
            <w:vAlign w:val="bottom"/>
          </w:tcPr>
          <w:p>
            <w:pPr>
              <w:jc w:val="right"/>
              <w:ind w:right="82"/>
              <w:spacing w:after="0"/>
              <w:rPr>
                <w:sz w:val="20"/>
                <w:szCs w:val="20"/>
                <w:color w:val="auto"/>
              </w:rPr>
            </w:pPr>
            <w:r>
              <w:rPr>
                <w:rFonts w:ascii="Arial" w:cs="Arial" w:eastAsia="Arial" w:hAnsi="Arial"/>
                <w:sz w:val="14"/>
                <w:szCs w:val="14"/>
                <w:b w:val="1"/>
                <w:bCs w:val="1"/>
                <w:color w:val="auto"/>
              </w:rPr>
              <w:t>Fair</w:t>
            </w:r>
          </w:p>
        </w:tc>
      </w:tr>
      <w:tr>
        <w:trPr>
          <w:trHeight w:val="17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6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Value</w:t>
            </w:r>
          </w:p>
        </w:tc>
        <w:tc>
          <w:tcPr>
            <w:tcW w:w="6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600" w:type="dxa"/>
            <w:vAlign w:val="bottom"/>
          </w:tcPr>
          <w:p>
            <w:pPr>
              <w:spacing w:after="0"/>
              <w:rPr>
                <w:sz w:val="15"/>
                <w:szCs w:val="15"/>
                <w:color w:val="auto"/>
              </w:rPr>
            </w:pPr>
          </w:p>
        </w:tc>
        <w:tc>
          <w:tcPr>
            <w:tcW w:w="580" w:type="dxa"/>
            <w:vAlign w:val="bottom"/>
          </w:tcPr>
          <w:p>
            <w:pPr>
              <w:jc w:val="right"/>
              <w:ind w:right="42"/>
              <w:spacing w:after="0"/>
              <w:rPr>
                <w:sz w:val="20"/>
                <w:szCs w:val="20"/>
                <w:color w:val="auto"/>
              </w:rPr>
            </w:pPr>
            <w:r>
              <w:rPr>
                <w:rFonts w:ascii="Arial" w:cs="Arial" w:eastAsia="Arial" w:hAnsi="Arial"/>
                <w:sz w:val="14"/>
                <w:szCs w:val="14"/>
                <w:b w:val="1"/>
                <w:bCs w:val="1"/>
                <w:color w:val="auto"/>
              </w:rPr>
              <w:t>Value</w:t>
            </w:r>
          </w:p>
        </w:tc>
      </w:tr>
      <w:tr>
        <w:trPr>
          <w:trHeight w:val="95"/>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780" w:type="dxa"/>
            <w:vAlign w:val="bottom"/>
            <w:gridSpan w:val="3"/>
          </w:tcPr>
          <w:p>
            <w:pPr>
              <w:jc w:val="right"/>
              <w:ind w:right="402"/>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$ 6,240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$ 6,240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$32,564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$32,564</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70,782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70,782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57,571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57,571</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Term loan debt</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620" w:type="dxa"/>
            <w:vAlign w:val="bottom"/>
          </w:tcPr>
          <w:p>
            <w:pPr>
              <w:spacing w:after="0"/>
              <w:rPr>
                <w:sz w:val="18"/>
                <w:szCs w:val="18"/>
                <w:color w:val="auto"/>
              </w:rPr>
            </w:pPr>
          </w:p>
        </w:tc>
        <w:tc>
          <w:tcPr>
            <w:tcW w:w="5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Project financing debt</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5,647</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Restructurings</w:t>
      </w:r>
    </w:p>
    <w:p>
      <w:pPr>
        <w:spacing w:after="0" w:line="8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During the first quarter of 2003, we initiated a restructuring of our Energy Information Systems (EIS) group located in Raleigh, North Carolina, which included a workforce reduction of approximately 40 employees and recognized a charge of approximately $2.0 million related to severance during 2003. As of March 31, 2003, substantially all of the 40 employees were terminated and severance payments were made. The restructuring was complete in 2003.</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In the fourth quarter of 2002, we announced plans to restructure our European operations and recorded a charge of approximately $3.1 million. The charge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included approximately $866,000 related to lease terminations, $1.3 million related to employee severance liabilities, $347,000 related to inventory and fixed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 write-downs and $641,000 related to the reclassification of cumulative translation adjustments. An additional restructuring charge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$216,000 was recorded during 2003 to write-down additional fixed assets, and approximately $43,000 was recorded during 2003 for additional lease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charges. The restructuring involved a reduction in workforce of approximately 30 employees in Vienne, France. At December 31, 2003, substantially all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employees were terminated and substantially all benefits were paid or charged against the accrual.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3" w:name="page24"/>
    <w:bookmarkEnd w:id="23"/>
    <w:p>
      <w:pPr>
        <w:ind w:right="7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Accrued liabilities associated with Company-wide restructuring efforts were approximately $153,000 and $2.4 million at December 31, 2003 and 2002, respectively and consisted of the following:</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160" w:type="dxa"/>
            <w:vAlign w:val="bottom"/>
            <w:gridSpan w:val="4"/>
          </w:tcPr>
          <w:p>
            <w:pPr>
              <w:ind w:left="2160"/>
              <w:spacing w:after="0"/>
              <w:rPr>
                <w:sz w:val="20"/>
                <w:szCs w:val="20"/>
                <w:color w:val="auto"/>
              </w:rPr>
            </w:pPr>
            <w:r>
              <w:rPr>
                <w:rFonts w:ascii="Arial" w:cs="Arial" w:eastAsia="Arial" w:hAnsi="Arial"/>
                <w:sz w:val="14"/>
                <w:szCs w:val="14"/>
                <w:b w:val="1"/>
                <w:bCs w:val="1"/>
                <w:color w:val="auto"/>
                <w:w w:val="99"/>
              </w:rPr>
              <w:t>Severance and</w:t>
            </w:r>
          </w:p>
        </w:tc>
        <w:tc>
          <w:tcPr>
            <w:tcW w:w="2200" w:type="dxa"/>
            <w:vAlign w:val="bottom"/>
            <w:gridSpan w:val="4"/>
          </w:tcPr>
          <w:p>
            <w:pPr>
              <w:ind w:left="1020"/>
              <w:spacing w:after="0"/>
              <w:rPr>
                <w:sz w:val="20"/>
                <w:szCs w:val="20"/>
                <w:color w:val="auto"/>
              </w:rPr>
            </w:pPr>
            <w:r>
              <w:rPr>
                <w:rFonts w:ascii="Arial" w:cs="Arial" w:eastAsia="Arial" w:hAnsi="Arial"/>
                <w:sz w:val="14"/>
                <w:szCs w:val="14"/>
                <w:b w:val="1"/>
                <w:bCs w:val="1"/>
                <w:color w:val="auto"/>
                <w:w w:val="93"/>
              </w:rPr>
              <w:t>Lease Termination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Related Costs</w:t>
            </w:r>
          </w:p>
        </w:tc>
        <w:tc>
          <w:tcPr>
            <w:tcW w:w="104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and Related Costs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December 31, 2001</w:t>
            </w:r>
          </w:p>
        </w:tc>
        <w:tc>
          <w:tcPr>
            <w:tcW w:w="23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Addition/adjustments to accruals</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1,263</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December 31, 2002</w:t>
            </w:r>
          </w:p>
        </w:tc>
        <w:tc>
          <w:tcPr>
            <w:tcW w:w="23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Addition/adjustments to accruals</w:t>
            </w: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1,961</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payments</w:t>
            </w: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(3,196)</w:t>
            </w: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at December 31, 2003</w:t>
            </w:r>
          </w:p>
        </w:tc>
        <w:tc>
          <w:tcPr>
            <w:tcW w:w="23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liability for lease terminations is recorded within accrued expenses and the liability for employee severance is recorded within wages and benefits payable.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Lease termination and related costs are dependent on our continued ability to sublease vacant space under a non-cancelable operating lease through 2006.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Development Agreements</w:t>
      </w:r>
    </w:p>
    <w:p>
      <w:pPr>
        <w:spacing w:after="0" w:line="8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received funding to develop certain products under joint development agreements with several companies. We retain the intellectual property rights to the products that are developed. Funding received under these agreements is credited against product development expenses. One agreement required us to pay royalties on sales of products incorporating certain AMR technologies. The royalty agreement expired in June 2003. Funding received and royalty expense under these arrangements was as follows:</w:t>
      </w:r>
    </w:p>
    <w:p>
      <w:pPr>
        <w:spacing w:after="0" w:line="125"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60325</wp:posOffset>
            </wp:positionV>
            <wp:extent cx="13633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240" w:type="dxa"/>
            <w:vAlign w:val="bottom"/>
            <w:gridSpan w:val="2"/>
          </w:tcPr>
          <w:p>
            <w:pPr>
              <w:jc w:val="center"/>
              <w:ind w:left="2779"/>
              <w:spacing w:after="0"/>
              <w:rPr>
                <w:sz w:val="20"/>
                <w:szCs w:val="20"/>
                <w:color w:val="auto"/>
              </w:rPr>
            </w:pPr>
            <w:r>
              <w:rPr>
                <w:rFonts w:ascii="Arial" w:cs="Arial" w:eastAsia="Arial" w:hAnsi="Arial"/>
                <w:sz w:val="14"/>
                <w:szCs w:val="14"/>
                <w:b w:val="1"/>
                <w:bCs w:val="1"/>
                <w:color w:val="auto"/>
                <w:w w:val="83"/>
              </w:rPr>
              <w:t>2003</w:t>
            </w:r>
          </w:p>
        </w:tc>
        <w:tc>
          <w:tcPr>
            <w:tcW w:w="900" w:type="dxa"/>
            <w:vAlign w:val="bottom"/>
            <w:gridSpan w:val="2"/>
          </w:tcPr>
          <w:p>
            <w:pPr>
              <w:jc w:val="center"/>
              <w:ind w:left="442"/>
              <w:spacing w:after="0"/>
              <w:rPr>
                <w:sz w:val="20"/>
                <w:szCs w:val="20"/>
                <w:color w:val="auto"/>
              </w:rPr>
            </w:pPr>
            <w:r>
              <w:rPr>
                <w:rFonts w:ascii="Arial" w:cs="Arial" w:eastAsia="Arial" w:hAnsi="Arial"/>
                <w:sz w:val="14"/>
                <w:szCs w:val="14"/>
                <w:b w:val="1"/>
                <w:bCs w:val="1"/>
                <w:color w:val="auto"/>
                <w:w w:val="83"/>
              </w:rPr>
              <w:t>2002</w:t>
            </w:r>
          </w:p>
        </w:tc>
        <w:tc>
          <w:tcPr>
            <w:tcW w:w="360" w:type="dxa"/>
            <w:vAlign w:val="bottom"/>
          </w:tcPr>
          <w:p>
            <w:pPr>
              <w:spacing w:after="0"/>
              <w:rPr>
                <w:sz w:val="15"/>
                <w:szCs w:val="15"/>
                <w:color w:val="auto"/>
              </w:rPr>
            </w:pPr>
          </w:p>
        </w:tc>
        <w:tc>
          <w:tcPr>
            <w:tcW w:w="52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89"/>
              </w:rPr>
              <w:t>2001</w:t>
            </w: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3"/>
          </w:tcPr>
          <w:p>
            <w:pPr>
              <w:ind w:left="300"/>
              <w:spacing w:after="0"/>
              <w:rPr>
                <w:sz w:val="20"/>
                <w:szCs w:val="20"/>
                <w:color w:val="auto"/>
              </w:rPr>
            </w:pPr>
            <w:r>
              <w:rPr>
                <w:rFonts w:ascii="Arial" w:cs="Arial" w:eastAsia="Arial" w:hAnsi="Arial"/>
                <w:sz w:val="14"/>
                <w:szCs w:val="14"/>
                <w:b w:val="1"/>
                <w:bCs w:val="1"/>
                <w:color w:val="auto"/>
                <w:w w:val="97"/>
              </w:rPr>
              <w:t>(in thousands)</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Funding received</w:t>
            </w:r>
          </w:p>
        </w:tc>
        <w:tc>
          <w:tcPr>
            <w:tcW w:w="3240" w:type="dxa"/>
            <w:vAlign w:val="bottom"/>
            <w:gridSpan w:val="2"/>
            <w:shd w:val="clear" w:color="auto" w:fill="CCEEFF"/>
          </w:tcPr>
          <w:p>
            <w:pPr>
              <w:jc w:val="center"/>
              <w:ind w:left="2799"/>
              <w:spacing w:after="0"/>
              <w:rPr>
                <w:sz w:val="20"/>
                <w:szCs w:val="20"/>
                <w:color w:val="auto"/>
              </w:rPr>
            </w:pPr>
            <w:r>
              <w:rPr>
                <w:rFonts w:ascii="Arial" w:cs="Arial" w:eastAsia="Arial" w:hAnsi="Arial"/>
                <w:sz w:val="18"/>
                <w:szCs w:val="18"/>
                <w:color w:val="auto"/>
                <w:w w:val="89"/>
              </w:rPr>
              <w:t>$287</w:t>
            </w:r>
          </w:p>
        </w:tc>
        <w:tc>
          <w:tcPr>
            <w:tcW w:w="900" w:type="dxa"/>
            <w:vAlign w:val="bottom"/>
            <w:gridSpan w:val="2"/>
            <w:shd w:val="clear" w:color="auto" w:fill="CCEEFF"/>
          </w:tcPr>
          <w:p>
            <w:pPr>
              <w:jc w:val="center"/>
              <w:ind w:left="422"/>
              <w:spacing w:after="0"/>
              <w:rPr>
                <w:sz w:val="20"/>
                <w:szCs w:val="20"/>
                <w:color w:val="auto"/>
              </w:rPr>
            </w:pPr>
            <w:r>
              <w:rPr>
                <w:rFonts w:ascii="Arial" w:cs="Arial" w:eastAsia="Arial" w:hAnsi="Arial"/>
                <w:sz w:val="18"/>
                <w:szCs w:val="18"/>
                <w:color w:val="auto"/>
                <w:w w:val="89"/>
              </w:rPr>
              <w:t>$563</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left="79"/>
              <w:spacing w:after="0"/>
              <w:rPr>
                <w:sz w:val="20"/>
                <w:szCs w:val="20"/>
                <w:color w:val="auto"/>
              </w:rPr>
            </w:pPr>
            <w:r>
              <w:rPr>
                <w:rFonts w:ascii="Arial" w:cs="Arial" w:eastAsia="Arial" w:hAnsi="Arial"/>
                <w:sz w:val="18"/>
                <w:szCs w:val="18"/>
                <w:color w:val="auto"/>
                <w:w w:val="89"/>
              </w:rPr>
              <w:t>$391</w:t>
            </w: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Royalties paid</w:t>
            </w:r>
          </w:p>
        </w:tc>
        <w:tc>
          <w:tcPr>
            <w:tcW w:w="3240" w:type="dxa"/>
            <w:vAlign w:val="bottom"/>
            <w:gridSpan w:val="2"/>
          </w:tcPr>
          <w:p>
            <w:pPr>
              <w:jc w:val="center"/>
              <w:ind w:left="2799"/>
              <w:spacing w:after="0"/>
              <w:rPr>
                <w:sz w:val="20"/>
                <w:szCs w:val="20"/>
                <w:color w:val="auto"/>
              </w:rPr>
            </w:pPr>
            <w:r>
              <w:rPr>
                <w:rFonts w:ascii="Arial" w:cs="Arial" w:eastAsia="Arial" w:hAnsi="Arial"/>
                <w:sz w:val="18"/>
                <w:szCs w:val="18"/>
                <w:color w:val="auto"/>
                <w:w w:val="89"/>
              </w:rPr>
              <w:t>$355</w:t>
            </w:r>
          </w:p>
        </w:tc>
        <w:tc>
          <w:tcPr>
            <w:tcW w:w="900" w:type="dxa"/>
            <w:vAlign w:val="bottom"/>
            <w:gridSpan w:val="2"/>
          </w:tcPr>
          <w:p>
            <w:pPr>
              <w:jc w:val="center"/>
              <w:ind w:left="422"/>
              <w:spacing w:after="0"/>
              <w:rPr>
                <w:sz w:val="20"/>
                <w:szCs w:val="20"/>
                <w:color w:val="auto"/>
              </w:rPr>
            </w:pPr>
            <w:r>
              <w:rPr>
                <w:rFonts w:ascii="Arial" w:cs="Arial" w:eastAsia="Arial" w:hAnsi="Arial"/>
                <w:sz w:val="18"/>
                <w:szCs w:val="18"/>
                <w:color w:val="auto"/>
                <w:w w:val="89"/>
              </w:rPr>
              <w:t>$786</w:t>
            </w:r>
          </w:p>
        </w:tc>
        <w:tc>
          <w:tcPr>
            <w:tcW w:w="360" w:type="dxa"/>
            <w:vAlign w:val="bottom"/>
          </w:tcPr>
          <w:p>
            <w:pPr>
              <w:spacing w:after="0"/>
              <w:rPr>
                <w:sz w:val="19"/>
                <w:szCs w:val="19"/>
                <w:color w:val="auto"/>
              </w:rPr>
            </w:pPr>
          </w:p>
        </w:tc>
        <w:tc>
          <w:tcPr>
            <w:tcW w:w="520" w:type="dxa"/>
            <w:vAlign w:val="bottom"/>
            <w:gridSpan w:val="2"/>
          </w:tcPr>
          <w:p>
            <w:pPr>
              <w:jc w:val="center"/>
              <w:ind w:left="79"/>
              <w:spacing w:after="0"/>
              <w:rPr>
                <w:sz w:val="20"/>
                <w:szCs w:val="20"/>
                <w:color w:val="auto"/>
              </w:rPr>
            </w:pPr>
            <w:r>
              <w:rPr>
                <w:rFonts w:ascii="Arial" w:cs="Arial" w:eastAsia="Arial" w:hAnsi="Arial"/>
                <w:sz w:val="18"/>
                <w:szCs w:val="18"/>
                <w:color w:val="auto"/>
                <w:w w:val="89"/>
              </w:rPr>
              <w:t>$605</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Warranty and Maintenance Agreement</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March 2000, we sold our network-based automated meter reading (AMR) system in Pittsburgh, Pennsylvania, that we used to provide Duquesne Light Company (Duquesne) with meter information for billing and other purposes, to an affiliate of Duquesne for $33 million. Negotiations commenced in 1999, and in anticipation of the sale, we recorded a $49.8 million loss on the sale in 1999.</w:t>
      </w:r>
    </w:p>
    <w:p>
      <w:pPr>
        <w:spacing w:after="0" w:line="127" w:lineRule="exact"/>
        <w:rPr>
          <w:sz w:val="20"/>
          <w:szCs w:val="20"/>
          <w:color w:val="auto"/>
        </w:rPr>
      </w:pPr>
    </w:p>
    <w:p>
      <w:pPr>
        <w:jc w:val="both"/>
        <w:ind w:right="20"/>
        <w:spacing w:after="0" w:line="323" w:lineRule="auto"/>
        <w:rPr>
          <w:sz w:val="20"/>
          <w:szCs w:val="20"/>
          <w:color w:val="auto"/>
        </w:rPr>
      </w:pPr>
      <w:r>
        <w:rPr>
          <w:rFonts w:ascii="Arial" w:cs="Arial" w:eastAsia="Arial" w:hAnsi="Arial"/>
          <w:sz w:val="15"/>
          <w:szCs w:val="15"/>
          <w:color w:val="auto"/>
        </w:rPr>
        <w:t>In March 2000, we entered into a warranty and maintenance agreement with the purchasing Duquesne affiliate, pursuant to which we provide certain maintenance and support services for the system through December 31, 2013. The warranty and maintenance agreement provided for the receipt of approximately $10 million ratably over the term of those services and we expected to incur approximately $24.3 million in expenses. As such, we recorded a forward loss of $14.3 million in the fourth quarter of 1999 related to this agreement. In connection with our performance responsibilities, we provided a $5 million standby letter of credit.</w:t>
      </w:r>
    </w:p>
    <w:p>
      <w:pPr>
        <w:spacing w:after="0" w:line="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Effective May 1, 2003, we amended the warranty and maintenance agreement. We will continue to provide certain maintenance and support services for the system through December 31, 2013, however, the scope and nature of the services to be provided were reduced. We paid $4.0 million to Duquesne in consideration for the reduced scope of services, which did not impact earnings in 2003 as it was charged to our forward loss accrual. In addition, the $5.0 million standby letter of credit required under the original agreement was reduced to $4.0 million under the terms of the amended agreement. The amended warranty and maintenance agreement provides for the receipt of approximately $7.3 million over the term of the agreement and we expect to incur $13.2 million in expenses to service the amended contract. In 2003, as a result of the amended agreement, we reduced the associated forward loss accrual by approximately $848,000, which is reflected in service cost of sales. The forward loss accrual balance at December 31, 2003 was $5.9 million.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14: Income Taxes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income taxes at the U.S. federal statutory rate of 35% to the consolidated effective tax for continuing operations is as follows: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domestic and foreign components of income before taxes were: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$19,741</w:t>
            </w:r>
          </w:p>
        </w:tc>
        <w:tc>
          <w:tcPr>
            <w:tcW w:w="8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$22,195</w:t>
            </w:r>
          </w:p>
        </w:tc>
        <w:tc>
          <w:tcPr>
            <w:tcW w:w="5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$21,590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Foreign</w:t>
            </w:r>
          </w:p>
        </w:tc>
        <w:tc>
          <w:tcPr>
            <w:tcW w:w="2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(1,842)</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8"/>
                <w:szCs w:val="18"/>
                <w:color w:val="auto"/>
                <w:w w:val="91"/>
              </w:rPr>
              <w:t>(3,336)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$17,899</w:t>
            </w:r>
          </w:p>
        </w:tc>
        <w:tc>
          <w:tcPr>
            <w:tcW w:w="8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$18,859</w:t>
            </w:r>
          </w:p>
        </w:tc>
        <w:tc>
          <w:tcPr>
            <w:tcW w:w="54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$21,366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Expected federal income tax provision</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5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6,419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1,201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(1,222)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w:t>
            </w:r>
          </w:p>
        </w:tc>
        <w:tc>
          <w:tcPr>
            <w:tcW w:w="2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Goodwill amortization</w:t>
            </w:r>
          </w:p>
        </w:tc>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2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Foreign operations</w:t>
            </w:r>
          </w:p>
        </w:tc>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(1,322)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8"/>
                <w:szCs w:val="18"/>
                <w:color w:val="auto"/>
                <w:w w:val="91"/>
              </w:rPr>
              <w:t>(2,301)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Write-off of foreign subsidiary</w:t>
            </w:r>
          </w:p>
        </w:tc>
        <w:tc>
          <w:tcPr>
            <w:tcW w:w="2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(5,119)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Meals and entertainment</w:t>
            </w:r>
          </w:p>
        </w:tc>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2"/>
              </w:rPr>
              <w:t>Nondeductible charges for purchased research and development</w:t>
            </w:r>
          </w:p>
        </w:tc>
        <w:tc>
          <w:tcPr>
            <w:tcW w:w="2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Export sales benefit</w:t>
            </w:r>
          </w:p>
        </w:tc>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(272)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provision for income taxes</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7,421</w:t>
            </w:r>
          </w:p>
        </w:tc>
        <w:tc>
          <w:tcPr>
            <w:tcW w:w="8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$10,176</w:t>
            </w:r>
          </w:p>
        </w:tc>
        <w:tc>
          <w:tcPr>
            <w:tcW w:w="5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The provision for income taxes consisted of the following:</w:t>
            </w:r>
          </w:p>
        </w:tc>
        <w:tc>
          <w:tcPr>
            <w:tcW w:w="2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5360" w:type="dxa"/>
            <w:vAlign w:val="bottom"/>
            <w:gridSpan w:val="2"/>
            <w:vMerge w:val="continue"/>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54"/>
              <w:spacing w:after="0"/>
              <w:rPr>
                <w:sz w:val="20"/>
                <w:szCs w:val="20"/>
                <w:color w:val="auto"/>
              </w:rPr>
            </w:pPr>
            <w:r>
              <w:rPr>
                <w:rFonts w:ascii="Arial" w:cs="Arial" w:eastAsia="Arial" w:hAnsi="Arial"/>
                <w:sz w:val="14"/>
                <w:szCs w:val="14"/>
                <w:b w:val="1"/>
                <w:bCs w:val="1"/>
                <w:color w:val="auto"/>
                <w:w w:val="83"/>
              </w:rPr>
              <w:t>2003</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center"/>
              <w:ind w:right="34"/>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Borders>
              <w:bottom w:val="single" w:sz="8" w:color="auto"/>
            </w:tcBorders>
            <w:gridSpan w:val="3"/>
          </w:tcPr>
          <w:p>
            <w:pPr>
              <w:spacing w:after="0"/>
              <w:rPr>
                <w:sz w:val="8"/>
                <w:szCs w:val="8"/>
                <w:color w:val="auto"/>
              </w:rPr>
            </w:pPr>
          </w:p>
        </w:tc>
        <w:tc>
          <w:tcPr>
            <w:tcW w:w="5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Federal</w:t>
            </w:r>
          </w:p>
        </w:tc>
        <w:tc>
          <w:tcPr>
            <w:tcW w:w="25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and local</w:t>
            </w:r>
          </w:p>
        </w:tc>
        <w:tc>
          <w:tcPr>
            <w:tcW w:w="2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Foreign</w:t>
            </w:r>
          </w:p>
        </w:tc>
        <w:tc>
          <w:tcPr>
            <w:tcW w:w="2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w:t>
            </w:r>
          </w:p>
        </w:tc>
        <w:tc>
          <w:tcPr>
            <w:tcW w:w="2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Deferred:</w:t>
            </w:r>
          </w:p>
        </w:tc>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2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10,103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State and local</w:t>
            </w:r>
          </w:p>
        </w:tc>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1,064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0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(2,109)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7"/>
              </w:rPr>
              <w:t>(2,508)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deferred</w:t>
            </w:r>
          </w:p>
        </w:tc>
        <w:tc>
          <w:tcPr>
            <w:tcW w:w="2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8,659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6,419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1,201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(1,222)</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60" w:type="dxa"/>
            <w:vAlign w:val="bottom"/>
            <w:tcBorders>
              <w:bottom w:val="single" w:sz="8" w:color="auto"/>
            </w:tcBorders>
            <w:gridSpan w:val="3"/>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provision for income taxes</w:t>
            </w:r>
          </w:p>
        </w:tc>
        <w:tc>
          <w:tcPr>
            <w:tcW w:w="2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$ 7,421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$10,176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380" w:type="dxa"/>
            <w:vAlign w:val="bottom"/>
            <w:vMerge w:val="restart"/>
          </w:tcPr>
          <w:p>
            <w:pPr>
              <w:jc w:val="right"/>
              <w:ind w:right="1852"/>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240" w:top="274" w:right="79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deferred income tax assets consisted of the following:</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8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Loss carryforwards</w:t>
            </w:r>
          </w:p>
        </w:tc>
        <w:tc>
          <w:tcPr>
            <w:tcW w:w="2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46,503</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credits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12,020</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 valuation</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Long-term contracts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deferred tax assets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67,846</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(7,705)</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deferred tax liabilities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(7,705)</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Valuation allowance</w:t>
            </w: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(16,713)</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(6,736)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43,428</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At December 31, 2003, we had unused federal research and development tax credits of $5.7 million, including $1.1 million from the Silicon acquisition, which expire during the tax years 2004 – 2023 if not utilized. We have state research and development tax credits of $819,000, including $596,000 from the Silicon acquisition, available to offset future state tax liabilities indefinitely.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also have $2.0 million of alternative minimum tax credits that are available to offset future federal tax liabilities indefinitely.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Federal loss carryforwards of $102.4 million expire during the tax years 2019 – 2023, including $59.0 million from the Silicon acquisition.</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Valuation allowances of $16.7 million, $6.7 million and $5.5 million in 2003, 2002 and 2001, respectively, were provided for carryforwards attributable to various items for which we may not receive future benefits. During the current year we added approximately $1.8 million of valuation allowance from the Silicon acquisition and approximately $5.1 million from the write-off of a foreign subsidiary.</w:t>
      </w:r>
    </w:p>
    <w:p>
      <w:pPr>
        <w:spacing w:after="0" w:line="127" w:lineRule="exact"/>
        <w:rPr>
          <w:sz w:val="20"/>
          <w:szCs w:val="20"/>
          <w:color w:val="auto"/>
        </w:rPr>
      </w:pPr>
    </w:p>
    <w:p>
      <w:pPr>
        <w:ind w:right="1220"/>
        <w:spacing w:after="0" w:line="391" w:lineRule="auto"/>
        <w:rPr>
          <w:sz w:val="20"/>
          <w:szCs w:val="20"/>
          <w:color w:val="auto"/>
        </w:rPr>
      </w:pPr>
      <w:r>
        <w:rPr>
          <w:rFonts w:ascii="Arial" w:cs="Arial" w:eastAsia="Arial" w:hAnsi="Arial"/>
          <w:sz w:val="18"/>
          <w:szCs w:val="18"/>
          <w:color w:val="auto"/>
        </w:rPr>
        <w:t xml:space="preserve">The tax benefit associated with equity compensation disqualifying dispositions was $1.2 million and $5.1 million in 2003 and 2002, respectively. We assigned approximately $18.1 million of net deferred tax assets as a result of the Silicon acquisition. </w:t>
      </w:r>
      <w:r>
        <w:rPr>
          <w:rFonts w:ascii="Arial" w:cs="Arial" w:eastAsia="Arial" w:hAnsi="Arial"/>
          <w:sz w:val="18"/>
          <w:szCs w:val="18"/>
          <w:b w:val="1"/>
          <w:bCs w:val="1"/>
          <w:color w:val="auto"/>
        </w:rPr>
        <w:t>Note 15: Shareholder Rights Plan</w:t>
      </w:r>
    </w:p>
    <w:p>
      <w:pPr>
        <w:spacing w:after="0" w:line="1"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On November 4, 2002, the Board of Directors authorized the implementation of a Shareholder Rights Plan and declared a dividend of one preferred share purchase right (a Right) for each outstanding share of common stock, without par value. The Rights will separate from the common stock and become exercisable following the earlier of (i) the close of business on the tenth business day after a public announcement that a person or group (including any affiliate or associate of such person or group) has acquired beneficial ownership of 15% or more of the outstanding common shares and (ii) the close of business on such date, if any, as may be designated by the Board of Directors following the commencement of, or first public disclosure of an intent to commence, a tender or exchange offer for outstanding common shares, which could result in the offeror becoming the beneficial owner of 15% or more of the outstanding common shares (the earlier of such dates being the distribution date). After the distribution date, each Right will entitle the holder to purchase, for $160.00, one one-hundredth (1/100) of a share of Series R Cumulative Participating Preferred Stock of the Company (a Preferred Share) with economic terms similar to that of one common share.</w:t>
      </w:r>
    </w:p>
    <w:p>
      <w:pPr>
        <w:spacing w:after="0" w:line="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a person or group becomes an acquiring person, the Rights will entitle each holder of a Right to purchase, for the purchase price, that number of common shares equivalent to the number of common shares, which at the time of the transaction would have a market value of twice the purchase price. Any Rights that are at any time beneficially owned by an acquiring person will be null and void and nontransferable and any holder of any such Right will be unable to exercise or transfer any such Right. If, at any time after any person or group becomes an acquiring person, we are acquired in a merger or other business combination with another entity, or if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6" w:name="page27"/>
    <w:bookmarkEnd w:id="26"/>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50% or more of its assets or assets accounting for 50% or more of its net income or revenues are transferred, each Right will entitle its holder to purchase, for the purchase price, that number of shares of common stock of the person or group engaging in the transaction having a then current market value of twice the purchase price. At any time after any person or group becomes an acquiring person, but before a person or group becomes the beneficial owner of more than 50% of the common shares, the Board of Directors may elect to exchange each Right for consideration per Right consisting of one-half of the number of common shares that would be issuable at such time on the exercise of one Right and without payment of the purchase price. At any time prior to any person or group becoming an acquiring person, the Board of Directors may redeem the Rights in whole, but not in part, at a price of $0.01 per Right, subject to adjustment as provided in the Rights Agreement. The Rights are not exercisable until the distribution date and will expire on December 11, 2012, unless earlier redeemed or exchanged by us.</w:t>
      </w:r>
    </w:p>
    <w:p>
      <w:pPr>
        <w:spacing w:after="0" w:line="10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terms of the Rights and the Rights Agreement may be amended without the approval of any holder of the Rights, at any time prior to the distribution date. Until a Right is exercised, the holder thereof, as such, will have no rights as a shareholder of the Company, including, without limitation, the right to vote or receive dividends. In order to preserve the actual or potential economic value of the Rights, the number of Preferred Shares or other securities issuable upon exercise of the Right, the purchase price, the redemption price and the number of Rights associated with each outstanding common share are all subject to adjustment by the Board of Directors pursuant to certain customary antidilution provisions. The Rights distribution should not be taxable for federal income tax purposes. Following an event that renders the Rights exercisable or upon redemption of the Rights, shareholders may recognize taxable income.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Employee Benefit Plans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Savings Plan</w:t>
      </w:r>
    </w:p>
    <w:p>
      <w:pPr>
        <w:spacing w:after="0" w:line="7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have an employee incentive savings plan in which substantially all employees are eligible to participate. Employees may contribute, on a tax-deferred basis, up to 22% of their salary. We provide a 50% match on the first 6% of the employee salary deferral, subject to statutory limitations. The expense for our matching contribution was $1.8 million in 2003, $1.4 million in 2002 and $1.1 million in 2001.</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 Plans</w:t>
      </w:r>
    </w:p>
    <w:p>
      <w:pPr>
        <w:spacing w:after="0" w:line="15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At December 31, 2003, we had three stock-based compensation plans in effect, only one of which we are currently granting options under. We apply APB 25 and related interpretations in accounting for our plans. The following table summarizes information about stock options outstanding at December 31, 2003 (including the weighted average remaining contractual life and the weighted average exercise price):</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0" w:type="dxa"/>
            <w:vAlign w:val="bottom"/>
            <w:gridSpan w:val="3"/>
          </w:tcPr>
          <w:p>
            <w:pPr>
              <w:jc w:val="center"/>
              <w:ind w:left="117"/>
              <w:spacing w:after="0"/>
              <w:rPr>
                <w:sz w:val="20"/>
                <w:szCs w:val="20"/>
                <w:color w:val="auto"/>
              </w:rPr>
            </w:pPr>
            <w:r>
              <w:rPr>
                <w:rFonts w:ascii="Arial" w:cs="Arial" w:eastAsia="Arial" w:hAnsi="Arial"/>
                <w:sz w:val="14"/>
                <w:szCs w:val="14"/>
                <w:b w:val="1"/>
                <w:bCs w:val="1"/>
                <w:color w:val="auto"/>
                <w:w w:val="86"/>
              </w:rPr>
              <w:t>Outstanding Options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rPr>
              <w:t>Exercisable Options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Remaining</w:t>
            </w:r>
          </w:p>
        </w:tc>
        <w:tc>
          <w:tcPr>
            <w:tcW w:w="1100" w:type="dxa"/>
            <w:vAlign w:val="bottom"/>
            <w:gridSpan w:val="4"/>
          </w:tcPr>
          <w:p>
            <w:pPr>
              <w:ind w:left="200"/>
              <w:spacing w:after="0"/>
              <w:rPr>
                <w:sz w:val="20"/>
                <w:szCs w:val="20"/>
                <w:color w:val="auto"/>
              </w:rPr>
            </w:pPr>
            <w:r>
              <w:rPr>
                <w:rFonts w:ascii="Arial" w:cs="Arial" w:eastAsia="Arial" w:hAnsi="Arial"/>
                <w:sz w:val="14"/>
                <w:szCs w:val="14"/>
                <w:b w:val="1"/>
                <w:bCs w:val="1"/>
                <w:color w:val="auto"/>
              </w:rPr>
              <w:t>Weighted</w:t>
            </w: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gridSpan w:val="3"/>
          </w:tcPr>
          <w:p>
            <w:pPr>
              <w:ind w:left="68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4"/>
              </w:rPr>
              <w:t>Shares</w:t>
            </w:r>
          </w:p>
        </w:tc>
        <w:tc>
          <w:tcPr>
            <w:tcW w:w="70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2"/>
                <w:szCs w:val="12"/>
                <w:color w:val="auto"/>
              </w:rPr>
            </w:pPr>
          </w:p>
        </w:tc>
        <w:tc>
          <w:tcPr>
            <w:tcW w:w="8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Average</w:t>
            </w:r>
          </w:p>
        </w:tc>
        <w:tc>
          <w:tcPr>
            <w:tcW w:w="34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4"/>
              </w:rPr>
              <w:t>Shares</w:t>
            </w:r>
          </w:p>
        </w:tc>
        <w:tc>
          <w:tcPr>
            <w:tcW w:w="7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74"/>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Range of Exercise Prices</w:t>
            </w:r>
          </w:p>
        </w:tc>
        <w:tc>
          <w:tcPr>
            <w:tcW w:w="34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000’s)</w:t>
            </w:r>
          </w:p>
        </w:tc>
        <w:tc>
          <w:tcPr>
            <w:tcW w:w="700" w:type="dxa"/>
            <w:vAlign w:val="bottom"/>
          </w:tcPr>
          <w:p>
            <w:pPr>
              <w:spacing w:after="0"/>
              <w:rPr>
                <w:sz w:val="15"/>
                <w:szCs w:val="15"/>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(years)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Price</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000’s)</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$ 4.00 – $ 6.75</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4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$ 7.00 – $ 8.66</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1,196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7.55</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681</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$13.00 – $20.00</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15.42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$20.01 – $27.52</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909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8.17</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21.66</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383</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$30.32 – $32.35</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31.67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$58.75</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58.75</w:t>
            </w:r>
          </w:p>
        </w:tc>
        <w:tc>
          <w:tcPr>
            <w:tcW w:w="3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58.75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4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13.22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80" w:right="279" w:bottom="1440" w:gutter="0" w:footer="0" w:header="0"/>
        </w:sectPr>
      </w:pPr>
    </w:p>
    <w:bookmarkStart w:id="27" w:name="page28"/>
    <w:bookmarkEnd w:id="27"/>
    <w:p>
      <w:pPr>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our three stock option plans, we have granted options to purchase shares of common stock to employees and non-employee directors at prices no less than the fair market value on the date of grant. Because all stock options were issued at fair value, no compensation cost has been recognized. Those options terminate ten years from the date granted. For grants to employees, and non-employee directors, the options become fully exercisable within three or four years from the date of grant. In addition, the plan provides for the granting of stock to non-employee directors. The price range of options exercised was $4.00 to $17.75 in 2003, $4.00 to $24.50 in 2002 and $0.86 to $24.50 in 2001. At December 31, 2003, there were 4.1 million shares of authorized but unissued common stock under the plans, of which options for the purchase of 192,619 shares were available for future grants. Share amounts and weighted average exercise prices are as follows:</w:t>
      </w:r>
    </w:p>
    <w:p>
      <w:pPr>
        <w:spacing w:after="0" w:line="8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gridSpan w:val="5"/>
          </w:tcPr>
          <w:p>
            <w:pPr>
              <w:ind w:left="80"/>
              <w:spacing w:after="0"/>
              <w:rPr>
                <w:sz w:val="20"/>
                <w:szCs w:val="20"/>
                <w:color w:val="auto"/>
              </w:rPr>
            </w:pPr>
            <w:r>
              <w:rPr>
                <w:rFonts w:ascii="Arial" w:cs="Arial" w:eastAsia="Arial" w:hAnsi="Arial"/>
                <w:sz w:val="14"/>
                <w:szCs w:val="14"/>
                <w:b w:val="1"/>
                <w:bCs w:val="1"/>
                <w:color w:val="auto"/>
                <w:w w:val="89"/>
              </w:rPr>
              <w:t>Year Ended December 31,</w:t>
            </w: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95"/>
              <w:spacing w:after="0"/>
              <w:rPr>
                <w:sz w:val="20"/>
                <w:szCs w:val="20"/>
                <w:color w:val="auto"/>
              </w:rPr>
            </w:pPr>
            <w:r>
              <w:rPr>
                <w:rFonts w:ascii="Arial" w:cs="Arial" w:eastAsia="Arial" w:hAnsi="Arial"/>
                <w:sz w:val="14"/>
                <w:szCs w:val="14"/>
                <w:b w:val="1"/>
                <w:bCs w:val="1"/>
                <w:color w:val="auto"/>
                <w:w w:val="89"/>
              </w:rPr>
              <w:t>2003</w:t>
            </w: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119"/>
              <w:spacing w:after="0"/>
              <w:rPr>
                <w:sz w:val="20"/>
                <w:szCs w:val="20"/>
                <w:color w:val="auto"/>
              </w:rPr>
            </w:pPr>
            <w:r>
              <w:rPr>
                <w:rFonts w:ascii="Arial" w:cs="Arial" w:eastAsia="Arial" w:hAnsi="Arial"/>
                <w:sz w:val="14"/>
                <w:szCs w:val="14"/>
                <w:b w:val="1"/>
                <w:bCs w:val="1"/>
                <w:color w:val="auto"/>
                <w:w w:val="89"/>
              </w:rPr>
              <w:t>2002</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jc w:val="right"/>
              <w:ind w:right="119"/>
              <w:spacing w:after="0"/>
              <w:rPr>
                <w:sz w:val="20"/>
                <w:szCs w:val="20"/>
                <w:color w:val="auto"/>
              </w:rPr>
            </w:pPr>
            <w:r>
              <w:rPr>
                <w:rFonts w:ascii="Arial" w:cs="Arial" w:eastAsia="Arial" w:hAnsi="Arial"/>
                <w:sz w:val="14"/>
                <w:szCs w:val="14"/>
                <w:b w:val="1"/>
                <w:bCs w:val="1"/>
                <w:color w:val="auto"/>
                <w:w w:val="89"/>
              </w:rPr>
              <w:t>2001</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Shares</w:t>
            </w: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Shares</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(in 000’s)</w:t>
            </w:r>
          </w:p>
        </w:tc>
        <w:tc>
          <w:tcPr>
            <w:tcW w:w="48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Price</w:t>
            </w:r>
          </w:p>
        </w:tc>
        <w:tc>
          <w:tcPr>
            <w:tcW w:w="12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(in 000’s)</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15"/>
              <w:spacing w:after="0"/>
              <w:rPr>
                <w:sz w:val="20"/>
                <w:szCs w:val="20"/>
                <w:color w:val="auto"/>
              </w:rPr>
            </w:pPr>
            <w:r>
              <w:rPr>
                <w:rFonts w:ascii="Arial" w:cs="Arial" w:eastAsia="Arial" w:hAnsi="Arial"/>
                <w:sz w:val="14"/>
                <w:szCs w:val="14"/>
                <w:b w:val="1"/>
                <w:bCs w:val="1"/>
                <w:color w:val="auto"/>
                <w:w w:val="87"/>
              </w:rPr>
              <w:t>Price</w:t>
            </w:r>
          </w:p>
        </w:tc>
        <w:tc>
          <w:tcPr>
            <w:tcW w:w="12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000’s)</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1"/>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$ 11.54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18.17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17.45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Cancelled</w:t>
            </w: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(151)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11.21</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8.38</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year end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Stock Purchase Plan</w:t>
      </w:r>
    </w:p>
    <w:p>
      <w:pPr>
        <w:spacing w:after="0" w:line="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our Employee Stock Purchase Plan, we are authorized to issue shares of common stock to our eligible employees who have completed three months of service, work more than 20 hours each week and are employed more than five months in any calendar year. Employees who own 5% or more of our common stock are not eligible to participate in the Plan. Under the terms of the Plan, eligible employees can choose payroll deductions each year of up to 10% of their regular cash compensation. Such deductions are applied toward the discounted purchase price of our common stock. The purchase price of the common stock is 85% of the fair market value of the stock as defined in the Plan. Under the Plan we sold 91,223, 19,347 and 111,459 shares to employees in 2003, 2002 and 2001,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Other Related Party Transactions</w:t>
      </w:r>
    </w:p>
    <w:p>
      <w:pPr>
        <w:spacing w:after="0" w:line="8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During 2003, an officer of one of our customers held a position on our Board of Directors. Revenues from this customer were $372,000 in 2003. Accounts receivable from this customer were approximately $26,000 at December 31, 2003. During 2001 and 2002, three customers were also shareholders of the Company and had officers who held positions on our Board of Directors. In addition, one of those customers had a greater than 10% ownership in 2000. Revenues from these customers were $4.4 million in 2002 and $4.0 million in 2001. Accounts receivable from these customers were approximately $34,000 at December 31, 2003 and 2002. Interest expense related to the mortgage note payable to one of these customers was approximately $49,000 in 2002 and $464,000 in 2001. In January 2002, we paid $4.9 million, which represents a $200,000 discount, to this shareholder to fully satisfy our mortgage note.</w:t>
      </w:r>
    </w:p>
    <w:p>
      <w:pPr>
        <w:spacing w:after="0" w:line="107"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have a 30% interest in an affiliate that serves both as a contract manufacturer for some of our low volume products and as our handheld service repair depot. Purchases of low volume products and repair services from the affiliate were $13.6 million in 2003, $13.4 million in 2002 and $14.8 million in 2001. We sublease a portion of our Spokane facility to this affiliate. The lease agreement commenced in May 2000 and terminated in May 2003. In November 2002, the affiliate notified us of its intent to exercise the renewal option for one year. The base monthly lease payments of $14,430 are based on current market rates. The affiliate pays us for its share of operating cost of the subleased premises. The costs payable by the affiliate to us are based on the square footage of the leased premises. Accounts receivable from the affiliate were approximately $54,000 and $144,000 at December 31, 2003 and 2002, respectively. Additionally, we guarantee lease payments for certain equipment leased by the affiliate. The maximum future lease obligation of the guarantee at December 31, 2003 was $439,000.</w:t>
      </w:r>
    </w:p>
    <w:p>
      <w:pPr>
        <w:spacing w:after="0" w:line="9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We lease two facilities from former owners of RER, who are now current employees. The monthly lease expense is approximately $31,000. The lease agreements terminated in December 2003 and January 2004, respectively. The leases are currently month to month pending lease renewal negotiations.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18: Commitments and Contingencies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Commitments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noncancelable capital leases for computer equipment and software, and operating leases for computers, office, production and storage space expiring at various dates through December 2009. Rent expense under our operating leases was $8.0 million in 2003, $5.7 million in 2002 and $3.2 million in 2001. Receipts under our noncancelable subleases were $368,000 in 2003, $391,000 in 2002 and $353,000 in 2001. Assets under capital leases are included in the consolidated balance sheets as follows:</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32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8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(144)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capital leases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Future minimum payments and sublease revenues at December 31, 2003, under the aforementioned leases and other noncancelable operating leases and subleases with initial or remaining terms in excess of one year are as follows: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80" w:type="dxa"/>
            <w:vAlign w:val="bottom"/>
            <w:gridSpan w:val="3"/>
          </w:tcPr>
          <w:p>
            <w:pPr>
              <w:ind w:left="1700"/>
              <w:spacing w:after="0"/>
              <w:rPr>
                <w:sz w:val="20"/>
                <w:szCs w:val="20"/>
                <w:color w:val="auto"/>
              </w:rPr>
            </w:pPr>
            <w:r>
              <w:rPr>
                <w:rFonts w:ascii="Arial" w:cs="Arial" w:eastAsia="Arial" w:hAnsi="Arial"/>
                <w:sz w:val="14"/>
                <w:szCs w:val="14"/>
                <w:b w:val="1"/>
                <w:bCs w:val="1"/>
                <w:color w:val="auto"/>
                <w:w w:val="91"/>
              </w:rPr>
              <w:t>Minimum</w:t>
            </w:r>
          </w:p>
        </w:tc>
        <w:tc>
          <w:tcPr>
            <w:tcW w:w="7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Sublease</w:t>
            </w:r>
          </w:p>
        </w:tc>
        <w:tc>
          <w:tcPr>
            <w:tcW w:w="880" w:type="dxa"/>
            <w:vAlign w:val="bottom"/>
            <w:gridSpan w:val="3"/>
          </w:tcPr>
          <w:p>
            <w:pPr>
              <w:ind w:left="280"/>
              <w:spacing w:after="0"/>
              <w:rPr>
                <w:sz w:val="20"/>
                <w:szCs w:val="20"/>
                <w:color w:val="auto"/>
              </w:rPr>
            </w:pPr>
            <w:r>
              <w:rPr>
                <w:rFonts w:ascii="Arial" w:cs="Arial" w:eastAsia="Arial" w:hAnsi="Arial"/>
                <w:sz w:val="14"/>
                <w:szCs w:val="14"/>
                <w:b w:val="1"/>
                <w:bCs w:val="1"/>
                <w:color w:val="auto"/>
                <w:w w:val="82"/>
              </w:rPr>
              <w:t>Payments,</w:t>
            </w:r>
          </w:p>
        </w:tc>
      </w:t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4"/>
              </w:rPr>
              <w:t>Payments</w:t>
            </w:r>
          </w:p>
        </w:tc>
        <w:tc>
          <w:tcPr>
            <w:tcW w:w="1660" w:type="dxa"/>
            <w:vAlign w:val="bottom"/>
            <w:gridSpan w:val="4"/>
          </w:tcPr>
          <w:p>
            <w:pPr>
              <w:ind w:left="700"/>
              <w:spacing w:after="0"/>
              <w:rPr>
                <w:sz w:val="20"/>
                <w:szCs w:val="20"/>
                <w:color w:val="auto"/>
              </w:rPr>
            </w:pPr>
            <w:r>
              <w:rPr>
                <w:rFonts w:ascii="Arial" w:cs="Arial" w:eastAsia="Arial" w:hAnsi="Arial"/>
                <w:sz w:val="14"/>
                <w:szCs w:val="14"/>
                <w:b w:val="1"/>
                <w:bCs w:val="1"/>
                <w:color w:val="auto"/>
              </w:rPr>
              <w:t>Revenues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115"/>
              <w:spacing w:after="0"/>
              <w:rPr>
                <w:sz w:val="20"/>
                <w:szCs w:val="20"/>
                <w:color w:val="auto"/>
              </w:rPr>
            </w:pPr>
            <w:r>
              <w:rPr>
                <w:rFonts w:ascii="Arial" w:cs="Arial" w:eastAsia="Arial" w:hAnsi="Arial"/>
                <w:sz w:val="14"/>
                <w:szCs w:val="14"/>
                <w:b w:val="1"/>
                <w:bCs w:val="1"/>
                <w:color w:val="auto"/>
              </w:rPr>
              <w:t>Net</w:t>
            </w: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60" w:type="dxa"/>
            <w:vAlign w:val="bottom"/>
            <w:gridSpan w:val="4"/>
          </w:tcPr>
          <w:p>
            <w:pPr>
              <w:ind w:left="5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18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303</w:t>
            </w:r>
          </w:p>
        </w:tc>
        <w:tc>
          <w:tcPr>
            <w:tcW w:w="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2005</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3,179</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w w:val="79"/>
              </w:rPr>
              <w:t>217</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2,962</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184</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2007</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1,437</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1,437</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Thereafter</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211</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102"/>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minimum lease payments</w:t>
            </w:r>
          </w:p>
        </w:tc>
        <w:tc>
          <w:tcPr>
            <w:tcW w:w="180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12,115</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704</w:t>
            </w:r>
          </w:p>
        </w:tc>
        <w:tc>
          <w:tcPr>
            <w:tcW w:w="4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11,411</w:t>
            </w: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r>
    </w:tbl>
    <w:p>
      <w:pPr>
        <w:spacing w:after="0" w:line="24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During 2002, we entered into an exclusive distribution agreement with a company. The agreement required us to purchase a minimum of 2,500 units over a three year period. We completed the minimum purchase requirement during 2003.</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Guarantees and Indemnifications</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Under FASB Interpretation 45, </w:t>
      </w:r>
      <w:r>
        <w:rPr>
          <w:rFonts w:ascii="Arial" w:cs="Arial" w:eastAsia="Arial" w:hAnsi="Arial"/>
          <w:sz w:val="18"/>
          <w:szCs w:val="18"/>
          <w:i w:val="1"/>
          <w:iCs w:val="1"/>
          <w:color w:val="auto"/>
        </w:rPr>
        <w:t>Guarantor’s Accounting and Disclosure Requirements for Guarantees, Including Indirect Guarantees of Indebtedness of Others</w:t>
      </w:r>
      <w:r>
        <w:rPr>
          <w:rFonts w:ascii="Arial" w:cs="Arial" w:eastAsia="Arial" w:hAnsi="Arial"/>
          <w:sz w:val="18"/>
          <w:szCs w:val="18"/>
          <w:color w:val="auto"/>
        </w:rPr>
        <w:t>, we record a liability for certain types of guarantees and indemnifications for agreements entered into or amended subsequent to December 31, 2002. No liabilities were required for the agreements entered into during the year ended December 31, 2003.</w:t>
      </w:r>
    </w:p>
    <w:p>
      <w:pPr>
        <w:spacing w:after="0" w:line="1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maintain bid and performance bonds for certain customers. Bonds in force were $41.7 million and $40.3 million at December 31, 2003 and 2002, respectively.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w:t>
      </w:r>
    </w:p>
    <w:p>
      <w:pPr>
        <w:spacing w:after="0" w:line="13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During 2003, we received a cancellation notice from a bonding company on a $25.0 million performance bond, based on policy changes at the bonding company, which cancellation became effective in February 2004. We have negotiated a reduction in performance collateral, in the form of a bond, a letter of credit and/or escrowed cash totaling $17 million to $20 million, depending on the form. In January 2004, we replaced the bond with an $18 million letter of credit.</w:t>
      </w:r>
    </w:p>
    <w:p>
      <w:pPr>
        <w:spacing w:after="0" w:line="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also have standby letters of credit to guarantee our performance under certain contracts. The outstanding amounts of standby letters of credit were $15.0 million at December 31, 2003 and 2002. In March 2003, we issued a standby letter of credit in the amount of approximately $1.0 million to a third party landlord to guarantee a subsidiary’s lease payments on a facility. The standby letter of credit renews on an annual basis during the term of the lease, which expires in 2005. If we fail to make a scheduled lease payment, the landlord could draw up to the maximum amount specified on the standby letter of credit. In May 2003, we reduced a standby letter of credit from $5.0 million to $4.0 million as a result of an amendment to a long-term warranty and maintenance agreement with a customer (see Note 13).</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29" w:name="page30"/>
    <w:bookmarkEnd w:id="2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guarantee lease payments for certain equipment leased by an affiliated company. The maximum future lease obligation of the guarantee at December 31, 2003 was approximately $439,000. The lease and our guarantee terminate in 2006. In the event the affiliate is unable to pay a monthly lease obligation, we would be required to make the payment. If we do not make the payment, the equipment would be returned to the lessor. In the event that the equipment is not in working condition, we would be obligated to pay for the equipment to be returned to working condition.</w:t>
      </w:r>
    </w:p>
    <w:p>
      <w:pPr>
        <w:spacing w:after="0" w:line="99"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Matters</w:t>
      </w:r>
    </w:p>
    <w:p>
      <w:pPr>
        <w:spacing w:after="0" w:line="7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On October 14, 2003, we settled all issues in a patent infringement litigation for $7.9 million. The settlement includes payment for all royalties, attorneys’ fees and other items, including the assigned ownership of the patent to us. We accrued $7.4 million in 2002 and expensed $500,000 in 2003 related to this matter.</w:t>
      </w:r>
    </w:p>
    <w:p>
      <w:pPr>
        <w:spacing w:after="0" w:line="7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We are a party to various other lawsuits and claims, both as plaintiff and defendant, and have contingent liabilities arising from the conduct of business, none of which, in our opinion, are expected to have a material effect on our financial position or results of operations. None of the various other lawsuits or claims required the recognition of a liability as of December 31, 2003, as negative outcomes are not considered probable.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w:t>
      </w:r>
    </w:p>
    <w:p>
      <w:pPr>
        <w:spacing w:after="0" w:line="8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January 2004, we began to implement an organizational change that resulted in a change in our segment reporting from five market facing business units (Electric, Natural Gas, Water &amp; Public Power, International and End User Solutions) to two operating groups (Hardware Solutions and Software Solutions). The segment information as set forth below, for the years ended December 31, 2003, 2002 and 2001, is based on the new segment reporting structure as of June 30, 2004. Historical segment amounts have been restated.</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has two primary measures for each of the operating groups: revenues and gross profit (margin). Revenues for each operating group are according to product lines. There are no inter-operating group revenues. Within each operating group, costs of sales include materials, direct labor, and an overhead allocation, as well as variances from standard costs. Service related cost of sales are based on actual time and materials incurred, warranty expense and an allocation of miscellaneous service related costs. Operating expenses directly associated with each operating group may include sales, marketing, product development or administrative expenses.</w:t>
      </w:r>
    </w:p>
    <w:p>
      <w:pPr>
        <w:spacing w:after="0" w:line="129"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Corporate operating expenses, interest revenue, interest expense, equity in the income (loss) of investees accounted for by the equity method, amortization expense and income tax expense are not allocated to the operating groups, nor included in the measure of segment profit or loss. Assets and liabilities are not allocated to the operating groups. Approximately 50% of depreciation expense is allocated to the operating groups.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Products</w:t>
      </w:r>
    </w:p>
    <w:p>
      <w:pPr>
        <w:spacing w:after="0" w:line="159" w:lineRule="exact"/>
        <w:rPr>
          <w:sz w:val="20"/>
          <w:szCs w:val="20"/>
          <w:color w:val="auto"/>
        </w:rPr>
      </w:pPr>
    </w:p>
    <w:p>
      <w:pPr>
        <w:spacing w:after="0"/>
        <w:tabs>
          <w:tab w:leader="none" w:pos="2400" w:val="left"/>
        </w:tabs>
        <w:rPr>
          <w:sz w:val="20"/>
          <w:szCs w:val="20"/>
          <w:color w:val="auto"/>
        </w:rPr>
      </w:pPr>
      <w:r>
        <w:rPr>
          <w:rFonts w:ascii="Arial" w:cs="Arial" w:eastAsia="Arial" w:hAnsi="Arial"/>
          <w:sz w:val="14"/>
          <w:szCs w:val="14"/>
          <w:b w:val="1"/>
          <w:bCs w:val="1"/>
          <w:color w:val="auto"/>
        </w:rPr>
        <w:t>Operating Segment</w:t>
      </w:r>
      <w:r>
        <w:rPr>
          <w:sz w:val="20"/>
          <w:szCs w:val="20"/>
          <w:color w:val="auto"/>
        </w:rPr>
        <w:tab/>
      </w:r>
      <w:r>
        <w:rPr>
          <w:rFonts w:ascii="Arial" w:cs="Arial" w:eastAsia="Arial" w:hAnsi="Arial"/>
          <w:sz w:val="12"/>
          <w:szCs w:val="12"/>
          <w:b w:val="1"/>
          <w:bCs w:val="1"/>
          <w:color w:val="auto"/>
        </w:rPr>
        <w:t>Major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8921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68580</wp:posOffset>
            </wp:positionV>
            <wp:extent cx="7200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2" w:lineRule="exact"/>
        <w:rPr>
          <w:sz w:val="20"/>
          <w:szCs w:val="20"/>
          <w:color w:val="auto"/>
        </w:rPr>
      </w:pPr>
    </w:p>
    <w:p>
      <w:pPr>
        <w:ind w:left="2420" w:right="180" w:hanging="2403"/>
        <w:spacing w:after="0" w:line="306" w:lineRule="auto"/>
        <w:tabs>
          <w:tab w:leader="none" w:pos="2400" w:val="left"/>
        </w:tabs>
        <w:rPr>
          <w:sz w:val="20"/>
          <w:szCs w:val="20"/>
          <w:color w:val="auto"/>
        </w:rPr>
      </w:pPr>
      <w:r>
        <w:rPr>
          <w:rFonts w:ascii="Arial" w:cs="Arial" w:eastAsia="Arial" w:hAnsi="Arial"/>
          <w:sz w:val="18"/>
          <w:szCs w:val="18"/>
          <w:i w:val="1"/>
          <w:iCs w:val="1"/>
          <w:color w:val="auto"/>
        </w:rPr>
        <w:t>Hardware Solutions:</w:t>
      </w:r>
      <w:r>
        <w:rPr>
          <w:sz w:val="20"/>
          <w:szCs w:val="20"/>
          <w:color w:val="auto"/>
        </w:rPr>
        <w:tab/>
      </w:r>
      <w:r>
        <w:rPr>
          <w:rFonts w:ascii="Arial" w:cs="Arial" w:eastAsia="Arial" w:hAnsi="Arial"/>
          <w:sz w:val="16"/>
          <w:szCs w:val="16"/>
          <w:color w:val="auto"/>
        </w:rPr>
        <w:t>Residential and commercial automatic meter reading (AMR) modules, mobile and network AMR reading technologies, SmartSynch meter systems, handheld computers for meter data collection or mobile workforce applications, residential meter data collection software, mobile workforce solutions software and related installation and implementation services.</w:t>
      </w:r>
    </w:p>
    <w:p>
      <w:pPr>
        <w:spacing w:after="0" w:line="161" w:lineRule="exact"/>
        <w:rPr>
          <w:sz w:val="20"/>
          <w:szCs w:val="20"/>
          <w:color w:val="auto"/>
        </w:rPr>
      </w:pPr>
    </w:p>
    <w:p>
      <w:pPr>
        <w:ind w:left="2420" w:right="20" w:hanging="2403"/>
        <w:spacing w:after="0" w:line="370" w:lineRule="auto"/>
        <w:tabs>
          <w:tab w:leader="none" w:pos="2400" w:val="left"/>
        </w:tabs>
        <w:rPr>
          <w:sz w:val="20"/>
          <w:szCs w:val="20"/>
          <w:color w:val="auto"/>
        </w:rPr>
      </w:pPr>
      <w:r>
        <w:rPr>
          <w:rFonts w:ascii="Arial" w:cs="Arial" w:eastAsia="Arial" w:hAnsi="Arial"/>
          <w:sz w:val="18"/>
          <w:szCs w:val="18"/>
          <w:i w:val="1"/>
          <w:iCs w:val="1"/>
          <w:color w:val="auto"/>
        </w:rPr>
        <w:t>Software Solutions:</w:t>
      </w:r>
      <w:r>
        <w:rPr>
          <w:sz w:val="20"/>
          <w:szCs w:val="20"/>
          <w:color w:val="auto"/>
        </w:rPr>
        <w:tab/>
      </w:r>
      <w:r>
        <w:rPr>
          <w:rFonts w:ascii="Arial" w:cs="Arial" w:eastAsia="Arial" w:hAnsi="Arial"/>
          <w:sz w:val="15"/>
          <w:szCs w:val="15"/>
          <w:color w:val="auto"/>
        </w:rPr>
        <w:t>Commercial and industrial meter data collection software, transmission and distribution systems design and optimization software, energy management and asset optimization software, and related implementation, forecasting and consulting services.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30" w:name="page31"/>
    <w:bookmarkEnd w:id="30"/>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2002</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281,346</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262,736</w:t>
            </w:r>
          </w:p>
        </w:tc>
        <w:tc>
          <w:tcPr>
            <w:tcW w:w="5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209,867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35,619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Company</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316,965</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284,842</w:t>
            </w:r>
          </w:p>
        </w:tc>
        <w:tc>
          <w:tcPr>
            <w:tcW w:w="5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133,027</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125,770</w:t>
            </w:r>
          </w:p>
        </w:tc>
        <w:tc>
          <w:tcPr>
            <w:tcW w:w="5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10,527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Company</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143,554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132,269</w:t>
            </w:r>
          </w:p>
        </w:tc>
        <w:tc>
          <w:tcPr>
            <w:tcW w:w="5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99,538</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96,540</w:t>
            </w:r>
          </w:p>
        </w:tc>
        <w:tc>
          <w:tcPr>
            <w:tcW w:w="5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(14,702)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(17,690)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Corporate unallocated</w:t>
            </w: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(63,142)</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(60,708)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(38,627)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Company</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21,694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(3,795)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17,899</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18,859</w:t>
            </w:r>
          </w:p>
        </w:tc>
        <w:tc>
          <w:tcPr>
            <w:tcW w:w="5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-2282825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-2282825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-2282825</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-2282825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-2282825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-2282825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-2282825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-2282825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-2282825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-1424940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-1424940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-1424940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-1424940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-1424940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-1424940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-1424940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-1424940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-1424940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We did not have any customers that accounted for more than 10% of our revenues in 2003. One group of customers, which included both Hardware Solutions and Software Solutions revenues, accounted for approximately 12% and 15% of total Company revenues in 2002 and 2001,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Pending Acquisition</w:t>
      </w:r>
    </w:p>
    <w:p>
      <w:pPr>
        <w:spacing w:after="0" w:line="8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On July 16, 2003, we entered into an agreement to acquire Schlumberger Electricity Metering (SEM) for $255 million, subject to a post-closing working capital adjustment. SEM is a leading manufacturer of electricity meters in the U.S. and Canada. By adding electricity meters to our existing portfolio of meter data collection technologies and software and consulting solutions we will be able to offer customers a highly integrated suite of products for measuring, gathering, delivering, analyzing and applying electricity usage data. We expect to finance the acquisition through the issuance of approximately $365 million in debt. We intend to use a portion of the financing to replace our existing credit line and pay off the outstanding balance of our existing term loan (see Note 9).</w:t>
      </w:r>
    </w:p>
    <w:p>
      <w:pPr>
        <w:spacing w:after="0" w:line="1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July 28, 2003, we filed notification with the Federal Trade Commission (FTC) under the Hart-Scott-Rodino Antitrust Improvements Act of 1976 (HSR) regarding our intent to acquire SEM. On August 28, 2003 we and SEM received a second request for information from the FTC regarding our filing. We are currently in substantial compliance with all FTC information requests. As an accommodation to concerns raised by the FTC regarding competition, we are completing negotiations of an agreement with a competing AMR vendor to license to them some of our electric meter module and certain other related technology. The license with the AMR vendor is contingent on closing the acquisition of SEM. We anticipate receiving HSR clearance and closing the acquisition early in the second quarter of 2004.</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Subsequent Events</w:t>
      </w:r>
    </w:p>
    <w:p>
      <w:pPr>
        <w:spacing w:after="0" w:line="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previously indicated in Note 19, in 2004 we began to implement a change in our organizational structure as we moved from profit and loss responsibility and reporting along business unit or market lines to two primary operations groups: hardware and software. In the process of developing the new structure, and in light of lower expectations for first quarter revenues, we took some corrective actions to reduce expenses and eliminate certain unprofitable activities. Those actions resulted in a reduction of approximately 70 employees, or 5%, of our workforce and will result in a restructuring charge of approximately $2.5 million in the first quarter of 2004.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segment information presented in this Form 10-K has been restated based on this new organizational structure.</w:t>
      </w:r>
    </w:p>
    <w:p>
      <w:pPr>
        <w:spacing w:after="0" w:line="15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on May 10, 2004, we completed a private placement of $125 million aggregate principal amount of 7.75% Senior Subordinated Notes, discounted to a price of 99.265 to yield 7.875%, due in 2012. The discount on the Notes will be accreted and the debt issuance costs will be amortized over the life of the credit facility. We placed the Notes in advance of the closing of the SEM acquisition in order to lock-in a favorable interest rate. Fixed annual interest is payable every six months, commencing in November 2004. The Notes are subordinated to our new $240 million senior secured credit facility and are guaranteed by all of our operating subsidiaries (except for our foreign subsidiaries and an outsourcing project subsidiary), all of which are wholly owned. The Notes contain covenants, which place restrictions on the incurrence of debt, the payment of dividends, certain investments and mergers. Some or all of the Notes may be redeemed at our option at any time on or after May 15, 2008, at certain specified prices. At any time prior to May 15, 2007, we may, at our option, redeem up to 35% of the Notes with the proceeds of certain sales of our common stock.</w:t>
      </w:r>
    </w:p>
    <w:p>
      <w:pPr>
        <w:sectPr>
          <w:pgSz w:w="11900" w:h="16838" w:orient="portrait"/>
          <w:cols w:equalWidth="0" w:num="1">
            <w:col w:w="11400"/>
          </w:cols>
          <w:pgMar w:left="240" w:top="275" w:right="259" w:bottom="1440" w:gutter="0" w:footer="0" w:header="0"/>
        </w:sectPr>
      </w:pP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275" w:right="259" w:bottom="1440" w:gutter="0" w:footer="0" w:header="0"/>
          <w:type w:val="continuous"/>
        </w:sectPr>
      </w:pPr>
    </w:p>
    <w:bookmarkStart w:id="31" w:name="page32"/>
    <w:bookmarkEnd w:id="31"/>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July 1, 2004, we completed the acquisition of SEM. The SEM acquisition includes Schlumberger Ltd.’s (Schlumberger) electricity meter manufacturing and sales operations in the United States and the electricity meter operations of certain foreign affiliates of Schlumberger in Canada, Mexico, Taiwan and France. The purchase price for SEM was $248 million and is subject to post closing working capital adjustments. Itron used proceeds from the $240 million senior secured credit facility and $125 million in Senior Subordinated Notes to finance the acquisition, pay related fees and expenses, and repay approximately $50.2 million of outstanding Itron debt under an existing credit facility. Schlumberger has agreed to indemnify Itron for certain tax, environmental, litigation and other possible obligations over various time frames following the acquisition date.</w:t>
      </w:r>
    </w:p>
    <w:p>
      <w:pPr>
        <w:spacing w:after="0" w:line="1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order to obtain FTC clearance for the SEM acquisition, we were required by the FTC to license certain of our existing electric meter module and other AMR technology to a competing third party. As such, we entered into a licensing agreement with Hunt Technologies (Hunt) in Pequot Lakes, Minnesota, which became effective July 1, 2004, upon closing of the SEM acquisition. The license agreement includes our existing electric encoder receiver transmitter, or ERT technology, for use in electric meters only in the United States, Canada and Mexico. In addition, we will license the required software application programming interfaces and protocols in order to enable Hunt to develop reading technology in the form of handheld or mobile collection units. The license with Hunt is perpetual and requires the payment of a flat fee to Itron in four installments starting July 1, 2004 and ending June 30, 2007. The amount of the license fee is not material to Itron’s overall financial results.</w:t>
      </w:r>
    </w:p>
    <w:p>
      <w:pPr>
        <w:spacing w:after="0" w:line="13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July 2004, we made further adjustments to our organizational structure moving various parts of our organization from the Hardware Solutions segment to the Software Solutions segment. In addition, based on our evaluation of current market conditions for the transmission and substation markets, including market size, pace of industry investment in new technology and other factors, we made the decision to no longer invest in product development or sales in these areas. We will continue to support our existing transmission and substation customers and will continue to concentrate on new business opportunities in distribution - both in design and asset optimization. In connection with these changes, we had a headcount reduction of approximately 40 people and expect a restructuring charge in the third quarter of 2004 of approximately $2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Consolidating Financial Information</w:t>
      </w:r>
    </w:p>
    <w:p>
      <w:pPr>
        <w:spacing w:after="0" w:line="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May 10, 2004 we issued $125 million Senior Subordinated Notes, which are guaranteed by all of our operating subsidiaries (except for our foreign subsidiaries and an outsourcing project subsidiary), all of which are wholly-owned. The guarantees are joint and several, full, complete and unconditional. There are currently no restrictions on the ability of the subsidiary guarantors to transfer funds to the parent company. The following consolidating financial information has been prepared and presented pursuant to Securities Exchange Commission Regulation S-X Rule 3-10 “Financial Statements of Guarantors and Issuers of Guaranteed Securities Registered or Being Registered.”</w:t>
      </w:r>
    </w:p>
    <w:p>
      <w:pPr>
        <w:spacing w:after="0" w:line="1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three wholly owned domestic guarantor subsidiaries, which were established for various business purposes. Two of these subsidiaries have no assets or operations. The third subsidiary held $7.0 million and $6.7 million of an investment in a non-guarantor subsidiary at December 31, 2003 and 2002, respectively. The net income (loss) from this investment was $339,000 and $(282,000) for the years ended December 31, 2003 and 2002. There were no operations for this third subsidiary in 2001. The guarantor subsidiary’s investment in and results of operations from the non-guarantor subsidiary are shown within the Combined Parent and Guarantor Subsidiaries column.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Combined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Parent and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7"/>
              </w:rPr>
              <w:t>Combined</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Guarantor</w:t>
            </w:r>
          </w:p>
        </w:tc>
        <w:tc>
          <w:tcPr>
            <w:tcW w:w="156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Non-guarantor</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Subsidiaries</w:t>
            </w:r>
          </w:p>
        </w:tc>
        <w:tc>
          <w:tcPr>
            <w:tcW w:w="320" w:type="dxa"/>
            <w:vAlign w:val="bottom"/>
          </w:tcPr>
          <w:p>
            <w:pPr>
              <w:spacing w:after="0"/>
              <w:rPr>
                <w:sz w:val="15"/>
                <w:szCs w:val="15"/>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Subsidiaries</w:t>
            </w:r>
          </w:p>
        </w:tc>
        <w:tc>
          <w:tcPr>
            <w:tcW w:w="1440" w:type="dxa"/>
            <w:vAlign w:val="bottom"/>
            <w:gridSpan w:val="4"/>
          </w:tcPr>
          <w:p>
            <w:pPr>
              <w:ind w:left="320"/>
              <w:spacing w:after="0"/>
              <w:rPr>
                <w:sz w:val="20"/>
                <w:szCs w:val="20"/>
                <w:color w:val="auto"/>
              </w:rPr>
            </w:pPr>
            <w:r>
              <w:rPr>
                <w:rFonts w:ascii="Arial" w:cs="Arial" w:eastAsia="Arial" w:hAnsi="Arial"/>
                <w:sz w:val="14"/>
                <w:szCs w:val="14"/>
                <w:b w:val="1"/>
                <w:bCs w:val="1"/>
                <w:color w:val="auto"/>
              </w:rPr>
              <w:t>Eliminations</w:t>
            </w:r>
          </w:p>
        </w:tc>
        <w:tc>
          <w:tcPr>
            <w:tcW w:w="1180" w:type="dxa"/>
            <w:vAlign w:val="bottom"/>
            <w:gridSpan w:val="4"/>
          </w:tcPr>
          <w:p>
            <w:pPr>
              <w:ind w:left="32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00" w:type="dxa"/>
            <w:vAlign w:val="bottom"/>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4"/>
          </w:tcPr>
          <w:p>
            <w:pPr>
              <w:ind w:left="640"/>
              <w:spacing w:after="0"/>
              <w:rPr>
                <w:sz w:val="20"/>
                <w:szCs w:val="20"/>
                <w:color w:val="auto"/>
              </w:rPr>
            </w:pPr>
            <w:r>
              <w:rPr>
                <w:rFonts w:ascii="Arial" w:cs="Arial" w:eastAsia="Arial" w:hAnsi="Arial"/>
                <w:sz w:val="14"/>
                <w:szCs w:val="14"/>
                <w:b w:val="1"/>
                <w:bCs w:val="1"/>
                <w:color w:val="auto"/>
                <w:w w:val="97"/>
              </w:rPr>
              <w:t>(in thousands )</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Sales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270,713</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4,552</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(1,482)</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273,783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39,934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6,375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(3,127)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310,647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10,927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(4,609)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316,965</w:t>
            </w: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134,473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2,949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135,940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Service</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34,382</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5,799</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(2,710)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37,471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168,855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8,748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(4,192)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173,411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141,792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2,179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143,554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Operating expenses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34,249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42,944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(327)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28,958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Amortization of in tangibles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9,618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In-process research and development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accrual</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119,118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3,159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121,860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22,674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income (expense)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affiliates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(375)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(2,136)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741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Income tax provision</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(7,356)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 non-guarantor subsidiaries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10,478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(1,021)</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1,021</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720" w:type="dxa"/>
            <w:vAlign w:val="bottom"/>
            <w:vMerge w:val="restart"/>
          </w:tcPr>
          <w:p>
            <w:pPr>
              <w:jc w:val="right"/>
              <w:ind w:right="25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Combined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Parent and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7"/>
              </w:rPr>
              <w:t>Combined</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Guarantor</w:t>
            </w:r>
          </w:p>
        </w:tc>
        <w:tc>
          <w:tcPr>
            <w:tcW w:w="156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Non-guarantor</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Subsidiaries</w:t>
            </w:r>
          </w:p>
        </w:tc>
        <w:tc>
          <w:tcPr>
            <w:tcW w:w="320" w:type="dxa"/>
            <w:vAlign w:val="bottom"/>
          </w:tcPr>
          <w:p>
            <w:pPr>
              <w:spacing w:after="0"/>
              <w:rPr>
                <w:sz w:val="15"/>
                <w:szCs w:val="15"/>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Subsidiaries</w:t>
            </w:r>
          </w:p>
        </w:tc>
        <w:tc>
          <w:tcPr>
            <w:tcW w:w="1440" w:type="dxa"/>
            <w:vAlign w:val="bottom"/>
            <w:gridSpan w:val="4"/>
          </w:tcPr>
          <w:p>
            <w:pPr>
              <w:ind w:left="320"/>
              <w:spacing w:after="0"/>
              <w:rPr>
                <w:sz w:val="20"/>
                <w:szCs w:val="20"/>
                <w:color w:val="auto"/>
              </w:rPr>
            </w:pPr>
            <w:r>
              <w:rPr>
                <w:rFonts w:ascii="Arial" w:cs="Arial" w:eastAsia="Arial" w:hAnsi="Arial"/>
                <w:sz w:val="14"/>
                <w:szCs w:val="14"/>
                <w:b w:val="1"/>
                <w:bCs w:val="1"/>
                <w:color w:val="auto"/>
              </w:rPr>
              <w:t>Eliminations</w:t>
            </w:r>
          </w:p>
        </w:tc>
        <w:tc>
          <w:tcPr>
            <w:tcW w:w="1180" w:type="dxa"/>
            <w:vAlign w:val="bottom"/>
            <w:gridSpan w:val="4"/>
          </w:tcPr>
          <w:p>
            <w:pPr>
              <w:ind w:left="32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00" w:type="dxa"/>
            <w:vAlign w:val="bottom"/>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4"/>
          </w:tcPr>
          <w:p>
            <w:pPr>
              <w:ind w:left="660"/>
              <w:spacing w:after="0"/>
              <w:rPr>
                <w:sz w:val="20"/>
                <w:szCs w:val="20"/>
                <w:color w:val="auto"/>
              </w:rPr>
            </w:pPr>
            <w:r>
              <w:rPr>
                <w:rFonts w:ascii="Arial" w:cs="Arial" w:eastAsia="Arial" w:hAnsi="Arial"/>
                <w:sz w:val="14"/>
                <w:szCs w:val="14"/>
                <w:b w:val="1"/>
                <w:bCs w:val="1"/>
                <w:color w:val="auto"/>
                <w:w w:val="99"/>
              </w:rPr>
              <w:t>(in thousands)</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Sales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234,807</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7,461</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(1,110)</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241,158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40,102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3,582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274,909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11,043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284,842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 of revenues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118,634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4,665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122,189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Service</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27,753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2,631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30,384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146,387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7,296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152,573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128,522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3,747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132,269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Operating expenses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26,983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3,620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36,192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588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36,780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26,637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2,356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3,033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In-process research and development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7,200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accrual</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106,870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7,257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114,127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(3,510)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income (expense)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affiliates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1,209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921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544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22,438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(3,579)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(11,002)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826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 non-guarantor subsidiaries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2,753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8,683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(2,753)</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2,753</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1720" w:type="dxa"/>
            <w:vAlign w:val="bottom"/>
            <w:vMerge w:val="restart"/>
          </w:tcPr>
          <w:p>
            <w:pPr>
              <w:jc w:val="right"/>
              <w:ind w:right="25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Combined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Parent and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7"/>
              </w:rPr>
              <w:t>Combined</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Guarantor</w:t>
            </w:r>
          </w:p>
        </w:tc>
        <w:tc>
          <w:tcPr>
            <w:tcW w:w="156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Non-guarantor</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6"/>
              </w:rPr>
              <w:t>Subsidiaries</w:t>
            </w:r>
          </w:p>
        </w:tc>
        <w:tc>
          <w:tcPr>
            <w:tcW w:w="320" w:type="dxa"/>
            <w:vAlign w:val="bottom"/>
          </w:tcPr>
          <w:p>
            <w:pPr>
              <w:spacing w:after="0"/>
              <w:rPr>
                <w:sz w:val="15"/>
                <w:szCs w:val="15"/>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Subsidiaries</w:t>
            </w:r>
          </w:p>
        </w:tc>
        <w:tc>
          <w:tcPr>
            <w:tcW w:w="1440" w:type="dxa"/>
            <w:vAlign w:val="bottom"/>
            <w:gridSpan w:val="4"/>
          </w:tcPr>
          <w:p>
            <w:pPr>
              <w:ind w:left="320"/>
              <w:spacing w:after="0"/>
              <w:rPr>
                <w:sz w:val="20"/>
                <w:szCs w:val="20"/>
                <w:color w:val="auto"/>
              </w:rPr>
            </w:pPr>
            <w:r>
              <w:rPr>
                <w:rFonts w:ascii="Arial" w:cs="Arial" w:eastAsia="Arial" w:hAnsi="Arial"/>
                <w:sz w:val="14"/>
                <w:szCs w:val="14"/>
                <w:b w:val="1"/>
                <w:bCs w:val="1"/>
                <w:color w:val="auto"/>
              </w:rPr>
              <w:t>Eliminations</w:t>
            </w:r>
          </w:p>
        </w:tc>
        <w:tc>
          <w:tcPr>
            <w:tcW w:w="1180" w:type="dxa"/>
            <w:vAlign w:val="bottom"/>
            <w:gridSpan w:val="4"/>
          </w:tcPr>
          <w:p>
            <w:pPr>
              <w:ind w:left="32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00" w:type="dxa"/>
            <w:vAlign w:val="bottom"/>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4"/>
          </w:tcPr>
          <w:p>
            <w:pPr>
              <w:ind w:left="660"/>
              <w:spacing w:after="0"/>
              <w:rPr>
                <w:sz w:val="20"/>
                <w:szCs w:val="20"/>
                <w:color w:val="auto"/>
              </w:rPr>
            </w:pPr>
            <w:r>
              <w:rPr>
                <w:rFonts w:ascii="Arial" w:cs="Arial" w:eastAsia="Arial" w:hAnsi="Arial"/>
                <w:sz w:val="14"/>
                <w:szCs w:val="14"/>
                <w:b w:val="1"/>
                <w:bCs w:val="1"/>
                <w:color w:val="auto"/>
                <w:w w:val="99"/>
              </w:rPr>
              <w:t>(in thousands)</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Sales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172,316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12,309</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(1,200)</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183,425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38,491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3,639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210,807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15,948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225,555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revenues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93,511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8,381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100,692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Service</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25,031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1,973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27,004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 of revenues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118,542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10,354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127,696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92,265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5,594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4,166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29,770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230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1,486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Retructurings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68,015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24,250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 income (expense)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affiliates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1,402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income (expense)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20,241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(8,125)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209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non-guarantor subsidiaries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13,450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1,334</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(1,334)</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620" w:type="dxa"/>
            <w:vAlign w:val="bottom"/>
            <w:vMerge w:val="restart"/>
          </w:tcPr>
          <w:p>
            <w:pPr>
              <w:jc w:val="right"/>
              <w:ind w:right="25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 2003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ind w:left="60"/>
              <w:spacing w:after="0"/>
              <w:rPr>
                <w:sz w:val="20"/>
                <w:szCs w:val="20"/>
                <w:color w:val="auto"/>
              </w:rPr>
            </w:pPr>
            <w:r>
              <w:rPr>
                <w:rFonts w:ascii="Arial" w:cs="Arial" w:eastAsia="Arial" w:hAnsi="Arial"/>
                <w:sz w:val="14"/>
                <w:szCs w:val="14"/>
                <w:b w:val="1"/>
                <w:bCs w:val="1"/>
                <w:color w:val="auto"/>
              </w:rPr>
              <w:t>Combined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Parent and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87"/>
              </w:rPr>
              <w:t>Combined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5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Non-guarantor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156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1"/>
              </w:rPr>
              <w:t>Subsidiaries</w:t>
            </w:r>
          </w:p>
        </w:tc>
        <w:tc>
          <w:tcPr>
            <w:tcW w:w="2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95"/>
        </w:trPr>
        <w:tc>
          <w:tcPr>
            <w:tcW w:w="5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2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4"/>
          </w:tcPr>
          <w:p>
            <w:pPr>
              <w:ind w:left="660"/>
              <w:spacing w:after="0"/>
              <w:rPr>
                <w:sz w:val="20"/>
                <w:szCs w:val="20"/>
                <w:color w:val="auto"/>
              </w:rPr>
            </w:pPr>
            <w:r>
              <w:rPr>
                <w:rFonts w:ascii="Arial" w:cs="Arial" w:eastAsia="Arial" w:hAnsi="Arial"/>
                <w:sz w:val="14"/>
                <w:szCs w:val="14"/>
                <w:b w:val="1"/>
                <w:bCs w:val="1"/>
                <w:color w:val="auto"/>
                <w:w w:val="95"/>
              </w:rPr>
              <w:t>(in thousands)</w:t>
            </w: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Current assets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10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5,088</w:t>
            </w:r>
          </w:p>
        </w:tc>
        <w:tc>
          <w:tcPr>
            <w:tcW w:w="6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7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65,797</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4,985</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Intercompany accounts receivable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7,409</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15,211</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(22,620)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14,179</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1,858</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net</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11,673</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tcPr>
          <w:p>
            <w:pPr>
              <w:ind w:left="44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4,335</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108,481</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23,428</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(22,620)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40" w:type="dxa"/>
            <w:vAlign w:val="bottom"/>
          </w:tcPr>
          <w:p>
            <w:pPr>
              <w:ind w:left="440"/>
              <w:spacing w:after="0"/>
              <w:rPr>
                <w:sz w:val="20"/>
                <w:szCs w:val="20"/>
                <w:color w:val="auto"/>
              </w:rPr>
            </w:pPr>
            <w:r>
              <w:rPr>
                <w:rFonts w:ascii="Arial" w:cs="Arial" w:eastAsia="Arial" w:hAnsi="Arial"/>
                <w:sz w:val="18"/>
                <w:szCs w:val="18"/>
                <w:color w:val="auto"/>
              </w:rPr>
              <w:t>Property, plant and equipment, net</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32,018</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32,414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 used in outsourcing, net</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7,206</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Intangible assets, net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22,979</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83,431</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31,054</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1,703</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(1,002)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in non-guarantor subsidiaries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8,504</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(8,504)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Intercompany notes receivable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11,531</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(11,531)</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6,238</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10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311,442</w:t>
            </w:r>
          </w:p>
        </w:tc>
        <w:tc>
          <w:tcPr>
            <w:tcW w:w="6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35,704</w:t>
            </w:r>
          </w:p>
        </w:tc>
        <w:tc>
          <w:tcPr>
            <w:tcW w:w="7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(43,657)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303,489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LIABILITIES AND SHAREHOLDERS’ EQUITY</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Current liabilities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10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38,932</w:t>
            </w:r>
          </w:p>
        </w:tc>
        <w:tc>
          <w:tcPr>
            <w:tcW w:w="6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7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Intercompany accounts payable and accrued expenses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15,211</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7,409</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(22,620)</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Wages and benefits payable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10,270</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Short-term borrowings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debt</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37,506</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tcPr>
          <w:p>
            <w:pPr>
              <w:ind w:left="440"/>
              <w:spacing w:after="0"/>
              <w:rPr>
                <w:sz w:val="20"/>
                <w:szCs w:val="20"/>
                <w:color w:val="auto"/>
              </w:rPr>
            </w:pPr>
            <w:r>
              <w:rPr>
                <w:rFonts w:ascii="Arial" w:cs="Arial" w:eastAsia="Arial" w:hAnsi="Arial"/>
                <w:sz w:val="18"/>
                <w:szCs w:val="18"/>
                <w:color w:val="auto"/>
              </w:rPr>
              <w:t>Unearned revenue</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11,274</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730</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123,193</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10,562</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(22,620)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40" w:type="dxa"/>
            <w:vAlign w:val="bottom"/>
          </w:tcPr>
          <w:p>
            <w:pPr>
              <w:ind w:left="440"/>
              <w:spacing w:after="0"/>
              <w:rPr>
                <w:sz w:val="20"/>
                <w:szCs w:val="20"/>
                <w:color w:val="auto"/>
              </w:rPr>
            </w:pPr>
            <w:r>
              <w:rPr>
                <w:rFonts w:ascii="Arial" w:cs="Arial" w:eastAsia="Arial" w:hAnsi="Arial"/>
                <w:sz w:val="18"/>
                <w:szCs w:val="18"/>
                <w:color w:val="auto"/>
              </w:rPr>
              <w:t>Project financing debt</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4,024</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Intercompany notes payable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(11,531)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1,002</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(1,002)</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 and other obligations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11,086</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134,279</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27,119</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(35,153)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40" w:type="dxa"/>
            <w:vAlign w:val="bottom"/>
          </w:tcPr>
          <w:p>
            <w:pPr>
              <w:spacing w:after="0"/>
              <w:rPr>
                <w:sz w:val="20"/>
                <w:szCs w:val="20"/>
                <w:color w:val="auto"/>
              </w:rPr>
            </w:pPr>
            <w:r>
              <w:rPr>
                <w:rFonts w:ascii="Arial" w:cs="Arial" w:eastAsia="Arial" w:hAnsi="Arial"/>
                <w:sz w:val="18"/>
                <w:szCs w:val="18"/>
                <w:color w:val="auto"/>
              </w:rPr>
              <w:t>Shareholders’ equity</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200,567</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10,402</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(10,402)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200,567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2"/>
        </w:trPr>
        <w:tc>
          <w:tcPr>
            <w:tcW w:w="514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8"/>
                <w:szCs w:val="18"/>
                <w:color w:val="auto"/>
                <w:w w:val="92"/>
              </w:rPr>
              <w:t>(23,187)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(1,898)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1,898</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(23,187)</w:t>
            </w:r>
          </w:p>
        </w:tc>
        <w:tc>
          <w:tcPr>
            <w:tcW w:w="0" w:type="dxa"/>
            <w:vAlign w:val="bottom"/>
          </w:tcPr>
          <w:p>
            <w:pPr>
              <w:spacing w:after="0"/>
              <w:rPr>
                <w:sz w:val="1"/>
                <w:szCs w:val="1"/>
                <w:color w:val="auto"/>
              </w:rPr>
            </w:pPr>
          </w:p>
        </w:tc>
      </w:tr>
      <w:tr>
        <w:trPr>
          <w:trHeight w:val="102"/>
        </w:trPr>
        <w:tc>
          <w:tcPr>
            <w:tcW w:w="5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shareholders’ equity</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177,163</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(8,504)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177,244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10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311,442</w:t>
            </w:r>
          </w:p>
        </w:tc>
        <w:tc>
          <w:tcPr>
            <w:tcW w:w="6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35,704</w:t>
            </w:r>
          </w:p>
        </w:tc>
        <w:tc>
          <w:tcPr>
            <w:tcW w:w="7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(43,657)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303,489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140" w:type="dxa"/>
            <w:vAlign w:val="bottom"/>
          </w:tcPr>
          <w:p>
            <w:pPr>
              <w:spacing w:after="0"/>
              <w:rPr>
                <w:sz w:val="11"/>
                <w:szCs w:val="11"/>
                <w:color w:val="auto"/>
              </w:rPr>
            </w:pPr>
          </w:p>
        </w:tc>
        <w:tc>
          <w:tcPr>
            <w:tcW w:w="960" w:type="dxa"/>
            <w:vAlign w:val="bottom"/>
            <w:vMerge w:val="restart"/>
          </w:tcPr>
          <w:p>
            <w:pPr>
              <w:jc w:val="right"/>
              <w:ind w:right="212"/>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1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-4090670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-4090670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-4090670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-4090670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-4090670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-4090670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-4090670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-4090670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-4090670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-4090670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-4090670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-4090670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-325755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-325755</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-325755</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-325755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-325755</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-325755</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-325755</wp:posOffset>
            </wp:positionV>
            <wp:extent cx="50165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-325755</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 2002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ind w:left="60"/>
              <w:spacing w:after="0"/>
              <w:rPr>
                <w:sz w:val="20"/>
                <w:szCs w:val="20"/>
                <w:color w:val="auto"/>
              </w:rPr>
            </w:pPr>
            <w:r>
              <w:rPr>
                <w:rFonts w:ascii="Arial" w:cs="Arial" w:eastAsia="Arial" w:hAnsi="Arial"/>
                <w:sz w:val="14"/>
                <w:szCs w:val="14"/>
                <w:b w:val="1"/>
                <w:bCs w:val="1"/>
                <w:color w:val="auto"/>
              </w:rPr>
              <w:t>Combined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Parent and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87"/>
              </w:rPr>
              <w:t>Combined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5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Non-guarantor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20" w:type="dxa"/>
            <w:vAlign w:val="bottom"/>
          </w:tcPr>
          <w:p>
            <w:pPr>
              <w:spacing w:after="0"/>
              <w:rPr>
                <w:sz w:val="15"/>
                <w:szCs w:val="15"/>
                <w:color w:val="auto"/>
              </w:rPr>
            </w:pPr>
          </w:p>
        </w:tc>
        <w:tc>
          <w:tcPr>
            <w:tcW w:w="156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1"/>
              </w:rPr>
              <w:t>Subsidiaries</w:t>
            </w:r>
          </w:p>
        </w:tc>
        <w:tc>
          <w:tcPr>
            <w:tcW w:w="2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95"/>
        </w:trPr>
        <w:tc>
          <w:tcPr>
            <w:tcW w:w="5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2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4"/>
          </w:tcPr>
          <w:p>
            <w:pPr>
              <w:ind w:left="660"/>
              <w:spacing w:after="0"/>
              <w:rPr>
                <w:sz w:val="20"/>
                <w:szCs w:val="20"/>
                <w:color w:val="auto"/>
              </w:rPr>
            </w:pPr>
            <w:r>
              <w:rPr>
                <w:rFonts w:ascii="Arial" w:cs="Arial" w:eastAsia="Arial" w:hAnsi="Arial"/>
                <w:sz w:val="14"/>
                <w:szCs w:val="14"/>
                <w:b w:val="1"/>
                <w:bCs w:val="1"/>
                <w:color w:val="auto"/>
                <w:w w:val="95"/>
              </w:rPr>
              <w:t>(in thousands)</w:t>
            </w: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Current assets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10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29,095</w:t>
            </w:r>
          </w:p>
        </w:tc>
        <w:tc>
          <w:tcPr>
            <w:tcW w:w="6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7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53,693</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3,878</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Intercompany accounts receivable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4,766</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(14,084)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13,120</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2,540</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net</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5,927</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Intercompany other</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523</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(523)</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2,566</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109,690</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19,409</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(14,607)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40" w:type="dxa"/>
            <w:vAlign w:val="bottom"/>
          </w:tcPr>
          <w:p>
            <w:pPr>
              <w:ind w:left="440"/>
              <w:spacing w:after="0"/>
              <w:rPr>
                <w:sz w:val="20"/>
                <w:szCs w:val="20"/>
                <w:color w:val="auto"/>
              </w:rPr>
            </w:pPr>
            <w:r>
              <w:rPr>
                <w:rFonts w:ascii="Arial" w:cs="Arial" w:eastAsia="Arial" w:hAnsi="Arial"/>
                <w:sz w:val="18"/>
                <w:szCs w:val="18"/>
                <w:color w:val="auto"/>
              </w:rPr>
              <w:t>Property, plant and equipment, net</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29,442</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726</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 used in outsourcing, net</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8,071</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Intangible assets, net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14,288</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4,017</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38,645</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23,359</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1,460</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(769)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in non-guarantor subsidiaries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12,142</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(12,142)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Intercompany notes receivable</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6,801</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(6,801)</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4,416</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10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246,854</w:t>
            </w:r>
          </w:p>
        </w:tc>
        <w:tc>
          <w:tcPr>
            <w:tcW w:w="6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34,711</w:t>
            </w:r>
          </w:p>
        </w:tc>
        <w:tc>
          <w:tcPr>
            <w:tcW w:w="7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(34,319)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247,246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LIABILITIES AND SHAREHOLDERS’ EQUITY</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Current liabilities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110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22,395</w:t>
            </w:r>
          </w:p>
        </w:tc>
        <w:tc>
          <w:tcPr>
            <w:tcW w:w="6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7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Intercompany accounts payable and accrued expenses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9,318</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4,766</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(14,084)</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Wages and benefits payable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16,437</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Accrued litigation</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7,400</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debt</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tcPr>
          <w:p>
            <w:pPr>
              <w:ind w:left="440"/>
              <w:spacing w:after="0"/>
              <w:rPr>
                <w:sz w:val="20"/>
                <w:szCs w:val="20"/>
                <w:color w:val="auto"/>
              </w:rPr>
            </w:pPr>
            <w:r>
              <w:rPr>
                <w:rFonts w:ascii="Arial" w:cs="Arial" w:eastAsia="Arial" w:hAnsi="Arial"/>
                <w:sz w:val="18"/>
                <w:szCs w:val="18"/>
                <w:color w:val="auto"/>
              </w:rPr>
              <w:t>Unearned revenue</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11,079</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501</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66,629</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10,911</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(14,084)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40" w:type="dxa"/>
            <w:vAlign w:val="bottom"/>
          </w:tcPr>
          <w:p>
            <w:pPr>
              <w:ind w:left="440"/>
              <w:spacing w:after="0"/>
              <w:rPr>
                <w:sz w:val="20"/>
                <w:szCs w:val="20"/>
                <w:color w:val="auto"/>
              </w:rPr>
            </w:pPr>
            <w:r>
              <w:rPr>
                <w:rFonts w:ascii="Arial" w:cs="Arial" w:eastAsia="Arial" w:hAnsi="Arial"/>
                <w:sz w:val="18"/>
                <w:szCs w:val="18"/>
                <w:color w:val="auto"/>
              </w:rPr>
              <w:t>Project financing debt</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4,762</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Intercompany notes payable</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(7,324)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769</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(769)</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 and other obligations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17,427</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84,056</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(22,177)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40" w:type="dxa"/>
            <w:vAlign w:val="bottom"/>
          </w:tcPr>
          <w:p>
            <w:pPr>
              <w:spacing w:after="0"/>
              <w:rPr>
                <w:sz w:val="20"/>
                <w:szCs w:val="20"/>
                <w:color w:val="auto"/>
              </w:rPr>
            </w:pPr>
            <w:r>
              <w:rPr>
                <w:rFonts w:ascii="Arial" w:cs="Arial" w:eastAsia="Arial" w:hAnsi="Arial"/>
                <w:sz w:val="18"/>
                <w:szCs w:val="18"/>
                <w:color w:val="auto"/>
              </w:rPr>
              <w:t>Shareholders’ equity</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Common stock</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195,546</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13,019</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(13,019)</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195,546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917</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(1,197)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2"/>
        </w:trPr>
        <w:tc>
          <w:tcPr>
            <w:tcW w:w="514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8"/>
                <w:szCs w:val="18"/>
                <w:color w:val="auto"/>
                <w:w w:val="92"/>
              </w:rPr>
              <w:t>(33,665)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(877)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w w:val="79"/>
              </w:rPr>
              <w:t>877</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(33,665)</w:t>
            </w:r>
          </w:p>
        </w:tc>
        <w:tc>
          <w:tcPr>
            <w:tcW w:w="0" w:type="dxa"/>
            <w:vAlign w:val="bottom"/>
          </w:tcPr>
          <w:p>
            <w:pPr>
              <w:spacing w:after="0"/>
              <w:rPr>
                <w:sz w:val="1"/>
                <w:szCs w:val="1"/>
                <w:color w:val="auto"/>
              </w:rPr>
            </w:pPr>
          </w:p>
        </w:tc>
      </w:tr>
      <w:tr>
        <w:trPr>
          <w:trHeight w:val="102"/>
        </w:trPr>
        <w:tc>
          <w:tcPr>
            <w:tcW w:w="5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shareholders’ equity</w:t>
            </w: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162,798</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10,945</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(12,142)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161,601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10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246,854</w:t>
            </w:r>
          </w:p>
        </w:tc>
        <w:tc>
          <w:tcPr>
            <w:tcW w:w="6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34,711</w:t>
            </w:r>
          </w:p>
        </w:tc>
        <w:tc>
          <w:tcPr>
            <w:tcW w:w="7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(34,319)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247,246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140" w:type="dxa"/>
            <w:vAlign w:val="bottom"/>
          </w:tcPr>
          <w:p>
            <w:pPr>
              <w:spacing w:after="0"/>
              <w:rPr>
                <w:sz w:val="11"/>
                <w:szCs w:val="11"/>
                <w:color w:val="auto"/>
              </w:rPr>
            </w:pPr>
          </w:p>
        </w:tc>
        <w:tc>
          <w:tcPr>
            <w:tcW w:w="960" w:type="dxa"/>
            <w:vAlign w:val="bottom"/>
            <w:vMerge w:val="restart"/>
          </w:tcPr>
          <w:p>
            <w:pPr>
              <w:jc w:val="right"/>
              <w:ind w:right="212"/>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1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-4090670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-4090670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-4090670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-4090670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-4090670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-4090670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-4090670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-4090670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-4090670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-4090670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-4090670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-4090670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-325755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-325755</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-325755</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-325755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-325755</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-325755</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-325755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-325755</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-325755</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Combined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4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Parent and</w:t>
            </w:r>
          </w:p>
        </w:tc>
        <w:tc>
          <w:tcPr>
            <w:tcW w:w="120" w:type="dxa"/>
            <w:vAlign w:val="bottom"/>
          </w:tcPr>
          <w:p>
            <w:pPr>
              <w:spacing w:after="0"/>
              <w:rPr>
                <w:sz w:val="12"/>
                <w:szCs w:val="12"/>
                <w:color w:val="auto"/>
              </w:rPr>
            </w:pPr>
          </w:p>
        </w:tc>
        <w:tc>
          <w:tcPr>
            <w:tcW w:w="150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87"/>
              </w:rPr>
              <w:t>Combined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4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62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3"/>
              </w:rPr>
              <w:t>Subsidiaries</w:t>
            </w:r>
          </w:p>
        </w:tc>
        <w:tc>
          <w:tcPr>
            <w:tcW w:w="150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Eliminations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10,478</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(1,021)</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1,021</w:t>
            </w:r>
          </w:p>
        </w:tc>
        <w:tc>
          <w:tcPr>
            <w:tcW w:w="7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charges (credits) to income: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18,481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559</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 provision (benefit)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Impairment of investments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2,244</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option &amp; employee stock purchase plan income tax</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benefits</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Acquired in-process research and development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900</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earnings (losses) of non-guarantor subsidiaries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(1,021)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Equity in affiliates</w:t>
            </w:r>
          </w:p>
        </w:tc>
        <w:tc>
          <w:tcPr>
            <w:tcW w:w="1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(10,685)</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(1,107)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682</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(1,896)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Wages and benefits payable</w:t>
            </w:r>
          </w:p>
        </w:tc>
        <w:tc>
          <w:tcPr>
            <w:tcW w:w="1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(9,316)</w:t>
            </w:r>
          </w:p>
        </w:tc>
        <w:tc>
          <w:tcPr>
            <w:tcW w:w="12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(1,450)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Unearned revenue</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(2,711)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Long-term warranty and other obligations</w:t>
            </w:r>
          </w:p>
        </w:tc>
        <w:tc>
          <w:tcPr>
            <w:tcW w:w="1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(7,359)</w:t>
            </w:r>
          </w:p>
        </w:tc>
        <w:tc>
          <w:tcPr>
            <w:tcW w:w="12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transactions, net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provided (used) by operating activities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(7,204)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9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property, plant and equipment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Acquisition/transfer of property, plant and equipment</w:t>
            </w:r>
          </w:p>
        </w:tc>
        <w:tc>
          <w:tcPr>
            <w:tcW w:w="1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(9,721)</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note receivable</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Acquisitions, net of cash and cash equivalents</w:t>
            </w:r>
          </w:p>
        </w:tc>
        <w:tc>
          <w:tcPr>
            <w:tcW w:w="1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w w:val="95"/>
              </w:rPr>
              <w:t>(71,054)</w:t>
            </w:r>
          </w:p>
        </w:tc>
        <w:tc>
          <w:tcPr>
            <w:tcW w:w="12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Pre-acquisition costs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(3,749)</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Cash transfer to non-guarantor subsidiaries/intercompany notes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640"/>
              <w:spacing w:after="0"/>
              <w:rPr>
                <w:sz w:val="20"/>
                <w:szCs w:val="20"/>
                <w:color w:val="auto"/>
              </w:rPr>
            </w:pPr>
            <w:r>
              <w:rPr>
                <w:rFonts w:ascii="Arial" w:cs="Arial" w:eastAsia="Arial" w:hAnsi="Arial"/>
                <w:sz w:val="18"/>
                <w:szCs w:val="18"/>
                <w:color w:val="auto"/>
              </w:rPr>
              <w:t>payable</w:t>
            </w:r>
          </w:p>
        </w:tc>
        <w:tc>
          <w:tcPr>
            <w:tcW w:w="140" w:type="dxa"/>
            <w:vAlign w:val="bottom"/>
          </w:tcPr>
          <w:p>
            <w:pPr>
              <w:spacing w:after="0"/>
              <w:rPr>
                <w:sz w:val="19"/>
                <w:szCs w:val="19"/>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(7,104)</w:t>
            </w:r>
          </w:p>
        </w:tc>
        <w:tc>
          <w:tcPr>
            <w:tcW w:w="120" w:type="dxa"/>
            <w:vAlign w:val="bottom"/>
          </w:tcPr>
          <w:p>
            <w:pPr>
              <w:spacing w:after="0"/>
              <w:rPr>
                <w:sz w:val="19"/>
                <w:szCs w:val="19"/>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7,104</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received from non-guarantor subsidiaries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(1,517)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9"/>
                <w:szCs w:val="19"/>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used by investing activities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(90,756)</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(85,179)</w:t>
            </w:r>
          </w:p>
        </w:tc>
        <w:tc>
          <w:tcPr>
            <w:tcW w:w="0" w:type="dxa"/>
            <w:vAlign w:val="bottom"/>
          </w:tcPr>
          <w:p>
            <w:pPr>
              <w:spacing w:after="0"/>
              <w:rPr>
                <w:sz w:val="1"/>
                <w:szCs w:val="1"/>
                <w:color w:val="auto"/>
              </w:rPr>
            </w:pPr>
          </w:p>
        </w:tc>
      </w:tr>
      <w:tr>
        <w:trPr>
          <w:trHeight w:val="323"/>
        </w:trPr>
        <w:tc>
          <w:tcPr>
            <w:tcW w:w="59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borrowings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Change in short-term borrowings, net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10,000</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debt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(12,494)</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Issuance of common stock</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3,706</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transfer to non-guarantor subsidiaries/intercompany notes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payable</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(7,104)</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Cash paid to parent</w:t>
            </w:r>
          </w:p>
        </w:tc>
        <w:tc>
          <w:tcPr>
            <w:tcW w:w="140" w:type="dxa"/>
            <w:vAlign w:val="bottom"/>
          </w:tcPr>
          <w:p>
            <w:pPr>
              <w:spacing w:after="0"/>
              <w:rPr>
                <w:sz w:val="18"/>
                <w:szCs w:val="18"/>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(1,517)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1,517</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(1,923)</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provided by financing activities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49,289</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(5,587)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960" w:type="dxa"/>
            <w:vAlign w:val="bottom"/>
            <w:gridSpan w:val="2"/>
          </w:tcPr>
          <w:p>
            <w:pPr>
              <w:spacing w:after="0"/>
              <w:rPr>
                <w:sz w:val="20"/>
                <w:szCs w:val="20"/>
                <w:color w:val="auto"/>
              </w:rPr>
            </w:pPr>
            <w:r>
              <w:rPr>
                <w:rFonts w:ascii="Arial" w:cs="Arial" w:eastAsia="Arial" w:hAnsi="Arial"/>
                <w:sz w:val="18"/>
                <w:szCs w:val="18"/>
                <w:color w:val="auto"/>
              </w:rPr>
              <w:t>Decrease in cash and cash equivalents</w:t>
            </w:r>
          </w:p>
        </w:tc>
        <w:tc>
          <w:tcPr>
            <w:tcW w:w="14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w w:val="95"/>
              </w:rPr>
              <w:t>(24,007)</w:t>
            </w:r>
          </w:p>
        </w:tc>
        <w:tc>
          <w:tcPr>
            <w:tcW w:w="120" w:type="dxa"/>
            <w:vAlign w:val="bottom"/>
          </w:tcPr>
          <w:p>
            <w:pPr>
              <w:spacing w:after="0"/>
              <w:rPr>
                <w:sz w:val="24"/>
                <w:szCs w:val="2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(2,317)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(26,324)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29,095</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7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Acquisition of RER, contingent purchase price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1,844</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 of note in partial exchange for common stock</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Intercompany capital reduction due to transfer of notes receivable</w:t>
            </w:r>
          </w:p>
        </w:tc>
        <w:tc>
          <w:tcPr>
            <w:tcW w:w="1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1,120</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 of note in partial exchange for intangible assets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(4,017)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5960" w:type="dxa"/>
            <w:vAlign w:val="bottom"/>
            <w:gridSpan w:val="2"/>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925</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74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-1399540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-1399540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-1399540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-1399540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-1399540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-1399540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-1399540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-1399540</wp:posOffset>
            </wp:positionV>
            <wp:extent cx="2159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-1399540</wp:posOffset>
            </wp:positionV>
            <wp:extent cx="3873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-1399540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-1399540</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-1399540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616"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274" w:right="239" w:bottom="616"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Combined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4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Parent and</w:t>
            </w:r>
          </w:p>
        </w:tc>
        <w:tc>
          <w:tcPr>
            <w:tcW w:w="120" w:type="dxa"/>
            <w:vAlign w:val="bottom"/>
          </w:tcPr>
          <w:p>
            <w:pPr>
              <w:spacing w:after="0"/>
              <w:rPr>
                <w:sz w:val="12"/>
                <w:szCs w:val="12"/>
                <w:color w:val="auto"/>
              </w:rPr>
            </w:pPr>
          </w:p>
        </w:tc>
        <w:tc>
          <w:tcPr>
            <w:tcW w:w="1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Combined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4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62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3"/>
              </w:rPr>
              <w:t>Subsidiaries</w:t>
            </w:r>
          </w:p>
        </w:tc>
        <w:tc>
          <w:tcPr>
            <w:tcW w:w="150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Eliminations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ind w:left="660"/>
              <w:spacing w:after="0"/>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8,683</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(2,753)</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2,753</w:t>
            </w:r>
          </w:p>
        </w:tc>
        <w:tc>
          <w:tcPr>
            <w:tcW w:w="7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charges (credits) to income: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9,472</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w w:val="79"/>
              </w:rPr>
              <w:t>712</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 provision (benefit)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(971)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Stock option &amp; employee stock purchase plan income tax</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1060"/>
              <w:spacing w:after="0"/>
              <w:rPr>
                <w:sz w:val="20"/>
                <w:szCs w:val="20"/>
                <w:color w:val="auto"/>
              </w:rPr>
            </w:pPr>
            <w:r>
              <w:rPr>
                <w:rFonts w:ascii="Arial" w:cs="Arial" w:eastAsia="Arial" w:hAnsi="Arial"/>
                <w:sz w:val="18"/>
                <w:szCs w:val="18"/>
                <w:color w:val="auto"/>
              </w:rPr>
              <w:t>benefits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5,066</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Acquired in-process research and development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Realization of accumulative currency translation losses due to</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1060"/>
              <w:spacing w:after="0"/>
              <w:rPr>
                <w:sz w:val="20"/>
                <w:szCs w:val="20"/>
                <w:color w:val="auto"/>
              </w:rPr>
            </w:pPr>
            <w:r>
              <w:rPr>
                <w:rFonts w:ascii="Arial" w:cs="Arial" w:eastAsia="Arial" w:hAnsi="Arial"/>
                <w:sz w:val="18"/>
                <w:szCs w:val="18"/>
                <w:color w:val="auto"/>
              </w:rPr>
              <w:t>restructuring</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641</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loss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Gain on early extinguishment of debt</w:t>
            </w:r>
          </w:p>
        </w:tc>
        <w:tc>
          <w:tcPr>
            <w:tcW w:w="1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building</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Equity in earnings (losses) of non-guarantor subsidiaries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2,753</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(2,753)</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affiliates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428</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w w:val="79"/>
              </w:rPr>
              <w:t>934</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309</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3,330</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1,119</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Wages and benefits payable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Unearned revenue</w:t>
            </w:r>
          </w:p>
        </w:tc>
        <w:tc>
          <w:tcPr>
            <w:tcW w:w="1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(1,877)</w:t>
            </w:r>
          </w:p>
        </w:tc>
        <w:tc>
          <w:tcPr>
            <w:tcW w:w="12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w w:val="79"/>
              </w:rPr>
              <w:t>449</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warranty and other obligations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Intercompany transactions, net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1,942</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(1,942)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provided (used) by operating activities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(857)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9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and maturities of investment securities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48,979</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Purchase of short-term investments</w:t>
            </w:r>
          </w:p>
        </w:tc>
        <w:tc>
          <w:tcPr>
            <w:tcW w:w="1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w w:val="95"/>
              </w:rPr>
              <w:t>(26,922)</w:t>
            </w:r>
          </w:p>
        </w:tc>
        <w:tc>
          <w:tcPr>
            <w:tcW w:w="120" w:type="dxa"/>
            <w:vAlign w:val="bottom"/>
          </w:tcPr>
          <w:p>
            <w:pPr>
              <w:spacing w:after="0"/>
              <w:rPr>
                <w:sz w:val="18"/>
                <w:szCs w:val="18"/>
                <w:color w:val="auto"/>
              </w:rPr>
            </w:pP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(26,922)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restricted cash</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Proceeds from the sale of property, plant and equipment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Acquisition/transfer of property, plant and equipment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(10,297)</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Issuance of note receivable</w:t>
            </w:r>
          </w:p>
        </w:tc>
        <w:tc>
          <w:tcPr>
            <w:tcW w:w="1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net of cash and cash equivalents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(42,917)</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(42,917)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Cash transfer to non-guarantor subsidiaries/intercompany notes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640"/>
              <w:spacing w:after="0"/>
              <w:rPr>
                <w:sz w:val="20"/>
                <w:szCs w:val="20"/>
                <w:color w:val="auto"/>
              </w:rPr>
            </w:pPr>
            <w:r>
              <w:rPr>
                <w:rFonts w:ascii="Arial" w:cs="Arial" w:eastAsia="Arial" w:hAnsi="Arial"/>
                <w:sz w:val="18"/>
                <w:szCs w:val="18"/>
                <w:color w:val="auto"/>
              </w:rPr>
              <w:t>payable</w:t>
            </w:r>
          </w:p>
        </w:tc>
        <w:tc>
          <w:tcPr>
            <w:tcW w:w="140" w:type="dxa"/>
            <w:vAlign w:val="bottom"/>
          </w:tcPr>
          <w:p>
            <w:pPr>
              <w:spacing w:after="0"/>
              <w:rPr>
                <w:sz w:val="19"/>
                <w:szCs w:val="19"/>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19"/>
                <w:szCs w:val="19"/>
                <w:color w:val="auto"/>
              </w:rPr>
            </w:pP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1,885</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provided (used) by investing activities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(26,001)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764</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(23,352)</w:t>
            </w:r>
          </w:p>
        </w:tc>
        <w:tc>
          <w:tcPr>
            <w:tcW w:w="0" w:type="dxa"/>
            <w:vAlign w:val="bottom"/>
          </w:tcPr>
          <w:p>
            <w:pPr>
              <w:spacing w:after="0"/>
              <w:rPr>
                <w:sz w:val="1"/>
                <w:szCs w:val="1"/>
                <w:color w:val="auto"/>
              </w:rPr>
            </w:pPr>
          </w:p>
        </w:tc>
      </w:tr>
      <w:tr>
        <w:trPr>
          <w:trHeight w:val="323"/>
        </w:trPr>
        <w:tc>
          <w:tcPr>
            <w:tcW w:w="59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short-term borrowings, net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(2,527)</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Payments on debt</w:t>
            </w:r>
          </w:p>
        </w:tc>
        <w:tc>
          <w:tcPr>
            <w:tcW w:w="1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Repurchase of common stock</w:t>
            </w:r>
          </w:p>
        </w:tc>
        <w:tc>
          <w:tcPr>
            <w:tcW w:w="14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w w:val="95"/>
              </w:rPr>
              <w:t>(12,555)</w:t>
            </w:r>
          </w:p>
        </w:tc>
        <w:tc>
          <w:tcPr>
            <w:tcW w:w="120" w:type="dxa"/>
            <w:vAlign w:val="bottom"/>
          </w:tcPr>
          <w:p>
            <w:pPr>
              <w:spacing w:after="0"/>
              <w:rPr>
                <w:sz w:val="18"/>
                <w:szCs w:val="18"/>
                <w:color w:val="auto"/>
              </w:rPr>
            </w:pP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mortgage note payable</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(4,853)</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Cash transfer to non-guarantor subsidiaries/intercompany notes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640"/>
              <w:spacing w:after="0"/>
              <w:rPr>
                <w:sz w:val="20"/>
                <w:szCs w:val="20"/>
                <w:color w:val="auto"/>
              </w:rPr>
            </w:pPr>
            <w:r>
              <w:rPr>
                <w:rFonts w:ascii="Arial" w:cs="Arial" w:eastAsia="Arial" w:hAnsi="Arial"/>
                <w:sz w:val="18"/>
                <w:szCs w:val="18"/>
                <w:color w:val="auto"/>
              </w:rPr>
              <w:t>payable</w:t>
            </w:r>
          </w:p>
        </w:tc>
        <w:tc>
          <w:tcPr>
            <w:tcW w:w="140" w:type="dxa"/>
            <w:vAlign w:val="bottom"/>
          </w:tcPr>
          <w:p>
            <w:pPr>
              <w:spacing w:after="0"/>
              <w:rPr>
                <w:sz w:val="19"/>
                <w:szCs w:val="19"/>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1,885</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(1,885)</w:t>
            </w:r>
          </w:p>
        </w:tc>
        <w:tc>
          <w:tcPr>
            <w:tcW w:w="14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provided (used) by financing activities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(12,947)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940</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(1,885)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(13,892)</w:t>
            </w:r>
          </w:p>
        </w:tc>
        <w:tc>
          <w:tcPr>
            <w:tcW w:w="0" w:type="dxa"/>
            <w:vAlign w:val="bottom"/>
          </w:tcPr>
          <w:p>
            <w:pPr>
              <w:spacing w:after="0"/>
              <w:rPr>
                <w:sz w:val="1"/>
                <w:szCs w:val="1"/>
                <w:color w:val="auto"/>
              </w:rPr>
            </w:pPr>
          </w:p>
        </w:tc>
      </w:tr>
      <w:tr>
        <w:trPr>
          <w:trHeight w:val="322"/>
        </w:trPr>
        <w:tc>
          <w:tcPr>
            <w:tcW w:w="5960" w:type="dxa"/>
            <w:vAlign w:val="bottom"/>
            <w:gridSpan w:val="2"/>
          </w:tcPr>
          <w:p>
            <w:pPr>
              <w:spacing w:after="0"/>
              <w:rPr>
                <w:sz w:val="20"/>
                <w:szCs w:val="20"/>
                <w:color w:val="auto"/>
              </w:rPr>
            </w:pPr>
            <w:r>
              <w:rPr>
                <w:rFonts w:ascii="Arial" w:cs="Arial" w:eastAsia="Arial" w:hAnsi="Arial"/>
                <w:sz w:val="18"/>
                <w:szCs w:val="18"/>
                <w:color w:val="auto"/>
              </w:rPr>
              <w:t>Increase in cash and cash equivalents</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11,135</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w w:val="79"/>
              </w:rPr>
              <w:t>847</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17,960</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29,095</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7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Acquisition of LineSoft in partial exchange for common stock</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21,801</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21,801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to equity conversion</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Conversion of debt issuance costs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347</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eMobile, non-cash consideration</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960" w:type="dxa"/>
            <w:vAlign w:val="bottom"/>
            <w:gridSpan w:val="2"/>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286</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c>
          <w:tcPr>
            <w:tcW w:w="74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440</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-1399540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-1399540</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-1399540</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-1399540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-1399540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-1399540</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-1399540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-1399540</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-1399540</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-1399540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-1399540</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-1399540</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9019"/>
          </w:cols>
          <w:pgMar w:left="1440" w:top="131"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Combined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5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Parent and</w:t>
            </w:r>
          </w:p>
        </w:tc>
        <w:tc>
          <w:tcPr>
            <w:tcW w:w="120" w:type="dxa"/>
            <w:vAlign w:val="bottom"/>
          </w:tcPr>
          <w:p>
            <w:pPr>
              <w:spacing w:after="0"/>
              <w:rPr>
                <w:sz w:val="12"/>
                <w:szCs w:val="12"/>
                <w:color w:val="auto"/>
              </w:rPr>
            </w:pPr>
          </w:p>
        </w:tc>
        <w:tc>
          <w:tcPr>
            <w:tcW w:w="152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87"/>
              </w:rPr>
              <w:t>Combined</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5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1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64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1"/>
              </w:rPr>
              <w:t>Subsidiaries</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170" w:type="dxa"/>
            <w:vAlign w:val="bottom"/>
          </w:tcPr>
          <w:p>
            <w:pPr>
              <w:spacing w:after="0"/>
              <w:rPr>
                <w:sz w:val="21"/>
                <w:szCs w:val="21"/>
                <w:color w:val="auto"/>
              </w:rPr>
            </w:pPr>
          </w:p>
        </w:tc>
        <w:tc>
          <w:tcPr>
            <w:tcW w:w="57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(in thousands )</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7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70" w:type="dxa"/>
            <w:vAlign w:val="bottom"/>
          </w:tcPr>
          <w:p>
            <w:pPr>
              <w:spacing w:after="0"/>
              <w:rPr>
                <w:sz w:val="20"/>
                <w:szCs w:val="20"/>
                <w:color w:val="auto"/>
              </w:rPr>
            </w:pPr>
            <w:r>
              <w:rPr>
                <w:rFonts w:ascii="Arial" w:cs="Arial" w:eastAsia="Arial" w:hAnsi="Arial"/>
                <w:sz w:val="18"/>
                <w:szCs w:val="18"/>
                <w:color w:val="auto"/>
              </w:rPr>
              <w:t>$</w:t>
            </w:r>
          </w:p>
        </w:tc>
        <w:tc>
          <w:tcPr>
            <w:tcW w:w="570" w:type="dxa"/>
            <w:vAlign w:val="bottom"/>
          </w:tcPr>
          <w:p>
            <w:pPr>
              <w:jc w:val="right"/>
              <w:spacing w:after="0"/>
              <w:rPr>
                <w:sz w:val="20"/>
                <w:szCs w:val="20"/>
                <w:color w:val="auto"/>
              </w:rPr>
            </w:pPr>
            <w:r>
              <w:rPr>
                <w:rFonts w:ascii="Arial" w:cs="Arial" w:eastAsia="Arial" w:hAnsi="Arial"/>
                <w:sz w:val="18"/>
                <w:szCs w:val="18"/>
                <w:color w:val="auto"/>
                <w:w w:val="98"/>
              </w:rPr>
              <w:t>13,450</w:t>
            </w:r>
          </w:p>
        </w:tc>
        <w:tc>
          <w:tcPr>
            <w:tcW w:w="7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1,334</w:t>
            </w:r>
          </w:p>
        </w:tc>
        <w:tc>
          <w:tcPr>
            <w:tcW w:w="7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(1,334)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charges (credits) to income:</w:t>
            </w:r>
          </w:p>
        </w:tc>
        <w:tc>
          <w:tcPr>
            <w:tcW w:w="17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7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9,182</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718</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 provision (benefit)</w:t>
            </w:r>
          </w:p>
        </w:tc>
        <w:tc>
          <w:tcPr>
            <w:tcW w:w="17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tcPr>
          <w:p>
            <w:pPr>
              <w:ind w:left="860"/>
              <w:spacing w:after="0"/>
              <w:rPr>
                <w:sz w:val="20"/>
                <w:szCs w:val="20"/>
                <w:color w:val="auto"/>
              </w:rPr>
            </w:pPr>
            <w:r>
              <w:rPr>
                <w:rFonts w:ascii="Arial" w:cs="Arial" w:eastAsia="Arial" w:hAnsi="Arial"/>
                <w:sz w:val="18"/>
                <w:szCs w:val="18"/>
                <w:color w:val="auto"/>
              </w:rPr>
              <w:t>Stock option &amp; employee stock purchase plan income tax</w:t>
            </w:r>
          </w:p>
        </w:tc>
        <w:tc>
          <w:tcPr>
            <w:tcW w:w="17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1060"/>
              <w:spacing w:after="0"/>
              <w:rPr>
                <w:sz w:val="20"/>
                <w:szCs w:val="20"/>
                <w:color w:val="auto"/>
              </w:rPr>
            </w:pPr>
            <w:r>
              <w:rPr>
                <w:rFonts w:ascii="Arial" w:cs="Arial" w:eastAsia="Arial" w:hAnsi="Arial"/>
                <w:sz w:val="18"/>
                <w:szCs w:val="18"/>
                <w:color w:val="auto"/>
              </w:rPr>
              <w:t>benefits</w:t>
            </w:r>
          </w:p>
        </w:tc>
        <w:tc>
          <w:tcPr>
            <w:tcW w:w="170" w:type="dxa"/>
            <w:vAlign w:val="bottom"/>
          </w:tcPr>
          <w:p>
            <w:pPr>
              <w:spacing w:after="0"/>
              <w:rPr>
                <w:sz w:val="19"/>
                <w:szCs w:val="19"/>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4,419</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Equity in earnings (losses ) of non-guarantor subsidiaries</w:t>
            </w:r>
          </w:p>
        </w:tc>
        <w:tc>
          <w:tcPr>
            <w:tcW w:w="170" w:type="dxa"/>
            <w:vAlign w:val="bottom"/>
            <w:shd w:val="clear" w:color="auto" w:fill="CCEEFF"/>
          </w:tcPr>
          <w:p>
            <w:pPr>
              <w:spacing w:after="0"/>
              <w:rPr>
                <w:sz w:val="18"/>
                <w:szCs w:val="18"/>
                <w:color w:val="auto"/>
              </w:rPr>
            </w:pPr>
          </w:p>
        </w:tc>
        <w:tc>
          <w:tcPr>
            <w:tcW w:w="133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(1,334)</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860"/>
              <w:spacing w:after="0"/>
              <w:rPr>
                <w:sz w:val="20"/>
                <w:szCs w:val="20"/>
                <w:color w:val="auto"/>
              </w:rPr>
            </w:pPr>
            <w:r>
              <w:rPr>
                <w:rFonts w:ascii="Arial" w:cs="Arial" w:eastAsia="Arial" w:hAnsi="Arial"/>
                <w:sz w:val="18"/>
                <w:szCs w:val="18"/>
                <w:color w:val="auto"/>
              </w:rPr>
              <w:t>Equity in affiliates</w:t>
            </w:r>
          </w:p>
        </w:tc>
        <w:tc>
          <w:tcPr>
            <w:tcW w:w="17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616</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net</w:t>
            </w:r>
          </w:p>
        </w:tc>
        <w:tc>
          <w:tcPr>
            <w:tcW w:w="17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Changes in operating assets and liabilities, net of acquisitions :</w:t>
            </w:r>
          </w:p>
        </w:tc>
        <w:tc>
          <w:tcPr>
            <w:tcW w:w="170" w:type="dxa"/>
            <w:vAlign w:val="bottom"/>
          </w:tcPr>
          <w:p>
            <w:pPr>
              <w:spacing w:after="0"/>
              <w:rPr>
                <w:sz w:val="18"/>
                <w:szCs w:val="18"/>
                <w:color w:val="auto"/>
              </w:rPr>
            </w:pPr>
          </w:p>
        </w:tc>
        <w:tc>
          <w:tcPr>
            <w:tcW w:w="57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70" w:type="dxa"/>
            <w:vAlign w:val="bottom"/>
            <w:shd w:val="clear" w:color="auto" w:fill="CCEEFF"/>
          </w:tcPr>
          <w:p>
            <w:pPr>
              <w:spacing w:after="0"/>
              <w:rPr>
                <w:sz w:val="18"/>
                <w:szCs w:val="18"/>
                <w:color w:val="auto"/>
              </w:rPr>
            </w:pPr>
          </w:p>
        </w:tc>
        <w:tc>
          <w:tcPr>
            <w:tcW w:w="133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(3,537)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7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200</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715</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70" w:type="dxa"/>
            <w:vAlign w:val="bottom"/>
            <w:shd w:val="clear" w:color="auto" w:fill="CCEEFF"/>
          </w:tcPr>
          <w:p>
            <w:pPr>
              <w:spacing w:after="0"/>
              <w:rPr>
                <w:sz w:val="18"/>
                <w:szCs w:val="18"/>
                <w:color w:val="auto"/>
              </w:rPr>
            </w:pPr>
          </w:p>
        </w:tc>
        <w:tc>
          <w:tcPr>
            <w:tcW w:w="133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(3,796)</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(1,686)</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Wages and benefits payable</w:t>
            </w:r>
          </w:p>
        </w:tc>
        <w:tc>
          <w:tcPr>
            <w:tcW w:w="17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2,398</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Unearned revenue</w:t>
            </w:r>
          </w:p>
        </w:tc>
        <w:tc>
          <w:tcPr>
            <w:tcW w:w="17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(815)</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Long-term warranty and other obligations</w:t>
            </w:r>
          </w:p>
        </w:tc>
        <w:tc>
          <w:tcPr>
            <w:tcW w:w="17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1,079</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transactions, net</w:t>
            </w:r>
          </w:p>
        </w:tc>
        <w:tc>
          <w:tcPr>
            <w:tcW w:w="17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(999)</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70" w:type="dxa"/>
            <w:vAlign w:val="bottom"/>
          </w:tcPr>
          <w:p>
            <w:pPr>
              <w:spacing w:after="0"/>
              <w:rPr>
                <w:sz w:val="19"/>
                <w:szCs w:val="19"/>
                <w:color w:val="auto"/>
              </w:rPr>
            </w:pPr>
          </w:p>
        </w:tc>
        <w:tc>
          <w:tcPr>
            <w:tcW w:w="1330" w:type="dxa"/>
            <w:vAlign w:val="bottom"/>
            <w:gridSpan w:val="2"/>
          </w:tcPr>
          <w:p>
            <w:pPr>
              <w:jc w:val="right"/>
              <w:ind w:right="70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70" w:type="dxa"/>
            <w:vAlign w:val="bottom"/>
          </w:tcPr>
          <w:p>
            <w:pPr>
              <w:spacing w:after="0"/>
              <w:rPr>
                <w:sz w:val="8"/>
                <w:szCs w:val="8"/>
                <w:color w:val="auto"/>
              </w:rPr>
            </w:pPr>
          </w:p>
        </w:tc>
        <w:tc>
          <w:tcPr>
            <w:tcW w:w="57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provided by operating activities</w:t>
            </w:r>
          </w:p>
        </w:tc>
        <w:tc>
          <w:tcPr>
            <w:tcW w:w="17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32,111</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9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7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and maturities of investment securities</w:t>
            </w:r>
          </w:p>
        </w:tc>
        <w:tc>
          <w:tcPr>
            <w:tcW w:w="17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Purchase of short-term investments</w:t>
            </w:r>
          </w:p>
        </w:tc>
        <w:tc>
          <w:tcPr>
            <w:tcW w:w="170" w:type="dxa"/>
            <w:vAlign w:val="bottom"/>
          </w:tcPr>
          <w:p>
            <w:pPr>
              <w:spacing w:after="0"/>
              <w:rPr>
                <w:sz w:val="18"/>
                <w:szCs w:val="18"/>
                <w:color w:val="auto"/>
              </w:rPr>
            </w:pPr>
          </w:p>
        </w:tc>
        <w:tc>
          <w:tcPr>
            <w:tcW w:w="1330" w:type="dxa"/>
            <w:vAlign w:val="bottom"/>
            <w:gridSpan w:val="2"/>
          </w:tcPr>
          <w:p>
            <w:pPr>
              <w:jc w:val="right"/>
              <w:ind w:right="700"/>
              <w:spacing w:after="0"/>
              <w:rPr>
                <w:sz w:val="20"/>
                <w:szCs w:val="20"/>
                <w:color w:val="auto"/>
              </w:rPr>
            </w:pPr>
            <w:r>
              <w:rPr>
                <w:rFonts w:ascii="Arial" w:cs="Arial" w:eastAsia="Arial" w:hAnsi="Arial"/>
                <w:sz w:val="18"/>
                <w:szCs w:val="18"/>
                <w:color w:val="auto"/>
                <w:w w:val="89"/>
              </w:rPr>
              <w:t>(30,371)</w:t>
            </w:r>
          </w:p>
        </w:tc>
        <w:tc>
          <w:tcPr>
            <w:tcW w:w="12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(30,371)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restricted cash</w:t>
            </w:r>
          </w:p>
        </w:tc>
        <w:tc>
          <w:tcPr>
            <w:tcW w:w="170" w:type="dxa"/>
            <w:vAlign w:val="bottom"/>
            <w:shd w:val="clear" w:color="auto" w:fill="CCEEFF"/>
          </w:tcPr>
          <w:p>
            <w:pPr>
              <w:spacing w:after="0"/>
              <w:rPr>
                <w:sz w:val="18"/>
                <w:szCs w:val="18"/>
                <w:color w:val="auto"/>
              </w:rPr>
            </w:pPr>
          </w:p>
        </w:tc>
        <w:tc>
          <w:tcPr>
            <w:tcW w:w="133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(5,100)</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Acquisition/transfer of property, plant and equipment</w:t>
            </w:r>
          </w:p>
        </w:tc>
        <w:tc>
          <w:tcPr>
            <w:tcW w:w="170" w:type="dxa"/>
            <w:vAlign w:val="bottom"/>
          </w:tcPr>
          <w:p>
            <w:pPr>
              <w:spacing w:after="0"/>
              <w:rPr>
                <w:sz w:val="18"/>
                <w:szCs w:val="18"/>
                <w:color w:val="auto"/>
              </w:rPr>
            </w:pPr>
          </w:p>
        </w:tc>
        <w:tc>
          <w:tcPr>
            <w:tcW w:w="1330" w:type="dxa"/>
            <w:vAlign w:val="bottom"/>
            <w:gridSpan w:val="2"/>
          </w:tcPr>
          <w:p>
            <w:pPr>
              <w:jc w:val="right"/>
              <w:ind w:right="700"/>
              <w:spacing w:after="0"/>
              <w:rPr>
                <w:sz w:val="20"/>
                <w:szCs w:val="20"/>
                <w:color w:val="auto"/>
              </w:rPr>
            </w:pPr>
            <w:r>
              <w:rPr>
                <w:rFonts w:ascii="Arial" w:cs="Arial" w:eastAsia="Arial" w:hAnsi="Arial"/>
                <w:sz w:val="18"/>
                <w:szCs w:val="18"/>
                <w:color w:val="auto"/>
              </w:rPr>
              <w:t>(7,047)</w:t>
            </w:r>
          </w:p>
        </w:tc>
        <w:tc>
          <w:tcPr>
            <w:tcW w:w="12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(595)</w:t>
            </w:r>
          </w:p>
        </w:tc>
        <w:tc>
          <w:tcPr>
            <w:tcW w:w="180" w:type="dxa"/>
            <w:vAlign w:val="bottom"/>
          </w:tcPr>
          <w:p>
            <w:pPr>
              <w:spacing w:after="0"/>
              <w:rPr>
                <w:sz w:val="18"/>
                <w:szCs w:val="18"/>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(7,642)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transfer to non-guarantor subsidiaries /intercompany notes</w:t>
            </w:r>
          </w:p>
        </w:tc>
        <w:tc>
          <w:tcPr>
            <w:tcW w:w="17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payable</w:t>
            </w:r>
          </w:p>
        </w:tc>
        <w:tc>
          <w:tcPr>
            <w:tcW w:w="170" w:type="dxa"/>
            <w:vAlign w:val="bottom"/>
            <w:shd w:val="clear" w:color="auto" w:fill="CCEEFF"/>
          </w:tcPr>
          <w:p>
            <w:pPr>
              <w:spacing w:after="0"/>
              <w:rPr>
                <w:sz w:val="19"/>
                <w:szCs w:val="19"/>
                <w:color w:val="auto"/>
              </w:rPr>
            </w:pPr>
          </w:p>
        </w:tc>
        <w:tc>
          <w:tcPr>
            <w:tcW w:w="133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70" w:type="dxa"/>
            <w:vAlign w:val="bottom"/>
          </w:tcPr>
          <w:p>
            <w:pPr>
              <w:spacing w:after="0"/>
              <w:rPr>
                <w:sz w:val="19"/>
                <w:szCs w:val="19"/>
                <w:color w:val="auto"/>
              </w:rPr>
            </w:pPr>
          </w:p>
        </w:tc>
        <w:tc>
          <w:tcPr>
            <w:tcW w:w="1330" w:type="dxa"/>
            <w:vAlign w:val="bottom"/>
            <w:gridSpan w:val="2"/>
          </w:tcPr>
          <w:p>
            <w:pPr>
              <w:jc w:val="right"/>
              <w:ind w:right="700"/>
              <w:spacing w:after="0"/>
              <w:rPr>
                <w:sz w:val="20"/>
                <w:szCs w:val="20"/>
                <w:color w:val="auto"/>
              </w:rPr>
            </w:pPr>
            <w:r>
              <w:rPr>
                <w:rFonts w:ascii="Arial" w:cs="Arial" w:eastAsia="Arial" w:hAnsi="Arial"/>
                <w:sz w:val="18"/>
                <w:szCs w:val="18"/>
                <w:color w:val="auto"/>
              </w:rPr>
              <w:t>(3,293)</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70" w:type="dxa"/>
            <w:vAlign w:val="bottom"/>
          </w:tcPr>
          <w:p>
            <w:pPr>
              <w:spacing w:after="0"/>
              <w:rPr>
                <w:sz w:val="8"/>
                <w:szCs w:val="8"/>
                <w:color w:val="auto"/>
              </w:rPr>
            </w:pPr>
          </w:p>
        </w:tc>
        <w:tc>
          <w:tcPr>
            <w:tcW w:w="57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used by investing activities</w:t>
            </w:r>
          </w:p>
        </w:tc>
        <w:tc>
          <w:tcPr>
            <w:tcW w:w="170" w:type="dxa"/>
            <w:vAlign w:val="bottom"/>
            <w:shd w:val="clear" w:color="auto" w:fill="CCEEFF"/>
          </w:tcPr>
          <w:p>
            <w:pPr>
              <w:spacing w:after="0"/>
              <w:rPr>
                <w:sz w:val="18"/>
                <w:szCs w:val="18"/>
                <w:color w:val="auto"/>
              </w:rPr>
            </w:pPr>
          </w:p>
        </w:tc>
        <w:tc>
          <w:tcPr>
            <w:tcW w:w="133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(38,675)</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(390)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(38,029)</w:t>
            </w:r>
          </w:p>
        </w:tc>
        <w:tc>
          <w:tcPr>
            <w:tcW w:w="0" w:type="dxa"/>
            <w:vAlign w:val="bottom"/>
          </w:tcPr>
          <w:p>
            <w:pPr>
              <w:spacing w:after="0"/>
              <w:rPr>
                <w:sz w:val="1"/>
                <w:szCs w:val="1"/>
                <w:color w:val="auto"/>
              </w:rPr>
            </w:pPr>
          </w:p>
        </w:tc>
      </w:tr>
      <w:tr>
        <w:trPr>
          <w:trHeight w:val="323"/>
        </w:trPr>
        <w:tc>
          <w:tcPr>
            <w:tcW w:w="59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7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debt</w:t>
            </w:r>
          </w:p>
        </w:tc>
        <w:tc>
          <w:tcPr>
            <w:tcW w:w="170" w:type="dxa"/>
            <w:vAlign w:val="bottom"/>
            <w:shd w:val="clear" w:color="auto" w:fill="CCEEFF"/>
          </w:tcPr>
          <w:p>
            <w:pPr>
              <w:spacing w:after="0"/>
              <w:rPr>
                <w:sz w:val="18"/>
                <w:szCs w:val="18"/>
                <w:color w:val="auto"/>
              </w:rPr>
            </w:pPr>
          </w:p>
        </w:tc>
        <w:tc>
          <w:tcPr>
            <w:tcW w:w="133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(589)</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Issuance of common stock</w:t>
            </w:r>
          </w:p>
        </w:tc>
        <w:tc>
          <w:tcPr>
            <w:tcW w:w="170" w:type="dxa"/>
            <w:vAlign w:val="bottom"/>
          </w:tcPr>
          <w:p>
            <w:pPr>
              <w:spacing w:after="0"/>
              <w:rPr>
                <w:sz w:val="18"/>
                <w:szCs w:val="18"/>
                <w:color w:val="auto"/>
              </w:rPr>
            </w:pPr>
          </w:p>
        </w:tc>
        <w:tc>
          <w:tcPr>
            <w:tcW w:w="570" w:type="dxa"/>
            <w:vAlign w:val="bottom"/>
          </w:tcPr>
          <w:p>
            <w:pPr>
              <w:jc w:val="right"/>
              <w:spacing w:after="0"/>
              <w:rPr>
                <w:sz w:val="20"/>
                <w:szCs w:val="20"/>
                <w:color w:val="auto"/>
              </w:rPr>
            </w:pPr>
            <w:r>
              <w:rPr>
                <w:rFonts w:ascii="Arial" w:cs="Arial" w:eastAsia="Arial" w:hAnsi="Arial"/>
                <w:sz w:val="18"/>
                <w:szCs w:val="18"/>
                <w:color w:val="auto"/>
              </w:rPr>
              <w:t>7,817</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70" w:type="dxa"/>
            <w:vAlign w:val="bottom"/>
            <w:shd w:val="clear" w:color="auto" w:fill="CCEEFF"/>
          </w:tcPr>
          <w:p>
            <w:pPr>
              <w:spacing w:after="0"/>
              <w:rPr>
                <w:sz w:val="18"/>
                <w:szCs w:val="18"/>
                <w:color w:val="auto"/>
              </w:rPr>
            </w:pPr>
          </w:p>
        </w:tc>
        <w:tc>
          <w:tcPr>
            <w:tcW w:w="133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(1,908)</w:t>
            </w: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Payments on mortgage note payable</w:t>
            </w:r>
          </w:p>
        </w:tc>
        <w:tc>
          <w:tcPr>
            <w:tcW w:w="170" w:type="dxa"/>
            <w:vAlign w:val="bottom"/>
          </w:tcPr>
          <w:p>
            <w:pPr>
              <w:spacing w:after="0"/>
              <w:rPr>
                <w:sz w:val="18"/>
                <w:szCs w:val="18"/>
                <w:color w:val="auto"/>
              </w:rPr>
            </w:pPr>
          </w:p>
        </w:tc>
        <w:tc>
          <w:tcPr>
            <w:tcW w:w="1330" w:type="dxa"/>
            <w:vAlign w:val="bottom"/>
            <w:gridSpan w:val="2"/>
          </w:tcPr>
          <w:p>
            <w:pPr>
              <w:jc w:val="right"/>
              <w:ind w:right="70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transfer to non-guarantor subsidiaries /intercompany notes</w:t>
            </w:r>
          </w:p>
        </w:tc>
        <w:tc>
          <w:tcPr>
            <w:tcW w:w="17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payable</w:t>
            </w:r>
          </w:p>
        </w:tc>
        <w:tc>
          <w:tcPr>
            <w:tcW w:w="170" w:type="dxa"/>
            <w:vAlign w:val="bottom"/>
            <w:shd w:val="clear" w:color="auto" w:fill="CCEEFF"/>
          </w:tcPr>
          <w:p>
            <w:pPr>
              <w:spacing w:after="0"/>
              <w:rPr>
                <w:sz w:val="19"/>
                <w:szCs w:val="19"/>
                <w:color w:val="auto"/>
              </w:rPr>
            </w:pPr>
          </w:p>
        </w:tc>
        <w:tc>
          <w:tcPr>
            <w:tcW w:w="133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(1,036)</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70" w:type="dxa"/>
            <w:vAlign w:val="bottom"/>
          </w:tcPr>
          <w:p>
            <w:pPr>
              <w:spacing w:after="0"/>
              <w:rPr>
                <w:sz w:val="19"/>
                <w:szCs w:val="19"/>
                <w:color w:val="auto"/>
              </w:rPr>
            </w:pPr>
          </w:p>
        </w:tc>
        <w:tc>
          <w:tcPr>
            <w:tcW w:w="1330" w:type="dxa"/>
            <w:vAlign w:val="bottom"/>
            <w:gridSpan w:val="2"/>
          </w:tcPr>
          <w:p>
            <w:pPr>
              <w:jc w:val="right"/>
              <w:ind w:right="7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57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70" w:type="dxa"/>
            <w:vAlign w:val="bottom"/>
          </w:tcPr>
          <w:p>
            <w:pPr>
              <w:spacing w:after="0"/>
              <w:rPr>
                <w:sz w:val="8"/>
                <w:szCs w:val="8"/>
                <w:color w:val="auto"/>
              </w:rPr>
            </w:pPr>
          </w:p>
        </w:tc>
        <w:tc>
          <w:tcPr>
            <w:tcW w:w="57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provided by financing activities</w:t>
            </w:r>
          </w:p>
        </w:tc>
        <w:tc>
          <w:tcPr>
            <w:tcW w:w="17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(1,036)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92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170" w:type="dxa"/>
            <w:vAlign w:val="bottom"/>
          </w:tcPr>
          <w:p>
            <w:pPr>
              <w:spacing w:after="0"/>
              <w:rPr>
                <w:sz w:val="24"/>
                <w:szCs w:val="24"/>
                <w:color w:val="auto"/>
              </w:rPr>
            </w:pPr>
          </w:p>
        </w:tc>
        <w:tc>
          <w:tcPr>
            <w:tcW w:w="1330" w:type="dxa"/>
            <w:vAlign w:val="bottom"/>
            <w:gridSpan w:val="2"/>
          </w:tcPr>
          <w:p>
            <w:pPr>
              <w:jc w:val="right"/>
              <w:ind w:right="700"/>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239</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7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18,833</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57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170" w:type="dxa"/>
            <w:vAlign w:val="bottom"/>
          </w:tcPr>
          <w:p>
            <w:pPr>
              <w:spacing w:after="0"/>
              <w:rPr>
                <w:sz w:val="8"/>
                <w:szCs w:val="8"/>
                <w:color w:val="auto"/>
              </w:rPr>
            </w:pPr>
          </w:p>
        </w:tc>
        <w:tc>
          <w:tcPr>
            <w:tcW w:w="57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17,960</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57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170" w:type="dxa"/>
            <w:vAlign w:val="bottom"/>
          </w:tcPr>
          <w:p>
            <w:pPr>
              <w:spacing w:after="0"/>
              <w:rPr>
                <w:sz w:val="9"/>
                <w:szCs w:val="9"/>
                <w:color w:val="auto"/>
              </w:rPr>
            </w:pPr>
          </w:p>
        </w:tc>
        <w:tc>
          <w:tcPr>
            <w:tcW w:w="57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transactions:</w:t>
            </w:r>
          </w:p>
        </w:tc>
        <w:tc>
          <w:tcPr>
            <w:tcW w:w="17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420"/>
              <w:spacing w:after="0"/>
              <w:rPr>
                <w:sz w:val="20"/>
                <w:szCs w:val="20"/>
                <w:color w:val="auto"/>
              </w:rPr>
            </w:pPr>
            <w:r>
              <w:rPr>
                <w:rFonts w:ascii="Arial" w:cs="Arial" w:eastAsia="Arial" w:hAnsi="Arial"/>
                <w:sz w:val="18"/>
                <w:szCs w:val="18"/>
                <w:color w:val="auto"/>
              </w:rPr>
              <w:t>Debt to equity conversion</w:t>
            </w:r>
          </w:p>
        </w:tc>
        <w:tc>
          <w:tcPr>
            <w:tcW w:w="170" w:type="dxa"/>
            <w:vAlign w:val="bottom"/>
          </w:tcPr>
          <w:p>
            <w:pPr>
              <w:spacing w:after="0"/>
              <w:rPr>
                <w:sz w:val="20"/>
                <w:szCs w:val="20"/>
                <w:color w:val="auto"/>
              </w:rPr>
            </w:pPr>
            <w:r>
              <w:rPr>
                <w:rFonts w:ascii="Arial" w:cs="Arial" w:eastAsia="Arial" w:hAnsi="Arial"/>
                <w:sz w:val="18"/>
                <w:szCs w:val="18"/>
                <w:color w:val="auto"/>
              </w:rPr>
              <w:t>$</w:t>
            </w:r>
          </w:p>
        </w:tc>
        <w:tc>
          <w:tcPr>
            <w:tcW w:w="570" w:type="dxa"/>
            <w:vAlign w:val="bottom"/>
          </w:tcPr>
          <w:p>
            <w:pPr>
              <w:jc w:val="right"/>
              <w:spacing w:after="0"/>
              <w:rPr>
                <w:sz w:val="20"/>
                <w:szCs w:val="20"/>
                <w:color w:val="auto"/>
              </w:rPr>
            </w:pPr>
            <w:r>
              <w:rPr>
                <w:rFonts w:ascii="Arial" w:cs="Arial" w:eastAsia="Arial" w:hAnsi="Arial"/>
                <w:sz w:val="18"/>
                <w:szCs w:val="18"/>
                <w:color w:val="auto"/>
              </w:rPr>
              <w:t>146</w:t>
            </w:r>
          </w:p>
        </w:tc>
        <w:tc>
          <w:tcPr>
            <w:tcW w:w="7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capital reduction due to debt forgiveness</w:t>
            </w:r>
          </w:p>
        </w:tc>
        <w:tc>
          <w:tcPr>
            <w:tcW w:w="170" w:type="dxa"/>
            <w:vAlign w:val="bottom"/>
            <w:shd w:val="clear" w:color="auto" w:fill="CCEEFF"/>
          </w:tcPr>
          <w:p>
            <w:pPr>
              <w:spacing w:after="0"/>
              <w:rPr>
                <w:sz w:val="18"/>
                <w:szCs w:val="18"/>
                <w:color w:val="auto"/>
              </w:rPr>
            </w:pPr>
          </w:p>
        </w:tc>
        <w:tc>
          <w:tcPr>
            <w:tcW w:w="133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(7,079)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5920" w:type="dxa"/>
            <w:vAlign w:val="bottom"/>
            <w:gridSpan w:val="2"/>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17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year for:</w:t>
            </w:r>
          </w:p>
        </w:tc>
        <w:tc>
          <w:tcPr>
            <w:tcW w:w="170" w:type="dxa"/>
            <w:vAlign w:val="bottom"/>
            <w:shd w:val="clear" w:color="auto" w:fill="CCEEFF"/>
          </w:tcPr>
          <w:p>
            <w:pPr>
              <w:spacing w:after="0"/>
              <w:rPr>
                <w:sz w:val="18"/>
                <w:szCs w:val="18"/>
                <w:color w:val="auto"/>
              </w:rPr>
            </w:pPr>
          </w:p>
        </w:tc>
        <w:tc>
          <w:tcPr>
            <w:tcW w:w="57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170" w:type="dxa"/>
            <w:vAlign w:val="bottom"/>
          </w:tcPr>
          <w:p>
            <w:pPr>
              <w:spacing w:after="0"/>
              <w:rPr>
                <w:sz w:val="20"/>
                <w:szCs w:val="20"/>
                <w:color w:val="auto"/>
              </w:rPr>
            </w:pPr>
            <w:r>
              <w:rPr>
                <w:rFonts w:ascii="Arial" w:cs="Arial" w:eastAsia="Arial" w:hAnsi="Arial"/>
                <w:sz w:val="18"/>
                <w:szCs w:val="18"/>
                <w:color w:val="auto"/>
              </w:rPr>
              <w:t>$</w:t>
            </w:r>
          </w:p>
        </w:tc>
        <w:tc>
          <w:tcPr>
            <w:tcW w:w="570" w:type="dxa"/>
            <w:vAlign w:val="bottom"/>
          </w:tcPr>
          <w:p>
            <w:pPr>
              <w:jc w:val="right"/>
              <w:spacing w:after="0"/>
              <w:rPr>
                <w:sz w:val="20"/>
                <w:szCs w:val="20"/>
                <w:color w:val="auto"/>
              </w:rPr>
            </w:pPr>
            <w:r>
              <w:rPr>
                <w:rFonts w:ascii="Arial" w:cs="Arial" w:eastAsia="Arial" w:hAnsi="Arial"/>
                <w:sz w:val="18"/>
                <w:szCs w:val="18"/>
                <w:color w:val="auto"/>
              </w:rPr>
              <w:t>175</w:t>
            </w:r>
          </w:p>
        </w:tc>
        <w:tc>
          <w:tcPr>
            <w:tcW w:w="7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7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170" w:type="dxa"/>
            <w:vAlign w:val="bottom"/>
            <w:shd w:val="clear" w:color="auto" w:fill="CCEEFF"/>
          </w:tcPr>
          <w:p>
            <w:pPr>
              <w:spacing w:after="0"/>
              <w:rPr>
                <w:sz w:val="18"/>
                <w:szCs w:val="18"/>
                <w:color w:val="auto"/>
              </w:rPr>
            </w:pPr>
          </w:p>
        </w:tc>
        <w:tc>
          <w:tcPr>
            <w:tcW w:w="5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-1124585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-1124585</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-1124585</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-1124585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-1124585</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-1124585</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-1124585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-1124585</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-1124585</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-1124585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-1124585</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-1124585</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274" w:right="2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99.2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following discussion and analysis should be read in conjunction with the “Selected Consolidated Financial Information” and the Consolidated Financial Statements and Notes thereto.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currently derive the majority of our revenues from sales of products and services to utilities. However, our business may increasingly consist of sales to other energy and water industry participants such as energy service providers, end-use customers, wholesale power market participants and others.</w:t>
      </w:r>
    </w:p>
    <w:p>
      <w:pPr>
        <w:spacing w:after="0" w:line="7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Sales revenues may include hardware, software license, custom software development, field and project management service and engineering, consulting and installation service revenues. Service revenues include post-sale maintenance support and outsourcing service revenue. Outsourcing services encompass installation, operation and maintenance of meter reading systems to provide meter information to a customer for billing and management purposes. Outsourcing services can be provided for systems we own as well as those owned by our customers. Cost of sales are based on standard costs, which include materials, direct labor and an overhead allocation, as well as variances from standard costs. Cost of services for software, professional services and maintenance are based on actual time and materials incurred, warranty expense and an allocation of miscellaneous service related costs.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Highlights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 2003 our revenues were $317.0 million, which is 11% higher than our 2002 revenues.</w:t>
      </w:r>
    </w:p>
    <w:p>
      <w:pPr>
        <w:spacing w:after="0" w:line="77" w:lineRule="exact"/>
        <w:rPr>
          <w:sz w:val="20"/>
          <w:szCs w:val="20"/>
          <w:color w:val="auto"/>
        </w:rPr>
      </w:pPr>
    </w:p>
    <w:p>
      <w:pPr>
        <w:ind w:left="800" w:right="12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half of the revenue growth resulted from three acquisitions, two in the fourth quarter of 2002 and one in the first quarter of 2003, with the rest coming from increased AMR business.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AMR unit shipments increased approximately 15% in 2003 compared with 2002.</w:t>
      </w:r>
    </w:p>
    <w:p>
      <w:pPr>
        <w:spacing w:after="0" w:line="76" w:lineRule="exact"/>
        <w:rPr>
          <w:rFonts w:ascii="Arial" w:cs="Arial" w:eastAsia="Arial" w:hAnsi="Arial"/>
          <w:sz w:val="18"/>
          <w:szCs w:val="18"/>
          <w:color w:val="auto"/>
        </w:rPr>
      </w:pPr>
    </w:p>
    <w:p>
      <w:pPr>
        <w:ind w:left="800" w:right="26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had no customer representing more than 10% of total Company revenues in 2003 compared with one customer representing 12% of revenues in 2002.</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new order bookings were $213.8 million in 2003 compared with $231.6 million in 2002.</w:t>
      </w:r>
    </w:p>
    <w:p>
      <w:pPr>
        <w:spacing w:after="0" w:line="76" w:lineRule="exact"/>
        <w:rPr>
          <w:rFonts w:ascii="Arial" w:cs="Arial" w:eastAsia="Arial" w:hAnsi="Arial"/>
          <w:sz w:val="18"/>
          <w:szCs w:val="18"/>
          <w:color w:val="auto"/>
        </w:rPr>
      </w:pPr>
    </w:p>
    <w:p>
      <w:pPr>
        <w:ind w:left="800" w:right="140" w:hanging="346"/>
        <w:spacing w:after="0" w:line="347" w:lineRule="auto"/>
        <w:tabs>
          <w:tab w:leader="none" w:pos="800" w:val="left"/>
        </w:tabs>
        <w:numPr>
          <w:ilvl w:val="0"/>
          <w:numId w:val="4"/>
        </w:numPr>
        <w:rPr>
          <w:rFonts w:ascii="Arial" w:cs="Arial" w:eastAsia="Arial" w:hAnsi="Arial"/>
          <w:sz w:val="15"/>
          <w:szCs w:val="15"/>
          <w:color w:val="auto"/>
        </w:rPr>
      </w:pPr>
      <w:r>
        <w:rPr>
          <w:rFonts w:ascii="Arial" w:cs="Arial" w:eastAsia="Arial" w:hAnsi="Arial"/>
          <w:sz w:val="15"/>
          <w:szCs w:val="15"/>
          <w:color w:val="auto"/>
        </w:rPr>
        <w:t>While revenues increased in 2003, our new order bookings and backlog declined primarily as three large electric utility customers delayed AMR orders in 2003 as a result of delays in capital spending due to an ice storm, a large-scale electrical power blackout in the eastern U.S. and a hurricane.</w:t>
      </w:r>
    </w:p>
    <w:p>
      <w:pPr>
        <w:ind w:left="800" w:right="6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that certain of these order delays will continue to impact us in the first quarter of 2004. We expect that electric utilities will resolve many of these issues and that our electric market order activity will improve beginning in the second quarter of 2004.</w:t>
      </w:r>
    </w:p>
    <w:p>
      <w:pPr>
        <w:spacing w:after="0" w:line="118"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color w:val="auto"/>
        </w:rPr>
        <w:t>Net income was $10.5 million, or 48 cents per diluted share in 2003 compared with $8.7 million, or 41 cents per diluted share, in 2002. Despite strong revenue performance in 2003, our earnings for the full year were impacted by a number of unusual charges. These items consisted of the following:</w:t>
      </w:r>
    </w:p>
    <w:p>
      <w:pPr>
        <w:spacing w:after="0" w:line="1"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$8.6 million to an estimate for warranty expenses related to higher than normal product failures for a certain product.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Impairment charges totaling $2.4 million for minority investments in two companies.</w:t>
      </w:r>
    </w:p>
    <w:p>
      <w:pPr>
        <w:spacing w:after="0" w:line="76" w:lineRule="exact"/>
        <w:rPr>
          <w:rFonts w:ascii="Arial" w:cs="Arial" w:eastAsia="Arial" w:hAnsi="Arial"/>
          <w:sz w:val="18"/>
          <w:szCs w:val="18"/>
          <w:color w:val="auto"/>
        </w:rPr>
      </w:pPr>
    </w:p>
    <w:p>
      <w:pPr>
        <w:ind w:left="800" w:right="140" w:hanging="346"/>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above charges were partially offset by a fourth quarter reversal of approximately $3.7 million of management bonus and employee profit sharing accrued in the first three quarters of 2003.</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early 2004, we began to implement a new organizational structure. In the process of implementing our new organization, and to adjust expenditures to expected revenue potential for 2004 in some areas, we have made headcount reductions and other spending adjustments.</w:t>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Revenues and Gross Margins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Total Company Revenues and Gross Margins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revenues and gross margin for each year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tcPr>
          <w:p>
            <w:pPr>
              <w:ind w:left="360"/>
              <w:spacing w:after="0"/>
              <w:rPr>
                <w:sz w:val="20"/>
                <w:szCs w:val="20"/>
                <w:color w:val="auto"/>
              </w:rPr>
            </w:pPr>
            <w:r>
              <w:rPr>
                <w:rFonts w:ascii="Arial" w:cs="Arial" w:eastAsia="Arial" w:hAnsi="Arial"/>
                <w:sz w:val="14"/>
                <w:szCs w:val="14"/>
                <w:b w:val="1"/>
                <w:bCs w:val="1"/>
                <w:color w:val="auto"/>
                <w:w w:val="86"/>
              </w:rPr>
              <w:t>2003-2002</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2002-2001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6"/>
              </w:rPr>
              <w:t>(in millions)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Revenues</w:t>
            </w:r>
          </w:p>
        </w:tc>
        <w:tc>
          <w:tcPr>
            <w:tcW w:w="2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Sales</w:t>
            </w:r>
          </w:p>
        </w:tc>
        <w:tc>
          <w:tcPr>
            <w:tcW w:w="2660" w:type="dxa"/>
            <w:vAlign w:val="bottom"/>
            <w:gridSpan w:val="3"/>
          </w:tcPr>
          <w:p>
            <w:pPr>
              <w:jc w:val="right"/>
              <w:spacing w:after="0"/>
              <w:rPr>
                <w:sz w:val="20"/>
                <w:szCs w:val="20"/>
                <w:color w:val="auto"/>
              </w:rPr>
            </w:pPr>
            <w:r>
              <w:rPr>
                <w:rFonts w:ascii="Arial" w:cs="Arial" w:eastAsia="Arial" w:hAnsi="Arial"/>
                <w:sz w:val="18"/>
                <w:szCs w:val="18"/>
                <w:color w:val="auto"/>
              </w:rPr>
              <w:t>$ 273.8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$ 241.1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5"/>
          </w:tcPr>
          <w:p>
            <w:pPr>
              <w:jc w:val="right"/>
              <w:ind w:right="500"/>
              <w:spacing w:after="0"/>
              <w:rPr>
                <w:sz w:val="20"/>
                <w:szCs w:val="20"/>
                <w:color w:val="auto"/>
              </w:rPr>
            </w:pPr>
            <w:r>
              <w:rPr>
                <w:rFonts w:ascii="Arial" w:cs="Arial" w:eastAsia="Arial" w:hAnsi="Arial"/>
                <w:sz w:val="18"/>
                <w:szCs w:val="18"/>
                <w:color w:val="auto"/>
              </w:rPr>
              <w:t>14%</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93"/>
              </w:rPr>
              <w:t>$ 183.5</w:t>
            </w:r>
          </w:p>
        </w:tc>
        <w:tc>
          <w:tcPr>
            <w:tcW w:w="6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Service</w:t>
            </w:r>
          </w:p>
        </w:tc>
        <w:tc>
          <w:tcPr>
            <w:tcW w:w="2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6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2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$ 317.0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$ 284.8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11%</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$ 225.6</w:t>
            </w:r>
          </w:p>
        </w:tc>
        <w:tc>
          <w:tcPr>
            <w:tcW w:w="6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600" w:type="dxa"/>
            <w:vAlign w:val="bottom"/>
            <w:gridSpan w:val="2"/>
          </w:tcPr>
          <w:p>
            <w:pPr>
              <w:spacing w:after="0"/>
              <w:rPr>
                <w:sz w:val="9"/>
                <w:szCs w:val="9"/>
                <w:color w:val="auto"/>
              </w:rPr>
            </w:pPr>
          </w:p>
        </w:tc>
        <w:tc>
          <w:tcPr>
            <w:tcW w:w="600" w:type="dxa"/>
            <w:vAlign w:val="bottom"/>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10"/>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31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2003</w:t>
            </w:r>
          </w:p>
        </w:tc>
        <w:tc>
          <w:tcPr>
            <w:tcW w:w="88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2002</w:t>
            </w:r>
          </w:p>
        </w:tc>
        <w:tc>
          <w:tcPr>
            <w:tcW w:w="10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2003-2002</w:t>
            </w:r>
          </w:p>
        </w:tc>
        <w:tc>
          <w:tcPr>
            <w:tcW w:w="52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2002-2001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Gross Margin</w:t>
            </w:r>
          </w:p>
        </w:tc>
        <w:tc>
          <w:tcPr>
            <w:tcW w:w="2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Sales</w:t>
            </w:r>
          </w:p>
        </w:tc>
        <w:tc>
          <w:tcPr>
            <w:tcW w:w="3100" w:type="dxa"/>
            <w:vAlign w:val="bottom"/>
            <w:gridSpan w:val="5"/>
          </w:tcPr>
          <w:p>
            <w:pPr>
              <w:jc w:val="right"/>
              <w:ind w:right="100"/>
              <w:spacing w:after="0"/>
              <w:rPr>
                <w:sz w:val="20"/>
                <w:szCs w:val="20"/>
                <w:color w:val="auto"/>
              </w:rPr>
            </w:pPr>
            <w:r>
              <w:rPr>
                <w:rFonts w:ascii="Arial" w:cs="Arial" w:eastAsia="Arial" w:hAnsi="Arial"/>
                <w:sz w:val="18"/>
                <w:szCs w:val="18"/>
                <w:color w:val="auto"/>
              </w:rPr>
              <w:t>50%</w:t>
            </w:r>
          </w:p>
        </w:tc>
        <w:tc>
          <w:tcPr>
            <w:tcW w:w="880" w:type="dxa"/>
            <w:vAlign w:val="bottom"/>
            <w:gridSpan w:val="5"/>
          </w:tcPr>
          <w:p>
            <w:pPr>
              <w:jc w:val="right"/>
              <w:ind w:right="40"/>
              <w:spacing w:after="0"/>
              <w:rPr>
                <w:sz w:val="20"/>
                <w:szCs w:val="20"/>
                <w:color w:val="auto"/>
              </w:rPr>
            </w:pPr>
            <w:r>
              <w:rPr>
                <w:rFonts w:ascii="Arial" w:cs="Arial" w:eastAsia="Arial" w:hAnsi="Arial"/>
                <w:sz w:val="18"/>
                <w:szCs w:val="18"/>
                <w:color w:val="auto"/>
              </w:rPr>
              <w:t>49%</w:t>
            </w:r>
          </w:p>
        </w:tc>
        <w:tc>
          <w:tcPr>
            <w:tcW w:w="1600" w:type="dxa"/>
            <w:vAlign w:val="bottom"/>
            <w:gridSpan w:val="5"/>
          </w:tcPr>
          <w:p>
            <w:pPr>
              <w:jc w:val="right"/>
              <w:ind w:right="380"/>
              <w:spacing w:after="0"/>
              <w:rPr>
                <w:sz w:val="20"/>
                <w:szCs w:val="20"/>
                <w:color w:val="auto"/>
              </w:rPr>
            </w:pPr>
            <w:r>
              <w:rPr>
                <w:rFonts w:ascii="Arial" w:cs="Arial" w:eastAsia="Arial" w:hAnsi="Arial"/>
                <w:sz w:val="18"/>
                <w:szCs w:val="18"/>
                <w:color w:val="auto"/>
              </w:rPr>
              <w:t>1%</w:t>
            </w:r>
          </w:p>
        </w:tc>
        <w:tc>
          <w:tcPr>
            <w:tcW w:w="1180" w:type="dxa"/>
            <w:vAlign w:val="bottom"/>
            <w:gridSpan w:val="5"/>
          </w:tcPr>
          <w:p>
            <w:pPr>
              <w:ind w:left="340"/>
              <w:spacing w:after="0"/>
              <w:rPr>
                <w:sz w:val="20"/>
                <w:szCs w:val="20"/>
                <w:color w:val="auto"/>
              </w:rPr>
            </w:pPr>
            <w:r>
              <w:rPr>
                <w:rFonts w:ascii="Arial" w:cs="Arial" w:eastAsia="Arial" w:hAnsi="Arial"/>
                <w:sz w:val="18"/>
                <w:szCs w:val="18"/>
                <w:color w:val="auto"/>
              </w:rPr>
              <w:t>45%</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Service</w:t>
            </w:r>
          </w:p>
        </w:tc>
        <w:tc>
          <w:tcPr>
            <w:tcW w:w="310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8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1600" w:type="dxa"/>
            <w:vAlign w:val="bottom"/>
            <w:gridSpan w:val="5"/>
            <w:shd w:val="clear" w:color="auto" w:fill="CCEEFF"/>
          </w:tcPr>
          <w:p>
            <w:pPr>
              <w:jc w:val="right"/>
              <w:ind w:right="460"/>
              <w:spacing w:after="0"/>
              <w:rPr>
                <w:sz w:val="20"/>
                <w:szCs w:val="20"/>
                <w:color w:val="auto"/>
              </w:rPr>
            </w:pPr>
            <w:r>
              <w:rPr>
                <w:rFonts w:ascii="Arial" w:cs="Arial" w:eastAsia="Arial" w:hAnsi="Arial"/>
                <w:sz w:val="18"/>
                <w:szCs w:val="18"/>
                <w:color w:val="auto"/>
              </w:rPr>
              <w:t>(17)</w:t>
            </w:r>
          </w:p>
        </w:tc>
        <w:tc>
          <w:tcPr>
            <w:tcW w:w="50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w w:val="78"/>
              </w:rPr>
              <w:t>36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Total gross margin</w:t>
            </w:r>
          </w:p>
        </w:tc>
        <w:tc>
          <w:tcPr>
            <w:tcW w:w="3100" w:type="dxa"/>
            <w:vAlign w:val="bottom"/>
            <w:gridSpan w:val="5"/>
          </w:tcPr>
          <w:p>
            <w:pPr>
              <w:jc w:val="right"/>
              <w:ind w:right="100"/>
              <w:spacing w:after="0"/>
              <w:rPr>
                <w:sz w:val="20"/>
                <w:szCs w:val="20"/>
                <w:color w:val="auto"/>
              </w:rPr>
            </w:pPr>
            <w:r>
              <w:rPr>
                <w:rFonts w:ascii="Arial" w:cs="Arial" w:eastAsia="Arial" w:hAnsi="Arial"/>
                <w:sz w:val="18"/>
                <w:szCs w:val="18"/>
                <w:color w:val="auto"/>
              </w:rPr>
              <w:t>45%</w:t>
            </w:r>
          </w:p>
        </w:tc>
        <w:tc>
          <w:tcPr>
            <w:tcW w:w="880" w:type="dxa"/>
            <w:vAlign w:val="bottom"/>
            <w:gridSpan w:val="5"/>
          </w:tcPr>
          <w:p>
            <w:pPr>
              <w:jc w:val="right"/>
              <w:ind w:right="40"/>
              <w:spacing w:after="0"/>
              <w:rPr>
                <w:sz w:val="20"/>
                <w:szCs w:val="20"/>
                <w:color w:val="auto"/>
              </w:rPr>
            </w:pPr>
            <w:r>
              <w:rPr>
                <w:rFonts w:ascii="Arial" w:cs="Arial" w:eastAsia="Arial" w:hAnsi="Arial"/>
                <w:sz w:val="18"/>
                <w:szCs w:val="18"/>
                <w:color w:val="auto"/>
              </w:rPr>
              <w:t>46%</w:t>
            </w:r>
          </w:p>
        </w:tc>
        <w:tc>
          <w:tcPr>
            <w:tcW w:w="1600" w:type="dxa"/>
            <w:vAlign w:val="bottom"/>
            <w:gridSpan w:val="5"/>
          </w:tcPr>
          <w:p>
            <w:pPr>
              <w:jc w:val="right"/>
              <w:ind w:right="320"/>
              <w:spacing w:after="0"/>
              <w:rPr>
                <w:sz w:val="20"/>
                <w:szCs w:val="20"/>
                <w:color w:val="auto"/>
              </w:rPr>
            </w:pPr>
            <w:r>
              <w:rPr>
                <w:rFonts w:ascii="Arial" w:cs="Arial" w:eastAsia="Arial" w:hAnsi="Arial"/>
                <w:sz w:val="18"/>
                <w:szCs w:val="18"/>
                <w:color w:val="auto"/>
              </w:rPr>
              <w:t>(1)%</w:t>
            </w:r>
          </w:p>
        </w:tc>
        <w:tc>
          <w:tcPr>
            <w:tcW w:w="1180" w:type="dxa"/>
            <w:vAlign w:val="bottom"/>
            <w:gridSpan w:val="5"/>
          </w:tcPr>
          <w:p>
            <w:pPr>
              <w:ind w:left="340"/>
              <w:spacing w:after="0"/>
              <w:rPr>
                <w:sz w:val="20"/>
                <w:szCs w:val="20"/>
                <w:color w:val="auto"/>
              </w:rPr>
            </w:pPr>
            <w:r>
              <w:rPr>
                <w:rFonts w:ascii="Arial" w:cs="Arial" w:eastAsia="Arial" w:hAnsi="Arial"/>
                <w:sz w:val="18"/>
                <w:szCs w:val="18"/>
                <w:color w:val="auto"/>
              </w:rPr>
              <w:t>43%</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Approximately half of the 11% growth in revenues from 2002 to 2003 was driven by two acquisitions in the fourth quarter of 2002 and one acquisition in the first quarter of 2003. The remaining 2003 revenue growth was driven by higher AMR hardware revenues and royalty income, offset by lower revenues from installations related to meter reading systems.</w:t>
      </w:r>
    </w:p>
    <w:p>
      <w:pPr>
        <w:spacing w:after="0" w:line="12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Sales revenues in 2003 increased $32.7 million, or approximately 14%, compared with 2002. AMR module revenues increased $21.1 million as module shipments increased 15% to approximately 4.2 million units in 2003. The three acquisitions above contributed $12.9 million of the increase. Royalty revenue increased by $4.3 million primarily due to increased shipments of solid state electricity meters with our AMR technology embedded. Offsetting these increases were decreased AMR installation revenues of $24.7 million in 2003 compared with $29.6 million in 2002 due to the completion of several large installation contracts. Revenues through indirect sales channels, which include sales through meter manufacturers, business associates and other alliance partners, increased to approximately $60.0 million in 2003, up from $41.3 million in 2002, and were 19% and 15% of total Company revenues for the years ended December 31, 2003 and 2002, respectively. Service revenues decreased slightly in 2003 primarily due to a decline in outsourcing service revenues.</w:t>
      </w:r>
    </w:p>
    <w:p>
      <w:pPr>
        <w:spacing w:after="0" w:line="10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$59.2 million, or 26% increase in revenues in 2002 compared with 2001 principally reflects increased hardware deliveries to existing domestic customers of electric, gas and water AMR modules. One acquisition in the first quarter and two in the fourth quarter of 2002 contributed a combined $11.2 million in 2002 revenues. Service revenues in 2002 included a $1.5 million one-time revenue increase related to a long-term outsourcing contract.</w:t>
      </w:r>
    </w:p>
    <w:p>
      <w:pPr>
        <w:spacing w:after="0" w:line="9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There were no customers that accounted for more than 10% of total Company revenues in 2003. One group of customers, National Grid Companies, accounted for approximately 12% and 15% of total Company revenues in 2002 and 2001, respectively. The top ten customers in 2003, 2002 and 2001 accounted for approximately 35%, 40% and 40% of revenues for the respective periods.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Margins</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Gross margins in 2003 were negatively and significantly impacted by increased warranty expenses, which are reflected in service gross margins. In 2003, we began to experience high field failures for a specific type of electric AMR module. After extensive testing and analysis, we traced the source of the product failures to a change in encapsulation material from a supplier to our component supplier. The defective material was used by the supplier for approximately twelve months. Certain lots of this electric AMR module manufactured during this period included the defective material. Under certain conditions, primarily heat and humidity, there is a slow degradation of the material, which causes the product to fail.</w:t>
      </w:r>
    </w:p>
    <w:p>
      <w:pPr>
        <w:spacing w:after="0" w:line="10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units containing the defective components are primarily isolated at four utilities and in 2003 we began a proactive program to replace affected modules at the two utilities that are experiencing the high failures. We expect to complete the replacements midway through 2004. A warranty accrual of approximately $8.6 million was charged to service cost of sales during the fourth quarter of 2003, which reflects our estimate of the material, labor and other costs we will incur to replace the remaining affected units. Our estimates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3" w:name="page44"/>
    <w:bookmarkEnd w:id="43"/>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 assumptions for the number of units affected, hourly labor charges for installation work, in house material and labor costs to rework affected units, reimbursements from our component supplier and other variable factors. While we believe we have adequately reserved for this issue based on the information that is available to us today, our actual costs may differ from our estimates.</w:t>
      </w:r>
    </w:p>
    <w:p>
      <w:pPr>
        <w:spacing w:after="0" w:line="12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Warranty charges were the primary reason for the 17% decrease in service gross margins from 30% in 2002 to 13% in 2003. Sales gross margins increased 1%, from 49% in 2002 to 50% in 2003, from a combination of factors, including higher manufacturing volumes, lower general market prices for electronic components, higher product royalties and changes in product mix. Our gross margins may vary from period to period depending on the mix of hardware and software products and services.</w:t>
      </w:r>
    </w:p>
    <w:p>
      <w:pPr>
        <w:spacing w:after="0" w:line="13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Gross margins improved to 46% in 2002 compared with 43% in 2001 from a combination of factors, including improved manufacturing efficiencies from higher production volumes and changes in product mix, specific cost reduction efforts, lower general market prices for electronic components and other supply-chain management initiatives. Service gross margins decreased in 2002 primarily due to a one-time increase in costs associated with a long-term service contract.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and Gross Margins</w:t>
      </w:r>
    </w:p>
    <w:p>
      <w:pPr>
        <w:spacing w:after="0" w:line="8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January 2004, we began to implement an organizational change that resulted in a change in our segment reporting from five market facing business units (Electric, Natural Gas, Water &amp; Public Power, International and End User Solutions) to two operating groups (Hardware Solutions and Software Solutions). The segment information in this Form 10-K is based on the new segment reporting structure as of June 30, 2004. Historical segment amounts have been restated.</w:t>
      </w:r>
    </w:p>
    <w:p>
      <w:pPr>
        <w:spacing w:after="0" w:line="9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Management has two primary measures for each of the operating groups: revenues and gross profit (margin). Revenues for each operating group are according to product lines. There are no inter-operating group revenues. Within each operating group, costs of sales include materials, direct labor, and an overhead allocation, as well as variances from standard costs. Service related costs of sales are based on actual time and materials incurred, warranty expense and an allocation of miscellaneous service related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Products</w:t>
      </w:r>
    </w:p>
    <w:p>
      <w:pPr>
        <w:spacing w:after="0" w:line="159" w:lineRule="exact"/>
        <w:rPr>
          <w:sz w:val="20"/>
          <w:szCs w:val="20"/>
          <w:color w:val="auto"/>
        </w:rPr>
      </w:pPr>
    </w:p>
    <w:p>
      <w:pPr>
        <w:spacing w:after="0"/>
        <w:tabs>
          <w:tab w:leader="none" w:pos="2280" w:val="left"/>
        </w:tabs>
        <w:rPr>
          <w:sz w:val="20"/>
          <w:szCs w:val="20"/>
          <w:color w:val="auto"/>
        </w:rPr>
      </w:pPr>
      <w:r>
        <w:rPr>
          <w:rFonts w:ascii="Arial" w:cs="Arial" w:eastAsia="Arial" w:hAnsi="Arial"/>
          <w:sz w:val="14"/>
          <w:szCs w:val="14"/>
          <w:b w:val="1"/>
          <w:bCs w:val="1"/>
          <w:color w:val="auto"/>
        </w:rPr>
        <w:t>Operating Segment</w:t>
      </w:r>
      <w:r>
        <w:rPr>
          <w:sz w:val="20"/>
          <w:szCs w:val="20"/>
          <w:color w:val="auto"/>
        </w:rPr>
        <w:tab/>
      </w:r>
      <w:r>
        <w:rPr>
          <w:rFonts w:ascii="Arial" w:cs="Arial" w:eastAsia="Arial" w:hAnsi="Arial"/>
          <w:sz w:val="12"/>
          <w:szCs w:val="12"/>
          <w:b w:val="1"/>
          <w:bCs w:val="1"/>
          <w:color w:val="auto"/>
        </w:rPr>
        <w:t>Major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1697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2" w:lineRule="exact"/>
        <w:rPr>
          <w:sz w:val="20"/>
          <w:szCs w:val="20"/>
          <w:color w:val="auto"/>
        </w:rPr>
      </w:pPr>
    </w:p>
    <w:p>
      <w:pPr>
        <w:ind w:left="2300" w:hanging="2281"/>
        <w:spacing w:after="0" w:line="259" w:lineRule="auto"/>
        <w:tabs>
          <w:tab w:leader="none" w:pos="2280" w:val="left"/>
        </w:tabs>
        <w:rPr>
          <w:sz w:val="20"/>
          <w:szCs w:val="20"/>
          <w:color w:val="auto"/>
        </w:rPr>
      </w:pPr>
      <w:r>
        <w:rPr>
          <w:rFonts w:ascii="Arial" w:cs="Arial" w:eastAsia="Arial" w:hAnsi="Arial"/>
          <w:sz w:val="18"/>
          <w:szCs w:val="18"/>
          <w:i w:val="1"/>
          <w:iCs w:val="1"/>
          <w:color w:val="auto"/>
        </w:rPr>
        <w:t>Hardware Solutions:</w:t>
      </w:r>
      <w:r>
        <w:rPr>
          <w:sz w:val="20"/>
          <w:szCs w:val="20"/>
          <w:color w:val="auto"/>
        </w:rPr>
        <w:tab/>
      </w:r>
      <w:r>
        <w:rPr>
          <w:rFonts w:ascii="Arial" w:cs="Arial" w:eastAsia="Arial" w:hAnsi="Arial"/>
          <w:sz w:val="18"/>
          <w:szCs w:val="18"/>
          <w:color w:val="auto"/>
        </w:rPr>
        <w:t>Residential and commercial AMR modules, mobile and network AMR reading technologies, SmartSynch meter systems, handheld computers for meter data collection or mobile workforce applications, residential meter data collection software, mobile workforce solutions software and related installation and implementation services.</w:t>
      </w:r>
    </w:p>
    <w:p>
      <w:pPr>
        <w:spacing w:after="0" w:line="194" w:lineRule="exact"/>
        <w:rPr>
          <w:sz w:val="20"/>
          <w:szCs w:val="20"/>
          <w:color w:val="auto"/>
        </w:rPr>
      </w:pPr>
    </w:p>
    <w:p>
      <w:pPr>
        <w:ind w:left="2300" w:right="160" w:hanging="2281"/>
        <w:spacing w:after="0" w:line="370" w:lineRule="auto"/>
        <w:tabs>
          <w:tab w:leader="none" w:pos="2280" w:val="left"/>
        </w:tabs>
        <w:rPr>
          <w:sz w:val="20"/>
          <w:szCs w:val="20"/>
          <w:color w:val="auto"/>
        </w:rPr>
      </w:pPr>
      <w:r>
        <w:rPr>
          <w:rFonts w:ascii="Arial" w:cs="Arial" w:eastAsia="Arial" w:hAnsi="Arial"/>
          <w:sz w:val="18"/>
          <w:szCs w:val="18"/>
          <w:i w:val="1"/>
          <w:iCs w:val="1"/>
          <w:color w:val="auto"/>
        </w:rPr>
        <w:t>Software Solutions:</w:t>
      </w:r>
      <w:r>
        <w:rPr>
          <w:sz w:val="20"/>
          <w:szCs w:val="20"/>
          <w:color w:val="auto"/>
        </w:rPr>
        <w:tab/>
      </w:r>
      <w:r>
        <w:rPr>
          <w:rFonts w:ascii="Arial" w:cs="Arial" w:eastAsia="Arial" w:hAnsi="Arial"/>
          <w:sz w:val="15"/>
          <w:szCs w:val="15"/>
          <w:color w:val="auto"/>
        </w:rPr>
        <w:t>Commercial and industrial meter data collection software, transmission and distribution systems design and optimization software, energy management and asset optimization software, and related implementation, forecasting and consulting services.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tables and discussion highlight significant changes in trends or components of revenues and gross margin for each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94"/>
              </w:rPr>
              <w:t>Year Ended December 31,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85"/>
              </w:rPr>
              <w:t>% Change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520" w:type="dxa"/>
            <w:vAlign w:val="bottom"/>
          </w:tcPr>
          <w:p>
            <w:pPr>
              <w:jc w:val="right"/>
              <w:ind w:right="59"/>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2003-2002</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2002-2001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2140" w:type="dxa"/>
            <w:vAlign w:val="bottom"/>
            <w:gridSpan w:val="8"/>
          </w:tcPr>
          <w:p>
            <w:pPr>
              <w:jc w:val="right"/>
              <w:ind w:right="932"/>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Revenues</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$ 281.4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$ 262.7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209.9</w:t>
            </w:r>
          </w:p>
        </w:tc>
        <w:tc>
          <w:tcPr>
            <w:tcW w:w="5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5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Company</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$ 317.0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$ 284.8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5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gridSpan w:val="2"/>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Borders>
              <w:bottom w:val="single" w:sz="8" w:color="auto"/>
            </w:tcBorders>
            <w:gridSpan w:val="2"/>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gridSpan w:val="9"/>
          </w:tcPr>
          <w:p>
            <w:pPr>
              <w:jc w:val="right"/>
              <w:ind w:right="1020"/>
              <w:spacing w:after="0"/>
              <w:rPr>
                <w:sz w:val="20"/>
                <w:szCs w:val="20"/>
                <w:color w:val="auto"/>
              </w:rPr>
            </w:pPr>
            <w:r>
              <w:rPr>
                <w:rFonts w:ascii="Arial" w:cs="Arial" w:eastAsia="Arial" w:hAnsi="Arial"/>
                <w:sz w:val="14"/>
                <w:szCs w:val="14"/>
                <w:b w:val="1"/>
                <w:bCs w:val="1"/>
                <w:color w:val="auto"/>
                <w:w w:val="89"/>
              </w:rPr>
              <w:t>Year Ended December 31,</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7"/>
              </w:rPr>
              <w:t>Change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108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rPr>
              <w:t>2002</w:t>
            </w: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2003-2002</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2001</w:t>
            </w:r>
          </w:p>
        </w:tc>
        <w:tc>
          <w:tcPr>
            <w:tcW w:w="5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2002-2001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Gross Margin</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Hardware Solutions</w:t>
            </w: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47%</w:t>
            </w:r>
          </w:p>
        </w:tc>
        <w:tc>
          <w:tcPr>
            <w:tcW w:w="1080" w:type="dxa"/>
            <w:vAlign w:val="bottom"/>
            <w:gridSpan w:val="4"/>
          </w:tcPr>
          <w:p>
            <w:pPr>
              <w:jc w:val="right"/>
              <w:ind w:right="152"/>
              <w:spacing w:after="0"/>
              <w:rPr>
                <w:sz w:val="20"/>
                <w:szCs w:val="20"/>
                <w:color w:val="auto"/>
              </w:rPr>
            </w:pPr>
            <w:r>
              <w:rPr>
                <w:rFonts w:ascii="Arial" w:cs="Arial" w:eastAsia="Arial" w:hAnsi="Arial"/>
                <w:sz w:val="18"/>
                <w:szCs w:val="18"/>
                <w:color w:val="auto"/>
              </w:rPr>
              <w:t>48%</w:t>
            </w:r>
          </w:p>
        </w:tc>
        <w:tc>
          <w:tcPr>
            <w:tcW w:w="1320" w:type="dxa"/>
            <w:vAlign w:val="bottom"/>
            <w:gridSpan w:val="4"/>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43%</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 Solutions</w:t>
            </w:r>
          </w:p>
        </w:tc>
        <w:tc>
          <w:tcPr>
            <w:tcW w:w="10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080" w:type="dxa"/>
            <w:vAlign w:val="bottom"/>
            <w:gridSpan w:val="4"/>
            <w:shd w:val="clear" w:color="auto" w:fill="CCEEFF"/>
          </w:tcPr>
          <w:p>
            <w:pPr>
              <w:jc w:val="right"/>
              <w:ind w:right="292"/>
              <w:spacing w:after="0"/>
              <w:rPr>
                <w:sz w:val="20"/>
                <w:szCs w:val="20"/>
                <w:color w:val="auto"/>
              </w:rPr>
            </w:pPr>
            <w:r>
              <w:rPr>
                <w:rFonts w:ascii="Arial" w:cs="Arial" w:eastAsia="Arial" w:hAnsi="Arial"/>
                <w:sz w:val="18"/>
                <w:szCs w:val="18"/>
                <w:color w:val="auto"/>
              </w:rPr>
              <w:t>29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5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tcPr>
          <w:p>
            <w:pPr>
              <w:ind w:left="860"/>
              <w:spacing w:after="0"/>
              <w:rPr>
                <w:sz w:val="20"/>
                <w:szCs w:val="20"/>
                <w:color w:val="auto"/>
              </w:rPr>
            </w:pPr>
            <w:r>
              <w:rPr>
                <w:rFonts w:ascii="Arial" w:cs="Arial" w:eastAsia="Arial" w:hAnsi="Arial"/>
                <w:sz w:val="18"/>
                <w:szCs w:val="18"/>
                <w:color w:val="auto"/>
              </w:rPr>
              <w:t>Total Company</w:t>
            </w: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45%</w:t>
            </w:r>
          </w:p>
        </w:tc>
        <w:tc>
          <w:tcPr>
            <w:tcW w:w="1080" w:type="dxa"/>
            <w:vAlign w:val="bottom"/>
            <w:gridSpan w:val="4"/>
          </w:tcPr>
          <w:p>
            <w:pPr>
              <w:jc w:val="right"/>
              <w:ind w:right="152"/>
              <w:spacing w:after="0"/>
              <w:rPr>
                <w:sz w:val="20"/>
                <w:szCs w:val="20"/>
                <w:color w:val="auto"/>
              </w:rPr>
            </w:pPr>
            <w:r>
              <w:rPr>
                <w:rFonts w:ascii="Arial" w:cs="Arial" w:eastAsia="Arial" w:hAnsi="Arial"/>
                <w:sz w:val="18"/>
                <w:szCs w:val="18"/>
                <w:color w:val="auto"/>
              </w:rPr>
              <w:t>46%</w:t>
            </w:r>
          </w:p>
        </w:tc>
        <w:tc>
          <w:tcPr>
            <w:tcW w:w="1320" w:type="dxa"/>
            <w:vAlign w:val="bottom"/>
            <w:gridSpan w:val="4"/>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43%</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-1317625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-1317625</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-1317625</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-1317625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-1317625</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-1317625</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-1317625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-1317625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-1317625</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1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Hardware Solutions</w:t>
      </w:r>
      <w:r>
        <w:rPr>
          <w:rFonts w:ascii="Arial" w:cs="Arial" w:eastAsia="Arial" w:hAnsi="Arial"/>
          <w:sz w:val="16"/>
          <w:szCs w:val="16"/>
          <w:color w:val="auto"/>
        </w:rPr>
        <w:t>: Revenues in 2003 increased $18.7 million, or 7%, compared with 2002, primarily as a result of increased AMR system sales.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AMR revenues grew slower in 2003 compared with the previous two years as several large AMR orders were completed and not replaced by new bookings of similar size orders. In particular, in 2003 several large investor owned electric utilities and electric and gas combination utilities delayed orders due to several instances of extreme weather, a major blackout in the Northeastern U.S. and other utility specific delays in capital spending. Sales of handheld computer systems were slightly higher in 2003, while maintenance services were lower due to initial warranty periods for new handheld system sales. Revenues in 2002 increased by $52.8 million, compared with 2001, or 25%, resulting from increased AMR shipments.</w:t>
      </w:r>
    </w:p>
    <w:p>
      <w:pPr>
        <w:spacing w:after="0" w:line="10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There were no customers that represented more than 10% of Hardware Solutions revenues in 2003. One group of customers represented approximately 13% and 17% of Hardware Solutions revenues in 2002 and 2001, respectively, and approximately 12% and 15% of total Company revenues in 2002 and 2001, respectively. Revenues under existing contracts with this customer were substantially recognized in late 2003.</w:t>
      </w:r>
    </w:p>
    <w:p>
      <w:pPr>
        <w:spacing w:after="0" w:line="93"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Hardware Solutions gross margins in 2003 were relatively constant, compared with 2002, due to offsetting factors. Favorable changes in product mix and an increase in royalty revenues of approximately $4.8 million, primarily from SEM, contributed to higher gross margin in 2003. Offsetting these gross margin increases was an increase in warranty expense discussed above under Total Company Gross Margins. In addition, higher than normal installation costs on an AMR contract with one customer, due to poor productivity issues with a third party contractor, impacted gross margin. Late in 2003, we switched to a new third party contractor to complete the project within a timeframe that was acceptable to the customer. The poor productivity issues resulted in our incurring higher installation costs than originally budgeted. In the fourth quarter of 2003, we had $2.2 million in costs for this contract that were in excess of revenues, approximately $1.0 million of which is a forward loss accrual for the estimated 2004 operations. We expect to complete the installation work for this contract around the end of the first quarter of 2004. Also impacting Hardware Solutions gross margin was a decrease in the average selling prices of electric meter modules in certain large orders. The 5% improvement in Hardware Solutions margins from 2001 to 2002 resulted primarily from lower standard hardware costs due to higher planned production volumes and other manufacturing efficiencies, as well as a shift in the mix of products and services.</w:t>
      </w:r>
    </w:p>
    <w:p>
      <w:pPr>
        <w:spacing w:after="0" w:line="10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 xml:space="preserve">Software Solutions: </w:t>
      </w:r>
      <w:r>
        <w:rPr>
          <w:rFonts w:ascii="Arial" w:cs="Arial" w:eastAsia="Arial" w:hAnsi="Arial"/>
          <w:sz w:val="16"/>
          <w:szCs w:val="16"/>
          <w:color w:val="auto"/>
        </w:rPr>
        <w:t>Revenues in 2003 increased $13.5 million, or 61%, compared with 2002 as a result of one acquisition in the fourth quarter of 2002 and one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in the first quarter of 2003. Revenues in 2002 increased $6.4 million or 41%, compared with 2001, as a result of one acquisition in the first quarter and two in the fourth quarter of 2002, as well as a $1.5 million one-time revenue increase related to a long-term outsourcing contract.</w:t>
      </w:r>
    </w:p>
    <w:p>
      <w:pPr>
        <w:spacing w:after="0" w:line="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Gross margins in 2003 were comparable with 2002, due to offsetting factors. Gross margin increases on software maintenance revenue were offset by decreased internal workforce utilization rates for software. Gross margins in 2002, compared with 2001, decreased 17% due to a change in product mix as a result of the 2002 acquisitions.</w:t>
      </w:r>
    </w:p>
    <w:p>
      <w:pPr>
        <w:spacing w:after="0" w:line="127"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There were no customers that represented more than 10% of Software Solutions revenues in 2003. One customer in 2002 represented 16% of total Software Solutions revenues, and two customers represented 14% and 12% of Software Solutions revenues in 2001. These customers represented less than 1% of total company revenues during 2003, 2002 and 2001.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Operating Expenses</w:t>
      </w:r>
    </w:p>
    <w:p>
      <w:pPr>
        <w:spacing w:after="0" w:line="8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following table details our total operating expenses in dollars and as a percent of revenues. Certain amounts in 2002 and 2001 have been reclassified to conform to the 2003 presentation.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gridSpan w:val="6"/>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5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37"/>
        </w:trPr>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of</w:t>
            </w:r>
          </w:p>
        </w:tc>
      </w:tr>
      <w:tr>
        <w:trPr>
          <w:trHeight w:val="174"/>
        </w:trPr>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2003</w:t>
            </w:r>
          </w:p>
        </w:tc>
        <w:tc>
          <w:tcPr>
            <w:tcW w:w="460" w:type="dxa"/>
            <w:vAlign w:val="bottom"/>
          </w:tcPr>
          <w:p>
            <w:pPr>
              <w:spacing w:after="0"/>
              <w:rPr>
                <w:sz w:val="15"/>
                <w:szCs w:val="15"/>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78"/>
              </w:rPr>
              <w:t>Revenue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2002</w:t>
            </w:r>
          </w:p>
        </w:tc>
        <w:tc>
          <w:tcPr>
            <w:tcW w:w="46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2"/>
              </w:rPr>
              <w:t>Revenue</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5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8"/>
              </w:rPr>
              <w:t>Revenue</w:t>
            </w:r>
          </w:p>
        </w:tc>
      </w:tr>
      <w:tr>
        <w:trPr>
          <w:trHeight w:val="95"/>
        </w:trPr>
        <w:tc>
          <w:tcPr>
            <w:tcW w:w="5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5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Operating Expenses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36.7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30.6</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11%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$ 25.0</w:t>
            </w:r>
          </w:p>
        </w:tc>
        <w:tc>
          <w:tcPr>
            <w:tcW w:w="5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43.0</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28.9</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5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Restructurings</w:t>
            </w:r>
          </w:p>
        </w:tc>
        <w:tc>
          <w:tcPr>
            <w:tcW w:w="10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2.2</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8"/>
                <w:szCs w:val="18"/>
                <w:color w:val="auto"/>
              </w:rPr>
              <w:t>(1.2)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r>
      <w:tr>
        <w:trPr>
          <w:trHeight w:val="222"/>
        </w:trPr>
        <w:tc>
          <w:tcPr>
            <w:tcW w:w="5640" w:type="dxa"/>
            <w:vAlign w:val="bottom"/>
          </w:tcPr>
          <w:p>
            <w:pPr>
              <w:spacing w:after="0"/>
              <w:rPr>
                <w:sz w:val="20"/>
                <w:szCs w:val="20"/>
                <w:color w:val="auto"/>
              </w:rPr>
            </w:pPr>
            <w:r>
              <w:rPr>
                <w:rFonts w:ascii="Arial" w:cs="Arial" w:eastAsia="Arial" w:hAnsi="Arial"/>
                <w:sz w:val="18"/>
                <w:szCs w:val="18"/>
                <w:color w:val="auto"/>
              </w:rPr>
              <w:t>Litigation accrual</w:t>
            </w:r>
          </w:p>
        </w:tc>
        <w:tc>
          <w:tcPr>
            <w:tcW w:w="100" w:type="dxa"/>
            <w:vAlign w:val="bottom"/>
          </w:tcPr>
          <w:p>
            <w:pPr>
              <w:spacing w:after="0"/>
              <w:rPr>
                <w:sz w:val="19"/>
                <w:szCs w:val="19"/>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0.5</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r>
      <w:tr>
        <w:trPr>
          <w:trHeight w:val="102"/>
        </w:trPr>
        <w:tc>
          <w:tcPr>
            <w:tcW w:w="5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5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121.8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114.1</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$ 72.0</w:t>
            </w:r>
          </w:p>
        </w:tc>
        <w:tc>
          <w:tcPr>
            <w:tcW w:w="5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108"/>
        </w:trPr>
        <w:tc>
          <w:tcPr>
            <w:tcW w:w="5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increased during 2002 and 2003 primarily due to three acquisitions in 2002 and one in 2003.</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Sales and marketing expenses increased $6.1 million, or 20%, in 2003 and $5.6 million, or 22%, in 2002 as a result of additional sales and marketing staff and product marketing activities primarily related to new products and services from acquisitions. However, as a percentage of revenues, sales and marketing increased only slightly from 2001 to 2003. These increases in expenses were partially offset by no bonus and profit sharing expense in 2003, compared with $1.4 million and $968,000 in 2002 and 2001, respectively.</w:t>
      </w:r>
    </w:p>
    <w:p>
      <w:pPr>
        <w:spacing w:after="0" w:line="130"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Product development expenses increased $6.2 million, or 17%, in 2003 and $6.8 million, or 23%, in 2002 due primarily to increased staffing and other development expenses related to acquisitions. However, as a percentage of revenues, product development increased slightly from 2001 to 2003. These increases in expenses were partially offset by no bonus and profit sharing expense in 2003, compared with $1.5 million and $1.9 million in 2002 and 2001,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increased $2.2 million, or 8%, in 2003 compared with 2002 but remained relatively constant at 9% of revenues. Expenses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increased $9.9 million from 2001 to 2002, and also increased 2% as a percentage of revenues. Approximately half of the expense increase in 2002 and 2003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resulted from acquisitions. Consulting costs related to Sarbanes-Oxley compliance and legal costs associated with a patent litigation were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$600,000 and $300,000 higher in 2003 than in 2002. These increases in expenses were partially offset by no bonus and profit sharing expense in 2003, compared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with $2.7 million and approximately $1.0 million in 2002 and 2001, respectively.</w:t>
      </w:r>
    </w:p>
    <w:p>
      <w:pPr>
        <w:spacing w:after="0" w:line="15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Amortization of intangibles increased as a result of the addition of $14.3 million and $16.2 million in amortizable intangible assets from acquisitions completed in 2003 and 2002, respectively. There is no goodwill amortization in 2003 and 2002 due to the adoption of Statement of Financial Accounting Standards (SFAS) No. 142 as of January 1, 2002. Goodwill amortization was $749,000 in 2001. We completed our initial impairment test of goodwill in the second quarter of 2002, and our annual impairment test in the fourth quarters of 2003 and 2002, and concluded in all cases that goodwill was not impaired.</w:t>
      </w:r>
    </w:p>
    <w:p>
      <w:pPr>
        <w:spacing w:after="0" w:line="9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January 2003, we initiated a restructuring of our EIS product group in Raleigh, North Carolina, which resulted in a charge of approximately $2.0 million related to workforce reductions. The EIS restructuring plan was substantially completed during 2003. In 2002, we expensed $3.1 million for planned costs related to the restructuring of our European operations. The restructuring plan resulted in the closure of the Vienne, France office, a reduction in workforce, the consolidation of product development efforts into existing Company locations and the outsourcing of select production efforts in order to improve the overall profitability of our International operations. Continuation of this activity in 2003 resulted in an additional $259,000 of restructuring charges in 2003 from the write-down of fixed assets and lease termination charges and international restructuring activities were substantially complete by mid-2003. We had a recovery of $1.2 million in 2001 of previously expensed restructuring charges from a sublease of office space that was on more favorable terms than originally anticipated.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In-Process Research and Development</w:t>
      </w:r>
    </w:p>
    <w:p>
      <w:pPr>
        <w:spacing w:after="0" w:line="83"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During 2003 we recorded a $900,000 charge for IPR&amp;D related to the acquisition of Silicon and in 2002 a $7.2 million charge for IPR&amp;D related to the acquisition of LineSoft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6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Estimated Cost</w:t>
            </w:r>
          </w:p>
        </w:tc>
        <w:tc>
          <w:tcPr>
            <w:tcW w:w="720" w:type="dxa"/>
            <w:vAlign w:val="bottom"/>
          </w:tcPr>
          <w:p>
            <w:pPr>
              <w:spacing w:after="0"/>
              <w:rPr>
                <w:sz w:val="12"/>
                <w:szCs w:val="12"/>
                <w:color w:val="auto"/>
              </w:rPr>
            </w:pPr>
          </w:p>
        </w:tc>
        <w:tc>
          <w:tcPr>
            <w:tcW w:w="17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Discount Rate</w:t>
            </w: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6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6"/>
              </w:rPr>
              <w:t>to Complete</w:t>
            </w:r>
          </w:p>
        </w:tc>
        <w:tc>
          <w:tcPr>
            <w:tcW w:w="720" w:type="dxa"/>
            <w:vAlign w:val="bottom"/>
          </w:tcPr>
          <w:p>
            <w:pPr>
              <w:spacing w:after="0"/>
              <w:rPr>
                <w:sz w:val="12"/>
                <w:szCs w:val="12"/>
                <w:color w:val="auto"/>
              </w:rPr>
            </w:pPr>
          </w:p>
        </w:tc>
        <w:tc>
          <w:tcPr>
            <w:tcW w:w="17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Applied to</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Cost of</w:t>
            </w:r>
          </w:p>
        </w:tc>
      </w:tr>
      <w:tr>
        <w:trPr>
          <w:trHeight w:val="174"/>
        </w:trPr>
        <w:tc>
          <w:tcPr>
            <w:tcW w:w="6040" w:type="dxa"/>
            <w:vAlign w:val="bottom"/>
          </w:tcPr>
          <w:p>
            <w:pPr>
              <w:spacing w:after="0"/>
              <w:rPr>
                <w:sz w:val="15"/>
                <w:szCs w:val="15"/>
                <w:color w:val="auto"/>
              </w:rPr>
            </w:pP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w w:val="96"/>
              </w:rPr>
              <w:t>IPR&amp;D</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Technology</w:t>
            </w:r>
          </w:p>
        </w:tc>
        <w:tc>
          <w:tcPr>
            <w:tcW w:w="720" w:type="dxa"/>
            <w:vAlign w:val="bottom"/>
          </w:tcPr>
          <w:p>
            <w:pPr>
              <w:spacing w:after="0"/>
              <w:rPr>
                <w:sz w:val="15"/>
                <w:szCs w:val="15"/>
                <w:color w:val="auto"/>
              </w:rPr>
            </w:pPr>
          </w:p>
        </w:tc>
        <w:tc>
          <w:tcPr>
            <w:tcW w:w="17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rPr>
              <w:t>IPR&amp;D</w:t>
            </w: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Capital</w:t>
            </w:r>
          </w:p>
        </w:tc>
      </w:tr>
      <w:tr>
        <w:trPr>
          <w:trHeight w:val="95"/>
        </w:trPr>
        <w:tc>
          <w:tcPr>
            <w:tcW w:w="6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9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6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gridSpan w:val="3"/>
          </w:tcPr>
          <w:p>
            <w:pPr>
              <w:jc w:val="right"/>
              <w:ind w:right="1720"/>
              <w:spacing w:after="0"/>
              <w:rPr>
                <w:sz w:val="20"/>
                <w:szCs w:val="20"/>
                <w:color w:val="auto"/>
              </w:rPr>
            </w:pPr>
            <w:r>
              <w:rPr>
                <w:rFonts w:ascii="Arial" w:cs="Arial" w:eastAsia="Arial" w:hAnsi="Arial"/>
                <w:sz w:val="14"/>
                <w:szCs w:val="14"/>
                <w:b w:val="1"/>
                <w:bCs w:val="1"/>
                <w:color w:val="auto"/>
                <w:w w:val="94"/>
              </w:rPr>
              <w:t>(in millions)</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Silicon Energy Corp.</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80" w:type="dxa"/>
            <w:vAlign w:val="bottom"/>
            <w:gridSpan w:val="2"/>
            <w:shd w:val="clear" w:color="auto" w:fill="CCEEFF"/>
          </w:tcPr>
          <w:p>
            <w:pPr>
              <w:ind w:left="80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24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6040" w:type="dxa"/>
            <w:vAlign w:val="bottom"/>
          </w:tcPr>
          <w:p>
            <w:pPr>
              <w:spacing w:after="0"/>
              <w:rPr>
                <w:sz w:val="20"/>
                <w:szCs w:val="20"/>
                <w:color w:val="auto"/>
              </w:rPr>
            </w:pPr>
            <w:r>
              <w:rPr>
                <w:rFonts w:ascii="Arial" w:cs="Arial" w:eastAsia="Arial" w:hAnsi="Arial"/>
                <w:sz w:val="18"/>
                <w:szCs w:val="18"/>
                <w:color w:val="auto"/>
              </w:rPr>
              <w:t>LineSoft Corporation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7.2</w:t>
            </w:r>
          </w:p>
        </w:tc>
        <w:tc>
          <w:tcPr>
            <w:tcW w:w="880" w:type="dxa"/>
            <w:vAlign w:val="bottom"/>
            <w:gridSpan w:val="2"/>
          </w:tcPr>
          <w:p>
            <w:pPr>
              <w:ind w:left="80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2480" w:type="dxa"/>
            <w:vAlign w:val="bottom"/>
            <w:gridSpan w:val="3"/>
          </w:tcPr>
          <w:p>
            <w:pPr>
              <w:jc w:val="right"/>
              <w:ind w:right="780"/>
              <w:spacing w:after="0"/>
              <w:rPr>
                <w:sz w:val="20"/>
                <w:szCs w:val="20"/>
                <w:color w:val="auto"/>
              </w:rPr>
            </w:pPr>
            <w:r>
              <w:rPr>
                <w:rFonts w:ascii="Arial" w:cs="Arial" w:eastAsia="Arial" w:hAnsi="Arial"/>
                <w:sz w:val="18"/>
                <w:szCs w:val="18"/>
                <w:color w:val="auto"/>
              </w:rPr>
              <w:t>25%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At the time of the acquisitions, Silicon and LineSoft were in the process of developing new software products that had not yet reached technological feasibility.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expect to benefit as products that contain the in-process technology are marketed and sold to end-users.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8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8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2003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center"/>
              <w:ind w:right="36"/>
              <w:spacing w:after="0"/>
              <w:rPr>
                <w:sz w:val="20"/>
                <w:szCs w:val="20"/>
                <w:color w:val="auto"/>
              </w:rPr>
            </w:pPr>
            <w:r>
              <w:rPr>
                <w:rFonts w:ascii="Arial" w:cs="Arial" w:eastAsia="Arial" w:hAnsi="Arial"/>
                <w:sz w:val="14"/>
                <w:szCs w:val="14"/>
                <w:b w:val="1"/>
                <w:bCs w:val="1"/>
                <w:color w:val="auto"/>
                <w:w w:val="83"/>
              </w:rPr>
              <w:t>2002</w:t>
            </w: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2001</w:t>
            </w:r>
          </w:p>
        </w:tc>
        <w:tc>
          <w:tcPr>
            <w:tcW w:w="100" w:type="dxa"/>
            <w:vAlign w:val="bottom"/>
          </w:tcPr>
          <w:p>
            <w:pPr>
              <w:spacing w:after="0"/>
              <w:rPr>
                <w:sz w:val="22"/>
                <w:szCs w:val="22"/>
                <w:color w:val="auto"/>
              </w:rPr>
            </w:pPr>
          </w:p>
        </w:tc>
      </w:tr>
      <w:tr>
        <w:trPr>
          <w:trHeight w:val="95"/>
        </w:trPr>
        <w:tc>
          <w:tcPr>
            <w:tcW w:w="8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8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Equity in affiliates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5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1,187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1,410</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(2,638)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(2,061)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(5,112)</w:t>
            </w:r>
          </w:p>
        </w:tc>
      </w:tr>
      <w:tr>
        <w:trPr>
          <w:trHeight w:val="222"/>
        </w:trPr>
        <w:tc>
          <w:tcPr>
            <w:tcW w:w="83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(1,395)</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1,465</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r>
      <w:tr>
        <w:trPr>
          <w:trHeight w:val="102"/>
        </w:trPr>
        <w:tc>
          <w:tcPr>
            <w:tcW w:w="8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8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(3,795)</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5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(4,494)</w:t>
            </w:r>
          </w:p>
        </w:tc>
      </w:tr>
      <w:tr>
        <w:trPr>
          <w:trHeight w:val="108"/>
        </w:trPr>
        <w:tc>
          <w:tcPr>
            <w:tcW w:w="8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Included in equity in affiliates is income related to our 30% equity interest in Servatron, Inc. (Servatron), a company that performs contract manufacturing and repair services for us, of $79,000, $97,000 and $85,000 in 2003, 2002 and 2001, respectively. In 2001, we wrote-off approximately $850,000 of an investment in an affiliate.</w:t>
      </w:r>
    </w:p>
    <w:p>
      <w:pPr>
        <w:spacing w:after="0" w:line="127"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Interest income decreased by $1.0 million in 2003, compared with 2002, due to lower cash investments, as well as a reduction of $200,000 in interest income associated with an impairment of loans provided to Home EcoSystems, Inc., dba Lanthorn Technologies, Inc. (Lanthorn).</w:t>
      </w:r>
    </w:p>
    <w:p>
      <w:pPr>
        <w:spacing w:after="0" w:line="7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Interest expense in 2003 resulted primarily from interest expense and amortization of loan origination fees on the term loan and credit line entered into in March 2003 for the Silicon acquisition. Interest expense in 2002 and 2001 resulted primarily from subordinated debt, which we converted to equity in April and May 2002. In addition, in 2001, we had interest expense related to mortgage debt for our Spokane facility. The weighted average of outstanding borrowings was $43.8 million in 2003, compared with $24.5 million in 2002 and $64.9 million in 2001.</w:t>
      </w:r>
    </w:p>
    <w:p>
      <w:pPr>
        <w:spacing w:after="0" w:line="13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Other income (expense), net, decreased in 2003, compared with 2002, primarily due to the impairment and write-down of minority investments in two companies. We recorded a $1.7 million impairment of the $2.4 million in loans we provided to Lanthorn due to a consideration of the estimated fair market value of the company as indicated by Lanthorn’s last round of financing. The loans may be converted at any time into common stock of Lanthorn. In addition, we wrote-off our ownership interest in another minority investment of approximately $500,000 in 2003, as we believe the company ceased operations during the fourth quarter of 2003. Included in 2002 other income (expense), net, was an $841,000 pretax gain from the sale of our Raleigh, NC facility and a $200,000 pretax gain from the early payoff of the mortgage on our Spokane facility.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Taxes</w:t>
      </w:r>
    </w:p>
    <w:p>
      <w:pPr>
        <w:spacing w:after="0" w:line="83"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2003 our effective income tax rate was approximately 41.5% compared with 54.0% and 37.0% in 2002 and 2001, respectively. The 2003 and 2002 rates include no tax benefit recognized for the $900,000 and $7.2 million IPR&amp;D expenses since IPR&amp;D charges are not tax deductible. Excluding the impact of non-tax deductible IPR&amp;D charges in 2003 and 2002, the adjusted effective tax rates were 39.5% and 39.0%, respectively. Our effective income tax rate can vary from period to period due to fluctuations in operating results, changes in the valuation allowances for deferred tax assets (which reduce the tax assets to an amount that more likely than not will be realized), new or revised tax legislation and changes in the level of business performed in domestic and international tax jurisdictions.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5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2003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2002</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2001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(in millions)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 Information</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activities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49.2</w:t>
            </w:r>
          </w:p>
        </w:tc>
        <w:tc>
          <w:tcPr>
            <w:tcW w:w="5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(85.2)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(23.3)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Financing activities</w:t>
            </w:r>
          </w:p>
        </w:tc>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2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(26.3)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We generated $10.3 million of cash from operations for the year ended December 31, 2003, compared with $49.2 million in 2002.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cash flow in 2003 was negatively impacted by a $7.9 million cash payment to settle a patent infringement litigation, $7.4 million of which was accrued in 2002. In addition, a $4.0 million payment in May 2003 to Duquesne Light Company related to an amendment to our long-term warranty and maintenance agreement, was paid against an accrued loss for that contract and reduced operating cash flow. We used $7.1 million in cash in 2003 for bonus and profit sharing compared with generating $1.8 million in cash in 2002. The change primarily resulting from no accrual in 2003 for bonus and profit sharing. Also contributing to lower operating cash flows were payments in 2003 for restructuring accruals in 2002 and higher accounts receivable balances at the end of 2003 compared with 2002 due to the timing of sales late in December 2003 and customers taking slightly longer to pay in 2003. Days sales outstanding (DSO) totaled 69 days in 2003 compared with DSO of 60 days in 2002.</w:t>
      </w:r>
    </w:p>
    <w:p>
      <w:pPr>
        <w:spacing w:after="0" w:line="10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generated $32.3 million in cash from operations in 2001 compared with $49.2 million in 2002. Improved operating cash flow in 2002 resulted primarily from higher bonus and profit sharing accruals in 2002 compared with 2001 and slightly faster turnover of accounts receivable. DSO totaled 60 days in 2002 compared with DSO of 62 days in 2001.</w:t>
      </w:r>
    </w:p>
    <w:p>
      <w:pPr>
        <w:spacing w:after="0" w:line="127" w:lineRule="exact"/>
        <w:rPr>
          <w:sz w:val="20"/>
          <w:szCs w:val="20"/>
          <w:color w:val="auto"/>
        </w:rPr>
      </w:pPr>
    </w:p>
    <w:p>
      <w:pPr>
        <w:jc w:val="both"/>
        <w:ind w:right="120"/>
        <w:spacing w:after="0" w:line="290"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We used $71.1 million in cash for the Silicon acquisition during 2003 compared with $42.9 million used for three acquisitions during 2002.</w:t>
      </w:r>
      <w:r>
        <w:rPr>
          <w:rFonts w:ascii="Arial" w:cs="Arial" w:eastAsia="Arial" w:hAnsi="Arial"/>
          <w:sz w:val="16"/>
          <w:szCs w:val="16"/>
          <w:i w:val="1"/>
          <w:iCs w:val="1"/>
          <w:color w:val="auto"/>
        </w:rPr>
        <w:t xml:space="preserve"> </w:t>
      </w:r>
      <w:r>
        <w:rPr>
          <w:rFonts w:ascii="Arial" w:cs="Arial" w:eastAsia="Arial" w:hAnsi="Arial"/>
          <w:sz w:val="16"/>
          <w:szCs w:val="16"/>
          <w:color w:val="auto"/>
        </w:rPr>
        <w:t>There were no acquisitions in 2001. We used $3.7 million for SEM pre-acquisition costs during 2003, with no comparable activity in 2002 and 2001. We loaned $405,000 to Lanthorn during 2003, compared with $2.0 million in 2002. We used $9.6 million in cash for property, plant and equipment purchases during 2003, compared with $10.5 million and $7.6 million in 2002 and 2001, respectively. We liquidated short-term investments in 2002, primarily to fund acquisitions. Net proceeds from short-term investments were $22.1 million in 2002, compared with net purchases of $22.2 million in 2001. During 2002, proceeds of $1.9 million on the sale of property, plant and equipment and the reclassification of $5.1 million from restricted cash for a collateralized letter of credit to cash as a result of a new credit facility also contributed to cash inflows.</w:t>
      </w:r>
    </w:p>
    <w:p>
      <w:pPr>
        <w:spacing w:after="0" w:line="105"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In connection with the purchase of LineSoft in March 2002, we replaced a pre-existing non-recourse loan in the amount of $2.0 million to the former Chief Executive Officer of LineSoft with a new non-recourse promissory note, secured with our common stock, in the same amount. At December 31, 2002, the loan balance was approximately $473,000 and bore interest at an annual rate of 6.0%. The replacement note matured on May 11, 2003 and to settle the note, the remaining shares that secured the note were transferred to us. The fair value of the shares was less than the outstanding balance on the note resulting in an expense of approximately $170,000 during 2003 to write-off the residual value of the note.</w:t>
      </w:r>
    </w:p>
    <w:p>
      <w:pPr>
        <w:spacing w:after="0" w:line="1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In connection with the Silicon acquisition in March 2003, we received $50.0 million in proceeds from a term loan under a new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and paid debt origination fees of $1.9 million. Repayments on the term loan were $12.5 million in 2003. We had $10.0 million outstanding on our revolving line of credit at December 31, 2003 compared with no borrowings outstanding at the end of 2002 and 2001. We received $3.7 million from employee stock purchase plan purchases and stock option exercises during 2003, compared with $7.7 million and $7.8 million for the same periods in 2002 and 2001, respectively. Cash used during 2002, included $4.9 million for the early repayment of mortgage debt, $3.5 million to repay credit lines and long-term debt assumed in the LineSoft acquisition and $12.6 million to repurchase 807,900 shares of common stock. Cash used during 2001, included $1.9 million to repurchase 85,100 shares of common stock.</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48" w:name="page49"/>
    <w:bookmarkEnd w:id="48"/>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Disclosures about contractual obligations and commitments</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summarizes our known obligations to make future payments pursuant to certain contracts as of December 31, 2003, as well as an estimate of the timing in which these obligations are expected to be satisfied.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2"/>
              </w:rPr>
              <w:t>Less than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1-3</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3-5</w:t>
            </w:r>
          </w:p>
        </w:tc>
        <w:tc>
          <w:tcPr>
            <w:tcW w:w="440" w:type="dxa"/>
            <w:vAlign w:val="bottom"/>
          </w:tcPr>
          <w:p>
            <w:pPr>
              <w:spacing w:after="0"/>
              <w:rPr>
                <w:sz w:val="14"/>
                <w:szCs w:val="14"/>
                <w:color w:val="auto"/>
              </w:rPr>
            </w:pPr>
          </w:p>
        </w:tc>
        <w:tc>
          <w:tcPr>
            <w:tcW w:w="54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Beyond</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 year</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years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years</w:t>
            </w:r>
          </w:p>
        </w:tc>
        <w:tc>
          <w:tcPr>
            <w:tcW w:w="440" w:type="dxa"/>
            <w:vAlign w:val="bottom"/>
          </w:tcPr>
          <w:p>
            <w:pPr>
              <w:spacing w:after="0"/>
              <w:rPr>
                <w:sz w:val="15"/>
                <w:szCs w:val="15"/>
                <w:color w:val="auto"/>
              </w:rPr>
            </w:pPr>
          </w:p>
        </w:tc>
        <w:tc>
          <w:tcPr>
            <w:tcW w:w="540" w:type="dxa"/>
            <w:vAlign w:val="bottom"/>
            <w:gridSpan w:val="3"/>
          </w:tcPr>
          <w:p>
            <w:pPr>
              <w:ind w:left="60"/>
              <w:spacing w:after="0"/>
              <w:rPr>
                <w:sz w:val="20"/>
                <w:szCs w:val="20"/>
                <w:color w:val="auto"/>
              </w:rPr>
            </w:pPr>
            <w:r>
              <w:rPr>
                <w:rFonts w:ascii="Arial" w:cs="Arial" w:eastAsia="Arial" w:hAnsi="Arial"/>
                <w:sz w:val="14"/>
                <w:szCs w:val="14"/>
                <w:b w:val="1"/>
                <w:bCs w:val="1"/>
                <w:color w:val="auto"/>
                <w:w w:val="95"/>
              </w:rPr>
              <w:t>5 years</w:t>
            </w: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18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Term loan debt </w:t>
            </w:r>
            <w:r>
              <w:rPr>
                <w:rFonts w:ascii="Arial" w:cs="Arial" w:eastAsia="Arial" w:hAnsi="Arial"/>
                <w:sz w:val="22"/>
                <w:szCs w:val="22"/>
                <w:color w:val="auto"/>
                <w:vertAlign w:val="superscript"/>
              </w:rPr>
              <w:t>(1)</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Project financing debt </w:t>
            </w:r>
            <w:r>
              <w:rPr>
                <w:rFonts w:ascii="Arial" w:cs="Arial" w:eastAsia="Arial" w:hAnsi="Arial"/>
                <w:sz w:val="22"/>
                <w:szCs w:val="22"/>
                <w:color w:val="auto"/>
                <w:vertAlign w:val="superscript"/>
              </w:rPr>
              <w:t>(1)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4,763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84"/>
              </w:rPr>
              <w:t>1,657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84"/>
              </w:rPr>
              <w:t>1,927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9"/>
              </w:rPr>
              <w:t>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Revolving credit line </w:t>
            </w:r>
            <w:r>
              <w:rPr>
                <w:rFonts w:ascii="Arial" w:cs="Arial" w:eastAsia="Arial" w:hAnsi="Arial"/>
                <w:sz w:val="22"/>
                <w:szCs w:val="22"/>
                <w:color w:val="auto"/>
                <w:vertAlign w:val="superscript"/>
              </w:rPr>
              <w:t>(1) (2)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Operating and capital lease obligations </w:t>
            </w:r>
            <w:r>
              <w:rPr>
                <w:rFonts w:ascii="Arial" w:cs="Arial" w:eastAsia="Arial" w:hAnsi="Arial"/>
                <w:sz w:val="22"/>
                <w:szCs w:val="22"/>
                <w:color w:val="auto"/>
                <w:vertAlign w:val="superscript"/>
              </w:rPr>
              <w:t>(3)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12,115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4,970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84"/>
              </w:rPr>
              <w:t>4,910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84"/>
              </w:rPr>
              <w:t>2,024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9"/>
              </w:rPr>
              <w:t>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Guaranteed lease payments for an affiliate </w:t>
            </w:r>
            <w:r>
              <w:rPr>
                <w:rFonts w:ascii="Arial" w:cs="Arial" w:eastAsia="Arial" w:hAnsi="Arial"/>
                <w:sz w:val="22"/>
                <w:szCs w:val="22"/>
                <w:color w:val="auto"/>
                <w:vertAlign w:val="superscript"/>
              </w:rPr>
              <w:t>(4)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269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Purchase and service commitments </w:t>
            </w:r>
            <w:r>
              <w:rPr>
                <w:rFonts w:ascii="Arial" w:cs="Arial" w:eastAsia="Arial" w:hAnsi="Arial"/>
                <w:sz w:val="22"/>
                <w:szCs w:val="22"/>
                <w:color w:val="auto"/>
                <w:vertAlign w:val="superscript"/>
              </w:rPr>
              <w:t>(5)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69,456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69,456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Other long-term liabilities reflected on the balance sheet under generally accepted</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accounting principles</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8,539</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2,547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145,359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131,374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6,836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3,951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3,198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4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tcBorders>
          </w:tcPr>
          <w:p>
            <w:pPr>
              <w:spacing w:after="0"/>
              <w:rPr>
                <w:sz w:val="18"/>
                <w:szCs w:val="18"/>
                <w:color w:val="auto"/>
              </w:rPr>
            </w:pPr>
          </w:p>
        </w:tc>
        <w:tc>
          <w:tcPr>
            <w:tcW w:w="4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Borrowings are disclosed within footnote 9 in the “Notes to Consolidated Financial Statements.”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The revolving credit line was fully paid in January 2004.</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Operating and capital lease obligations are disclosed in footnote 18 in the “Notes to Consolidated Financial Statements.”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Guaranteed lease payments for an affiliate are disclosed in footnote 17 in the “Notes to the Consolidated Financial Statements.”</w:t>
      </w:r>
    </w:p>
    <w:p>
      <w:pPr>
        <w:spacing w:after="0" w:line="8" w:lineRule="exact"/>
        <w:rPr>
          <w:rFonts w:ascii="Arial" w:cs="Arial" w:eastAsia="Arial" w:hAnsi="Arial"/>
          <w:sz w:val="22"/>
          <w:szCs w:val="22"/>
          <w:color w:val="auto"/>
          <w:vertAlign w:val="superscript"/>
        </w:rPr>
      </w:pPr>
    </w:p>
    <w:p>
      <w:pPr>
        <w:ind w:left="460" w:right="100" w:hanging="452"/>
        <w:spacing w:after="0" w:line="254" w:lineRule="auto"/>
        <w:tabs>
          <w:tab w:leader="none" w:pos="460" w:val="left"/>
        </w:tabs>
        <w:numPr>
          <w:ilvl w:val="0"/>
          <w:numId w:val="6"/>
        </w:numPr>
        <w:rPr>
          <w:rFonts w:ascii="Arial" w:cs="Arial" w:eastAsia="Arial" w:hAnsi="Arial"/>
          <w:sz w:val="21"/>
          <w:szCs w:val="21"/>
          <w:color w:val="auto"/>
          <w:vertAlign w:val="superscript"/>
        </w:rPr>
      </w:pPr>
      <w:r>
        <w:rPr>
          <w:rFonts w:ascii="Arial" w:cs="Arial" w:eastAsia="Arial" w:hAnsi="Arial"/>
          <w:sz w:val="17"/>
          <w:szCs w:val="17"/>
          <w:color w:val="auto"/>
        </w:rPr>
        <w:t>We enter into standard purchase orders in the ordinary course of business that typically obligate us to purchase the items ordered. Purchase orders can vary in terms by providing an extended shipment period of up to one year at an established unit cost. We had total outstanding purchase orders of $65.9 million at December 31, 2003. Long-term executory purchase agreements that contain termination clauses have been classified within less than 1 year as the commitment is the estimated amount we would be required to pay at December 31, 2003 if the commitment was canceled. We had outstanding long-term executory purchase agreements of $3.6 million at December 31, 2003.</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no off-balance sheet financing agreements.</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Investments</w:t>
      </w:r>
      <w:r>
        <w:rPr>
          <w:rFonts w:ascii="Arial" w:cs="Arial" w:eastAsia="Arial" w:hAnsi="Arial"/>
          <w:sz w:val="16"/>
          <w:szCs w:val="16"/>
          <w:color w:val="auto"/>
        </w:rPr>
        <w:t>: As of December 31, 2003, we had loaned a total of $2.4 million to Lanthorn, which is developing internet-based energy monitoring and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and services. The loans are convertible notes, which are due in March 2007. The notes accrue interest at 7% and may be converted at any time into common stock of Lanthorn. If we had converted our notes into equity at December 31, 2003, they would have converted into approximately 22% of Lanthorn’s common stock assuming that all granted stock options and other convertible debt of the firm were exercised or converted. Lanthorn has not yet produced any significant revenue. In December 2003, we recorded a $1.9 million impairment charge related to Lanthorn, which consisted of a $176,000 reversal of interest income recognized in the first three quarters of 2003 and a $1.7 million charge to other income (expense), net, for principal.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During 2003 we wrote-off a minority investment, resulting in a $500,000 charge to other income (expense), net.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Liquidity, Sources and Uses of Capital:</w:t>
      </w:r>
    </w:p>
    <w:p>
      <w:pPr>
        <w:spacing w:after="0" w:line="7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have historically funded our operations and growth with cash flow from operations, borrowings and sales of our stock. At December 31, 2003, we had $6.2 million in cash and cash equivalents. Cash equivalents and short-term investments historically have been invested in investments rated A or better by Standard &amp; Poor’s or Moody’s and have market interest rates. We are exposed to changes in interest rates on cash equivalents and short-term investments.</w:t>
      </w:r>
    </w:p>
    <w:p>
      <w:pPr>
        <w:spacing w:after="0" w:line="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At December 31, 2003, we had a $92.5 million secured credit facility. The credit facility consists of a $50 million three year term loan, which had an outstanding balance of $37.5 million at December 31, 2003, and a $55 million revolving credit line. At December 31, 2003, there were $10.0 million of borrowings and approximately $15.0 million of standby letters of credit outstanding under the revolving credit line. Collateral that has been granted to the lenders includes equipment, inventory, real property and intellectual property.</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credit facility contains financial covenants, which require us to maintain certain liquidity and coverage ratios on a quarterly basis. At December 31, 2003, our fixed charge coverage ratio was below the minimum required according to a covenant in our loan agreement. In early February 2004, we received a waiver of compliance with the covenant from our lenders.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49" w:name="page50"/>
    <w:bookmarkEnd w:id="49"/>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connection with our acquisition of SEM, we intend to replace our current credit facility with $365 million of new debt for a net increase in our debt facilities of approximately $272.5 million. On December 17, 2003, on a documentary or “paper” basis we closed a new $240 million senior secured credit facility comprised of a replacement $55 million revolving credit line and a $185 million seven year term loan. The new facility does not permit borrowing until certain conditions are satisfied, including closing the acquisition of SEM. Without the satisfaction of the remaining conditions the new credit facility expires the later of March 31, 2004, or the deadline date of the SEM acquisition agreement, but no later than May 15, 2004. The annual interest rates under the new facility will vary depending on market rates, with initial interest rates of LIBOR plus 2.75% for the revolving line of credit and LIBOR plus 2.25% for the term loan.</w:t>
      </w:r>
    </w:p>
    <w:p>
      <w:pPr>
        <w:spacing w:after="0" w:line="10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If we are unable to complete the final or financial closing of the new credit facility by March 31, 2004, or thereafter, in respect of our existing credit facility, we anticipate we will be below the minimum required fixed charge coverage ratio covenant referred to above for the first three quarters of 2004 and a leverage ratio covenant for the quarter ended March 31, 2004, due in part to a four-quarter rolling calculation of a component of our covenant requirements. Consequently, the $20.8 million long-term portion of our term loan has been classified as a current liability at December 31, 2003. We believe we will be able to obtain a waiver of covenant compliance for the first three quarters of 2004, and therefore, existing cash resources and available borrowings are adequate to meet our cash needs through 2004.</w:t>
      </w:r>
    </w:p>
    <w:p>
      <w:pPr>
        <w:spacing w:after="0" w:line="1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maintain bid and performance bonds for certain customers. Bonds in force were $41.7 million and $40.3 million at December 31, 2003 and 2002, respectively. Bid bonds guarantee that we will enter into a contract consistent with the terms of the bid. Performance bonds provide a guarantee to the customer for future performance, which usually covers the installation phase of a contract and may on occasion cover the operations and maintenance phase of outsourcing contracts.</w:t>
      </w:r>
    </w:p>
    <w:p>
      <w:pPr>
        <w:spacing w:after="0" w:line="13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During 2003, we received a cancellation notice from a bonding company on a $25.0 million performance bond, based on policy changes at the bonding company, which cancellation became effective in February 2004. We have negotiated a reduction in performance collateral, in the form of a bond, a letter of credit and/or escrowed cash totaling $17 million to $20 million, depending on the form. In January 2004, we replaced the bond with an $18 million letter of credit.</w:t>
      </w:r>
    </w:p>
    <w:p>
      <w:pPr>
        <w:spacing w:after="0" w:line="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also have standby letters of credit to guarantee our performance under certain contracts. The outstanding amounts of standby letters of credit were $15.0 million at December 31, 2003 and 2002. In March 2003, we issued a standby letter of credit in the amount of approximately $1.0 million to a third party landlord to guarantee a subsidiary’s lease payments on a facility. The standby letter of credit renews on an annual basis during the term of the lease, which expires in 2005. If we fail to make a scheduled lease payment, the landlord could draw up to the maximum amount specified on the standby letter of credit. In May 2003, we reduced a standby letter of credit from $5.0 million to $4.0 million as a result of an amendment to a long-term warranty and maintenance agreement with a customer.</w:t>
      </w:r>
    </w:p>
    <w:p>
      <w:pPr>
        <w:spacing w:after="0" w:line="1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guarantee lease payments for certain equipment leased by an affiliated company. The maximum future lease obligation of the guarantee at December 31, 2003 was approximately $439,000. The lease and our guarantee terminate in 2006. In the event the affiliate is unable to pay a monthly lease obligation, we would be required to make the payment. If we do not make the payment, the equipment would be returned to the lessor. In the event that the equipment is not in working condition, we would be obligated to pay for the equipment to be returned to working condition.</w:t>
      </w:r>
    </w:p>
    <w:p>
      <w:pPr>
        <w:spacing w:after="0" w:line="9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10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On October 14, 2003, we settled all issues in a patent infringement litigation for $7.9 million. The settlement included payment for all royalties, attorneys’ fees and other items, including the assigned ownership of the patent to us. We accrued $7.4 million in 2002 and expensed $500,000 in 2003 related to this matter.</w:t>
      </w:r>
    </w:p>
    <w:p>
      <w:pPr>
        <w:spacing w:after="0" w:line="7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We are a party to various other lawsuits and claims, both as plaintiff and defendant, and have contingent liabilities arising from the conduct of business, none of which, in our opinion, are expected to have a material effect on our financial position or results of operations. None of the various other lawsuits or claims required the recognition of a liability as of December 31, 2003, as negative outcomes are not considered probable.</w:t>
      </w:r>
    </w:p>
    <w:p>
      <w:pPr>
        <w:spacing w:after="0" w:line="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March 2002, we acquired LineSoft, a leading provider of engineering design software applications and consulting services for optimizing the construction or rebuilding of utility T&amp;D infrastructure. We are required to pay additional amounts to certain LineSoft shareholders of up to $13.5 million in the event that certain defined revenue targets in 2003 and/or 2004 are exceeded. Any earnout payments will be paid half in cash and half in our common stock. If an earnout is required, the purchase price will be increased by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50" w:name="page51"/>
    <w:bookmarkEnd w:id="50"/>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fair value of the payment. The 2003 revenue target was not exceeded and an earnout was not recorded. We do not expect the 2004 revenue target to be exceeded and therefore, it is unlikely an earnout payment will be required in 2004.</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October 2002, we acquired Regional Economic Research, Inc. (RER), a California based company specializing in energy consulting, analysis and forecasting services and software. We are required to pay additional amounts to certain RER shareholders of up to $4.0 million to the extent that certain defined revenue targets in 2003 and 2004 are exceeded. RER exceeded the defined revenue target established for 2003 and we accrued a liability of $1.8 million for the expected earnout payment. The purchase price was increased by the earnout and recorded as an addition to goodwill. We expect that the 2004 revenue target will be exceeded and that an additional earnout in the range of $1.0 to $2.0 million will be required in 2004. The form of the anticipated earnout is payable in cash and/or our common stock based solely upon our discretion. The 2003 earnout will be paid in cash on or before March 31, 2004.</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2003, total net deferred tax assets increased approximately $13.5 million primarily due to net deferred tax assets of approximately $18.1 million recorded as part of the acquisition of Silicon during March 2003. Silicon’s net deferred tax assets primarily represent net operating loss carryforwards that will be limited in use on an annual basis pursuant to Internal Revenue Code Section 382 (Section 382). The net value assigned to the Silicon related deferred tax assets is based on preliminary estimates and is subject to adjustment. Our net deferred tax assets also consist of our own accumulated net operating losses and Section 382 limited deferred tax assets acquired in connection with the acquisitions of LineSoft and RER. We expect to utilize tax loss carryforwards and available tax credits to offset taxes otherwise due on regular taxable income in upcoming years. During 2004, we expect to pay approximately $1.4 million in cash for federal alternative minimum tax and various state tax obligations. We expect to begin making significant cash payments for federal tax purposes beginning in 2005 as tax credits and net operating loss carryforwards not limited by Section 382 will have been fully utilized in 2004.</w:t>
      </w:r>
    </w:p>
    <w:p>
      <w:pPr>
        <w:spacing w:after="0" w:line="1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Working capital at December 31, 2003 was $(1.8) million compared with $51.0 million at December 31, 2002. The decrease in working capital is primarily due to the classification of $20.8 million of the long-term portion of our term loan as a current liability at December 31, 2003, and the use of $21.1 million in cash for the acquisition of Silicon in March 2003. If we are unable to complete the final or financial closing of our new credit facility by March 31, 2004, or thereafter, in respect of our existing credit facility, we anticipate we will be below the minimum required fixed charge coverage ratio covenant on our current loan for the first three quarters of 2004 and a debt leverage ratio covenant for the quarter ended March 31, 2004, due in part to a four-quarter rolling calculation of a component of our covenant requirements. Consequently, the $20.8 million long-term portion of our term loan has been classified as a current liability, resulting in $37.5 million classified as short-term debt at December 31, 2003.</w:t>
      </w:r>
    </w:p>
    <w:p>
      <w:pPr>
        <w:spacing w:after="0" w:line="10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DSO for billed and unbilled accounts receivable totaled 69 days in 2003 compared with DSO of 60 days in 2002. Historically, our DSO ratio has been driven more by specific contract billing terms rather than collection issues.</w:t>
      </w:r>
    </w:p>
    <w:p>
      <w:pPr>
        <w:spacing w:after="0" w:line="11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November 2003, we began a facility expansion in Waseca, which will allow for capacity expansion beyond our current six million units. The cost of the expansion is not expected to exceed $2.0 million.</w:t>
      </w:r>
    </w:p>
    <w:p>
      <w:pPr>
        <w:spacing w:after="0" w:line="11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expect to continue to expand our operations and grow our business through a combination of internal new product development, licensing technology from or to others, distribution agreements, partnership arrangements and acquisitions of technology or other companies. We expect these activities to be funded from existing cash, cash flow from operations, borrowings and the issuance of common stock or other securities. We believe existing sources of liquidity will be sufficient to fund our existing operations and obligations for the foreseeable future, but offer no assurances. Our liquidity requirements could be affected by our dependence on the stability of the energy industry, competitive pressures, international risks, intellectual property claims and other factors described under “Certain Risks Relating to Our Business” within Item 1 and “Quantitative and Qualitative Disclosures About Market Risk” within Item 7A, included in our Form 10-K.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The majority of our revenues are recognized when products are shipped to or received by a customer or when services are provided.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certain customer arrangements with multiple elements. For such arrangements, we determine the fair value of each element and then allocate the total arrangement consideration among the separate elements under the provisions of EITF 00-21. Revenues for each element are then recognized based on the type of element, such as 1) when the products are shipped, 2) services are delivered, 3) percentage of completion when implementation services are essential to the software performance or 4) upon customer acceptance provisions. Under outsourcing arrangements, revenue is recognized as services are provided. Hardware and software post-contract customer support fees are recognized over the life of the related service contracts. Revenue can vary significantly from period to period based on the timing of orders and the application of revenue recognition criteria. Use of the percentage of completion method for revenue recognition requires estimating the cost to complete a project. Actual costs may vary from estimates.</w:t>
      </w:r>
    </w:p>
    <w:p>
      <w:pPr>
        <w:spacing w:after="0" w:line="10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Unearned revenue is recorded for products or services when the criteria for revenue recognition has not been met. The majority of unearned revenue relates to annual billing terms for post-sale maintenance and support agreements.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51" w:name="page52"/>
    <w:bookmarkEnd w:id="51"/>
    <w:p>
      <w:pPr>
        <w:spacing w:after="0"/>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Accounts Receivable: </w:t>
      </w:r>
      <w:r>
        <w:rPr>
          <w:rFonts w:ascii="Arial" w:cs="Arial" w:eastAsia="Arial" w:hAnsi="Arial"/>
          <w:sz w:val="15"/>
          <w:szCs w:val="15"/>
          <w:color w:val="auto"/>
        </w:rPr>
        <w:t>The allowance for doubtful accounts is based on our historical experience of bad debts and is adjusted for estimated uncollectible amounts.</w:t>
      </w:r>
    </w:p>
    <w:p>
      <w:pPr>
        <w:spacing w:after="0" w:line="19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Inventories consist primarily of sub-assemblies and components necessary to support maintenance contracts. Inventory amounts include the cost to</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 the item, such as the cost of raw materials, labor and other applied direct and indirect costs. If the market value of the inventory falls below the original cost, the inventory value is reduced to the market value. Items are removed from inventory using the first-in, first-out method. Inventory is subject to rapidly changing technologies.</w:t>
      </w:r>
    </w:p>
    <w:p>
      <w:pPr>
        <w:spacing w:after="0" w:line="13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i w:val="1"/>
          <w:iCs w:val="1"/>
          <w:color w:val="auto"/>
        </w:rPr>
        <w:t xml:space="preserve">Goodwill and Intangible Assets: </w:t>
      </w:r>
      <w:r>
        <w:rPr>
          <w:rFonts w:ascii="Arial" w:cs="Arial" w:eastAsia="Arial" w:hAnsi="Arial"/>
          <w:sz w:val="17"/>
          <w:szCs w:val="17"/>
          <w:color w:val="auto"/>
        </w:rPr>
        <w:t>Goodwill and intangible assets are primarily the result of our acquisitions in 2002 and 2003. We use estimates in determining the</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goodwill and intangible assets, including estimates of useful lives of intangible assets, discounted future cash flows and fair values of the related operations. We test annually, on October 1</w:t>
      </w:r>
      <w:r>
        <w:rPr>
          <w:rFonts w:ascii="Arial" w:cs="Arial" w:eastAsia="Arial" w:hAnsi="Arial"/>
          <w:sz w:val="21"/>
          <w:szCs w:val="21"/>
          <w:color w:val="auto"/>
          <w:vertAlign w:val="superscript"/>
        </w:rPr>
        <w:t>st</w:t>
      </w:r>
      <w:r>
        <w:rPr>
          <w:rFonts w:ascii="Arial" w:cs="Arial" w:eastAsia="Arial" w:hAnsi="Arial"/>
          <w:sz w:val="17"/>
          <w:szCs w:val="17"/>
          <w:color w:val="auto"/>
        </w:rPr>
        <w:t>, to determine whether goodwill has been impaired, under the guidance of SFAS No. 142. We utilize an independent appraiser to forecast discounted future cash flows at the reporting unit level, which consists of our business units, based on our historical and best estimates of future revenues and operating costs, which take into consideration factors such as existing backlog, expected future orders, supplier contracts and general market conditions. Changes in our forecasts or cost of capital may result in asset value write-downs, which could have a significant impact on our current and future financial position and results of operations.</w:t>
      </w:r>
    </w:p>
    <w:p>
      <w:pPr>
        <w:spacing w:after="0" w:line="1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 xml:space="preserve">Warranty: </w:t>
      </w:r>
      <w:r>
        <w:rPr>
          <w:rFonts w:ascii="Arial" w:cs="Arial" w:eastAsia="Arial" w:hAnsi="Arial"/>
          <w:sz w:val="16"/>
          <w:szCs w:val="16"/>
          <w:color w:val="auto"/>
        </w:rPr>
        <w:t>We offer standard warranty terms on most of our product sales of between one and three years. The warranty accrual includes the cost to manufacture</w:t>
      </w:r>
      <w:r>
        <w:rPr>
          <w:rFonts w:ascii="Arial" w:cs="Arial" w:eastAsia="Arial" w:hAnsi="Arial"/>
          <w:sz w:val="16"/>
          <w:szCs w:val="16"/>
          <w:i w:val="1"/>
          <w:iCs w:val="1"/>
          <w:color w:val="auto"/>
        </w:rPr>
        <w:t xml:space="preserve"> </w:t>
      </w:r>
      <w:r>
        <w:rPr>
          <w:rFonts w:ascii="Arial" w:cs="Arial" w:eastAsia="Arial" w:hAnsi="Arial"/>
          <w:sz w:val="16"/>
          <w:szCs w:val="16"/>
          <w:color w:val="auto"/>
        </w:rPr>
        <w:t>or purchase warranty parts from our suppliers as well as the cost to install or repair equipment. The warranty accrual is based on historical product performance trends, business volume assumptions, supplier information and other business and economic projections. Thorough testing of new products in the development stage helps to identify and correct potential warranty issues prior to manufacturing. Continuing quality control efforts during manufacturing limit our exposure to warranty claims. We track warranty claims in order to identify any potential warranty trends. If our quality control efforts were to fail to detect a fault in one of our products, we could experience an increase in warranty claims resulting in an increase in the warranty accrual. Management continually evaluates the sufficiency of warranty provisions and makes adjustments when necessary. Actual warranty costs may fluctuate and may be different than amounts accrued. For example, in 2003, we made net adjustments to previous warranty estimates totaling $8.4 million.</w:t>
      </w:r>
    </w:p>
    <w:p>
      <w:pPr>
        <w:spacing w:after="0" w:line="10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 xml:space="preserve">Contingencies: </w:t>
      </w:r>
      <w:r>
        <w:rPr>
          <w:rFonts w:ascii="Arial" w:cs="Arial" w:eastAsia="Arial" w:hAnsi="Arial"/>
          <w:sz w:val="16"/>
          <w:szCs w:val="16"/>
          <w:color w:val="auto"/>
        </w:rPr>
        <w:t>We are subject to various legal proceedings and claims of which the outcomes are subject to significant uncertainty. An estimated loss from a</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contingency is accrued by a charge to income if it is probable that an asset has been impaired or a liability has been incurred and the amount of the loss can be reasonably estimated. We evaluate, among other factors, the degree of probability of an unfavorable outcome and the ability to make a reasonable estimate of the amount of loss. Changes in these factors could materially impact our financial position or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May 2003, the Financial Accounting Standards Board (FASB) issued SFAS No. 150, </w:t>
      </w:r>
      <w:r>
        <w:rPr>
          <w:rFonts w:ascii="Arial" w:cs="Arial" w:eastAsia="Arial" w:hAnsi="Arial"/>
          <w:sz w:val="16"/>
          <w:szCs w:val="16"/>
          <w:i w:val="1"/>
          <w:iCs w:val="1"/>
          <w:color w:val="auto"/>
        </w:rPr>
        <w:t>Accounting for Certain Financial Instruments with Characteristics of</w:t>
      </w:r>
      <w:r>
        <w:rPr>
          <w:rFonts w:ascii="Arial" w:cs="Arial" w:eastAsia="Arial" w:hAnsi="Arial"/>
          <w:sz w:val="16"/>
          <w:szCs w:val="16"/>
          <w:color w:val="auto"/>
        </w:rPr>
        <w:t xml:space="preserve"> </w:t>
      </w:r>
      <w:r>
        <w:rPr>
          <w:rFonts w:ascii="Arial" w:cs="Arial" w:eastAsia="Arial" w:hAnsi="Arial"/>
          <w:sz w:val="16"/>
          <w:szCs w:val="16"/>
          <w:i w:val="1"/>
          <w:iCs w:val="1"/>
          <w:color w:val="auto"/>
        </w:rPr>
        <w:t>both Liabilities and Equity</w:t>
      </w:r>
      <w:r>
        <w:rPr>
          <w:rFonts w:ascii="Arial" w:cs="Arial" w:eastAsia="Arial" w:hAnsi="Arial"/>
          <w:sz w:val="16"/>
          <w:szCs w:val="16"/>
          <w:color w:val="auto"/>
        </w:rPr>
        <w:t>. The statement establishes standards for how an issuer classifies and measures certain financial instruments with characteristics of both</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and equity. The statement requires that an issuer classify a financial instrument that is within its scope as a liability (or an asset in some circumstances). Many of those instruments were previously classified as equity. The provisions of this statement are effective for financial instruments entered into or modified after May 31, 2003, and otherwise is effective at the beginning of the first interim period beginning after June 15, 2003. The provisions are to be implemented by reporting the cumulative effect of a change in an accounting principle for financial instruments created before the issuance date of the statement and still existing at the beginning of the interim period of adoption. We do not have any financial instruments to which this statement would apply.</w:t>
      </w:r>
    </w:p>
    <w:p>
      <w:pPr>
        <w:spacing w:after="0" w:line="105"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In May 2003, the FASB ratified the consensus on Emerging Issues Task Force (EITF) 01-08</w:t>
      </w:r>
      <w:r>
        <w:rPr>
          <w:rFonts w:ascii="Arial" w:cs="Arial" w:eastAsia="Arial" w:hAnsi="Arial"/>
          <w:sz w:val="16"/>
          <w:szCs w:val="16"/>
          <w:i w:val="1"/>
          <w:iCs w:val="1"/>
          <w:color w:val="auto"/>
        </w:rPr>
        <w:t>, Determining Whether an Arrangement Contains a Lease,</w:t>
      </w:r>
      <w:r>
        <w:rPr>
          <w:rFonts w:ascii="Arial" w:cs="Arial" w:eastAsia="Arial" w:hAnsi="Arial"/>
          <w:sz w:val="16"/>
          <w:szCs w:val="16"/>
          <w:color w:val="auto"/>
        </w:rPr>
        <w:t xml:space="preserve"> which provides guidance on when an arrangement represents a lease transaction and requires the application of SFAS No. 13, </w:t>
      </w:r>
      <w:r>
        <w:rPr>
          <w:rFonts w:ascii="Arial" w:cs="Arial" w:eastAsia="Arial" w:hAnsi="Arial"/>
          <w:sz w:val="16"/>
          <w:szCs w:val="16"/>
          <w:i w:val="1"/>
          <w:iCs w:val="1"/>
          <w:color w:val="auto"/>
        </w:rPr>
        <w:t>Accounting for Leases</w:t>
      </w:r>
      <w:r>
        <w:rPr>
          <w:rFonts w:ascii="Arial" w:cs="Arial" w:eastAsia="Arial" w:hAnsi="Arial"/>
          <w:sz w:val="16"/>
          <w:szCs w:val="16"/>
          <w:color w:val="auto"/>
        </w:rPr>
        <w:t>. The guidance is effective for arrangements entered into or modified after June 30, 2003. The provisions of this guidance may impact our accounting for future outsourcing contracts. We have not entered into or modified any arrangements subsequent to June 30, 2003 to which this guidance may apply.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discussed in our press releases dated January 20, 2004 and February 5, 2004, we do not expect to see growth in AMR sales in the first quarter of 2004 due to order delays by several large electric customers. We do expect to see order activity increase in the second quarter of 2004. In January 2004 we began to implement a change in our organizational structure as we moved from profit and loss responsibility and reporting along business unit or market lines to two primary operations groups: hardware and software. In the process of developing the new structure, and in light of lower expectations for first quarter revenues, we took some corrective actions to reduce expenses and eliminate certain unprofitable activities. Those actions resulted in a reduction of approximately 70 employees, or 5%, of our workforce and will result in a restructuring charge of approximately $2.5 million in the first quarter of 2004.</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segment information presented in this Form 10-K has been restated based on this new organizational structure.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52" w:name="page53"/>
    <w:bookmarkEnd w:id="52"/>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on May 10, 2004, we completed a private placement of $125 million aggregate principal amount of 7.75% Senior Subordinated Notes, discounted to a price of 99.265 to yield 7.875%, due in 2012. The discount on the Notes will be accreted and the debt issuance costs will be amortized over the life of the credit facility. We placed the Notes in advance of the closing of the SEM acquisition in order to lock-in a favorable interest rate. Fixed annual interest is payable every six months, commencing in November 2004. The Notes are subordinated to our new $240 million senior secured credit facility and are guaranteed by all of our operating subsidiaries (except for our foreign subsidiaries and an outsourcing project subsidiary), all of which are wholly owned. The Notes contain customary covenants, which place restrictions on the incurrence of debt, the payment of dividends, certain investments and mergers. Some or all of the Notes may be redeemed at our option at any time on or after May 15, 2008, at certain specified prices. At any time prior to May 15, 2007, we may, at our option, redeem up to 35% of the Notes with the proceeds of certain sales of our common stock.</w:t>
      </w:r>
    </w:p>
    <w:p>
      <w:pPr>
        <w:spacing w:after="0" w:line="105"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On July 1, 2004, we completed the acquisition of SEM. The SEM acquisition includes Schlumberger Ltd.’s (Schlumberger) electricity meter manufacturing and sales operations in the United States and the electricity meter operations of certain foreign affiliates of Schlumberger in Canada, Mexico, Taiwan and France. By adding electricity meter manufacturing and sales to our existing portfolio of meter data collection technologies and software and consulting solutions, we will be able to offer customers a highly integrated suite of products and services for measuring, gathering, delivering, analyzing and applying electricity usage data.</w:t>
      </w:r>
    </w:p>
    <w:p>
      <w:pPr>
        <w:spacing w:after="0" w:line="9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purchase price for SEM was $248 million and is subject to post closing working capital adjustments. Itron used proceeds from the $240 million senior secured credit facility and $125 million in Senior Subordinated Notes to finance the acquisition, pay related fees and expenses, and repay approximately $50.2 million of outstanding Itron debt under an existing credit facility. Schlumberger has agreed to indemnify Itron for certain tax, environmental, litigation and other possible obligations over various time frames following the acquisition date.</w:t>
      </w:r>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order to obtain FTC clearance for the SEM acquisition, we were required by the FTC to license certain of our existing electric meter module and other AMR technology to a competing third party. As such, we entered into a licensing agreement with Hunt Technologies (Hunt) in Pequot Lakes, Minnesota, which became effective July 1, 2004, upon closing of the SEM acquisition. The license agreement includes our existing electric encoder receiver transmitter, or ERT technology, for use in electric meters only in the United States, Canada and Mexico. In addition, we will license the required software application programming interfaces and protocols in order to enable Hunt to develop reading technology in the form of handheld or mobile collection units. The license with Hunt is perpetual and requires the payment of a flat fee to Itron in four installments starting July 1, 2004 and ending June 30, 2007. The amount of the license fee is not material to Itron’s overall financial results.</w:t>
      </w:r>
    </w:p>
    <w:p>
      <w:pPr>
        <w:spacing w:after="0" w:line="13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July 2004, we made further adjustments to our organizational structure moving various parts of our organization from the Hardware Solutions segment to the Software Solutions segment. We will begin reporting the changes with our third quarter 2004 results and will restate prior periods for the additional changes. While we have not yet completed our analysis, we estimate that approximately $14 million and $16 million of Hardware Solutions revenues and approximately $9 million and $8 million of Hardware Solutions costs of sales will be transferred to Software Solutions for the years ended 2003 and 2002, respectively. In addition, based on our evaluation of current market conditions for the transmission and substation markets, including market size, pace of industry investment in new technology and other factors, we made the decision to no longer invest in product development or sales in these areas. We will continue to support our existing transmission and substation customers and will continue to concentrate on new business opportunities in distribution - both in design and asset optimization. In connection with these changes, we had a headcount reduction of approximately 40 people and expect a restructuring charge in the third quarter of 2004 of approximately $2 million.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3"/>
    </w:lvl>
  </w:abstractNum>
  <w:abstractNum w:abstractNumId="2">
    <w:nsid w:val="238E1F29"/>
    <w:multiLevelType w:val="hybridMultilevel"/>
    <w:lvl w:ilvl="0">
      <w:lvlJc w:val="left"/>
      <w:lvlText w:val="%1."/>
      <w:numFmt w:val="decimal"/>
      <w:start w:val="142"/>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2019-12-13T15:53:07Z</dcterms:created>
  <dcterms:modified xsi:type="dcterms:W3CDTF">2019-12-13T15:53:07Z</dcterms:modified>
</cp:coreProperties>
</file>