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509270</wp:posOffset>
            </wp:positionV>
            <wp:extent cx="70580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1714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-224155</wp:posOffset>
            </wp:positionV>
            <wp:extent cx="1037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78" w:lineRule="exact"/>
        <w:rPr>
          <w:sz w:val="24"/>
          <w:szCs w:val="24"/>
          <w:color w:val="auto"/>
        </w:rPr>
      </w:pPr>
    </w:p>
    <w:p>
      <w:pPr>
        <w:ind w:left="660" w:right="2140" w:hanging="625"/>
        <w:spacing w:after="0" w:line="276" w:lineRule="auto"/>
        <w:tabs>
          <w:tab w:leader="none" w:pos="49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500" w:hanging="307"/>
        <w:spacing w:after="0" w:line="212" w:lineRule="auto"/>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23"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000-22418</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855" w:right="239" w:bottom="1440" w:gutter="0" w:footer="0" w:header="0"/>
        </w:sectPr>
      </w:pPr>
    </w:p>
    <w:p>
      <w:pPr>
        <w:spacing w:after="0" w:line="152"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700" w:space="720"/>
            <w:col w:w="3000"/>
          </w:cols>
          <w:pgMar w:left="240" w:top="855" w:right="239" w:bottom="1440" w:gutter="0" w:footer="0" w:header="0"/>
          <w:type w:val="continuous"/>
        </w:sectPr>
      </w:pPr>
    </w:p>
    <w:p>
      <w:pPr>
        <w:ind w:left="204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560" w:space="720"/>
            <w:col w:w="4140"/>
          </w:cols>
          <w:pgMar w:left="240" w:top="855" w:right="2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5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5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 no par value</w:t>
            </w:r>
          </w:p>
        </w:tc>
        <w:tc>
          <w:tcPr>
            <w:tcW w:w="552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4" w:lineRule="exact"/>
        <w:rPr>
          <w:sz w:val="24"/>
          <w:szCs w:val="24"/>
          <w:color w:val="auto"/>
        </w:rPr>
      </w:pPr>
    </w:p>
    <w:p>
      <w:pPr>
        <w:ind w:left="378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32" w:lineRule="exact"/>
        <w:rPr>
          <w:sz w:val="24"/>
          <w:szCs w:val="24"/>
          <w:color w:val="auto"/>
        </w:rPr>
      </w:pPr>
    </w:p>
    <w:p>
      <w:pPr>
        <w:ind w:right="366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w:t>
      </w:r>
    </w:p>
    <w:p>
      <w:pPr>
        <w:spacing w:after="0" w:line="1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63" w:lineRule="exact"/>
        <w:rPr>
          <w:sz w:val="24"/>
          <w:szCs w:val="24"/>
          <w:color w:val="auto"/>
        </w:rPr>
      </w:pPr>
    </w:p>
    <w:tbl>
      <w:tblPr>
        <w:tblLayout w:type="fixed"/>
        <w:tblInd w:w="600" w:type="dxa"/>
        <w:tblCellMar>
          <w:top w:w="0" w:type="dxa"/>
          <w:left w:w="0" w:type="dxa"/>
          <w:bottom w:w="0" w:type="dxa"/>
          <w:right w:w="0" w:type="dxa"/>
        </w:tblCellMar>
      </w:tblPr>
      <w:tr>
        <w:trPr>
          <w:trHeight w:val="226"/>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40" w:type="dxa"/>
            <w:vAlign w:val="bottom"/>
          </w:tcPr>
          <w:p>
            <w:pPr>
              <w:ind w:left="420"/>
              <w:spacing w:after="0"/>
              <w:rPr>
                <w:sz w:val="20"/>
                <w:szCs w:val="20"/>
                <w:color w:val="auto"/>
              </w:rPr>
            </w:pPr>
            <w:r>
              <w:rPr>
                <w:rFonts w:ascii="Arial" w:cs="Arial" w:eastAsia="Arial" w:hAnsi="Arial"/>
                <w:sz w:val="14"/>
                <w:szCs w:val="14"/>
                <w:color w:val="auto"/>
              </w:rPr>
              <w:t>x</w:t>
            </w:r>
          </w:p>
        </w:tc>
        <w:tc>
          <w:tcPr>
            <w:tcW w:w="6720" w:type="dxa"/>
            <w:vAlign w:val="bottom"/>
          </w:tcPr>
          <w:p>
            <w:pPr>
              <w:ind w:left="464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93"/>
        </w:trPr>
        <w:tc>
          <w:tcPr>
            <w:tcW w:w="1720" w:type="dxa"/>
            <w:vAlign w:val="bottom"/>
            <w:vMerge w:val="restart"/>
          </w:tcPr>
          <w:p>
            <w:pPr>
              <w:spacing w:after="0"/>
              <w:rPr>
                <w:sz w:val="20"/>
                <w:szCs w:val="20"/>
                <w:color w:val="auto"/>
              </w:rPr>
            </w:pPr>
            <w:r>
              <w:rPr>
                <w:rFonts w:ascii="Arial" w:cs="Arial" w:eastAsia="Arial" w:hAnsi="Arial"/>
                <w:sz w:val="14"/>
                <w:szCs w:val="14"/>
                <w:color w:val="auto"/>
              </w:rPr>
              <w:t>Non-accelerated filer</w:t>
            </w:r>
          </w:p>
        </w:tc>
        <w:tc>
          <w:tcPr>
            <w:tcW w:w="540" w:type="dxa"/>
            <w:vAlign w:val="bottom"/>
          </w:tcPr>
          <w:p>
            <w:pPr>
              <w:ind w:left="420"/>
              <w:spacing w:after="0"/>
              <w:rPr>
                <w:sz w:val="20"/>
                <w:szCs w:val="20"/>
                <w:color w:val="auto"/>
              </w:rPr>
            </w:pPr>
            <w:r>
              <w:rPr>
                <w:rFonts w:ascii="Arial" w:cs="Arial" w:eastAsia="Arial" w:hAnsi="Arial"/>
                <w:sz w:val="14"/>
                <w:szCs w:val="14"/>
                <w:color w:val="auto"/>
              </w:rPr>
              <w:t>o</w:t>
            </w:r>
          </w:p>
        </w:tc>
        <w:tc>
          <w:tcPr>
            <w:tcW w:w="6720" w:type="dxa"/>
            <w:vAlign w:val="bottom"/>
          </w:tcPr>
          <w:p>
            <w:pPr>
              <w:ind w:left="40"/>
              <w:spacing w:after="0"/>
              <w:rPr>
                <w:sz w:val="20"/>
                <w:szCs w:val="20"/>
                <w:color w:val="auto"/>
              </w:rPr>
            </w:pPr>
            <w:r>
              <w:rPr>
                <w:rFonts w:ascii="Arial" w:cs="Arial" w:eastAsia="Arial" w:hAnsi="Arial"/>
                <w:sz w:val="14"/>
                <w:szCs w:val="14"/>
                <w:color w:val="auto"/>
              </w:rPr>
              <w:t>(Do not check if a smaller reporting company)</w:t>
            </w:r>
          </w:p>
        </w:tc>
        <w:tc>
          <w:tcPr>
            <w:tcW w:w="640" w:type="dxa"/>
            <w:vAlign w:val="bottom"/>
            <w:vMerge w:val="restart"/>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2"/>
        </w:trPr>
        <w:tc>
          <w:tcPr>
            <w:tcW w:w="17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6720" w:type="dxa"/>
            <w:vAlign w:val="bottom"/>
          </w:tcPr>
          <w:p>
            <w:pPr>
              <w:ind w:left="4640"/>
              <w:spacing w:after="0"/>
              <w:rPr>
                <w:sz w:val="20"/>
                <w:szCs w:val="20"/>
                <w:color w:val="auto"/>
              </w:rPr>
            </w:pPr>
            <w:r>
              <w:rPr>
                <w:rFonts w:ascii="Arial" w:cs="Arial" w:eastAsia="Arial" w:hAnsi="Arial"/>
                <w:sz w:val="14"/>
                <w:szCs w:val="14"/>
                <w:color w:val="auto"/>
              </w:rPr>
              <w:t>Smaller reporting company</w:t>
            </w: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720" w:type="dxa"/>
            <w:vAlign w:val="bottom"/>
          </w:tcPr>
          <w:p>
            <w:pPr>
              <w:ind w:left="4640"/>
              <w:spacing w:after="0"/>
              <w:rPr>
                <w:sz w:val="20"/>
                <w:szCs w:val="20"/>
                <w:color w:val="auto"/>
              </w:rPr>
            </w:pPr>
            <w:r>
              <w:rPr>
                <w:rFonts w:ascii="Arial" w:cs="Arial" w:eastAsia="Arial" w:hAnsi="Arial"/>
                <w:sz w:val="14"/>
                <w:szCs w:val="14"/>
                <w:color w:val="auto"/>
              </w:rPr>
              <w:t>Emerging growth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47"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7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June 30, 2018 (the last business day of the registrant's most recently completed second fiscal quarter), the aggregate market value of the shares of common stock held by non-affiliates of the registrant (based on the closing price for the common stock on the NASDAQ Global Select Market) was $2,336,765,884.</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As of January 31, 2019, there were outstanding 39,535,326 shares of the registrant's common stock, no par value, which is the only class of common stock of the registrant.</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The information called for by Part III is incorporated by reference to the definitive Proxy Statement for the Annual Meeting of Shareholders of the Company to be held on May 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218440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132715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85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gridSpan w:val="13"/>
          </w:tcPr>
          <w:p>
            <w:pPr>
              <w:jc w:val="center"/>
              <w:ind w:right="3620"/>
              <w:spacing w:after="0"/>
              <w:rPr>
                <w:sz w:val="20"/>
                <w:szCs w:val="20"/>
                <w:color w:val="auto"/>
              </w:rPr>
            </w:pPr>
            <w:r>
              <w:rPr>
                <w:rFonts w:ascii="Arial" w:cs="Arial" w:eastAsia="Arial" w:hAnsi="Arial"/>
                <w:sz w:val="18"/>
                <w:szCs w:val="18"/>
                <w:b w:val="1"/>
                <w:bCs w:val="1"/>
                <w:color w:val="auto"/>
                <w:w w:val="96"/>
              </w:rPr>
              <w:t>Itron, Inc.</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0" w:type="dxa"/>
            <w:vAlign w:val="bottom"/>
            <w:gridSpan w:val="15"/>
          </w:tcPr>
          <w:p>
            <w:pPr>
              <w:jc w:val="center"/>
              <w:ind w:right="3320"/>
              <w:spacing w:after="0"/>
              <w:rPr>
                <w:sz w:val="20"/>
                <w:szCs w:val="20"/>
                <w:color w:val="auto"/>
              </w:rPr>
            </w:pPr>
            <w:r>
              <w:rPr>
                <w:rFonts w:ascii="Arial" w:cs="Arial" w:eastAsia="Arial" w:hAnsi="Arial"/>
                <w:sz w:val="18"/>
                <w:szCs w:val="18"/>
                <w:b w:val="1"/>
                <w:bCs w:val="1"/>
                <w:color w:val="auto"/>
                <w:w w:val="89"/>
              </w:rPr>
              <w:t>Table of Contents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4"/>
          </w:tcPr>
          <w:p>
            <w:pPr>
              <w:ind w:left="4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40" w:type="dxa"/>
            <w:vAlign w:val="bottom"/>
            <w:gridSpan w:val="2"/>
            <w:vMerge w:val="continue"/>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w:t>
            </w:r>
          </w:p>
        </w:tc>
        <w:tc>
          <w:tcPr>
            <w:tcW w:w="7660" w:type="dxa"/>
            <w:vAlign w:val="bottom"/>
            <w:gridSpan w:val="2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700" w:type="dxa"/>
            <w:vAlign w:val="bottom"/>
            <w:gridSpan w:val="2"/>
          </w:tcPr>
          <w:p>
            <w:pPr>
              <w:jc w:val="center"/>
              <w:ind w:left="51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1A:</w:t>
            </w:r>
          </w:p>
        </w:tc>
        <w:tc>
          <w:tcPr>
            <w:tcW w:w="7660" w:type="dxa"/>
            <w:vAlign w:val="bottom"/>
            <w:gridSpan w:val="2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700" w:type="dxa"/>
            <w:vAlign w:val="bottom"/>
            <w:gridSpan w:val="2"/>
          </w:tcPr>
          <w:p>
            <w:pPr>
              <w:jc w:val="center"/>
              <w:ind w:left="510"/>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7</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1B:</w:t>
            </w:r>
          </w:p>
        </w:tc>
        <w:tc>
          <w:tcPr>
            <w:tcW w:w="2800" w:type="dxa"/>
            <w:vAlign w:val="bottom"/>
            <w:gridSpan w:val="11"/>
          </w:tcPr>
          <w:p>
            <w:pPr>
              <w:spacing w:after="0"/>
              <w:rPr>
                <w:rFonts w:ascii="Arial" w:cs="Arial" w:eastAsia="Arial" w:hAnsi="Arial"/>
                <w:sz w:val="18"/>
                <w:szCs w:val="18"/>
                <w:color w:val="0000EE"/>
                <w:w w:val="93"/>
              </w:rPr>
            </w:pPr>
            <w:hyperlink w:anchor="page19">
              <w:r>
                <w:rPr>
                  <w:rFonts w:ascii="Arial" w:cs="Arial" w:eastAsia="Arial" w:hAnsi="Arial"/>
                  <w:sz w:val="18"/>
                  <w:szCs w:val="18"/>
                  <w:color w:val="0000EE"/>
                  <w:w w:val="93"/>
                </w:rPr>
                <w:t>UNRESOLVED STAFF COMMENTS</w:t>
              </w:r>
            </w:hyperlink>
          </w:p>
        </w:tc>
        <w:tc>
          <w:tcPr>
            <w:tcW w:w="4860" w:type="dxa"/>
            <w:vAlign w:val="bottom"/>
            <w:gridSpan w:val="16"/>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2:</w:t>
            </w:r>
          </w:p>
        </w:tc>
        <w:tc>
          <w:tcPr>
            <w:tcW w:w="2800" w:type="dxa"/>
            <w:vAlign w:val="bottom"/>
            <w:gridSpan w:val="1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PROPERTIES</w:t>
              </w:r>
            </w:hyperlink>
          </w:p>
        </w:tc>
        <w:tc>
          <w:tcPr>
            <w:tcW w:w="4860" w:type="dxa"/>
            <w:vAlign w:val="bottom"/>
            <w:gridSpan w:val="16"/>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18</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3:</w:t>
            </w:r>
          </w:p>
        </w:tc>
        <w:tc>
          <w:tcPr>
            <w:tcW w:w="7660" w:type="dxa"/>
            <w:vAlign w:val="bottom"/>
            <w:gridSpan w:val="2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18</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4:</w:t>
            </w:r>
          </w:p>
        </w:tc>
        <w:tc>
          <w:tcPr>
            <w:tcW w:w="7660" w:type="dxa"/>
            <w:vAlign w:val="bottom"/>
            <w:gridSpan w:val="2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18</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5:</w:t>
            </w:r>
          </w:p>
        </w:tc>
        <w:tc>
          <w:tcPr>
            <w:tcW w:w="7600" w:type="dxa"/>
            <w:vAlign w:val="bottom"/>
            <w:tcBorders>
              <w:bottom w:val="single" w:sz="8" w:color="0000EE"/>
            </w:tcBorders>
            <w:gridSpan w:val="26"/>
          </w:tcPr>
          <w:p>
            <w:pPr>
              <w:spacing w:after="0"/>
              <w:rPr>
                <w:rFonts w:ascii="Arial" w:cs="Arial" w:eastAsia="Arial" w:hAnsi="Arial"/>
                <w:sz w:val="18"/>
                <w:szCs w:val="18"/>
                <w:color w:val="0000EE"/>
                <w:w w:val="96"/>
              </w:rPr>
            </w:pPr>
            <w:hyperlink w:anchor="page21">
              <w:r>
                <w:rPr>
                  <w:rFonts w:ascii="Arial" w:cs="Arial" w:eastAsia="Arial" w:hAnsi="Arial"/>
                  <w:sz w:val="18"/>
                  <w:szCs w:val="18"/>
                  <w:color w:val="0000EE"/>
                  <w:w w:val="96"/>
                </w:rPr>
                <w:t>MARKET FOR REGISTRANT’S COMMON EQUITY, RELATED STOCKHOLDER MATTERS AND</w:t>
              </w:r>
            </w:hyperlink>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60" w:type="dxa"/>
            <w:vAlign w:val="bottom"/>
            <w:gridSpan w:val="15"/>
          </w:tcPr>
          <w:p>
            <w:pPr>
              <w:spacing w:after="0" w:line="19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ISSUER PURCHASES OF EQUITY SECURITIES</w:t>
              </w:r>
            </w:hyperlink>
          </w:p>
        </w:tc>
        <w:tc>
          <w:tcPr>
            <w:tcW w:w="3900" w:type="dxa"/>
            <w:vAlign w:val="bottom"/>
            <w:gridSpan w:val="12"/>
          </w:tcPr>
          <w:p>
            <w:pPr>
              <w:spacing w:after="0"/>
              <w:rPr>
                <w:sz w:val="17"/>
                <w:szCs w:val="17"/>
                <w:color w:val="auto"/>
              </w:rPr>
            </w:pPr>
          </w:p>
        </w:tc>
        <w:tc>
          <w:tcPr>
            <w:tcW w:w="700" w:type="dxa"/>
            <w:vAlign w:val="bottom"/>
            <w:gridSpan w:val="2"/>
          </w:tcPr>
          <w:p>
            <w:pPr>
              <w:jc w:val="center"/>
              <w:ind w:left="430"/>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6:</w:t>
            </w:r>
          </w:p>
        </w:tc>
        <w:tc>
          <w:tcPr>
            <w:tcW w:w="3840" w:type="dxa"/>
            <w:vAlign w:val="bottom"/>
            <w:gridSpan w:val="16"/>
          </w:tcPr>
          <w:p>
            <w:pPr>
              <w:spacing w:after="0"/>
              <w:rPr>
                <w:rFonts w:ascii="Arial" w:cs="Arial" w:eastAsia="Arial" w:hAnsi="Arial"/>
                <w:sz w:val="18"/>
                <w:szCs w:val="18"/>
                <w:color w:val="0000EE"/>
                <w:w w:val="96"/>
              </w:rPr>
            </w:pPr>
            <w:hyperlink w:anchor="page23">
              <w:r>
                <w:rPr>
                  <w:rFonts w:ascii="Arial" w:cs="Arial" w:eastAsia="Arial" w:hAnsi="Arial"/>
                  <w:sz w:val="18"/>
                  <w:szCs w:val="18"/>
                  <w:color w:val="0000EE"/>
                  <w:w w:val="96"/>
                </w:rPr>
                <w:t>SELECTED CONSOLIDATED FINANCIAL DATA</w:t>
              </w:r>
            </w:hyperlink>
          </w:p>
        </w:tc>
        <w:tc>
          <w:tcPr>
            <w:tcW w:w="3820" w:type="dxa"/>
            <w:vAlign w:val="bottom"/>
            <w:gridSpan w:val="11"/>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7:</w:t>
            </w:r>
          </w:p>
        </w:tc>
        <w:tc>
          <w:tcPr>
            <w:tcW w:w="7500" w:type="dxa"/>
            <w:vAlign w:val="bottom"/>
            <w:tcBorders>
              <w:bottom w:val="single" w:sz="8" w:color="0000EE"/>
            </w:tcBorders>
            <w:gridSpan w:val="25"/>
          </w:tcPr>
          <w:p>
            <w:pPr>
              <w:spacing w:after="0"/>
              <w:rPr>
                <w:rFonts w:ascii="Arial" w:cs="Arial" w:eastAsia="Arial" w:hAnsi="Arial"/>
                <w:sz w:val="18"/>
                <w:szCs w:val="18"/>
                <w:color w:val="0000EE"/>
                <w:w w:val="97"/>
              </w:rPr>
            </w:pPr>
            <w:hyperlink w:anchor="page24">
              <w:r>
                <w:rPr>
                  <w:rFonts w:ascii="Arial" w:cs="Arial" w:eastAsia="Arial" w:hAnsi="Arial"/>
                  <w:sz w:val="18"/>
                  <w:szCs w:val="18"/>
                  <w:color w:val="0000EE"/>
                  <w:w w:val="97"/>
                </w:rPr>
                <w:t>MANAGEMENT’S DISCUSSION AND ANALYSIS OF FINANCIAL CONDITION AND RESULTS</w:t>
              </w:r>
            </w:hyperlink>
          </w:p>
        </w:tc>
        <w:tc>
          <w:tcPr>
            <w:tcW w:w="16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gridSpan w:val="4"/>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OF OPERATIONS</w:t>
              </w:r>
            </w:hyperlink>
          </w:p>
        </w:tc>
        <w:tc>
          <w:tcPr>
            <w:tcW w:w="6300" w:type="dxa"/>
            <w:vAlign w:val="bottom"/>
            <w:gridSpan w:val="23"/>
          </w:tcPr>
          <w:p>
            <w:pPr>
              <w:spacing w:after="0"/>
              <w:rPr>
                <w:sz w:val="17"/>
                <w:szCs w:val="17"/>
                <w:color w:val="auto"/>
              </w:rPr>
            </w:pPr>
          </w:p>
        </w:tc>
        <w:tc>
          <w:tcPr>
            <w:tcW w:w="700" w:type="dxa"/>
            <w:vAlign w:val="bottom"/>
            <w:gridSpan w:val="2"/>
          </w:tcPr>
          <w:p>
            <w:pPr>
              <w:jc w:val="center"/>
              <w:ind w:left="430"/>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22</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7A:</w:t>
            </w:r>
          </w:p>
        </w:tc>
        <w:tc>
          <w:tcPr>
            <w:tcW w:w="6140" w:type="dxa"/>
            <w:vAlign w:val="bottom"/>
            <w:gridSpan w:val="21"/>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QUANTITATIVE AND QUALITATIVE DISCLOSURES ABOUT MARKET RISK</w:t>
              </w:r>
            </w:hyperlink>
          </w:p>
        </w:tc>
        <w:tc>
          <w:tcPr>
            <w:tcW w:w="1520" w:type="dxa"/>
            <w:vAlign w:val="bottom"/>
            <w:gridSpan w:val="6"/>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42</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8:</w:t>
            </w:r>
          </w:p>
        </w:tc>
        <w:tc>
          <w:tcPr>
            <w:tcW w:w="4660" w:type="dxa"/>
            <w:vAlign w:val="bottom"/>
            <w:gridSpan w:val="19"/>
          </w:tcPr>
          <w:p>
            <w:pPr>
              <w:spacing w:after="0"/>
              <w:rPr>
                <w:rFonts w:ascii="Arial" w:cs="Arial" w:eastAsia="Arial" w:hAnsi="Arial"/>
                <w:sz w:val="18"/>
                <w:szCs w:val="18"/>
                <w:color w:val="0000EE"/>
                <w:w w:val="96"/>
              </w:rPr>
            </w:pPr>
            <w:hyperlink w:anchor="page48">
              <w:r>
                <w:rPr>
                  <w:rFonts w:ascii="Arial" w:cs="Arial" w:eastAsia="Arial" w:hAnsi="Arial"/>
                  <w:sz w:val="18"/>
                  <w:szCs w:val="18"/>
                  <w:color w:val="0000EE"/>
                  <w:w w:val="96"/>
                </w:rPr>
                <w:t>FINANCIAL STATEMENTS AND SUPPLEMENTARY DATA</w:t>
              </w:r>
            </w:hyperlink>
          </w:p>
        </w:tc>
        <w:tc>
          <w:tcPr>
            <w:tcW w:w="1480" w:type="dxa"/>
            <w:vAlign w:val="bottom"/>
            <w:gridSpan w:val="2"/>
          </w:tcPr>
          <w:p>
            <w:pPr>
              <w:spacing w:after="0"/>
              <w:rPr>
                <w:sz w:val="21"/>
                <w:szCs w:val="21"/>
                <w:color w:val="auto"/>
              </w:rPr>
            </w:pPr>
          </w:p>
        </w:tc>
        <w:tc>
          <w:tcPr>
            <w:tcW w:w="1520" w:type="dxa"/>
            <w:vAlign w:val="bottom"/>
            <w:gridSpan w:val="6"/>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45</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60" w:type="dxa"/>
            <w:vAlign w:val="bottom"/>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Statements of Operations</w:t>
              </w:r>
            </w:hyperlink>
          </w:p>
        </w:tc>
        <w:tc>
          <w:tcPr>
            <w:tcW w:w="3000" w:type="dxa"/>
            <w:vAlign w:val="bottom"/>
            <w:gridSpan w:val="8"/>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46</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40" w:type="dxa"/>
            <w:vAlign w:val="bottom"/>
            <w:gridSpan w:val="18"/>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Statements of Comprehensive Income (Loss)</w:t>
              </w:r>
            </w:hyperlink>
          </w:p>
        </w:tc>
        <w:tc>
          <w:tcPr>
            <w:tcW w:w="3420" w:type="dxa"/>
            <w:vAlign w:val="bottom"/>
            <w:gridSpan w:val="9"/>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47</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40" w:type="dxa"/>
            <w:vAlign w:val="bottom"/>
            <w:gridSpan w:val="1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Balance Sheets</w:t>
              </w:r>
            </w:hyperlink>
          </w:p>
        </w:tc>
        <w:tc>
          <w:tcPr>
            <w:tcW w:w="3420" w:type="dxa"/>
            <w:vAlign w:val="bottom"/>
            <w:gridSpan w:val="9"/>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48</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40" w:type="dxa"/>
            <w:vAlign w:val="bottom"/>
            <w:gridSpan w:val="9"/>
          </w:tcPr>
          <w:p>
            <w:pPr>
              <w:spacing w:after="0"/>
              <w:rPr>
                <w:rFonts w:ascii="Arial" w:cs="Arial" w:eastAsia="Arial" w:hAnsi="Arial"/>
                <w:sz w:val="18"/>
                <w:szCs w:val="18"/>
                <w:color w:val="0000EE"/>
                <w:w w:val="86"/>
              </w:rPr>
            </w:pPr>
            <w:hyperlink w:anchor="page52">
              <w:r>
                <w:rPr>
                  <w:rFonts w:ascii="Arial" w:cs="Arial" w:eastAsia="Arial" w:hAnsi="Arial"/>
                  <w:sz w:val="18"/>
                  <w:szCs w:val="18"/>
                  <w:color w:val="0000EE"/>
                  <w:w w:val="86"/>
                </w:rPr>
                <w:t>Consolidated Statements of Equity</w:t>
              </w:r>
            </w:hyperlink>
          </w:p>
        </w:tc>
        <w:tc>
          <w:tcPr>
            <w:tcW w:w="5220" w:type="dxa"/>
            <w:vAlign w:val="bottom"/>
            <w:gridSpan w:val="18"/>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49</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60" w:type="dxa"/>
            <w:vAlign w:val="bottom"/>
            <w:gridSpan w:val="2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Statements of Cash Flows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50</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60" w:type="dxa"/>
            <w:vAlign w:val="bottom"/>
            <w:gridSpan w:val="2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Notes to Consolidated Financial Statements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51</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9:</w:t>
            </w:r>
          </w:p>
        </w:tc>
        <w:tc>
          <w:tcPr>
            <w:tcW w:w="7660" w:type="dxa"/>
            <w:vAlign w:val="bottom"/>
            <w:gridSpan w:val="2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CHANGES IN AND DISAGREEMENTS WITH ACCOUNTANTS ON ACCOUNTING AND</w:t>
              </w:r>
            </w:hyperlink>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20" w:type="dxa"/>
            <w:vAlign w:val="bottom"/>
            <w:tcBorders>
              <w:top w:val="single" w:sz="8" w:color="0000EE"/>
            </w:tcBorders>
            <w:gridSpan w:val="8"/>
          </w:tcPr>
          <w:p>
            <w:pPr>
              <w:spacing w:after="0" w:line="196" w:lineRule="exact"/>
              <w:rPr>
                <w:rFonts w:ascii="Arial" w:cs="Arial" w:eastAsia="Arial" w:hAnsi="Arial"/>
                <w:sz w:val="18"/>
                <w:szCs w:val="18"/>
                <w:color w:val="0000EE"/>
                <w:w w:val="97"/>
              </w:rPr>
            </w:pPr>
            <w:hyperlink w:anchor="page100">
              <w:r>
                <w:rPr>
                  <w:rFonts w:ascii="Arial" w:cs="Arial" w:eastAsia="Arial" w:hAnsi="Arial"/>
                  <w:sz w:val="18"/>
                  <w:szCs w:val="18"/>
                  <w:color w:val="0000EE"/>
                  <w:w w:val="97"/>
                </w:rPr>
                <w:t>FINANCIAL DISCLOSURE</w:t>
              </w:r>
            </w:hyperlink>
          </w:p>
        </w:tc>
        <w:tc>
          <w:tcPr>
            <w:tcW w:w="4800" w:type="dxa"/>
            <w:vAlign w:val="bottom"/>
            <w:tcBorders>
              <w:top w:val="single" w:sz="8" w:color="0000EE"/>
            </w:tcBorders>
            <w:gridSpan w:val="15"/>
          </w:tcPr>
          <w:p>
            <w:pPr>
              <w:spacing w:after="0"/>
              <w:rPr>
                <w:sz w:val="17"/>
                <w:szCs w:val="17"/>
                <w:color w:val="auto"/>
              </w:rPr>
            </w:pPr>
          </w:p>
        </w:tc>
        <w:tc>
          <w:tcPr>
            <w:tcW w:w="740" w:type="dxa"/>
            <w:vAlign w:val="bottom"/>
            <w:gridSpan w:val="4"/>
          </w:tcPr>
          <w:p>
            <w:pPr>
              <w:spacing w:after="0"/>
              <w:rPr>
                <w:sz w:val="17"/>
                <w:szCs w:val="17"/>
                <w:color w:val="auto"/>
              </w:rPr>
            </w:pPr>
          </w:p>
        </w:tc>
        <w:tc>
          <w:tcPr>
            <w:tcW w:w="700" w:type="dxa"/>
            <w:vAlign w:val="bottom"/>
            <w:gridSpan w:val="2"/>
          </w:tcPr>
          <w:p>
            <w:pPr>
              <w:jc w:val="center"/>
              <w:ind w:left="430"/>
              <w:spacing w:after="0" w:line="19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97</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9A:</w:t>
            </w:r>
          </w:p>
        </w:tc>
        <w:tc>
          <w:tcPr>
            <w:tcW w:w="2600" w:type="dxa"/>
            <w:vAlign w:val="bottom"/>
            <w:gridSpan w:val="10"/>
          </w:tcPr>
          <w:p>
            <w:pPr>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CONTROLS AND PROCEDURES</w:t>
              </w:r>
            </w:hyperlink>
          </w:p>
        </w:tc>
        <w:tc>
          <w:tcPr>
            <w:tcW w:w="5060" w:type="dxa"/>
            <w:vAlign w:val="bottom"/>
            <w:gridSpan w:val="17"/>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97</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9B:</w:t>
            </w:r>
          </w:p>
        </w:tc>
        <w:tc>
          <w:tcPr>
            <w:tcW w:w="2600" w:type="dxa"/>
            <w:vAlign w:val="bottom"/>
            <w:gridSpan w:val="10"/>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OTHER INFORMATION</w:t>
              </w:r>
            </w:hyperlink>
          </w:p>
        </w:tc>
        <w:tc>
          <w:tcPr>
            <w:tcW w:w="5060" w:type="dxa"/>
            <w:vAlign w:val="bottom"/>
            <w:gridSpan w:val="17"/>
          </w:tcPr>
          <w:p>
            <w:pPr>
              <w:spacing w:after="0"/>
              <w:rPr>
                <w:sz w:val="21"/>
                <w:szCs w:val="21"/>
                <w:color w:val="auto"/>
              </w:rPr>
            </w:pPr>
          </w:p>
        </w:tc>
        <w:tc>
          <w:tcPr>
            <w:tcW w:w="1280" w:type="dxa"/>
            <w:vAlign w:val="bottom"/>
            <w:gridSpan w:val="4"/>
          </w:tcPr>
          <w:p>
            <w:pPr>
              <w:jc w:val="center"/>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100</w:t>
              </w:r>
            </w:hyperlink>
          </w:p>
        </w:tc>
        <w:tc>
          <w:tcPr>
            <w:tcW w:w="0" w:type="dxa"/>
            <w:vAlign w:val="bottom"/>
          </w:tcPr>
          <w:p>
            <w:pPr>
              <w:spacing w:after="0"/>
              <w:rPr>
                <w:sz w:val="1"/>
                <w:szCs w:val="1"/>
                <w:color w:val="auto"/>
              </w:rPr>
            </w:pPr>
          </w:p>
        </w:tc>
      </w:tr>
      <w:tr>
        <w:trPr>
          <w:trHeight w:val="615"/>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10:</w:t>
            </w:r>
          </w:p>
        </w:tc>
        <w:tc>
          <w:tcPr>
            <w:tcW w:w="5800" w:type="dxa"/>
            <w:vAlign w:val="bottom"/>
            <w:gridSpan w:val="20"/>
          </w:tcPr>
          <w:p>
            <w:pPr>
              <w:spacing w:after="0"/>
              <w:rPr>
                <w:rFonts w:ascii="Arial" w:cs="Arial" w:eastAsia="Arial" w:hAnsi="Arial"/>
                <w:sz w:val="18"/>
                <w:szCs w:val="18"/>
                <w:color w:val="0000EE"/>
                <w:w w:val="94"/>
              </w:rPr>
            </w:pPr>
            <w:hyperlink w:anchor="page104">
              <w:r>
                <w:rPr>
                  <w:rFonts w:ascii="Arial" w:cs="Arial" w:eastAsia="Arial" w:hAnsi="Arial"/>
                  <w:sz w:val="18"/>
                  <w:szCs w:val="18"/>
                  <w:color w:val="0000EE"/>
                  <w:w w:val="94"/>
                </w:rPr>
                <w:t>DIRECTORS, EXECUTIVE OFFICERS AND CORPORATE GOVERNANCE</w:t>
              </w:r>
            </w:hyperlink>
          </w:p>
        </w:tc>
        <w:tc>
          <w:tcPr>
            <w:tcW w:w="1860" w:type="dxa"/>
            <w:vAlign w:val="bottom"/>
            <w:gridSpan w:val="7"/>
          </w:tcPr>
          <w:p>
            <w:pPr>
              <w:spacing w:after="0"/>
              <w:rPr>
                <w:sz w:val="19"/>
                <w:szCs w:val="19"/>
                <w:color w:val="auto"/>
              </w:rPr>
            </w:pPr>
          </w:p>
        </w:tc>
        <w:tc>
          <w:tcPr>
            <w:tcW w:w="1280" w:type="dxa"/>
            <w:vAlign w:val="bottom"/>
            <w:gridSpan w:val="4"/>
          </w:tcPr>
          <w:p>
            <w:pPr>
              <w:jc w:val="center"/>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920" w:type="dxa"/>
            <w:vAlign w:val="bottom"/>
            <w:tcBorders>
              <w:right w:val="single" w:sz="8" w:color="0000EE"/>
            </w:tcBorders>
            <w:gridSpan w:val="4"/>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11:</w:t>
            </w:r>
          </w:p>
        </w:tc>
        <w:tc>
          <w:tcPr>
            <w:tcW w:w="2440" w:type="dxa"/>
            <w:vAlign w:val="bottom"/>
            <w:gridSpan w:val="9"/>
          </w:tcPr>
          <w:p>
            <w:pPr>
              <w:spacing w:after="0"/>
              <w:rPr>
                <w:rFonts w:ascii="Arial" w:cs="Arial" w:eastAsia="Arial" w:hAnsi="Arial"/>
                <w:sz w:val="18"/>
                <w:szCs w:val="18"/>
                <w:color w:val="0000EE"/>
                <w:w w:val="94"/>
              </w:rPr>
            </w:pPr>
            <w:hyperlink w:anchor="page104">
              <w:r>
                <w:rPr>
                  <w:rFonts w:ascii="Arial" w:cs="Arial" w:eastAsia="Arial" w:hAnsi="Arial"/>
                  <w:sz w:val="18"/>
                  <w:szCs w:val="18"/>
                  <w:color w:val="0000EE"/>
                  <w:w w:val="94"/>
                </w:rPr>
                <w:t>EXECUTIVE COMPENSATION</w:t>
              </w:r>
            </w:hyperlink>
          </w:p>
        </w:tc>
        <w:tc>
          <w:tcPr>
            <w:tcW w:w="3360" w:type="dxa"/>
            <w:vAlign w:val="bottom"/>
            <w:gridSpan w:val="11"/>
          </w:tcPr>
          <w:p>
            <w:pPr>
              <w:spacing w:after="0"/>
              <w:rPr>
                <w:sz w:val="21"/>
                <w:szCs w:val="21"/>
                <w:color w:val="auto"/>
              </w:rPr>
            </w:pPr>
          </w:p>
        </w:tc>
        <w:tc>
          <w:tcPr>
            <w:tcW w:w="1860" w:type="dxa"/>
            <w:vAlign w:val="bottom"/>
            <w:gridSpan w:val="7"/>
          </w:tcPr>
          <w:p>
            <w:pPr>
              <w:spacing w:after="0"/>
              <w:rPr>
                <w:sz w:val="21"/>
                <w:szCs w:val="21"/>
                <w:color w:val="auto"/>
              </w:rPr>
            </w:pPr>
          </w:p>
        </w:tc>
        <w:tc>
          <w:tcPr>
            <w:tcW w:w="1280" w:type="dxa"/>
            <w:vAlign w:val="bottom"/>
            <w:gridSpan w:val="4"/>
          </w:tcPr>
          <w:p>
            <w:pPr>
              <w:jc w:val="center"/>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12:</w:t>
            </w:r>
          </w:p>
        </w:tc>
        <w:tc>
          <w:tcPr>
            <w:tcW w:w="7160" w:type="dxa"/>
            <w:vAlign w:val="bottom"/>
            <w:tcBorders>
              <w:bottom w:val="single" w:sz="8" w:color="0000EE"/>
            </w:tcBorders>
            <w:gridSpan w:val="24"/>
          </w:tcPr>
          <w:p>
            <w:pPr>
              <w:spacing w:after="0"/>
              <w:rPr>
                <w:rFonts w:ascii="Arial" w:cs="Arial" w:eastAsia="Arial" w:hAnsi="Arial"/>
                <w:sz w:val="18"/>
                <w:szCs w:val="18"/>
                <w:color w:val="0000EE"/>
                <w:w w:val="96"/>
              </w:rPr>
            </w:pPr>
            <w:hyperlink w:anchor="page104">
              <w:r>
                <w:rPr>
                  <w:rFonts w:ascii="Arial" w:cs="Arial" w:eastAsia="Arial" w:hAnsi="Arial"/>
                  <w:sz w:val="18"/>
                  <w:szCs w:val="18"/>
                  <w:color w:val="0000EE"/>
                  <w:w w:val="96"/>
                </w:rPr>
                <w:t>SECURITY OWNERSHIP OF CERTAIN BENEFICIAL OWNERS AND MANAGEMENT AND</w:t>
              </w:r>
            </w:hyperlink>
          </w:p>
        </w:tc>
        <w:tc>
          <w:tcPr>
            <w:tcW w:w="500" w:type="dxa"/>
            <w:vAlign w:val="bottom"/>
            <w:gridSpan w:val="3"/>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60" w:type="dxa"/>
            <w:vAlign w:val="bottom"/>
            <w:gridSpan w:val="27"/>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RELATED STOCKHOLDER MATTERS</w:t>
              </w:r>
            </w:hyperlink>
          </w:p>
        </w:tc>
        <w:tc>
          <w:tcPr>
            <w:tcW w:w="1280" w:type="dxa"/>
            <w:vAlign w:val="bottom"/>
            <w:gridSpan w:val="4"/>
          </w:tcPr>
          <w:p>
            <w:pPr>
              <w:jc w:val="center"/>
              <w:spacing w:after="0" w:line="196" w:lineRule="exact"/>
              <w:rPr>
                <w:rFonts w:ascii="Arial" w:cs="Arial" w:eastAsia="Arial" w:hAnsi="Arial"/>
                <w:sz w:val="18"/>
                <w:szCs w:val="18"/>
                <w:color w:val="0000EE"/>
                <w:w w:val="86"/>
              </w:rPr>
            </w:pPr>
            <w:hyperlink w:anchor="page104">
              <w:r>
                <w:rPr>
                  <w:rFonts w:ascii="Arial" w:cs="Arial" w:eastAsia="Arial" w:hAnsi="Arial"/>
                  <w:sz w:val="18"/>
                  <w:szCs w:val="18"/>
                  <w:color w:val="0000EE"/>
                  <w:w w:val="86"/>
                </w:rPr>
                <w:t>101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660" w:type="dxa"/>
            <w:vAlign w:val="bottom"/>
            <w:tcBorders>
              <w:left w:val="single" w:sz="8" w:color="0000EE"/>
            </w:tcBorders>
            <w:gridSpan w:val="9"/>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13:</w:t>
            </w:r>
          </w:p>
        </w:tc>
        <w:tc>
          <w:tcPr>
            <w:tcW w:w="7660" w:type="dxa"/>
            <w:vAlign w:val="bottom"/>
            <w:gridSpan w:val="27"/>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CERTAIN RELATIONSHIPS AND RELATED TRANSACTIONS, AND DIRECTOR</w:t>
              </w:r>
            </w:hyperlink>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INDEPENDENCE</w:t>
              </w:r>
            </w:hyperlink>
          </w:p>
        </w:tc>
        <w:tc>
          <w:tcPr>
            <w:tcW w:w="1380" w:type="dxa"/>
            <w:vAlign w:val="bottom"/>
            <w:gridSpan w:val="5"/>
          </w:tcPr>
          <w:p>
            <w:pPr>
              <w:spacing w:after="0"/>
              <w:rPr>
                <w:sz w:val="17"/>
                <w:szCs w:val="17"/>
                <w:color w:val="auto"/>
              </w:rPr>
            </w:pPr>
          </w:p>
        </w:tc>
        <w:tc>
          <w:tcPr>
            <w:tcW w:w="1280" w:type="dxa"/>
            <w:vAlign w:val="bottom"/>
            <w:gridSpan w:val="4"/>
          </w:tcPr>
          <w:p>
            <w:pPr>
              <w:jc w:val="center"/>
              <w:spacing w:after="0" w:line="196" w:lineRule="exact"/>
              <w:rPr>
                <w:rFonts w:ascii="Arial" w:cs="Arial" w:eastAsia="Arial" w:hAnsi="Arial"/>
                <w:sz w:val="18"/>
                <w:szCs w:val="18"/>
                <w:color w:val="0000EE"/>
                <w:w w:val="86"/>
              </w:rPr>
            </w:pPr>
            <w:hyperlink w:anchor="page104">
              <w:r>
                <w:rPr>
                  <w:rFonts w:ascii="Arial" w:cs="Arial" w:eastAsia="Arial" w:hAnsi="Arial"/>
                  <w:sz w:val="18"/>
                  <w:szCs w:val="18"/>
                  <w:color w:val="0000EE"/>
                  <w:w w:val="86"/>
                </w:rPr>
                <w:t>101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580" w:type="dxa"/>
            <w:vAlign w:val="bottom"/>
            <w:gridSpan w:val="13"/>
          </w:tcPr>
          <w:p>
            <w:pPr>
              <w:spacing w:after="0" w:line="20" w:lineRule="exact"/>
              <w:rPr>
                <w:sz w:val="1"/>
                <w:szCs w:val="1"/>
                <w:color w:val="auto"/>
              </w:rPr>
            </w:pPr>
          </w:p>
        </w:tc>
        <w:tc>
          <w:tcPr>
            <w:tcW w:w="3720" w:type="dxa"/>
            <w:vAlign w:val="bottom"/>
            <w:gridSpan w:val="10"/>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14:</w:t>
            </w:r>
          </w:p>
        </w:tc>
        <w:tc>
          <w:tcPr>
            <w:tcW w:w="7660" w:type="dxa"/>
            <w:vAlign w:val="bottom"/>
            <w:gridSpan w:val="27"/>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PRINCIPAL ACCOUNTING FEES AND SERVICES</w:t>
              </w:r>
            </w:hyperlink>
          </w:p>
        </w:tc>
        <w:tc>
          <w:tcPr>
            <w:tcW w:w="1280" w:type="dxa"/>
            <w:vAlign w:val="bottom"/>
            <w:gridSpan w:val="4"/>
          </w:tcPr>
          <w:p>
            <w:pPr>
              <w:jc w:val="center"/>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102</w:t>
              </w:r>
            </w:hyperlink>
          </w:p>
        </w:tc>
        <w:tc>
          <w:tcPr>
            <w:tcW w:w="0" w:type="dxa"/>
            <w:vAlign w:val="bottom"/>
          </w:tcPr>
          <w:p>
            <w:pPr>
              <w:spacing w:after="0"/>
              <w:rPr>
                <w:sz w:val="1"/>
                <w:szCs w:val="1"/>
                <w:color w:val="auto"/>
              </w:rPr>
            </w:pPr>
          </w:p>
        </w:tc>
      </w:tr>
      <w:tr>
        <w:trPr>
          <w:trHeight w:val="615"/>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15:</w:t>
            </w:r>
          </w:p>
        </w:tc>
        <w:tc>
          <w:tcPr>
            <w:tcW w:w="7660" w:type="dxa"/>
            <w:vAlign w:val="bottom"/>
            <w:gridSpan w:val="27"/>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EXHIBITS, FINANCIAL STATEMENT SCHEDULE</w:t>
              </w:r>
            </w:hyperlink>
          </w:p>
        </w:tc>
        <w:tc>
          <w:tcPr>
            <w:tcW w:w="1280" w:type="dxa"/>
            <w:vAlign w:val="bottom"/>
            <w:gridSpan w:val="4"/>
          </w:tcPr>
          <w:p>
            <w:pPr>
              <w:jc w:val="center"/>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103</w:t>
              </w:r>
            </w:hyperlink>
          </w:p>
        </w:tc>
        <w:tc>
          <w:tcPr>
            <w:tcW w:w="0" w:type="dxa"/>
            <w:vAlign w:val="bottom"/>
          </w:tcPr>
          <w:p>
            <w:pPr>
              <w:spacing w:after="0"/>
              <w:rPr>
                <w:sz w:val="1"/>
                <w:szCs w:val="1"/>
                <w:color w:val="auto"/>
              </w:rPr>
            </w:pPr>
          </w:p>
        </w:tc>
      </w:tr>
      <w:tr>
        <w:trPr>
          <w:trHeight w:val="20"/>
        </w:trPr>
        <w:tc>
          <w:tcPr>
            <w:tcW w:w="1740" w:type="dxa"/>
            <w:vAlign w:val="bottom"/>
            <w:gridSpan w:val="2"/>
            <w:vMerge w:val="restart"/>
          </w:tcPr>
          <w:p>
            <w:pPr>
              <w:spacing w:after="0"/>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SIGNATURES</w:t>
              </w:r>
            </w:hyperlink>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74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4"/>
          </w:tcPr>
          <w:p>
            <w:pPr>
              <w:jc w:val="center"/>
              <w:spacing w:after="0"/>
              <w:rPr>
                <w:rFonts w:ascii="Arial" w:cs="Arial" w:eastAsia="Arial" w:hAnsi="Arial"/>
                <w:sz w:val="18"/>
                <w:szCs w:val="18"/>
                <w:color w:val="0000EE"/>
                <w:w w:val="86"/>
              </w:rPr>
            </w:pPr>
            <w:hyperlink w:anchor="page110">
              <w:r>
                <w:rPr>
                  <w:rFonts w:ascii="Arial" w:cs="Arial" w:eastAsia="Arial" w:hAnsi="Arial"/>
                  <w:sz w:val="18"/>
                  <w:szCs w:val="18"/>
                  <w:color w:val="0000EE"/>
                  <w:w w:val="86"/>
                </w:rPr>
                <w:t>107</w:t>
              </w:r>
            </w:hyperlink>
          </w:p>
        </w:tc>
        <w:tc>
          <w:tcPr>
            <w:tcW w:w="0" w:type="dxa"/>
            <w:vAlign w:val="bottom"/>
          </w:tcPr>
          <w:p>
            <w:pPr>
              <w:spacing w:after="0"/>
              <w:rPr>
                <w:sz w:val="1"/>
                <w:szCs w:val="1"/>
                <w:color w:val="auto"/>
              </w:rPr>
            </w:pPr>
          </w:p>
        </w:tc>
      </w:tr>
      <w:tr>
        <w:trPr>
          <w:trHeight w:val="20"/>
        </w:trPr>
        <w:tc>
          <w:tcPr>
            <w:tcW w:w="1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680"/>
          </w:cols>
          <w:pgMar w:left="620" w:top="364" w:right="5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on Form 10-K, the terms "we," "us," "our," "Itron," and the "Company" refer to Itron,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This document contains forward-looking statements concerning our operations, financial performance, revenues, earnings growth, liquidity, and other items. This document reflects our current plans and expectations and is based on information currently available as of the date of this Annual Report on Form 10-K.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You should not solely rely on these forward-looking statements as they are only valid as of the date of this Annual Report on Form 10-K. We do not have any obligation to publicly update or revise any forward-looking statement in this document. For a complete description of risks and uncertainties, refer to Item 1A: "Risk Factors" included in this Annual Report on Form 10-K.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Documents we provide to the Securities and Exchange Commission (SEC) are available free of charge under the Investors section of our website at </w:t>
      </w:r>
      <w:r>
        <w:rPr>
          <w:rFonts w:ascii="Arial" w:cs="Arial" w:eastAsia="Arial" w:hAnsi="Arial"/>
          <w:sz w:val="17"/>
          <w:szCs w:val="17"/>
          <w:i w:val="1"/>
          <w:iCs w:val="1"/>
          <w:color w:val="auto"/>
        </w:rPr>
        <w:t xml:space="preserve">www.itron.com </w:t>
      </w:r>
      <w:r>
        <w:rPr>
          <w:rFonts w:ascii="Arial" w:cs="Arial" w:eastAsia="Arial" w:hAnsi="Arial"/>
          <w:sz w:val="17"/>
          <w:szCs w:val="17"/>
          <w:color w:val="auto"/>
        </w:rPr>
        <w:t>as soon as practicable after they are filed with or furnished to the SEC. In addition, these documents are available at the SEC's website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http://www.sec.gov</w:t>
      </w:r>
      <w:r>
        <w:rPr>
          <w:rFonts w:ascii="Arial" w:cs="Arial" w:eastAsia="Arial" w:hAnsi="Arial"/>
          <w:sz w:val="17"/>
          <w:szCs w:val="17"/>
          <w:color w:val="auto"/>
        </w:rPr>
        <w:t>) and at the SEC's Headquarters at 100 F Street, NE, Washington, DC 20549, or by calling 1-800-SEC-0330.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Itron enables utilities and cities to safely, securely and reliably deliver critical infrastructure services to communities in more than 100 countries. Our proven portfolio of smart networks, software, services, devices, and sensors helps our customers better manage their operations in the energy, water, and smart city space. We are among the leading technology and services companies offering end-to-end device solutions, networked solutions, and outcomes-based products and services. Our comprehensive offerings measure, manage, and provide data analytics and services to utilities and municipalities that enable them to responsibly and efficiently manage resources.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over 40 years of experience in supporting utilities and municipalities in the management of their data and critical infrastructure needs. Incorporated in 1977 with a focus on meter reading technology, we entered the electricity meter manufacturing business with the acquisition of Schlumberger Electricity Metering in 2004. In 2007, we expanded our presence in global meter manufacturing and systems with the acquisition of Actaris Metering Systems SA. In 2017, we completed our acquisition of </w:t>
      </w:r>
      <w:r>
        <w:rPr>
          <w:rFonts w:ascii="Arial" w:cs="Arial" w:eastAsia="Arial" w:hAnsi="Arial"/>
          <w:sz w:val="18"/>
          <w:szCs w:val="18"/>
          <w:color w:val="222222"/>
        </w:rPr>
        <w:t>Comverge by purchasing the stock of its parent, Peak Holding Corp. (Comverge), which e</w:t>
      </w:r>
      <w:r>
        <w:rPr>
          <w:rFonts w:ascii="Arial" w:cs="Arial" w:eastAsia="Arial" w:hAnsi="Arial"/>
          <w:sz w:val="18"/>
          <w:szCs w:val="18"/>
          <w:color w:val="auto"/>
        </w:rPr>
        <w:t>nabled us to offer integrated cloud-based demand response, energy efficiency, and customer engagement solutions. In 2018, we strengthened our ability to deliver a broader set of solutions and to increase the pace of growth and innovation in the utility, smart city, and Industrial Internet of Things markets with the acquisition of Silver Spring Networks, Inc. (SSNI).</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discussion of our major products, our markets, and our operating segments. Refer to Item 7: "Management's Discussion and Analysis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 and Results of Operations" and Item 8: "Financial Statements and Supplementary Data" for specific segment results.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technology and service company, who is a leader in the Industrial Internet of Things, offering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offer a portfolio of products, software, and services to our customers that can be a standalone, one-time purchase or an end-to-end solution that can be reoccurring over multiple years. The portfolio includes hardware products used for measurement, control, or sensing with and without communications capability; a combination of endpoints and network infrastructure designed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sold as a complete solutions for the purpose of robustly acquiring and transporting application specific data; value added services, software, and products that organize, analyze and interpret data for the purpose of gaining insights, making decisions, and informing actions. We offer managed services, software-as-a-service (SaaS), technical support services, licensing hardware technology, and consulting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Drivers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Utility and municipalities are in the middle of an evolution of how they operate critical infrastructure, manage scarce resources, and interact with their customers. Efficiently managing resources within energy, water, and cities is a top priority globally, as increasing populations and resource consumption continues to stress an aging infrastructure. The growing demand for energy, water, and municipal services coupled with the proliferation of renewable energy sources, smart communicating devices, sensors, and multiple data producing technologies is forcing providers to rethink how they operate and service their communities. This evolution comes at a time when utilities and municipalities are challenged by cost constraints, regulatory requirements, environmental concerns, safety, and resource scarcity. Itron provides its customers with a solution-based offering to safely, securely, and reliably optimize their critical infrastructure to improve the efficiency of their services and to better understand their customers with near real-time knowledge of their resource usage. An added benefit of our solutions is the utility or municipality can empower their customers to understand and have control over their resource usage, allowing for better management and conservation of valuable resources.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Segments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under the Itron brand worldwide and manage and report under three operating segments. Effective October 1, 2018, we reorganized our operational reporting segmentation from Electricity, Gas, Water, and Networks to Device Solutions, Networked Solutions, and Outcomes. As part of our reorganization, we actively integrated recent acquisitions and implementing an organizational structure that aligns with the new segments. In conjunction with the rollout of our new operating segments, we unified our go-to-market strategy with a single, global sales force, which sells the full portfolio of Itron solutions, products, and services. We manage our product development, service delivery, and manufacturing operations on a worldwide basis to promote global, integrated oversight of our operations and to ensure consistency and interoperability between our operating segments. The reorganization of the business segments allows us to more effectively serve our customers and compete in our industry. The following discussion provides a description of each of the three segments:</w:t>
      </w:r>
    </w:p>
    <w:p>
      <w:pPr>
        <w:spacing w:after="0" w:line="192"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i w:val="1"/>
          <w:iCs w:val="1"/>
          <w:color w:val="auto"/>
        </w:rPr>
        <w:t xml:space="preserve">Device Solutions - </w:t>
      </w:r>
      <w:r>
        <w:rPr>
          <w:rFonts w:ascii="Arial" w:cs="Arial" w:eastAsia="Arial" w:hAnsi="Arial"/>
          <w:sz w:val="17"/>
          <w:szCs w:val="17"/>
          <w:color w:val="auto"/>
        </w:rPr>
        <w:t>includes hardware products used for measurement, control, or sensing that do not have communications capability embedded for use</w:t>
      </w:r>
      <w:r>
        <w:rPr>
          <w:rFonts w:ascii="Arial" w:cs="Arial" w:eastAsia="Arial" w:hAnsi="Arial"/>
          <w:sz w:val="17"/>
          <w:szCs w:val="17"/>
          <w:i w:val="1"/>
          <w:iCs w:val="1"/>
          <w:color w:val="auto"/>
        </w:rPr>
        <w:t xml:space="preserve"> </w:t>
      </w:r>
      <w:r>
        <w:rPr>
          <w:rFonts w:ascii="Arial" w:cs="Arial" w:eastAsia="Arial" w:hAnsi="Arial"/>
          <w:sz w:val="17"/>
          <w:szCs w:val="17"/>
          <w:color w:val="auto"/>
        </w:rPr>
        <w:t>with our broader Itron systems, i.e., products where Itron is not offering the complete "end-to-end" solution, but only the hardware elements. Examples of the Device Solutions portfolio include basic meters that are shipped without Itron communications, such as our standard gas meters, electricity IEC meters, and water meters, in addition to our heat and allocation products; communicating meters that are not a part of an Itron solution such as the Linky meter; and the implementation and installation of non-communicating devices, such as gas regulators.</w:t>
      </w:r>
    </w:p>
    <w:p>
      <w:pPr>
        <w:spacing w:after="0" w:line="173"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i w:val="1"/>
          <w:iCs w:val="1"/>
          <w:color w:val="auto"/>
        </w:rPr>
        <w:t xml:space="preserve">Networked Solutions - </w:t>
      </w:r>
      <w:r>
        <w:rPr>
          <w:rFonts w:ascii="Arial" w:cs="Arial" w:eastAsia="Arial" w:hAnsi="Arial"/>
          <w:sz w:val="16"/>
          <w:szCs w:val="16"/>
          <w:color w:val="auto"/>
        </w:rPr>
        <w:t>includes a combination of communicating devices (smart meters, modules, endpoints, and sensors), network infrastructure, and</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application software designed and sold as a complete solution for acquiring and transporting robust application-specific data. Networked Solutions combines, into one operating segment, the majority of the assets from the recently acquired SSNI organization with our legacy Itron networking products and software and the implementation and installation of communicating devices into one segment. This includes: 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 and management software applications. Solutions supported by this segment include automated meter reading (AMR), advanced metering infrastructure (AMI), smart grid and distribution automation (DA), and smart street lighting and smart city solutions.</w:t>
      </w:r>
    </w:p>
    <w:p>
      <w:pPr>
        <w:spacing w:after="0" w:line="166"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i w:val="1"/>
          <w:iCs w:val="1"/>
          <w:color w:val="auto"/>
        </w:rPr>
        <w:t xml:space="preserve">Outcomes - </w:t>
      </w:r>
      <w:r>
        <w:rPr>
          <w:rFonts w:ascii="Arial" w:cs="Arial" w:eastAsia="Arial" w:hAnsi="Arial"/>
          <w:sz w:val="17"/>
          <w:szCs w:val="17"/>
          <w:color w:val="auto"/>
        </w:rPr>
        <w:t>includes our value-added, enhanced software and services operating segment in which we manage, organize, analyze, and interpret data to</w:t>
      </w:r>
      <w:r>
        <w:rPr>
          <w:rFonts w:ascii="Arial" w:cs="Arial" w:eastAsia="Arial" w:hAnsi="Arial"/>
          <w:sz w:val="17"/>
          <w:szCs w:val="17"/>
          <w:i w:val="1"/>
          <w:iCs w:val="1"/>
          <w:color w:val="auto"/>
        </w:rPr>
        <w:t xml:space="preserve"> </w:t>
      </w:r>
      <w:r>
        <w:rPr>
          <w:rFonts w:ascii="Arial" w:cs="Arial" w:eastAsia="Arial" w:hAnsi="Arial"/>
          <w:sz w:val="17"/>
          <w:szCs w:val="17"/>
          <w:color w:val="auto"/>
        </w:rPr>
        <w:t>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of these offerings include our meter data management and analytics offerings; our managed service solutions including network-as-a-service and platform-as-a-service, forecasting software and services; and any consulting-based engagement. Within the Outcomes segment, we also identify new business models, including performance-based contracting, to drive broader portfolio offerings across utilities and cities.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Bookings and Backlog of Orders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 Total bookings and backlog include certain contracts with termination for convenience clause, which will not agree to the total transaction price allocated to remaining performance obligations disclosed in Item 8: "Financial Statements and Supplementary Data, Note 18: Revenues".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gridSpan w:val="2"/>
          </w:tcPr>
          <w:p>
            <w:pPr>
              <w:ind w:left="180"/>
              <w:spacing w:after="0"/>
              <w:rPr>
                <w:sz w:val="20"/>
                <w:szCs w:val="20"/>
                <w:color w:val="auto"/>
              </w:rPr>
            </w:pPr>
            <w:r>
              <w:rPr>
                <w:rFonts w:ascii="Arial" w:cs="Arial" w:eastAsia="Arial" w:hAnsi="Arial"/>
                <w:sz w:val="16"/>
                <w:szCs w:val="16"/>
                <w:b w:val="1"/>
                <w:bCs w:val="1"/>
                <w:color w:val="auto"/>
              </w:rPr>
              <w:t>Year Ended</w:t>
            </w:r>
          </w:p>
        </w:tc>
        <w:tc>
          <w:tcPr>
            <w:tcW w:w="360" w:type="dxa"/>
            <w:vAlign w:val="bottom"/>
          </w:tcPr>
          <w:p>
            <w:pPr>
              <w:spacing w:after="0"/>
              <w:rPr>
                <w:sz w:val="18"/>
                <w:szCs w:val="18"/>
                <w:color w:val="auto"/>
              </w:rPr>
            </w:pPr>
          </w:p>
        </w:tc>
        <w:tc>
          <w:tcPr>
            <w:tcW w:w="206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Bookings</w:t>
            </w:r>
          </w:p>
        </w:tc>
        <w:tc>
          <w:tcPr>
            <w:tcW w:w="380" w:type="dxa"/>
            <w:vAlign w:val="bottom"/>
          </w:tcPr>
          <w:p>
            <w:pPr>
              <w:spacing w:after="0"/>
              <w:rPr>
                <w:sz w:val="18"/>
                <w:szCs w:val="18"/>
                <w:color w:val="auto"/>
              </w:rPr>
            </w:pPr>
          </w:p>
        </w:tc>
        <w:tc>
          <w:tcPr>
            <w:tcW w:w="20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9"/>
              </w:rPr>
              <w:t>Total Backlog</w:t>
            </w:r>
          </w:p>
        </w:tc>
        <w:tc>
          <w:tcPr>
            <w:tcW w:w="300" w:type="dxa"/>
            <w:vAlign w:val="bottom"/>
          </w:tcPr>
          <w:p>
            <w:pPr>
              <w:spacing w:after="0"/>
              <w:rPr>
                <w:sz w:val="18"/>
                <w:szCs w:val="18"/>
                <w:color w:val="auto"/>
              </w:rPr>
            </w:pPr>
          </w:p>
        </w:tc>
        <w:tc>
          <w:tcPr>
            <w:tcW w:w="1960" w:type="dxa"/>
            <w:vAlign w:val="bottom"/>
          </w:tcPr>
          <w:p>
            <w:pPr>
              <w:jc w:val="right"/>
              <w:ind w:right="419"/>
              <w:spacing w:after="0"/>
              <w:rPr>
                <w:sz w:val="20"/>
                <w:szCs w:val="20"/>
                <w:color w:val="auto"/>
              </w:rPr>
            </w:pPr>
            <w:r>
              <w:rPr>
                <w:rFonts w:ascii="Arial" w:cs="Arial" w:eastAsia="Arial" w:hAnsi="Arial"/>
                <w:sz w:val="16"/>
                <w:szCs w:val="16"/>
                <w:b w:val="1"/>
                <w:bCs w:val="1"/>
                <w:color w:val="auto"/>
              </w:rPr>
              <w:t>12-Month Backlog</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352"/>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(in millions)</w:t>
            </w: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2018</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1,349</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December 31, 2017</w:t>
            </w:r>
          </w:p>
        </w:tc>
        <w:tc>
          <w:tcPr>
            <w:tcW w:w="36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1,993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1,750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931</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360" w:type="dxa"/>
            <w:vAlign w:val="bottom"/>
            <w:shd w:val="clear" w:color="auto" w:fill="CCEEFF"/>
          </w:tcPr>
          <w:p>
            <w:pPr>
              <w:spacing w:after="0"/>
              <w:rPr>
                <w:sz w:val="20"/>
                <w:szCs w:val="20"/>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2,066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761</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Distribution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a combination of direct and indirect sales channels in our operating segments. A direct sales force is utilized for large electric, natural gas, and water utilities, with which we have long-established relationships. For smaller utilities, we typically use an indirect sales force that consists of distributors, sales representatives, partners, and meter manufacturer representatives.</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single customer represented more than 10% of total revenues for the years ended December 31, 2018, 2017, and 2016. Our 10 largest customers in each of the years ended December 31, 2018, 2017, and 2016, accounted for approximately 31%, 33%, and 31% of total revenues,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products require a wide variety of components and materials, which are subject to price and supply fluctuations. We enter into standard purchase orders in the ordinary course of business, which can include purchase orders for specific quantities based on market prices, as well as open-ended agreements that provide for estimated quantities over an extended shipment period, typically up to one year at an established unit cost. Although we have multiple sources of supply for many of our material requirements, certain components and raw materials are supplied by limited or sole-source vendors, and our ability to perform certain contracts depends on the availability of these materials. Refer to Item 1A: "Risk Factors," for further discussion related to supply risks.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manufacturing facilities are located throughout the world, an overview of which is presented in Item 2: "Properties". While we manufacture and assemble a portion of our products, we outsource the manufacturing of certain products to various manufacturing partners. This approach allows us to reduce our costs as it reduces our manufacturing overhead and inventory and also allows us to adjust more quickly to changing end-customer demand. These partners assemble our products using design specifications, quality assurance programs, and standards that we establish and procure components and assemble our products based on demand forecasts. These forecasts represent our estimates of future demand for our products based upon historical trends and analysis from our sales and product management functions, as adjusted for overall market conditions.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delivering products and systems to our customers, we may partner with third-party vendors to provide hardware, software, or services, e.g., meter installation and communication network equipment and infrastructure. Our ability to perform on our contractual obligations with our customers is dependent on these partners meeting their obligations to us. Refer to Item 1A: "Risk Factors," for further discussion related to third-party vendors and strategic partners.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 development is focused on both improving existing technology and developing innovative new technology for electricity, natural gas, water and heat meters, sensing and control devices, data collection software, communication technologies, data warehousing, software applications, and the Industrial Internet of Things. We invested approximately $208 million, $169 million, and $168 million in product development in 2018, 2017 and 2016, which represented 9% of total revenues for 2018, 8% of total revenues for 2017 and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Workforce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we had approximately 8,000 people in our workforce, including 6,700 permanent employees. We have not experienced significant employee work stoppages and consider our employee relations to be good.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enable utilities and cities to safely, securely, and reliably deliver critical infrastructure services to communities in more than 100 countries. Our portfolio of smart networks, software, services, meters, and sensors help our customers better manage electricity, gas, water, and city infrastructure resources for the people they serve. Consequently, we operate within a large and complex competitive landscape. Some of our competitors have diversified product portfolios and participate in multiple geographic markets, while others focus on specific regional markets and/or certain types of products, including some low-cost suppliers based in China and India. Our competitors in China have an increasing presence in other markets around the world; however, excluding the Asia Pacific region this competition does not represent a major market share in our global operating regions. Our competitors range from small to large established companies.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that our competitive advantage is based on our in-depth knowledge of the industries we serve, our capacity to innovate, and our ability to provide complete end-to-end integrated solutions. We are a global leader in the Industrial Internet of Things category, a leader the industry in communication modules deployed, a leading industry innovator, a leader in electricity, gas and water end-to-end solutions, and a global leader in meters under managed services. We continue to serve our established customer relationships, and expand upon our track record of delivering reliable, accurate, and long-lived products and services. Refer to Item 1A: "Risk Factors" for a discussion of the competitive pressures we face.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Our primary competitors include the following:</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Global Competitors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Regional Competitors</w:t>
      </w:r>
    </w:p>
    <w:p>
      <w:pPr>
        <w:spacing w:after="0" w:line="104" w:lineRule="exact"/>
        <w:rPr>
          <w:sz w:val="20"/>
          <w:szCs w:val="20"/>
          <w:color w:val="auto"/>
        </w:rPr>
      </w:pPr>
    </w:p>
    <w:p>
      <w:pPr>
        <w:sectPr>
          <w:pgSz w:w="11900" w:h="16838" w:orient="portrait"/>
          <w:cols w:equalWidth="0" w:num="2">
            <w:col w:w="5280" w:space="720"/>
            <w:col w:w="5420"/>
          </w:cols>
          <w:pgMar w:left="240" w:top="125" w:right="239" w:bottom="1440" w:gutter="0" w:footer="0" w:header="0"/>
          <w:type w:val="continuous"/>
        </w:sectPr>
      </w:pPr>
    </w:p>
    <w:p>
      <w:pPr>
        <w:ind w:left="260"/>
        <w:spacing w:after="0"/>
        <w:rPr>
          <w:sz w:val="20"/>
          <w:szCs w:val="20"/>
          <w:color w:val="auto"/>
        </w:rPr>
      </w:pPr>
      <w:r>
        <w:rPr>
          <w:rFonts w:ascii="Arial" w:cs="Arial" w:eastAsia="Arial" w:hAnsi="Arial"/>
          <w:sz w:val="16"/>
          <w:szCs w:val="16"/>
          <w:color w:val="auto"/>
        </w:rPr>
        <w:t>Aclara (Hubbell Inc.)</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xml:space="preserve">AT&amp;T </w:t>
      </w:r>
      <w:r>
        <w:rPr>
          <w:rFonts w:ascii="Arial" w:cs="Arial" w:eastAsia="Arial" w:hAnsi="Arial"/>
          <w:sz w:val="10"/>
          <w:szCs w:val="10"/>
          <w:color w:val="auto"/>
        </w:rPr>
        <w:t>(a)</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xml:space="preserve">Cisco Systems Inc. </w:t>
      </w:r>
      <w:r>
        <w:rPr>
          <w:rFonts w:ascii="Arial" w:cs="Arial" w:eastAsia="Arial" w:hAnsi="Arial"/>
          <w:sz w:val="10"/>
          <w:szCs w:val="10"/>
          <w:color w:val="auto"/>
        </w:rPr>
        <w:t>(a)</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Diehl Metering (Diehl Stiftung &amp; Co. KG)</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Elster (Honeywell International Inc.)</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Hexing Electrical Co. Ltd</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Landis+Gyr</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Sensus (Xylem, Inc.)</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xml:space="preserve">Verizon Communications Inc. </w:t>
      </w:r>
      <w:r>
        <w:rPr>
          <w:rFonts w:ascii="Arial" w:cs="Arial" w:eastAsia="Arial" w:hAnsi="Arial"/>
          <w:sz w:val="10"/>
          <w:szCs w:val="10"/>
          <w:color w:val="auto"/>
        </w:rPr>
        <w:t>(a)</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xml:space="preserve">Vodafone Group PLC </w:t>
      </w:r>
      <w:r>
        <w:rPr>
          <w:rFonts w:ascii="Arial" w:cs="Arial" w:eastAsia="Arial" w:hAnsi="Arial"/>
          <w:sz w:val="10"/>
          <w:szCs w:val="10"/>
          <w:color w:val="auto"/>
        </w:rPr>
        <w:t>(a)</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Zenner Performance (Zenner International GmbH &amp; Co. KG)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Apator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Badger Meter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Endesa (Enel SpA)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Kamstrup Water Metering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LAO Industria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Master Meter (ARAD,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Mueller Water Products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Neptune Technologies (Roper Technologies,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Pietro Fiorentini</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Sagemcom Energy &amp; Telecom (Charterhouse Capital Partners)</w:t>
      </w:r>
    </w:p>
    <w:p>
      <w:pPr>
        <w:spacing w:after="0" w:line="470" w:lineRule="exact"/>
        <w:rPr>
          <w:sz w:val="20"/>
          <w:szCs w:val="20"/>
          <w:color w:val="auto"/>
        </w:rPr>
      </w:pPr>
    </w:p>
    <w:p>
      <w:pPr>
        <w:sectPr>
          <w:pgSz w:w="11900" w:h="16838" w:orient="portrait"/>
          <w:cols w:equalWidth="0" w:num="2">
            <w:col w:w="5480" w:space="720"/>
            <w:col w:w="5220"/>
          </w:cols>
          <w:pgMar w:left="240" w:top="125" w:right="239" w:bottom="1440" w:gutter="0" w:footer="0" w:header="0"/>
          <w:type w:val="continuous"/>
        </w:sectPr>
      </w:pPr>
    </w:p>
    <w:p>
      <w:pPr>
        <w:spacing w:after="0" w:line="98" w:lineRule="exact"/>
        <w:rPr>
          <w:sz w:val="20"/>
          <w:szCs w:val="20"/>
          <w:color w:val="auto"/>
        </w:rPr>
      </w:pPr>
    </w:p>
    <w:p>
      <w:pPr>
        <w:ind w:left="260" w:hanging="252"/>
        <w:spacing w:after="0" w:line="232" w:lineRule="auto"/>
        <w:tabs>
          <w:tab w:leader="none" w:pos="201" w:val="left"/>
        </w:tabs>
        <w:numPr>
          <w:ilvl w:val="0"/>
          <w:numId w:val="3"/>
        </w:numPr>
        <w:rPr>
          <w:rFonts w:ascii="Arial" w:cs="Arial" w:eastAsia="Arial" w:hAnsi="Arial"/>
          <w:sz w:val="23"/>
          <w:szCs w:val="23"/>
          <w:color w:val="auto"/>
          <w:vertAlign w:val="superscript"/>
        </w:rPr>
      </w:pPr>
      <w:r>
        <w:rPr>
          <w:rFonts w:ascii="Arial" w:cs="Arial" w:eastAsia="Arial" w:hAnsi="Arial"/>
          <w:sz w:val="15"/>
          <w:szCs w:val="15"/>
          <w:color w:val="auto"/>
        </w:rPr>
        <w:t>Due to the fragmented nature of the Industrial Internet of Things and Smart Cities markets, we often partner with these vendors to collaboratively deliver end-to-end solutions to our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pursue strategic alliances with other companies in areas where collaboration can produce product advancement and acceleration of entry into new markets. The objectives and goals of a strategic alliance can include one or more of the following: technology exchange, product development, joint sales and marketing, or access to new geographic markets. Refer to Item 1A: "Risk Factors" for a discussion of risks associated with strategic alliances.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patents and patent applications cover a range of technologies, which relate to standard metering, smart metering solutions and technology, meter data management software, knowledge application solutions, and Industrial Internet of Things. We also rely on a combination of copyrights, patents, and trade secrets to protect our products and technologies. Disputes over the ownership, registration, and enforcement of intellectual property rights arise in the ordinary course of our business. While we believe patents and trademarks are important to our operations and, in aggregate, constitute valuable assets, no single patent or trademark, or group of patents or trademarks, is critical to the success of our business. We license some of our technology to other companies, some of which are our competitors.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ordinary course of our business we use metals, solvents, and similar materials that are stored on-site. We believe that we are in compliance with environmental laws, rules, and regulations applicable to the operation of our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names, ages, and titles of our executive officers as of February 28, 2019.</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Philip C. Mezey</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Thomas L. Deitrich</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21"/>
                <w:szCs w:val="21"/>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Executive Vice President and Chief Operating Officer</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Joan S. Hooper</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Michel C. Cadieux</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20" w:type="dxa"/>
            <w:vAlign w:val="bottom"/>
          </w:tcPr>
          <w:p>
            <w:pPr>
              <w:spacing w:after="0"/>
              <w:rPr>
                <w:sz w:val="21"/>
                <w:szCs w:val="21"/>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Senior Vice President, Human Resources</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Sarah E. Hlavinka</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shd w:val="clear" w:color="auto" w:fill="CCEEFF"/>
          </w:tcPr>
          <w:p>
            <w:pPr>
              <w:spacing w:after="0"/>
              <w:rPr>
                <w:sz w:val="21"/>
                <w:szCs w:val="21"/>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General Counsel and Corporate Secretary</w:t>
            </w: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Philip C. Mezey </w:t>
      </w:r>
      <w:r>
        <w:rPr>
          <w:rFonts w:ascii="Arial" w:cs="Arial" w:eastAsia="Arial" w:hAnsi="Arial"/>
          <w:sz w:val="16"/>
          <w:szCs w:val="16"/>
          <w:color w:val="auto"/>
        </w:rPr>
        <w:t>is President and Chief Executive Officer and a member of our Board of Directors. Mr. Mezey was appointed to his current position and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of Directors in January 2013. Mr. Mezey joined Itron in March 2003, and in 2007 Mr. Mezey became Senior Vice President and Chief Operating Officer, Itron North America. Mr. Mezey served as President and Chief Operating Officer, Energy from March 2011 through December 2012. On January 22, 2019, Mr. Mezey informed the Itron Board of his intention to retire from his positions. By mutual agreement with the Board, Mr. Mezey will continue to lead Itron as President and Chief Executive Officer and serve as a member of its Board of Directors until August 31, 2019. or until a successor is appointed. Upon the appointment of a successor, Mr. Mezey will remain with Itron, Inc. as an advisor through December 31, 2019, to help facilitate a seamless transition.</w:t>
      </w:r>
    </w:p>
    <w:p>
      <w:pPr>
        <w:spacing w:after="0" w:line="15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Thomas L. Deitrich </w:t>
      </w:r>
      <w:r>
        <w:rPr>
          <w:rFonts w:ascii="Arial" w:cs="Arial" w:eastAsia="Arial" w:hAnsi="Arial"/>
          <w:sz w:val="16"/>
          <w:szCs w:val="16"/>
          <w:color w:val="auto"/>
        </w:rPr>
        <w:t>is Executive Vice President and Chief Operating Officer. Mr. Deitrich joined Itron in October 2015. From 2012 to September 2015, Mr.</w:t>
      </w:r>
      <w:r>
        <w:rPr>
          <w:rFonts w:ascii="Arial" w:cs="Arial" w:eastAsia="Arial" w:hAnsi="Arial"/>
          <w:sz w:val="16"/>
          <w:szCs w:val="16"/>
          <w:b w:val="1"/>
          <w:bCs w:val="1"/>
          <w:color w:val="auto"/>
        </w:rPr>
        <w:t xml:space="preserve"> </w:t>
      </w:r>
      <w:r>
        <w:rPr>
          <w:rFonts w:ascii="Arial" w:cs="Arial" w:eastAsia="Arial" w:hAnsi="Arial"/>
          <w:sz w:val="16"/>
          <w:szCs w:val="16"/>
          <w:color w:val="auto"/>
        </w:rPr>
        <w:t>Deitrich was Senior Vice President and General Manager for Digital Networking at Freescale Semiconductor, Inc. (Freescale), and he served as the Senior Vice President and General Manager of Freescale's RF, Analog, Sensor, and Cellular Products Group from 2009 to 2012. Mr. Deitrich had other roles of increasing responsibility at Freescale from 2006 to 2009. Prior to Freescale, Mr. Deitrich worked for Flextronics, Sony-Ericsson/Ericsson, and GE.</w:t>
      </w:r>
    </w:p>
    <w:p>
      <w:pPr>
        <w:spacing w:after="0" w:line="1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Joan S. Hooper </w:t>
      </w:r>
      <w:r>
        <w:rPr>
          <w:rFonts w:ascii="Arial" w:cs="Arial" w:eastAsia="Arial" w:hAnsi="Arial"/>
          <w:sz w:val="18"/>
          <w:szCs w:val="18"/>
          <w:color w:val="auto"/>
        </w:rPr>
        <w:t>is Senior Vice President and Chief Financial Officer. Ms. Hooper was appointed to this role in June 2017. Prior to joining Itron, Ms. Hooper</w:t>
      </w:r>
      <w:r>
        <w:rPr>
          <w:rFonts w:ascii="Arial" w:cs="Arial" w:eastAsia="Arial" w:hAnsi="Arial"/>
          <w:sz w:val="18"/>
          <w:szCs w:val="18"/>
          <w:b w:val="1"/>
          <w:bCs w:val="1"/>
          <w:color w:val="auto"/>
        </w:rPr>
        <w:t xml:space="preserve"> </w:t>
      </w:r>
      <w:r>
        <w:rPr>
          <w:rFonts w:ascii="Arial" w:cs="Arial" w:eastAsia="Arial" w:hAnsi="Arial"/>
          <w:sz w:val="18"/>
          <w:szCs w:val="18"/>
          <w:color w:val="auto"/>
        </w:rPr>
        <w:t>was Chief Financial Officer of CHC Helicopter from 2011 to July 2015. Following Ms. Hooper's departure from CHC, CHC filed a voluntary petition of relief under Chapter 11 of the U.S. Bankruptcy Code in May 2016, and CHC emerged from bankruptcy in March 2017. Prior to CHC, she held several finance executive positions at Dell, Inc. from 2003 to 2010, including Vice President and Chief Financial Officer for its Global Public and Americas business units, Vice President of Corporate Finance and Chief Accounting Officer.</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Michel C. Cadieux </w:t>
      </w:r>
      <w:r>
        <w:rPr>
          <w:rFonts w:ascii="Arial" w:cs="Arial" w:eastAsia="Arial" w:hAnsi="Arial"/>
          <w:sz w:val="18"/>
          <w:szCs w:val="18"/>
          <w:color w:val="auto"/>
        </w:rPr>
        <w:t>is Senior Vice President, Human Resources and has been so since joining Itron in February 2014. From 2008 to 2012, Mr. Cadieux was</w:t>
      </w:r>
      <w:r>
        <w:rPr>
          <w:rFonts w:ascii="Arial" w:cs="Arial" w:eastAsia="Arial" w:hAnsi="Arial"/>
          <w:sz w:val="18"/>
          <w:szCs w:val="18"/>
          <w:b w:val="1"/>
          <w:bCs w:val="1"/>
          <w:color w:val="auto"/>
        </w:rPr>
        <w:t xml:space="preserve"> </w:t>
      </w:r>
      <w:r>
        <w:rPr>
          <w:rFonts w:ascii="Arial" w:cs="Arial" w:eastAsia="Arial" w:hAnsi="Arial"/>
          <w:sz w:val="18"/>
          <w:szCs w:val="18"/>
          <w:color w:val="auto"/>
        </w:rPr>
        <w:t>Senior Vice President of Human Resources and Security at Freescale Semiconductor, Inc. (Freescale). Mr. Cadieux has more than 30 years leading HR organizations in global technology and manufacturing companies including Betz Laboratories, the Hudson Bay Company, ING Bank of Canada, Advanced Micro Devices/ATI, and Freescale.</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Sarah E. Hlavinka </w:t>
      </w:r>
      <w:r>
        <w:rPr>
          <w:rFonts w:ascii="Arial" w:cs="Arial" w:eastAsia="Arial" w:hAnsi="Arial"/>
          <w:sz w:val="18"/>
          <w:szCs w:val="18"/>
          <w:color w:val="auto"/>
        </w:rPr>
        <w:t>is Senior Vice President, General Counsel and Corporate Secretary. Ms. Hlavinka was appointed to this role in August 2018.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joining Itron, Ms. Hlavinka served as Executive Vice President, General Counsel and Secretary at Xerox Corporation from 2017 to 2018. Prior to Xerox Corporation, Ms. Hlavinka was Executive Vice President, General Counsel and Secretary at ABM Industries Incorporated, a leading provider of integrated facility services from 2007 to 2017.</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dependent on the utility industry, which has experienced volatility in capital spending.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derive the majority of our revenues from sales of products and services to utilities. Purchases of our products may be deferred as a result of many factors, including economic downturns, slowdowns in new residential and commercial construction, customers' access to capital upon acceptable terms, the timing and availability of government subsidies or other incentives, utility specific financial circumstances, mergers and acquisitions, regulatory decisions, weather conditions, and fluctuating interest rates. We have experienced, and may in the future experience, variability in operating results on an annual and a quarterly basis as a result of these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our ability to develop competitive products.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future success will depend, in part, on our ability to continue to design and manufacture competitive products, and to enhance and sustain our existing products, keep pace with technological advances and changing customer requirements, gain international market acceptance, and manage other factors in the markets in which we sell our products. Product development will require continued investment in order to maintain our competitive position, and the periods in which we incur significant product development costs may drive variability in our quarterly results. We may not have the necessary capital, or access to capital at acceptable terms, to make these investments. We have made, and expect to continue to make, substantial investments in technology development. However, we may experience unforeseen problems in the development or performance of our technologies or products, which can prevent us from meeting our product development schedules. New products often require certifications or regulatory approvals before the products can be used and we cannot be certain that our new products will be approved in a timely manner. Finally, we may not achieve market acceptance of our new products and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certain key vendors, strategic partners, and other third parties.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Certain of our products, subassemblies, and system components including most of our circuit boards are procured from limited or sole sources. We cannot be certain that we will not experience operational difficulties with these sources, including reductions in the availability of production capacity, errors in complying with product specifications, insufficient quality control, failures to meet production deadlines, increases in manufacturing costs, vendors' access to capital and increased lead times. Additionally, our manufacturers may experience disruptions in their manufacturing operations due to equipment breakdowns, labor strikes or shortages, natural disasters, component or material shortages, cost increases or other similar problems. Further, in order to minimize their inventory risk, our manufacturers might not order components from third-party suppliers with adequate lead time, thereby impacting our ability to meet our demand forecast. Therefore, if we fail to manage our relationship with our manufacturers effectively, or if they experience operational difficulties, our ability to ship products to our customers and distributors could be impaired and our competitive position and reputation could be harmed. In the event that we receive shipments of products that fail to comply with our technical specifications or that fail to conform to our quality control standards, and we are not able to obtain replacement products in a timely manner, we risk revenue losses from the inability to sell those products, increased administrative and shipping costs, and lower profitability. Additionally, if defects are not discovered until after consumers purchase our products, they could lose confidence in the technical attributes of our products and our business could be harmed. Although arrangements with these partners may contain provisions for warranty expense reimbursement, we may remain responsible to the consumer for warranty service in the event of product defects and could experience an unanticipated product defect or warranty liability. While we rely on partners to adhere to its supplier code of conduct, material violations of the supplier code of conduct could occur.</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Delays in the availability of or shortages in raw materials and component parts used in the manufacture of our products could unfavorably impact our revenues and results of operations.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impacted by the availability and prices of raw materials and component parts used in the manufacturing process of our products. The inability to obtain adequate supplies of raw materials and component parts at favorable prices could have a material adverse effect on our business, financial condition, or results of operations by reducing revenue, decreasing profit margins, and by unfavorably impacting timely deliveries to customers, which could result in damages or penalties to be paid under the terms of some of the contracts with our customers. Since we do not control the actual production of these raw materials and component parts, there may be delays caused by an interruption in the production or transportation of these materials for reasons that are beyond our control. World commodity markets, inflation, and tariffs may also affect raw material and component part prices.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industry sales cycles can be lengthy and unpredictable.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utility industry is subject to substantial government regulation. Regulations have often influenced the frequency of meter replacements. Sales cycles for standalone meter products have typically been based on annual or biennial bid-based agreements. Utilities place purchase orders against these agreements as their inventories decline, which can create fluctuations in our sales volumes.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Sales cycles for smart metering solutions are generally long and unpredictable due to several factors, including budgeting, purchasing, and regulatory approval processes that can take several years to complete. Our utility customers typically issue requests for quotes and proposals, establish evaluation processes, review different technical options with vendors, analyze performance and cost/benefit justifications, and perform a regulatory review, in addition to applying the normal budget approval process. Today, governments around the world are implementing new laws and regulations to promote increased energy efficiency, slow or reverse growth in the consumption of scarce resources, reduce carbon dioxide emissions, and protect the environment. Many of the legislative and regulatory initiatives encourage utilities to develop a smart grid infrastructure, and some of these initiatives provide for government subsidies, grants, or other incentives to utilities and other participants in their industry to promote transition to smart grid technologies. If government regulations regarding the smart grid and smart metering are delayed, revised to permit lower or different investment levels in metering infrastructure, or terminated altogether, this could have a material adverse effect on our results of operation, cash flow, and financial condition.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customer contracts are complex and contain provisions that could cause us to incur penalties, be liable for damages, and/or incur unanticipated expenses with respect to the functionality, deployment, operation, and availability of our products and services.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risk of unanticipated warranty or recall expenses, our customer contracts may contain provisions that could cause us to incur penalties, be liable for damages, including liquidated damages, or incur other expenses if we experience difficulties with respect to the functionality, deployment, operation, and availability of our products and services. Some of these contracts contain long-term commitments to a set schedule of delivery or performance. If we failed in our estimated schedule or we fail in our management of the project, this may cause delays in completion. In the event of late deliveries, late or improper installations or operations, failure to meet product or performance specifications or other product defects, or interruptions or delays in our managed service offerings, our customer contracts may expose us to penalties, liquidated damages, and other liabilities. In the event we were to incur contractual penalties, such as liquidated damages or other related costs that exceed our expectations, our business, financial condition, and operating results could be materially and adversely affected. Further, we could be required to recognize a current-period reduction of revenue related to a specific component of a customer contract at the time we determine the products and/or services to be delivered under that component would result in a loss due to expected revenues estimated to be less than expected costs. Depending on the amounts of the associated revenues (if any) and the costs, this charge could be material to our results of operations in the period it is recognized.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face increasing competition.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face competitive pressures from a variety of companies in each of the markets we serve. Some of our present and potential future competitors have, or may have, substantially greater financial, marketing, technical, or manufacturing resources and, in some cases, have greater name recognition, customer relationships, and experience. Some competitors may enter markets we serve and sell products at lower prices in order to gain or grow market share. Our competitors may be able to respond more quickly to new or emerging technologies and changes in customer requirements. They may also be able to devote greater resources to the development, promotion, and sale of their products and services than we can. Some competitors have made, and others may make, strategic acquisitions or establish cooperative relationships among themselves or with third parties that enhance their ability to address the needs of our prospective customers. It is possible that new competitors or alliances among current and new competitors may emerge and rapidly gain significant market share. Other companies may also drive technological innovation and develop products that are equal in quality and performance or superior to our products, which could put pressure on our market position, reduce our overall sales, and require us to invest additional funds in new technology development. In addition, there is a risk that low-cost providers will expand their presence in our markets, improve their quality, or form alliances or cooperative relationships with our competitors, thereby contributing to future price erosion. Some of our products and services may become commoditized, and we may have to adjust the prices of some of our products to stay competitive. Further, some utilities may purchase meters separately from the communication devices. The specifications for such meters may require interchangeability, which could lead to further commoditization of the meter, driving prices lower and reducing margins. Should we fail to compete successfully with current or future competitors, we could experience material adverse effects on our business, financial condition, results of operations, and cash flows.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Our current and expected level and terms of indebtedness could adversely affect our ability to raise additional capital to fund our operations and take advantage of new business opportunities and prevent us from meeting our obligations under our debt instruments, and our ability to service our indebtedness is dependent on our ability to generate cash, which is influenced by many factors beyond our control.</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2017, we issued $300 million aggregate principal amount of 5.00% senior notes due 2026 (December Notes). The December Notes were issued pursuant to an indenture, dated as of December 22, 2017 (Indenture), among Itron, the guarantors from time to time party thereto and U.S. Bank National Association, as trustee. In January 2018, we issued an additional $100 million aggregate principal amount of 5.00% senior notes due 2026 pursuant to the Indenture (January Notes; collectively with the December Notes, the Senior Notes). Proceeds from the Senior Notes were used to finance the Silver Spring Networks, Inc. (SSNI) acquisition, refinance existing indebtedness related to the SSNI acquisition, pay related fees and expenses, and for general corporate purposes.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Also in January 2018, we entered into a credit agreement providing for committed credit facilities in the amount of $1.15 billion (the 2018 credit facility). The 2018 credit facility consists of a U.S. dollar term loan in the amount of $650 million and a multicurrency revolving credit facility in the committed amount of $500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substantial indebtedness could have </w:t>
      </w:r>
      <w:r>
        <w:rPr>
          <w:rFonts w:ascii="Arial" w:cs="Arial" w:eastAsia="Arial" w:hAnsi="Arial"/>
          <w:sz w:val="18"/>
          <w:szCs w:val="18"/>
          <w:color w:val="231F20"/>
        </w:rPr>
        <w:t>important consequences to us, including:</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63" w:lineRule="exact"/>
        <w:rPr>
          <w:rFonts w:ascii="Arial" w:cs="Arial" w:eastAsia="Arial" w:hAnsi="Arial"/>
          <w:sz w:val="18"/>
          <w:szCs w:val="18"/>
          <w:color w:val="auto"/>
        </w:rPr>
      </w:pPr>
    </w:p>
    <w:p>
      <w:pPr>
        <w:ind w:left="660" w:hanging="328"/>
        <w:spacing w:after="0" w:line="31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requiring a substantial portion of our cash flow used in operations to be dedicated to the payment of principal and interest on our indebtedness, therefore reducing our liquidity and our ability to use our cash flow to fund our operations, capital expenditures and future business opportunities;</w:t>
      </w: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and corresponding increased interest expense, as borrowings under the 2018 credit facility would be at variable rates of interest;</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 and</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ability to adjust to changing marketplace conditions and placing us at a competitive disadvantage compared with our competitors who may have less debt.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make scheduled payments on and to refinance our indebtedness depends on, and is subject to, our financial and operating performance, which is influenced, in part, by general economic, financial, competitive, legislative, regulatory, counterparty business, and other risks that are beyond our control, including the availability of financing in the U.S. banking and capital markets. We cannot assure you that our business will generate sufficient cash flow from operations or that future borrowings will be available to us in an amount sufficient to enable us to service our debt to refinance our debt or to fund our other liquidity needs on commercially reasonable terms or at all.</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we are unable to meet our debt service obligations or to fund our other liquidity needs, we will need to restructure or refinance all or a portion of our debt which could cause us to default on our debt obligations and impair our liquidity. Our ability to restructure or refinance our debt will depend on the condition of the capital markets and our financial condition at such time. Even if refinancing indebtedness is available, any refinancing of our indebtedness could be at higher interest rates and may require us to comply with more onerous covenants that could further restrict our business operations.</w:t>
      </w:r>
    </w:p>
    <w:p>
      <w:pPr>
        <w:spacing w:after="0" w:line="1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Moreover, in the event of a default under any of our indebtedness the holders of the defaulted debt could elect to declare all the funds borrowed to be due and payable, together with accrued and unpaid interest, which in turn could result in cross defaults under our other indebtedness. The lenders under the 2018 credit facility could also elect to terminate their commitments thereunder and cease making further loans, and such lenders could institute foreclosure proceedings against their collateral, and we could be forced into bankruptcy or liquidation. If we breach our covenants under the 2018 credit facility, we would be in default thereunder. Such lenders could exercise their rights, as described above, and we could be forced into bankruptcy or liquidation.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variable rate indebtedness subjects us to interest rate risk, which could cause our debt service obligations to increase significantly.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The 2018 credit facility will bear, and other indebtedness we may incur in the future may bear, interest at a variable rate. As a result, at any given time interest rates on the 2018 credit facility and any other variable rate debt could be higher or lower than current levels. If interest rates increase, our debt service obligations on our variable rate indebtedness may increase even though the amount borrowed remains the same, and therefore net income and associated cash flows, including cash available for servicing our indebtedness, may correspondingly decrease. While we continually monitor and assess our interest rate risk and have entered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into derivative instruments to manage such risk, these instruments could be ineffective at mitigating all or a part of our risk, including changes to the applicable margin under our 2018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2018 credit facility and Senior Notes limit our ability and the ability of many of our subsidiaries to take certain actions.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2018 credit facility and Senior Notes place restrictions on our ability, and the ability of many of our subsidiaries, dependent on meeting specified financial ratios, to, among other things: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incur more debt;</w:t>
            </w:r>
          </w:p>
        </w:tc>
        <w:tc>
          <w:tcPr>
            <w:tcW w:w="5700" w:type="dxa"/>
            <w:vAlign w:val="bottom"/>
            <w:gridSpan w:val="2"/>
          </w:tcPr>
          <w:p>
            <w:pPr>
              <w:ind w:left="860"/>
              <w:spacing w:after="0"/>
              <w:rPr>
                <w:sz w:val="20"/>
                <w:szCs w:val="20"/>
                <w:color w:val="auto"/>
              </w:rPr>
            </w:pPr>
            <w:r>
              <w:rPr>
                <w:rFonts w:ascii="Arial" w:cs="Arial" w:eastAsia="Arial" w:hAnsi="Arial"/>
                <w:sz w:val="18"/>
                <w:szCs w:val="18"/>
                <w:color w:val="auto"/>
                <w:w w:val="91"/>
              </w:rPr>
              <w:t>•  pay dividends, make distributions, and repurchase capital stock;</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make certain investments;</w:t>
            </w: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4700" w:type="dxa"/>
            <w:vAlign w:val="bottom"/>
          </w:tcPr>
          <w:p>
            <w:pPr>
              <w:ind w:left="100"/>
              <w:spacing w:after="0"/>
              <w:rPr>
                <w:sz w:val="20"/>
                <w:szCs w:val="20"/>
                <w:color w:val="auto"/>
              </w:rPr>
            </w:pPr>
            <w:r>
              <w:rPr>
                <w:rFonts w:ascii="Arial" w:cs="Arial" w:eastAsia="Arial" w:hAnsi="Arial"/>
                <w:sz w:val="18"/>
                <w:szCs w:val="18"/>
                <w:color w:val="auto"/>
              </w:rPr>
              <w:t>create liens;</w:t>
            </w:r>
          </w:p>
        </w:tc>
      </w:tr>
      <w:tr>
        <w:trPr>
          <w:trHeight w:val="324"/>
        </w:trPr>
        <w:tc>
          <w:tcPr>
            <w:tcW w:w="3760" w:type="dxa"/>
            <w:vAlign w:val="bottom"/>
            <w:gridSpan w:val="2"/>
          </w:tcPr>
          <w:p>
            <w:pPr>
              <w:spacing w:after="0"/>
              <w:rPr>
                <w:sz w:val="20"/>
                <w:szCs w:val="20"/>
                <w:color w:val="auto"/>
              </w:rPr>
            </w:pPr>
            <w:r>
              <w:rPr>
                <w:rFonts w:ascii="Arial" w:cs="Arial" w:eastAsia="Arial" w:hAnsi="Arial"/>
                <w:sz w:val="18"/>
                <w:szCs w:val="18"/>
                <w:color w:val="auto"/>
              </w:rPr>
              <w:t>•  enter into transactions with affiliates;</w:t>
            </w:r>
          </w:p>
        </w:tc>
        <w:tc>
          <w:tcPr>
            <w:tcW w:w="5700" w:type="dxa"/>
            <w:vAlign w:val="bottom"/>
            <w:gridSpan w:val="2"/>
          </w:tcPr>
          <w:p>
            <w:pPr>
              <w:ind w:left="860"/>
              <w:spacing w:after="0"/>
              <w:rPr>
                <w:sz w:val="20"/>
                <w:szCs w:val="20"/>
                <w:color w:val="auto"/>
              </w:rPr>
            </w:pPr>
            <w:r>
              <w:rPr>
                <w:rFonts w:ascii="Arial" w:cs="Arial" w:eastAsia="Arial" w:hAnsi="Arial"/>
                <w:sz w:val="18"/>
                <w:szCs w:val="18"/>
                <w:color w:val="auto"/>
              </w:rPr>
              <w:t>•  enter into sale lease-back transactions;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merge or consolidate;</w:t>
            </w: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4700" w:type="dxa"/>
            <w:vAlign w:val="bottom"/>
          </w:tcPr>
          <w:p>
            <w:pPr>
              <w:ind w:left="100"/>
              <w:spacing w:after="0"/>
              <w:rPr>
                <w:sz w:val="20"/>
                <w:szCs w:val="20"/>
                <w:color w:val="auto"/>
              </w:rPr>
            </w:pPr>
            <w:r>
              <w:rPr>
                <w:rFonts w:ascii="Arial" w:cs="Arial" w:eastAsia="Arial" w:hAnsi="Arial"/>
                <w:sz w:val="18"/>
                <w:szCs w:val="18"/>
                <w:color w:val="auto"/>
              </w:rPr>
              <w:t>transfer or sell assets.</w:t>
            </w:r>
          </w:p>
        </w:tc>
      </w:tr>
    </w:tbl>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2018 credit facility contains other customary covenants, including the requirement to meet specified financial ratios and provide periodic financial reporting. Our ability to borrow will depend on the satisfaction of these covenants. Events beyond our control can affect our ability to meet those covenants. Our failure to comply with obligations under our borrowing arrangements may result in declaration of an event of default. An event of default, if not cured or waived, may permit acceleration of required payments against such indebtedness. We cannot be certain we will be able to remedy any such defaults. If our required payments are accelerated, we cannot be certain that we will have sufficient funds available to pay the indebtedness or that we will have the ability to raise sufficient capital to replace the indebtedness on terms favorable to us or at all. In addition, in the case of an event of default under our secured indebtedness such as our 2018 credit facility, the lenders may be permitted to foreclose on our assets securing that indebtedness. 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Despite our current level of indebtedness, we may be able to incur substantially more debt and enter into other transactions which could further exacerbate the risks to our financial condition described above.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We may be able to incur significant additional indebtedness in the future. Although the credit agreement that currently governs our 2018 credit facility, the Senior Notes, and other debt instruments contain restrictions on the incurrence of additional indebtedness and entering into certain types of other transactions, these restrictions are subject to a number of qualifications and exceptions. Additional indebtedness incurred in compliance with these restrictions could be substantial. These restrictions also do not prevent us from incurring obligations, such as certain trade payables that do not constitute indebtedness as defined under our debt instruments. To the extent we incur additional indebtedness or other obligations, the risks described in the immediately preceding risk factor and others described herein may increase.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acquisitions of and investments in third parties have risks.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recently completed acquisitions and may make investments in the future, both within and outside of the United States. Acquisitions and investments involve numerous risks such as the diversion of senior management's attention; unsuccessful integration of the acquired entity's personnel, operations, technologies, and products; incurrence of significant expenses to meet an acquiree's customer contractual commitments; lack of market acceptance of new services and technologies; or difficulties in operating businesses in international legal jurisdictions. Failure to adequately address these issues could result in the diversion of resources and adversely impact our ability to manage our business. In addition, acquisitions and investments in third parties may involve the assumption of obligations, significant write-offs, or other charges associated with the acquisition. Impairment of an investment, goodwill, or an intangible asset may result if these risks were to materialize. For investments in entities that are not wholly owned by Itron, such as joint ventures, a loss of control as defined by U.S. generally accepted accounting principles (GAAP) could result in a significant change in accounting treatment and a change in the carrying value of the entity. There can be no assurances that an acquired business will perform as expected, accomplish our strategic objectives, or generate significant revenues, profits, or cash flows.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adverse publicity, consumer or political opposition, or liability associated with our products.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safety and security of the power grid and natural gas and water supply systems, the accuracy and protection of the data collected by meters and transmitted via the smart grid, concerns about the safety and perceived health risks of using radio frequency communications, and privacy concerns of monitoring home appliance energy usage have been the focus of recent adverse publicity. Unfavorable publicity and consumer opposition may cause utilities or their regulators to delay or modify planned smart grid initiatives. Smart grid projects may be, or may be perceived as, unsuccessful.</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products are complex and may contain defects or experience failures due to any number of issues in design, materials, deployment, and/or use. If any of our products contain a defect, a compatibility or interoperability issue, or other types of errors, we may have to devote significant time and resources to identify and correct the issue. We provide product warranties for varying lengths of time and establish allowances in anticipation of warranty expenses. In addition, we recognize contingent liabilities for additional product-failure related costs. These warranty and related product-failure allowances may be inadequate due to product defects and unanticipated component failures, as well as higher than anticipated material, labor, and other costs we may incur to replace projected product failures. A product recall or a significant number of product returns could be expensive; damage our reputation and relationships with utilities, meter and communication vendors, and other third-party vendors; result in the loss of business to competitors; or result in litigation. We may incur additional warranty expenses in the future with respect to new or established products, which could materially and adversely affect our operations and financial position.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be subject to claims that there are adverse health effects from the radio frequencies utilized in connection with our products. If these claims prevail, our customers could suspend implementation or purchase substitute products, which could cause a loss of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tax laws, valuation allowances, and unanticipated tax liabilities could adversely affect our effective income tax rate and profitability.</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may be established when we believe that certain positions might be challenged despite our belief that our tax return positions are fully supportable. We adjust these reserves in light of changing facts and circumstances. The provision for income taxes includes the impact of reserve positions and changes to reserves that are considered appropriate, as well as valuation allowances when we determine it is more likely than not that a deferred tax asset cannot be realized. In addition, future changes in tax laws in the jurisdictions in which we operate could have a material impact on our effective income tax rate and profitability. We regularly assess all of these matters to determine the adequacy of our tax provision, which is subject to significant judgment.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Organization for Economic Cooperation and Development guidance under the Base Erosion and Profit Shifting (BEPS) initiatives aim to minimize perceived tax abuses and modernize global tax policy. The Anti-Tax Avoidance Directives (ATAD), issued by the Council of the European Union, provide further recommendations for legislative changes under these tax policies. More countries are beginning to implement legislative changes based on these BEPS recommendations and ATAD measures.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22, 2017, the United States enacted comprehensive tax reform commonly referred to as the Tax Cuts and Jobs Act (Tax Act). The Tax Act makes significant changes to the way the U.S. taxes corporations. Clarifying proposed Treasury regulations have been issued during 2018, many late in the year, for which we are continuing to evaluate the impact on our business. In addition, a number of U.S. states have not yet updated their laws to take into account the new federal legislation. As a result, there may be further impacts of the new law on our results of operations. It is possible that U.S. tax reform, or interpretations provided, could change and could have an adverse effect on us, and such effect could be material.</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Disruption and turmoil in global credit and financial markets, which may be exacerbated by the inability of certain countries to continue to service their sovereign debt obligations, and the possible unfavorable implications of such events for the global economy, may unfavorably impact our business, liquidity, operating results, and financial condition.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current economic conditions, including volatility in the availability of credit and foreign exchange rates and extended economic slowdowns, have contributed to the instability in some global credit and financial markets. Additionally, at-risk financial institutions in certain countries may, without forewarning, seize a portion of depositors' account balances. The seized funds would be used to recapitalize the at-risk financial institution and would no longer be available for the depositors' use. If such seizure were to occur at financial institutions where we have funds on deposit, it could have a significant impact on our overall liquidity. While the ultimate outcome of these events cannot be predicted, it is possible that such events may have an unfavorable impact on the global economy and our business, liquidity,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international business uncertainties, obstacles to the repatriation of earnings, and foreign currency fluctuations.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substantial portion of our revenues is derived from operations conducted outside the United States. International sales and operations may be subjected to risks such as the imposition of government controls, government expropriation of facilities, lack of a well-established system of laws and enforcement of those laws, access to a legal system free of undue influence or corruption, political instability, terrorist activities, restrictions on the import or export of critical technology, currency exchange rate fluctuations, and adverse tax burdens. Lack of availability of qualified third-party financing, generally longer receivable collection periods than those commonly practiced in the United States, trade restrictions, changes in tariffs, labor disruptions, difficulties in staffing and managing international operations, difficulties in imposing and enforcing operational and financial controls at international locations, potential insolvency of international distributors, preference for local vendors, burdens of complying with different permitting standards and a wide variety of foreign laws, and obstacles to the repatriation of earnings and cash all present additional risk to our international operations. Fluctuations in the value of international currencies may impact our operating results due to the translation to the U.S. dollar as well as our ability to compete in international markets. International expansion and market acceptance depend on our ability to modify our technology to take into account such factors as the applicable regulatory and business environment, labor costs, and other economic conditions. In addition, the laws of certain countries do not protect our products or technologies in the same manner as the laws of the United States. Further, foreign regulations or restrictions, e.g., opposition from unions or works councils, could delay, limit, or disallow significant operating decisions made by our management, including decisions to exit certain businesses, close certain manufacturing locations, or other restructuring actions. There can be no assurance that these factors will not have a material adverse effect on our future international sales and, consequently, on our business, financial condition, and results of operations.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may engage in future restructuring activities and incur additional charges in our efforts to improve profitability. We also may not achieve the anticipated savings and benefits from current or any future restructuring projects.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implemented multiple restructuring projects to adjust our cost structure, and we may engage in similar restructuring activities in the future. These restructuring activities reduce our available employee talent, assets, and other resources, which could slow product development, impact ability to respond to customers, increase quality issues, temporarily reduce manufacturing efficiencies, and limit our ability to increase production quickly. In addition, delays in implementing restructuring projects, unexpected costs, unfavorable negotiations with works councils, changes in governmental policies, or failure to meet targeted improvements could change the timing or reduce the overall savings realized from the restructuring project.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interruptions could adversely affect our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worldwide operations could be subject to hurricanes, tornadoes, earthquakes, floods, fires, extreme weather conditions, medical epidemics or pandemics, or other natural or man-made disasters or business interruptions. The occurrence of any of these business disruptions could seriously harm our business, financial condition, and results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key manufacturing facilities are concentrated, and in the event of a significant interruption in production at any of our manufacturing facilities, considerable expense, time, and effort could be required to establish alternative production lines to meet contractual obligations, which would have a material adverse effect on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encounter strikes or other labor disruptions that could adversely affect our financial condition and results of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significant operations throughout the world. In a number of countries outside the U.S., our employees are covered by collective bargaining agreements. As the result of various corporate or operational actions, which our management has undertaken or may be made in the future, we could encounter labor disruptions. These disruptions may be subject to local media coverage, which could damage our reputation. Additionally, the disruptions could delay our ability to meet customer orders and could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adversely affect our results of operations. Any labor disruptions could also have an impact on our other employees. Employee morale and productivity could suffer, and we may lose valued employees whom we wish to retain.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could result in significant changes that would adversely impact our future operating results.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significant inventory, intangible assets, long-lived assets, and goodwill that are susceptible to valuation adjustments as a result of changes in various factors or conditions, which could impact our results of operations or and financial condition. Factors that could trigger an impairment of such assets include the following:</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reduction in the net realizable value of inventory which becomes obsolete or exceeds anticipated demand;</w:t>
      </w:r>
    </w:p>
    <w:p>
      <w:pPr>
        <w:spacing w:after="0" w:line="9"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our organization or management reporting structure, which could result in additional reporting units, requiring greater aggregation or disaggregation in our analysis by reporting unit and potentially alternative methods/assumptions of estimating fair values;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underperformance relative to projected future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manner or use of the acquired assets or the strategy for our overall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industry or economic trends;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 in our stock price for a sustained period or decline in our market capitalization below net book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a variety of litigation that could adversely affect our results of operations, financial condition, and cash flows.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we are involved in litigation that arises from our business. In addition, parties to these lawsuits may bring claims against our customers, which, in some instances, could result in an indemnification of the customer by us. Litigation may also relate to, among other things, product failure or product liability claims, contractual disputes, employment matters, or securities litigation. Litigation can be expensive to defend and can divert the attention of management and other personnel for long periods of time, regardless of the ultimate outcome. We may be required to pay damage awards or settlements or become subject to equitable remedies that could adversely affect our financial condition and results of operations. While we currently maintain insurance coverage, such insurance may not provide adequate coverage against potential claims.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losses associated with alleged unauthorized use of third-party intellectual property.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be subject to claims or inquiries regarding alleged unauthorized use of a third-party's intellectual property. An adverse outcome in any intellectual property litigation or negotiation could subject us to significant liabilities to third parties, require us to license technology or other intellectual property rights from others, require us to comply with injunctions to cease marketing or the use of certain products or brands, or require us to redesign, re-engineer, or rebrand certain products or packaging, any of which could affect our business, financial condition, and results of operations. If we are required to seek licenses under patents or other intellectual property rights of others, we may not be able to acquire these licenses at acceptable terms, if at all. In addition, the cost of responding to an intellectual property infringement claim, in terms of legal fees, expenses, and the diversion of management resources, whether or not the claim is valid, could have a material adverse effect on our business, financial condition, and results of operations.</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our products infringe the intellectual property rights of others, we may be required to indemnify our customers for any damages they suffer.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our customers may be forced to stop using our products.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affected by the availability and regulation of radio spectrum and interference with the radio spectrum that we use.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number of our products use radio spectrum, which are subject to regulation by the Federal Communications Commission (FCC) in the United States. The FCC may adopt changes to the rules for our licensed and unlicensed frequency bands that are incompatible with our business. In the past, the FCC has adopted changes to the requirements for equipment using radio spectrum, and it is possible that the FCC or the U.S. Congress will adopt additional changes.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radio licenses are generally required for radio stations, Part 15 of the FCC's rules permits certain low-power radio devices (Part 15 devices) to operate on an unlicensed basis. Part 15 devices are designed for use on frequencies used by others. These other users may include licensed users, which have priority over Part 15 users. Part 15 devices cannot cause harmful interference to licensed users and must be designed to accept interference from licensed radio devices. In the United States, our smart metering solutions are typically Part 15 devices that transmit information to (and receive information from, if applicable) handheld, mobile, or fixed network systems pursuant to these rules.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depend upon sufficient radio spectrum to be allocated by the FCC for our intended uses. As to the licensed frequencies, there is some risk that there may be insufficient available frequencies in some markets to sustain our planned operations. The unlicensed frequencies are available for a wide variety of uses and may not be entitled to protection from interference by other users who operate in accordance with FCC rules. The unlicensed frequencies are also often the subject of proposals to the FCC requesting a change in the rules under which such frequencies may be used. If the unlicensed frequencies become crowded to unacceptable levels, restrictive, or subject to changed rules governing their use, our business could be materially adversely affected.</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committed, and will continue to commit, significant resources to the development of products that use particular radio frequencies. Action by the FCC could require modifications to our products. The inability to modify our products to meet such requirements, the possible delays in completing such modifications, and the cost of such modifications all could have a material adverse effect on our future business, financial condition, and results of operations.</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Outside of the United States, certain of our products require the use of RF and are subject to regulations in those jurisdictions where we have deployed such equipment. In some jurisdictions, radio station licensees are generally required to operate a radio transmitter and such licenses may be granted for a fixed term and must be periodically renewed. In other jurisdictions, the rules permit certain low power devices to operate on an unlicensed basis. Our smart metering solutions typically transmit to (and receive information from, if applicable) handheld, mobile, or fixed network reading devices in license-exempt bands pursuant to rules regulating such use. In Europe, we generally use the 169 megahertz (MHz), 433/4 MHz, and 868 MHz bands. In the rest of the world, we primarily use the 433/4 MHz, 920 MHz and 2.4000-2.4835 gigahertz (GHz) bands, as well as other local license-exempt bands. To the extent we introduce new products designed for use in the United States or another country into a new market, such products may require significant modification or redesign in order to meet frequency requirements and other regulatory specifications. In some countries, limitations on frequency availability or the cost of making necessary modifications may preclude us from selling our products in those countries. In addition, new consumer products may create interference with the performance of our products, which could lead to claims against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intellectual property.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While we believe that our patents and other intellectual property have significant value, it is uncertain that this intellectual property or any intellectual property acquired or developed by us in the future will provide meaningful competitive advantages. There can be no assurance that our patents or pending applications will not be challenged, invalidated, or circumvented by competitors or that rights granted thereunder will provide meaningful proprietary protection. Moreover, competitors may infringe our patents or successfully avoid them through design innovation. To combat infringement or unauthorized use of our intellectual property, we may need to commence litigation, which can be expensive and time-consuming. In addition, in an infringement proceeding a court may decide that a patent or other intellectual property right of ours is not valid or is unenforceable, or may refuse to stop the other party from using the technology or other intellectual property right at issue on the grounds that it is non-infringing or the legal requirements for an injunction have not been met. Policing unauthorized use of our intellectual property is difficult and expensive, and we cannot provide assurance that we will be able to prevent misappropriation of our proprietary rights, particularly in countries that do not protect such rights in the same manner as in the United States.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have pension benefit obligations, which could have a material impact on our earnings, liabilities, and shareholders' equity and could have significant adverse impacts in future periods.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Our general funding policy for these qualified pension plans is to contribute amounts sufficient to satisfy regulatory funding standards of the respective countries for each plan.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determination of pension plan expense, benefit obligation, and future contributions depends heavily on market factors such as the discount rate and the actual return on plan assets. We estimate pension plan expense, benefit obligation, and future contributions to these plans using assumptions with respect to these and other items. Changes to those assumptions could have a significant effect on future contributions as well as on our annual pension costs and/or result in a significant change to shareholders'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number of key personnel are critical to the success of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success depends in large part on the efforts of our highly qualified technical and management personnel and highly skilled individuals in all disciplines.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loss of one or more of these employees and the inability to attract and retain qualified replacements could have a material adverse effect on our business.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we are unable to protect our information technology infrastructure and network against data corruption, cyber-based attacks or network security breaches, we could be exposed to customer liability and reputational risk.</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various information technology systems to capture, process, store, and report data and interact with customers, vendors, and employees. Despite security steps we have taken to secure all information and transactions, our information technology systems, and those of our third-party providers, may be subject to cyber attacks. Any data breaches could result in misappropriation of data or disruption of operations. In addition, hardware and operating system software and applications that we procure from third parties may contain defects in design or manufacture that could interfere with the operation of the systems. Misuse of internal applications; theft of intellectual property, trade secrets, or other corporate assets; and inappropriate disclosure of confidential information could stem from such incidents.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have designed products and services that connect to and are part of the Industrial Internet of Things. While we attempt to provide adequate security measures to safeguard our products from cyber attacks, the potential for an attack remains. A successful attack may result in inappropriate access to information or an inability for our products to function properly.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such operational disruption and/or misappropriation of information could result in lost sales, unfavorable publicity, or business delays and could have a material adverse effect 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realize the expected benefits from strategic alliances.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several strategic alliances with large and complex organizations and other companies with which we work to offer complementary products and services. There can be no assurance we will realize the expected benefits from these strategic alliances. If successful, these relationships may be mutually beneficial and result in shared growth. However, alliances carry an element of risk because, in most cases, we must both compete and collaborate with the same company from one market to the next. Should our strategic partnerships fail to perform, we could experience delays in product development or experience other operational difficulties.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information technology systems.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industry requires the continued operation of sophisticated information technology systems and network infrastructures, which may be subject to disruptions arising from events that are beyond our control. We are dependent on information technology systems, including, but not limited to, networks, applications, and outsourced services. We continually enhance and implement new systems and processes throughout our global operations.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offer managed services and software utilizing several data center facilities located worldwide. Any damage to, or failure of, these systems could result in interruptions in the services we provide to our utility customers. As we continue to add capacity to our existing and future data centers, we may move or transfer data. Despite precautions taken during this process, any delayed or unsuccessful data transfers may impair the delivery of our services to our utility customers. We also sell vending and pre-payment systems with security features that, if compromised, may lead to claims against us.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completing a phased upgrade of our primary enterprise resource planning (ERP) systems to allow for greater depth and breadth of functionality worldwide. System conversions are expensive and time consuming undertakings that impact all areas for us. While successful implementations of each phase will provide many benefits to us, an unsuccessful or delayed implementation of any particular phase may cost us significant time and resources.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failure of these systems to operate effectively, problems with transitioning to upgraded or replacement systems, or a breach in security of these systems due to computer viruses, hacking, acts of terrorism, and other causes could materially and adversely affect our business, financial condition, and results of operations by harming our ability to accurately forecast sales demand, manage our supply chain and production facilities, achieve accuracy in the conversion of electronic data and records, and report financial and management information on a timely and accurate basis. In addition, due to the systemic internal control features within ERP systems, we may experience difficulties that could affect our internal control over financial reporting.</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Changes in environmental regulations, violations of such regulations, or future environmental liabilities could cause us to incur significant costs and could adversely affect our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and our facilities are subject to numerous laws, regulations, and ordinances governing, among other things, the storage, discharge, handling, emission, generation, manufacture, disposal, remediation of, and exposure to toxic or other hazardous substances, and certain waste products. Many of these environmental laws and regulations subject current or previous owners or operators of land to liability for the costs of investigation, removal, or remediation of hazardous materials. In addition, these laws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and regulations typically impose liability regardless of whether the owner or operator knew of, or was responsible for, the presence of any hazardous materials and regardless of whether the actions that led to the presence were conducted in compliance with the law. In the ordinary course of our business, we use metals, solvents, and similar materials, which are stored on-site. The waste created by the use of these materials is transported off-site on a regular basis by unaffiliated waste haulers. Many environmental laws and regulations require generators of waste to take remedial actions at, or in relation to, the off-site disposal location even if the disposal was conducted in compliance with the law.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would not arise with respect to these activities, or that the cost of complying with governmental regulations in the future, either for an individual claim or in aggregate of multiple claims, would not have a material adverse effect on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counterparty default risks with our financial institutions and insurance providers.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one or more of the depository institutions in which we maintain significant cash balances were to fail, our ability to access these funds might be temporarily or permanently limited, and we could face material liquidity problems and financial losses.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lenders of our 2018 credit facility consist of several participating financial institutions. Our revolving line of credit allows us to provide letters of credit in support of our obligations for customer contracts and provides additional liquidity. If our lenders are not able to honor their line of credit commitments due to the loss of a participating financial institution or other circumstance, we would need to seek alternative financing, which may not be under acceptable terms, and therefore could adversely impact our ability to successfully bid on future sales contracts and adversely impact our liquidity and ability to fund some of our internal initiatives or future acquisitions.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international sales and operations are subject to complex laws relating to foreign corrupt practices and anti-bribery laws, among many others, and a violation of, or change in, these laws could adversely affect our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Foreign Corrupt Practices Act in the United States requires United States companies to comply with an extensive legal framework to prevent bribery of foreign officials. The laws are complex and require that we closely monitor local practices of our overseas offices. The United States Department of Justice has recently heightened enforcement of these laws. In addition, other countries continue to implement similar laws that may have extra-territorial effect. In the United Kingdom, where we have operations, the U.K. Bribery Act imposes significant oversight obligations on us and could impact our operations outside of the United Kingdom. The costs for complying with these and similar laws may be significant and could require significant management time and focus. Any violation of these or similar laws, intentional or unintentional, could have a material adverse effect on our business, financial condition,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 and guidance could result in unfavorable accounting charges or effects.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We prepare our consolidated financial statements in accordance with GAAP. These principles are subject to interpretation by the Securities and Exchange Commission (SEC) and various bodies formed to create and interpret appropriate accounting principles and guidance. A change in these principles or guidance, or in their interpretations, may have a material effect on our reported results, as well as our processes and related controls, and may retroactively affect previously reported results. For example, in February 2016, the Financial Accounting Standards Board (FASB) issued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(ASU 2016-02), which requires substantially all leases be recognized by lessees on their balance sheet as a right-of-use asset and corresponding lease liability, including leases currently accounted for as operating leases. The new standard also will result in enhanced quantitative and qualitative disclosures, including significant judgments made by management, to provide greater insight into the extent of revenue and expense recognized and expected to be recognized from existing leases. The standard, as amended, requires modified retrospective adoption and will be effective for us on January 1, 2019. We currently believe the most significant impact relates to our real estate leases and the increased financial statement disclosures, with an increase to both total assets and total liabilities between $65 million and $85 million.</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we fail to maintain an effective system of internal controls, we may not be able to accurately report our financial results, prevent fraud, or maintain investor confidence.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internal controls are necessary for us to provide reliable and accurate financial reports and effectively prevent fraud. We have devoted significant resources and time to comply with the internal control over financial reporting requirements of the Sarbanes-Oxley Act. In addition, Section 404 under the Sarbanes-Oxley Act requires that our auditors attest to the design and operating effectiveness of our controls over financial reporting. Our compliance with the annual internal control report requirement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each fiscal year will depend on the effectiveness of our financial reporting, data systems, and controls across our operating subsidiaries. Furthermore, an important part of our growth strategy has been, and will likely continue to be, the acquisition of complementary businesses, and we expect these systems and controls to become increasingly complex to the extent that we integrate acquisitions and our business grows. Likewise, the complexity of our transactions, systems, and controls may become more difficult to manage. In addition, new accounting standards may have a significant impact on our financial statements in future periods, requiring new or enhanced controls. We cannot be certain that we will ensure that we design, implement, and maintain adequate controls over our financial processes and reporting in the future, especially for acquisition targets that may not have been required to be in compliance with Section 404 of the Sarbanes-Oxley Act at the date of acquisition. Our acquisition of SSNI will be subject to this risk as they are an emerging growth company, as defined in the Jumpstart Our Business Startups Act of 2012, and have chosen to be exempt from complying with the internal control over financial reporting auditor attestation requirements of Section 404(b) of the Sarbanes-Oxley Act.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to implement new controls or enhancements to controls, difficulties encountered in control implementation or operation, or difficulties in the assimilation of acquired businesses into our control system could result in additional errors, material misstatements, or delays in our financial reporting obligations. Inadequate internal controls could also cause investors to lose confidence in our reported financial information, which could have an unfavorable effect on the trading price of our stock and our access to capital.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regulatory compliance.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various governmental regulations in all of the jurisdictions in which we conduct business. Failure to comply with current or future regulations could result in the imposition of substantial fines, suspension of production, alteration of our production processes, cessation of operations, or other actions, which could materially and adversely affect our business,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Regulations related to "conflict minerals" may force us to incur additional expenses, may result in damage to our business reputation, and may adversely impact our ability to conduct our business.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2012, under the Dodd-Frank Wall Street Reform and Consumer Protection Act of 2010, the SEC adopted requirements for companies that use certain minerals and derivative metals (referred to as "conflict minerals," regardless of their actual country of origin) in their products. Some of these metals are commonly used in electronic equipment and devices, including our products. These requirements require companies to investigate, disclose and report whether or not such metals originated from the Democratic Republic of Congo or adjoining countries and required due diligence efforts. There may be increased costs associated with complying with these disclosure requirements, including for diligence to determine the sources of conflict minerals used in our products and related components, and other potential changes to products, processes or sources of supply as a consequence of such verification activities. Further interpretation and implementation of these rules could adversely affect the sourcing, supply, and pricing of materials used in our products.</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own our headquarters facility, which is located in Liberty Lake, Washington.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our major manufacturing facilities by location and segment:</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560" w:type="dxa"/>
            <w:vAlign w:val="bottom"/>
            <w:tcBorders>
              <w:top w:val="single" w:sz="8" w:color="auto"/>
              <w:left w:val="single" w:sz="8" w:color="auto"/>
              <w:right w:val="single" w:sz="8" w:color="auto"/>
            </w:tcBorders>
          </w:tcPr>
          <w:p>
            <w:pPr>
              <w:ind w:left="1520"/>
              <w:spacing w:after="0"/>
              <w:rPr>
                <w:sz w:val="20"/>
                <w:szCs w:val="20"/>
                <w:color w:val="auto"/>
              </w:rPr>
            </w:pPr>
            <w:r>
              <w:rPr>
                <w:rFonts w:ascii="Arial" w:cs="Arial" w:eastAsia="Arial" w:hAnsi="Arial"/>
                <w:sz w:val="18"/>
                <w:szCs w:val="18"/>
                <w:b w:val="1"/>
                <w:bCs w:val="1"/>
                <w:color w:val="auto"/>
              </w:rPr>
              <w:t>Region</w:t>
            </w:r>
          </w:p>
        </w:tc>
        <w:tc>
          <w:tcPr>
            <w:tcW w:w="7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0" w:type="dxa"/>
            <w:vAlign w:val="bottom"/>
          </w:tcPr>
          <w:p>
            <w:pPr>
              <w:spacing w:after="0"/>
              <w:rPr>
                <w:sz w:val="1"/>
                <w:szCs w:val="1"/>
                <w:color w:val="auto"/>
              </w:rPr>
            </w:pP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7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35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North America</w:t>
            </w:r>
          </w:p>
        </w:tc>
        <w:tc>
          <w:tcPr>
            <w:tcW w:w="7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Oconee, SC (O)</w:t>
            </w:r>
          </w:p>
        </w:tc>
        <w:tc>
          <w:tcPr>
            <w:tcW w:w="0" w:type="dxa"/>
            <w:vAlign w:val="bottom"/>
          </w:tcPr>
          <w:p>
            <w:pPr>
              <w:spacing w:after="0"/>
              <w:rPr>
                <w:sz w:val="1"/>
                <w:szCs w:val="1"/>
                <w:color w:val="auto"/>
              </w:rPr>
            </w:pPr>
          </w:p>
        </w:tc>
      </w:tr>
      <w:tr>
        <w:trPr>
          <w:trHeight w:val="108"/>
        </w:trPr>
        <w:tc>
          <w:tcPr>
            <w:tcW w:w="3560" w:type="dxa"/>
            <w:vAlign w:val="bottom"/>
            <w:tcBorders>
              <w:left w:val="single" w:sz="8" w:color="auto"/>
              <w:right w:val="single" w:sz="8" w:color="auto"/>
            </w:tcBorders>
            <w:vMerge w:val="continue"/>
          </w:tcPr>
          <w:p>
            <w:pPr>
              <w:spacing w:after="0"/>
              <w:rPr>
                <w:sz w:val="9"/>
                <w:szCs w:val="9"/>
                <w:color w:val="auto"/>
              </w:rPr>
            </w:pPr>
          </w:p>
        </w:tc>
        <w:tc>
          <w:tcPr>
            <w:tcW w:w="7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Waseca, MN (L)</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tcPr>
          <w:p>
            <w:pPr>
              <w:spacing w:after="0"/>
              <w:rPr>
                <w:sz w:val="18"/>
                <w:szCs w:val="18"/>
                <w:color w:val="auto"/>
              </w:rPr>
            </w:pPr>
          </w:p>
        </w:tc>
        <w:tc>
          <w:tcPr>
            <w:tcW w:w="78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7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3560" w:type="dxa"/>
            <w:vAlign w:val="bottom"/>
            <w:tcBorders>
              <w:left w:val="single" w:sz="8" w:color="auto"/>
              <w:right w:val="single" w:sz="8" w:color="auto"/>
            </w:tcBorders>
          </w:tcPr>
          <w:p>
            <w:pPr>
              <w:spacing w:after="0"/>
              <w:rPr>
                <w:sz w:val="24"/>
                <w:szCs w:val="24"/>
                <w:color w:val="auto"/>
              </w:rPr>
            </w:pPr>
          </w:p>
        </w:tc>
        <w:tc>
          <w:tcPr>
            <w:tcW w:w="7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Argenteuil, France (L)</w:t>
            </w:r>
          </w:p>
        </w:tc>
        <w:tc>
          <w:tcPr>
            <w:tcW w:w="0" w:type="dxa"/>
            <w:vAlign w:val="bottom"/>
          </w:tcPr>
          <w:p>
            <w:pPr>
              <w:spacing w:after="0"/>
              <w:rPr>
                <w:sz w:val="1"/>
                <w:szCs w:val="1"/>
                <w:color w:val="auto"/>
              </w:rPr>
            </w:pPr>
          </w:p>
        </w:tc>
      </w:tr>
      <w:tr>
        <w:trPr>
          <w:trHeight w:val="324"/>
        </w:trPr>
        <w:tc>
          <w:tcPr>
            <w:tcW w:w="3560" w:type="dxa"/>
            <w:vAlign w:val="bottom"/>
            <w:tcBorders>
              <w:left w:val="single" w:sz="8" w:color="auto"/>
              <w:right w:val="single" w:sz="8" w:color="auto"/>
            </w:tcBorders>
          </w:tcPr>
          <w:p>
            <w:pPr>
              <w:spacing w:after="0"/>
              <w:rPr>
                <w:sz w:val="24"/>
                <w:szCs w:val="24"/>
                <w:color w:val="auto"/>
              </w:rPr>
            </w:pPr>
          </w:p>
        </w:tc>
        <w:tc>
          <w:tcPr>
            <w:tcW w:w="7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Chasseneuil, France (O)</w:t>
            </w:r>
          </w:p>
        </w:tc>
        <w:tc>
          <w:tcPr>
            <w:tcW w:w="0" w:type="dxa"/>
            <w:vAlign w:val="bottom"/>
          </w:tcPr>
          <w:p>
            <w:pPr>
              <w:spacing w:after="0"/>
              <w:rPr>
                <w:sz w:val="1"/>
                <w:szCs w:val="1"/>
                <w:color w:val="auto"/>
              </w:rPr>
            </w:pPr>
          </w:p>
        </w:tc>
      </w:tr>
      <w:tr>
        <w:trPr>
          <w:trHeight w:val="324"/>
        </w:trPr>
        <w:tc>
          <w:tcPr>
            <w:tcW w:w="3560" w:type="dxa"/>
            <w:vAlign w:val="bottom"/>
            <w:tcBorders>
              <w:left w:val="single" w:sz="8" w:color="auto"/>
              <w:right w:val="single" w:sz="8" w:color="auto"/>
            </w:tcBorders>
          </w:tcPr>
          <w:p>
            <w:pPr>
              <w:spacing w:after="0"/>
              <w:rPr>
                <w:sz w:val="24"/>
                <w:szCs w:val="24"/>
                <w:color w:val="auto"/>
              </w:rPr>
            </w:pPr>
          </w:p>
        </w:tc>
        <w:tc>
          <w:tcPr>
            <w:tcW w:w="7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Macon, France (O)</w:t>
            </w:r>
          </w:p>
        </w:tc>
        <w:tc>
          <w:tcPr>
            <w:tcW w:w="0" w:type="dxa"/>
            <w:vAlign w:val="bottom"/>
          </w:tcPr>
          <w:p>
            <w:pPr>
              <w:spacing w:after="0"/>
              <w:rPr>
                <w:sz w:val="1"/>
                <w:szCs w:val="1"/>
                <w:color w:val="auto"/>
              </w:rPr>
            </w:pPr>
          </w:p>
        </w:tc>
      </w:tr>
      <w:tr>
        <w:trPr>
          <w:trHeight w:val="324"/>
        </w:trPr>
        <w:tc>
          <w:tcPr>
            <w:tcW w:w="3560" w:type="dxa"/>
            <w:vAlign w:val="bottom"/>
            <w:tcBorders>
              <w:left w:val="single" w:sz="8" w:color="auto"/>
              <w:right w:val="single" w:sz="8" w:color="auto"/>
            </w:tcBorders>
          </w:tcPr>
          <w:p>
            <w:pPr>
              <w:spacing w:after="0"/>
              <w:rPr>
                <w:sz w:val="24"/>
                <w:szCs w:val="24"/>
                <w:color w:val="auto"/>
              </w:rPr>
            </w:pPr>
          </w:p>
        </w:tc>
        <w:tc>
          <w:tcPr>
            <w:tcW w:w="7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Massy, France (L)</w:t>
            </w:r>
          </w:p>
        </w:tc>
        <w:tc>
          <w:tcPr>
            <w:tcW w:w="0" w:type="dxa"/>
            <w:vAlign w:val="bottom"/>
          </w:tcPr>
          <w:p>
            <w:pPr>
              <w:spacing w:after="0"/>
              <w:rPr>
                <w:sz w:val="1"/>
                <w:szCs w:val="1"/>
                <w:color w:val="auto"/>
              </w:rPr>
            </w:pPr>
          </w:p>
        </w:tc>
      </w:tr>
      <w:tr>
        <w:trPr>
          <w:trHeight w:val="324"/>
        </w:trPr>
        <w:tc>
          <w:tcPr>
            <w:tcW w:w="3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Europe, Middle East, and Africa</w:t>
            </w:r>
          </w:p>
        </w:tc>
        <w:tc>
          <w:tcPr>
            <w:tcW w:w="7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Reims, France (O)</w:t>
            </w:r>
          </w:p>
        </w:tc>
        <w:tc>
          <w:tcPr>
            <w:tcW w:w="0" w:type="dxa"/>
            <w:vAlign w:val="bottom"/>
          </w:tcPr>
          <w:p>
            <w:pPr>
              <w:spacing w:after="0"/>
              <w:rPr>
                <w:sz w:val="1"/>
                <w:szCs w:val="1"/>
                <w:color w:val="auto"/>
              </w:rPr>
            </w:pPr>
          </w:p>
        </w:tc>
      </w:tr>
      <w:tr>
        <w:trPr>
          <w:trHeight w:val="324"/>
        </w:trPr>
        <w:tc>
          <w:tcPr>
            <w:tcW w:w="3560" w:type="dxa"/>
            <w:vAlign w:val="bottom"/>
            <w:tcBorders>
              <w:left w:val="single" w:sz="8" w:color="auto"/>
              <w:right w:val="single" w:sz="8" w:color="auto"/>
            </w:tcBorders>
          </w:tcPr>
          <w:p>
            <w:pPr>
              <w:spacing w:after="0"/>
              <w:rPr>
                <w:sz w:val="24"/>
                <w:szCs w:val="24"/>
                <w:color w:val="auto"/>
              </w:rPr>
            </w:pPr>
          </w:p>
        </w:tc>
        <w:tc>
          <w:tcPr>
            <w:tcW w:w="7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Karlsruhe, Germany (O)</w:t>
            </w:r>
          </w:p>
        </w:tc>
        <w:tc>
          <w:tcPr>
            <w:tcW w:w="0" w:type="dxa"/>
            <w:vAlign w:val="bottom"/>
          </w:tcPr>
          <w:p>
            <w:pPr>
              <w:spacing w:after="0"/>
              <w:rPr>
                <w:sz w:val="1"/>
                <w:szCs w:val="1"/>
                <w:color w:val="auto"/>
              </w:rPr>
            </w:pPr>
          </w:p>
        </w:tc>
      </w:tr>
      <w:tr>
        <w:trPr>
          <w:trHeight w:val="324"/>
        </w:trPr>
        <w:tc>
          <w:tcPr>
            <w:tcW w:w="3560" w:type="dxa"/>
            <w:vAlign w:val="bottom"/>
            <w:tcBorders>
              <w:left w:val="single" w:sz="8" w:color="auto"/>
              <w:right w:val="single" w:sz="8" w:color="auto"/>
            </w:tcBorders>
          </w:tcPr>
          <w:p>
            <w:pPr>
              <w:spacing w:after="0"/>
              <w:rPr>
                <w:sz w:val="24"/>
                <w:szCs w:val="24"/>
                <w:color w:val="auto"/>
              </w:rPr>
            </w:pPr>
          </w:p>
        </w:tc>
        <w:tc>
          <w:tcPr>
            <w:tcW w:w="7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Oldenburg, Germany (O)</w:t>
            </w:r>
          </w:p>
        </w:tc>
        <w:tc>
          <w:tcPr>
            <w:tcW w:w="0" w:type="dxa"/>
            <w:vAlign w:val="bottom"/>
          </w:tcPr>
          <w:p>
            <w:pPr>
              <w:spacing w:after="0"/>
              <w:rPr>
                <w:sz w:val="1"/>
                <w:szCs w:val="1"/>
                <w:color w:val="auto"/>
              </w:rPr>
            </w:pPr>
          </w:p>
        </w:tc>
      </w:tr>
      <w:tr>
        <w:trPr>
          <w:trHeight w:val="324"/>
        </w:trPr>
        <w:tc>
          <w:tcPr>
            <w:tcW w:w="3560" w:type="dxa"/>
            <w:vAlign w:val="bottom"/>
            <w:tcBorders>
              <w:left w:val="single" w:sz="8" w:color="auto"/>
              <w:right w:val="single" w:sz="8" w:color="auto"/>
            </w:tcBorders>
          </w:tcPr>
          <w:p>
            <w:pPr>
              <w:spacing w:after="0"/>
              <w:rPr>
                <w:sz w:val="24"/>
                <w:szCs w:val="24"/>
                <w:color w:val="auto"/>
              </w:rPr>
            </w:pPr>
          </w:p>
        </w:tc>
        <w:tc>
          <w:tcPr>
            <w:tcW w:w="7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Godollo, Hungary (O)</w:t>
            </w:r>
          </w:p>
        </w:tc>
        <w:tc>
          <w:tcPr>
            <w:tcW w:w="0" w:type="dxa"/>
            <w:vAlign w:val="bottom"/>
          </w:tcPr>
          <w:p>
            <w:pPr>
              <w:spacing w:after="0"/>
              <w:rPr>
                <w:sz w:val="1"/>
                <w:szCs w:val="1"/>
                <w:color w:val="auto"/>
              </w:rPr>
            </w:pPr>
          </w:p>
        </w:tc>
      </w:tr>
      <w:tr>
        <w:trPr>
          <w:trHeight w:val="324"/>
        </w:trPr>
        <w:tc>
          <w:tcPr>
            <w:tcW w:w="3560" w:type="dxa"/>
            <w:vAlign w:val="bottom"/>
            <w:tcBorders>
              <w:left w:val="single" w:sz="8" w:color="auto"/>
              <w:right w:val="single" w:sz="8" w:color="auto"/>
            </w:tcBorders>
          </w:tcPr>
          <w:p>
            <w:pPr>
              <w:spacing w:after="0"/>
              <w:rPr>
                <w:sz w:val="24"/>
                <w:szCs w:val="24"/>
                <w:color w:val="auto"/>
              </w:rPr>
            </w:pPr>
          </w:p>
        </w:tc>
        <w:tc>
          <w:tcPr>
            <w:tcW w:w="7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Asti, Italy (O)</w:t>
            </w:r>
          </w:p>
        </w:tc>
        <w:tc>
          <w:tcPr>
            <w:tcW w:w="0" w:type="dxa"/>
            <w:vAlign w:val="bottom"/>
          </w:tcPr>
          <w:p>
            <w:pPr>
              <w:spacing w:after="0"/>
              <w:rPr>
                <w:sz w:val="1"/>
                <w:szCs w:val="1"/>
                <w:color w:val="auto"/>
              </w:rPr>
            </w:pP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7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3560" w:type="dxa"/>
            <w:vAlign w:val="bottom"/>
            <w:tcBorders>
              <w:left w:val="single" w:sz="8" w:color="auto"/>
              <w:right w:val="single" w:sz="8" w:color="auto"/>
            </w:tcBorders>
          </w:tcPr>
          <w:p>
            <w:pPr>
              <w:spacing w:after="0"/>
              <w:rPr>
                <w:sz w:val="24"/>
                <w:szCs w:val="24"/>
                <w:color w:val="auto"/>
              </w:rPr>
            </w:pPr>
          </w:p>
        </w:tc>
        <w:tc>
          <w:tcPr>
            <w:tcW w:w="7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Suzhou, China (L)</w:t>
            </w:r>
          </w:p>
        </w:tc>
        <w:tc>
          <w:tcPr>
            <w:tcW w:w="0" w:type="dxa"/>
            <w:vAlign w:val="bottom"/>
          </w:tcPr>
          <w:p>
            <w:pPr>
              <w:spacing w:after="0"/>
              <w:rPr>
                <w:sz w:val="1"/>
                <w:szCs w:val="1"/>
                <w:color w:val="auto"/>
              </w:rPr>
            </w:pPr>
          </w:p>
        </w:tc>
      </w:tr>
      <w:tr>
        <w:trPr>
          <w:trHeight w:val="324"/>
        </w:trPr>
        <w:tc>
          <w:tcPr>
            <w:tcW w:w="35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Asia/Pacific</w:t>
            </w:r>
          </w:p>
        </w:tc>
        <w:tc>
          <w:tcPr>
            <w:tcW w:w="7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Wujiang, China (L)</w:t>
            </w:r>
          </w:p>
        </w:tc>
        <w:tc>
          <w:tcPr>
            <w:tcW w:w="0" w:type="dxa"/>
            <w:vAlign w:val="bottom"/>
          </w:tcPr>
          <w:p>
            <w:pPr>
              <w:spacing w:after="0"/>
              <w:rPr>
                <w:sz w:val="1"/>
                <w:szCs w:val="1"/>
                <w:color w:val="auto"/>
              </w:rPr>
            </w:pPr>
          </w:p>
        </w:tc>
      </w:tr>
      <w:tr>
        <w:trPr>
          <w:trHeight w:val="108"/>
        </w:trPr>
        <w:tc>
          <w:tcPr>
            <w:tcW w:w="3560" w:type="dxa"/>
            <w:vAlign w:val="bottom"/>
            <w:tcBorders>
              <w:left w:val="single" w:sz="8" w:color="auto"/>
              <w:right w:val="single" w:sz="8" w:color="auto"/>
            </w:tcBorders>
            <w:vMerge w:val="continue"/>
          </w:tcPr>
          <w:p>
            <w:pPr>
              <w:spacing w:after="0"/>
              <w:rPr>
                <w:sz w:val="9"/>
                <w:szCs w:val="9"/>
                <w:color w:val="auto"/>
              </w:rPr>
            </w:pPr>
          </w:p>
        </w:tc>
        <w:tc>
          <w:tcPr>
            <w:tcW w:w="7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Dehradun, India (L)</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tcPr>
          <w:p>
            <w:pPr>
              <w:spacing w:after="0"/>
              <w:rPr>
                <w:sz w:val="18"/>
                <w:szCs w:val="18"/>
                <w:color w:val="auto"/>
              </w:rPr>
            </w:pPr>
          </w:p>
        </w:tc>
        <w:tc>
          <w:tcPr>
            <w:tcW w:w="78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560" w:type="dxa"/>
            <w:vAlign w:val="bottom"/>
            <w:tcBorders>
              <w:left w:val="single" w:sz="8" w:color="auto"/>
              <w:right w:val="single" w:sz="8" w:color="auto"/>
            </w:tcBorders>
          </w:tcPr>
          <w:p>
            <w:pPr>
              <w:spacing w:after="0"/>
              <w:rPr>
                <w:sz w:val="24"/>
                <w:szCs w:val="24"/>
                <w:color w:val="auto"/>
              </w:rPr>
            </w:pPr>
          </w:p>
        </w:tc>
        <w:tc>
          <w:tcPr>
            <w:tcW w:w="7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Bekasi, Indonesia (O)</w:t>
            </w:r>
          </w:p>
        </w:tc>
        <w:tc>
          <w:tcPr>
            <w:tcW w:w="0" w:type="dxa"/>
            <w:vAlign w:val="bottom"/>
          </w:tcPr>
          <w:p>
            <w:pPr>
              <w:spacing w:after="0"/>
              <w:rPr>
                <w:sz w:val="1"/>
                <w:szCs w:val="1"/>
                <w:color w:val="auto"/>
              </w:rPr>
            </w:pP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7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3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Latin America</w:t>
            </w:r>
          </w:p>
        </w:tc>
        <w:tc>
          <w:tcPr>
            <w:tcW w:w="7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Americana, Brazil (O)</w:t>
            </w:r>
          </w:p>
        </w:tc>
        <w:tc>
          <w:tcPr>
            <w:tcW w:w="0" w:type="dxa"/>
            <w:vAlign w:val="bottom"/>
          </w:tcPr>
          <w:p>
            <w:pPr>
              <w:spacing w:after="0"/>
              <w:rPr>
                <w:sz w:val="1"/>
                <w:szCs w:val="1"/>
                <w:color w:val="auto"/>
              </w:rPr>
            </w:pP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7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 - Manufacturing facility is owned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 - Manufacturing facility is leased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principal properties are in good condition, and we believe our current facilities are sufficient to support our operations. Our major manufacturing facilities are owned, while smaller factories are typically leased.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our manufacturing facilities, we have numerous sales offices, product development facilities, and distribution centers, which are located throughout the world.</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3:</w:t>
        <w:tab/>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40"/>
          </w:cols>
          <w:pgMar w:left="240" w:top="125" w:right="2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60" w:hanging="1052"/>
        <w:spacing w:after="0" w:line="282" w:lineRule="auto"/>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"ITRI".</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graph compares the five-year cumulative total return to shareholders on our common stock with the five-year cumulative total return of our peer group of companies used for the year ended December 31, 2018 and the NASDAQ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83185</wp:posOffset>
            </wp:positionV>
            <wp:extent cx="5711190" cy="4288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1190" cy="428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80" w:right="4420"/>
        <w:spacing w:after="0" w:line="277" w:lineRule="auto"/>
        <w:tabs>
          <w:tab w:leader="none" w:pos="1115"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 invested on 12/31/13 in stock or index, including reinvestment of dividends. Fiscal years ending December 31.</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performance graph above is being furnished solely to accompany this Report pursuant to Item 201(e) of Regulation S-K and is not being filed for purposes of Section 18 of the Securities Exchange Act of 1934, as amended, and is not to be incorporated by reference into any of our filings, whether made before or after the date hereof, regardless of any general incorporation language in such filing.</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above presentation assumes $100 invested on December 31, 2013 in the common stock of Itron, Inc., the peer group, and the NASDAQ Composite Index, with all dividends reinvested. With respect to companies in the peer group, the returns of each such corporation have been weighted to reflect relative stock market capitalization at the beginning of each annual period plotted. The stock prices shown above for our common stock are historical and not necessarily indicative of future price performance.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year, we reassess our peer group to identify global companies that are either direct competitors or have similar industry and business operating characteristics. Our 2018 peer group includes the following publicly traded companies: Badger Meter, Inc., Landis+Gyr, Mueller Water Products, Inc., Roper Technologies, Inc., and Xylem, Inc (Sensus). The 2018 peer group was created as a result of our change in operating segments. Our 2017 peer group includes the following publicly traded companies: Badger Meter, Inc., Echelon Corporation, Landis+Gyr, National Instruments Corporation, and Roper Technologies,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4"/>
              </w:rPr>
              <w:t>Maximum Dollar Value</w:t>
            </w:r>
          </w:p>
        </w:tc>
      </w:tr>
      <w:tr>
        <w:trPr>
          <w:trHeight w:val="203"/>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4"/>
              </w:rPr>
              <w:t>Part of Publicly</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of Shares that May Yet</w:t>
            </w:r>
          </w:p>
        </w:tc>
      </w:tr>
      <w:tr>
        <w:trPr>
          <w:trHeight w:val="203"/>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7"/>
                <w:szCs w:val="17"/>
                <w:color w:val="auto"/>
              </w:rPr>
            </w:pPr>
          </w:p>
        </w:tc>
        <w:tc>
          <w:tcPr>
            <w:tcW w:w="182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Average Price Paid per</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Be Purchased Under</w:t>
            </w:r>
          </w:p>
        </w:tc>
      </w:tr>
      <w:tr>
        <w:trPr>
          <w:trHeight w:val="24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the Plans or Programs</w:t>
            </w:r>
          </w:p>
        </w:tc>
      </w:tr>
      <w:tr>
        <w:trPr>
          <w:trHeight w:val="23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October 1, 2018 through October 31, 2018</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6"/>
                <w:szCs w:val="16"/>
                <w:color w:val="auto"/>
              </w:rPr>
              <w:t>—</w:t>
            </w:r>
          </w:p>
        </w:tc>
      </w:tr>
      <w:tr>
        <w:trPr>
          <w:trHeight w:val="237"/>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November 1, 2018 through November 30, 2018</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22,280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53.99</w:t>
            </w:r>
          </w:p>
        </w:tc>
        <w:tc>
          <w:tcPr>
            <w:tcW w:w="100" w:type="dxa"/>
            <w:vAlign w:val="bottom"/>
          </w:tcPr>
          <w:p>
            <w:pPr>
              <w:spacing w:after="0"/>
              <w:rPr>
                <w:sz w:val="20"/>
                <w:szCs w:val="20"/>
                <w:color w:val="auto"/>
              </w:rPr>
            </w:pPr>
          </w:p>
        </w:tc>
        <w:tc>
          <w:tcPr>
            <w:tcW w:w="1700" w:type="dxa"/>
            <w:vAlign w:val="bottom"/>
          </w:tcPr>
          <w:p>
            <w:pPr>
              <w:ind w:left="14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700" w:type="dxa"/>
            <w:vAlign w:val="bottom"/>
          </w:tcPr>
          <w:p>
            <w:pPr>
              <w:ind w:left="1420"/>
              <w:spacing w:after="0"/>
              <w:rPr>
                <w:sz w:val="20"/>
                <w:szCs w:val="20"/>
                <w:color w:val="auto"/>
              </w:rPr>
            </w:pPr>
            <w:r>
              <w:rPr>
                <w:rFonts w:ascii="Arial" w:cs="Arial" w:eastAsia="Arial" w:hAnsi="Arial"/>
                <w:sz w:val="16"/>
                <w:szCs w:val="16"/>
                <w:color w:val="auto"/>
              </w:rPr>
              <w:t>—</w:t>
            </w:r>
          </w:p>
        </w:tc>
      </w:tr>
      <w:tr>
        <w:trPr>
          <w:trHeight w:val="33"/>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December 1, 2018 through December 31, 2018</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50.22</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6"/>
                <w:szCs w:val="16"/>
                <w:color w:val="auto"/>
              </w:rPr>
              <w:t>—</w:t>
            </w:r>
          </w:p>
        </w:tc>
      </w:tr>
      <w:tr>
        <w:trPr>
          <w:trHeight w:val="244"/>
        </w:trPr>
        <w:tc>
          <w:tcPr>
            <w:tcW w:w="3980" w:type="dxa"/>
            <w:vAlign w:val="bottom"/>
            <w:gridSpan w:val="2"/>
          </w:tcPr>
          <w:p>
            <w:pPr>
              <w:ind w:left="260"/>
              <w:spacing w:after="0"/>
              <w:rPr>
                <w:sz w:val="20"/>
                <w:szCs w:val="20"/>
                <w:color w:val="auto"/>
              </w:rPr>
            </w:pPr>
            <w:r>
              <w:rPr>
                <w:rFonts w:ascii="Arial" w:cs="Arial" w:eastAsia="Arial" w:hAnsi="Arial"/>
                <w:sz w:val="16"/>
                <w:szCs w:val="16"/>
                <w:color w:val="auto"/>
              </w:rPr>
              <w:t>Total</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26,933</w:t>
            </w:r>
          </w:p>
        </w:tc>
        <w:tc>
          <w:tcPr>
            <w:tcW w:w="5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53.34</w:t>
            </w:r>
          </w:p>
        </w:tc>
        <w:tc>
          <w:tcPr>
            <w:tcW w:w="100" w:type="dxa"/>
            <w:vAlign w:val="bottom"/>
          </w:tcPr>
          <w:p>
            <w:pPr>
              <w:spacing w:after="0"/>
              <w:rPr>
                <w:sz w:val="21"/>
                <w:szCs w:val="21"/>
                <w:color w:val="auto"/>
              </w:rPr>
            </w:pPr>
          </w:p>
        </w:tc>
        <w:tc>
          <w:tcPr>
            <w:tcW w:w="170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7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Shares repurchased represent shares transferred to us by certain employees who vested in restricted stock units and used shares to pay all, or a portion of, the related taxes.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2019, there were 192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Since the inception of the Company, we have not declared or paid cash dividends. We intend to retain future earnings for the development of our business and do not anticipate paying cash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6:</w:t>
        <w:tab/>
        <w:t>SELECTED CONSOLIDATED FINANCIAL DATA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selected consolidated financial data below is derived from our consolidated financial statements as of December 31, 2018 and 2017, and for the three years ended December 31, 2018 in this Annual Report on Form 10-K. The financial data as of December 31, 2016, 2015 and 2014 and for the two years ended December 31, 2015 were derived from financial statements not included herein. You should read this information together with Item 7: "Management's Discussion and Analysis of Financial Condition and Results of Operations" and Item 8: "Financial Statements and Supplementary Data". Historical results are not necessarily indicative of future performance.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6"/>
          </w:tcPr>
          <w:p>
            <w:pPr>
              <w:jc w:val="center"/>
              <w:ind w:left="579"/>
              <w:spacing w:after="0"/>
              <w:rPr>
                <w:sz w:val="20"/>
                <w:szCs w:val="20"/>
                <w:color w:val="auto"/>
              </w:rPr>
            </w:pPr>
            <w:r>
              <w:rPr>
                <w:rFonts w:ascii="Arial" w:cs="Arial" w:eastAsia="Arial" w:hAnsi="Arial"/>
                <w:sz w:val="16"/>
                <w:szCs w:val="16"/>
                <w:b w:val="1"/>
                <w:bCs w:val="1"/>
                <w:color w:val="auto"/>
                <w:w w:val="90"/>
              </w:rPr>
              <w:t>Year Ended December 31,</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r>
              <w:rPr>
                <w:rFonts w:ascii="Arial" w:cs="Arial" w:eastAsia="Arial" w:hAnsi="Arial"/>
                <w:sz w:val="21"/>
                <w:szCs w:val="21"/>
                <w:b w:val="1"/>
                <w:bCs w:val="1"/>
                <w:color w:val="auto"/>
                <w:vertAlign w:val="superscript"/>
              </w:rPr>
              <w:t>(5)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21"/>
                <w:szCs w:val="21"/>
                <w:b w:val="1"/>
                <w:bCs w:val="1"/>
                <w:color w:val="auto"/>
                <w:vertAlign w:val="superscript"/>
              </w:rPr>
              <w:t>(4)</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b w:val="1"/>
                <w:bCs w:val="1"/>
                <w:color w:val="auto"/>
                <w:vertAlign w:val="superscript"/>
              </w:rPr>
              <w:t>(3)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35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20" w:type="dxa"/>
            <w:vAlign w:val="bottom"/>
            <w:gridSpan w:val="8"/>
          </w:tcPr>
          <w:p>
            <w:pPr>
              <w:jc w:val="center"/>
              <w:ind w:right="400"/>
              <w:spacing w:after="0"/>
              <w:rPr>
                <w:sz w:val="20"/>
                <w:szCs w:val="20"/>
                <w:color w:val="auto"/>
              </w:rPr>
            </w:pPr>
            <w:r>
              <w:rPr>
                <w:rFonts w:ascii="Arial" w:cs="Arial" w:eastAsia="Arial" w:hAnsi="Arial"/>
                <w:sz w:val="16"/>
                <w:szCs w:val="16"/>
                <w:b w:val="1"/>
                <w:bCs w:val="1"/>
                <w:color w:val="auto"/>
                <w:w w:val="89"/>
              </w:rPr>
              <w:t>(in thousands, except per share data)</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2,376,117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2,018,197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2,013,186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1,883,533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1,947,616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Cost of revenues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1,645,798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1,341,446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1,350,654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1,326,848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1,333,566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730,319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676,751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662,532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556,685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614,050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(49,692)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154,877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100,993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52,846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Itron, Inc.</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(23,670)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Earnings (loss) per common share - 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per common share - 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39,244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38,655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38,207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38,224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39,184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39,184</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Balance Sheets Data</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4700" w:type="dxa"/>
            <w:vAlign w:val="bottom"/>
          </w:tcPr>
          <w:p>
            <w:pPr>
              <w:ind w:left="40"/>
              <w:spacing w:after="0"/>
              <w:rPr>
                <w:sz w:val="20"/>
                <w:szCs w:val="20"/>
                <w:color w:val="auto"/>
              </w:rPr>
            </w:pPr>
            <w:r>
              <w:rPr>
                <w:rFonts w:ascii="Arial" w:cs="Arial" w:eastAsia="Arial" w:hAnsi="Arial"/>
                <w:sz w:val="16"/>
                <w:szCs w:val="16"/>
                <w:color w:val="auto"/>
              </w:rPr>
              <w:t>Working capital</w:t>
            </w:r>
            <w:r>
              <w:rPr>
                <w:rFonts w:ascii="Arial" w:cs="Arial" w:eastAsia="Arial" w:hAnsi="Arial"/>
                <w:sz w:val="21"/>
                <w:szCs w:val="21"/>
                <w:color w:val="auto"/>
                <w:vertAlign w:val="superscript"/>
              </w:rPr>
              <w:t>(1)</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ind w:right="39"/>
              <w:spacing w:after="0"/>
              <w:rPr>
                <w:sz w:val="20"/>
                <w:szCs w:val="20"/>
                <w:color w:val="auto"/>
              </w:rPr>
            </w:pPr>
            <w:r>
              <w:rPr>
                <w:rFonts w:ascii="Arial" w:cs="Arial" w:eastAsia="Arial" w:hAnsi="Arial"/>
                <w:sz w:val="16"/>
                <w:szCs w:val="16"/>
                <w:color w:val="auto"/>
              </w:rPr>
              <w:t>243,434</w:t>
            </w:r>
          </w:p>
        </w:tc>
        <w:tc>
          <w:tcPr>
            <w:tcW w:w="120" w:type="dxa"/>
            <w:vAlign w:val="bottom"/>
          </w:tcPr>
          <w:p>
            <w:pPr>
              <w:spacing w:after="0"/>
              <w:rPr>
                <w:sz w:val="24"/>
                <w:szCs w:val="24"/>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341,959</w:t>
            </w:r>
          </w:p>
        </w:tc>
        <w:tc>
          <w:tcPr>
            <w:tcW w:w="120" w:type="dxa"/>
            <w:vAlign w:val="bottom"/>
          </w:tcPr>
          <w:p>
            <w:pPr>
              <w:spacing w:after="0"/>
              <w:rPr>
                <w:sz w:val="24"/>
                <w:szCs w:val="2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319,420</w:t>
            </w:r>
          </w:p>
        </w:tc>
        <w:tc>
          <w:tcPr>
            <w:tcW w:w="100" w:type="dxa"/>
            <w:vAlign w:val="bottom"/>
          </w:tcPr>
          <w:p>
            <w:pPr>
              <w:spacing w:after="0"/>
              <w:rPr>
                <w:sz w:val="24"/>
                <w:szCs w:val="24"/>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281,166</w:t>
            </w:r>
          </w:p>
        </w:tc>
        <w:tc>
          <w:tcPr>
            <w:tcW w:w="120" w:type="dxa"/>
            <w:vAlign w:val="bottom"/>
          </w:tcPr>
          <w:p>
            <w:pPr>
              <w:spacing w:after="0"/>
              <w:rPr>
                <w:sz w:val="24"/>
                <w:szCs w:val="2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262,393</w:t>
            </w:r>
          </w:p>
        </w:tc>
        <w:tc>
          <w:tcPr>
            <w:tcW w:w="0" w:type="dxa"/>
            <w:vAlign w:val="bottom"/>
          </w:tcPr>
          <w:p>
            <w:pPr>
              <w:spacing w:after="0"/>
              <w:rPr>
                <w:sz w:val="1"/>
                <w:szCs w:val="1"/>
                <w:color w:val="auto"/>
              </w:rPr>
            </w:pPr>
          </w:p>
        </w:tc>
      </w:tr>
      <w:tr>
        <w:trPr>
          <w:trHeight w:val="61"/>
        </w:trPr>
        <w:tc>
          <w:tcPr>
            <w:tcW w:w="47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2,608,982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2,106,147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1,577,811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1,680,316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1,751,085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Total debt, net</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1,016,623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613,260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304,523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370,165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323,307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Itron, Inc.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712,663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786,416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631,604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604,758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681,001</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Financial Data</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Cash provided by operating activities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109,755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191,354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115,842</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73,350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132,973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(862,658)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(148,179)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(41,496)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Cash provided by (used in) financing activities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395,821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301,959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7,740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(91,877)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(59,952)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(49,495)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(43,543)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(43,918)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(44,495)</w:t>
            </w:r>
          </w:p>
        </w:tc>
        <w:tc>
          <w:tcPr>
            <w:tcW w:w="0" w:type="dxa"/>
            <w:vAlign w:val="bottom"/>
          </w:tcPr>
          <w:p>
            <w:pPr>
              <w:spacing w:after="0"/>
              <w:rPr>
                <w:sz w:val="1"/>
                <w:szCs w:val="1"/>
                <w:color w:val="auto"/>
              </w:rPr>
            </w:pPr>
          </w:p>
        </w:tc>
      </w:tr>
      <w:tr>
        <w:trPr>
          <w:trHeight w:val="33"/>
        </w:trPr>
        <w:tc>
          <w:tcPr>
            <w:tcW w:w="47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Working capital represents current assets less current liabilities.</w:t>
      </w:r>
    </w:p>
    <w:p>
      <w:pPr>
        <w:spacing w:after="0" w:line="74" w:lineRule="exact"/>
        <w:rPr>
          <w:rFonts w:ascii="Arial" w:cs="Arial" w:eastAsia="Arial" w:hAnsi="Arial"/>
          <w:sz w:val="22"/>
          <w:szCs w:val="22"/>
          <w:color w:val="auto"/>
          <w:vertAlign w:val="superscript"/>
        </w:rPr>
      </w:pPr>
    </w:p>
    <w:p>
      <w:pPr>
        <w:ind w:left="340" w:hanging="332"/>
        <w:spacing w:after="0" w:line="211"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During 2014, we incurred costs of $49.5 million related to restructuring projects to improve operational efficiencies and reduce expenses.</w:t>
      </w:r>
    </w:p>
    <w:p>
      <w:pPr>
        <w:spacing w:after="0" w:line="91" w:lineRule="exact"/>
        <w:rPr>
          <w:rFonts w:ascii="Arial" w:cs="Arial" w:eastAsia="Arial" w:hAnsi="Arial"/>
          <w:sz w:val="22"/>
          <w:szCs w:val="22"/>
          <w:color w:val="auto"/>
          <w:vertAlign w:val="superscript"/>
        </w:rPr>
      </w:pPr>
    </w:p>
    <w:p>
      <w:pPr>
        <w:ind w:left="340" w:right="20" w:hanging="332"/>
        <w:spacing w:after="0" w:line="217"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During 2016, we incurred costs of $49.1 million related to restructuring projects to restructure various company activities in order to improve operational efficiencies, reduce expenses, and improve competitiveness.</w:t>
      </w:r>
    </w:p>
    <w:p>
      <w:pPr>
        <w:spacing w:after="0" w:line="91" w:lineRule="exact"/>
        <w:rPr>
          <w:rFonts w:ascii="Arial" w:cs="Arial" w:eastAsia="Arial" w:hAnsi="Arial"/>
          <w:sz w:val="22"/>
          <w:szCs w:val="22"/>
          <w:color w:val="auto"/>
          <w:vertAlign w:val="superscript"/>
        </w:rPr>
      </w:pPr>
    </w:p>
    <w:p>
      <w:pPr>
        <w:jc w:val="both"/>
        <w:ind w:left="340" w:hanging="332"/>
        <w:spacing w:after="0" w:line="225"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 xml:space="preserve">During 2017, cash used in investing activities included $100 million paid for </w:t>
      </w:r>
      <w:r>
        <w:rPr>
          <w:rFonts w:ascii="Arial" w:cs="Arial" w:eastAsia="Arial" w:hAnsi="Arial"/>
          <w:sz w:val="16"/>
          <w:szCs w:val="16"/>
          <w:color w:val="222222"/>
        </w:rPr>
        <w:t>the acquisition of Comverge by purchasing the stock of its parent, Peak Holding Corp. In</w:t>
      </w:r>
      <w:r>
        <w:rPr>
          <w:rFonts w:ascii="Arial" w:cs="Arial" w:eastAsia="Arial" w:hAnsi="Arial"/>
          <w:sz w:val="16"/>
          <w:szCs w:val="16"/>
          <w:color w:val="auto"/>
        </w:rPr>
        <w:t xml:space="preserve"> </w:t>
      </w:r>
      <w:r>
        <w:rPr>
          <w:rFonts w:ascii="Arial" w:cs="Arial" w:eastAsia="Arial" w:hAnsi="Arial"/>
          <w:sz w:val="16"/>
          <w:szCs w:val="16"/>
          <w:color w:val="222222"/>
        </w:rPr>
        <w:t xml:space="preserve">addition, cash provided by financing activities included the issuance </w:t>
      </w:r>
      <w:r>
        <w:rPr>
          <w:rFonts w:ascii="Arial" w:cs="Arial" w:eastAsia="Arial" w:hAnsi="Arial"/>
          <w:sz w:val="16"/>
          <w:szCs w:val="16"/>
          <w:color w:val="000000"/>
        </w:rPr>
        <w:t>of $300 million of senior notes as part of the financing of the acquisition of Silver Spring Networks,</w:t>
      </w:r>
      <w:r>
        <w:rPr>
          <w:rFonts w:ascii="Arial" w:cs="Arial" w:eastAsia="Arial" w:hAnsi="Arial"/>
          <w:sz w:val="16"/>
          <w:szCs w:val="16"/>
          <w:color w:val="222222"/>
        </w:rPr>
        <w:t xml:space="preserve"> </w:t>
      </w:r>
      <w:r>
        <w:rPr>
          <w:rFonts w:ascii="Arial" w:cs="Arial" w:eastAsia="Arial" w:hAnsi="Arial"/>
          <w:sz w:val="16"/>
          <w:szCs w:val="16"/>
          <w:color w:val="000000"/>
        </w:rPr>
        <w:t>Inc.</w:t>
      </w:r>
    </w:p>
    <w:p>
      <w:pPr>
        <w:spacing w:after="0" w:line="93" w:lineRule="exact"/>
        <w:rPr>
          <w:rFonts w:ascii="Arial" w:cs="Arial" w:eastAsia="Arial" w:hAnsi="Arial"/>
          <w:sz w:val="22"/>
          <w:szCs w:val="22"/>
          <w:color w:val="auto"/>
          <w:vertAlign w:val="superscript"/>
        </w:rPr>
      </w:pPr>
    </w:p>
    <w:p>
      <w:pPr>
        <w:jc w:val="both"/>
        <w:ind w:left="340" w:hanging="332"/>
        <w:spacing w:after="0" w:line="225"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During 2018, we incurred costs of $77.2 million related to restructuring projects to restructure various company activities in order to improve operational efficiencies, reduce expenses and improve competitiveness. Refer to Item 8: "Financial Statements and Supplementary Data, Note 13: Restructuring" for further disclosures regarding the restructuring charges.</w:t>
      </w:r>
    </w:p>
    <w:p>
      <w:pPr>
        <w:spacing w:after="0" w:line="93" w:lineRule="exact"/>
        <w:rPr>
          <w:sz w:val="20"/>
          <w:szCs w:val="20"/>
          <w:color w:val="auto"/>
        </w:rPr>
      </w:pPr>
    </w:p>
    <w:p>
      <w:pPr>
        <w:jc w:val="both"/>
        <w:ind w:left="340" w:firstLine="648"/>
        <w:spacing w:after="0" w:line="261" w:lineRule="auto"/>
        <w:rPr>
          <w:sz w:val="20"/>
          <w:szCs w:val="20"/>
          <w:color w:val="auto"/>
        </w:rPr>
      </w:pPr>
      <w:r>
        <w:rPr>
          <w:rFonts w:ascii="Arial" w:cs="Arial" w:eastAsia="Arial" w:hAnsi="Arial"/>
          <w:sz w:val="16"/>
          <w:szCs w:val="16"/>
          <w:color w:val="auto"/>
        </w:rPr>
        <w:t>Cash used in investing activities included $803.1 million paid for the acquisition of Silver Spring Networks, Inc. (SSNI). In addition, cash provided by financing activities included the issuance of $100 million of senior notes. We also incurred $91.9 million in acquisition and integration costs in connection with the SSNI acquisition, which are classified in Sales, general and administrative expenses in the Consolidated Statement of Operations.</w:t>
      </w:r>
    </w:p>
    <w:p>
      <w:pPr>
        <w:spacing w:after="0" w:line="7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On January 1, 2018, we adopted Accounting Standards Codification (ASC) 606 using the modified retrospective method. Refer to Item 8: "Financial Statements</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and Supplementary Data, Note 18: Revenues" for the complete impact of the adoption of ASC 606.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and analysis should be read in conjunction with Item 8: "Financial Statements and Supplementary Data".</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Itron is among the leading technology and services companies offering end-to-end solutions to enhance productivity and efficiency, primarily focused on utilities and municipalities around the globe. We provide comprehensive solutions that measure, manage, and analyze energy and water use. Our broad product portfolio helps utilities and municipalities responsibly and efficiently manage resources.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Through September 30, 2018, we operated under the Itron brand worldwide and managed and reported under four operating segments: Electricity, Gas, Water, and Networks. Our Water operating segment included our global water, and heat and allocation solutions. Networks became a new operating segment with the acquisition of Silver Springs Networks, Inc. (SSNI) in January 2018. Our sales and marketing function was managed under each operating segment. Our research and development, service delivery, supply chain, and manufacturing operations were managed on a worldwide basis to promote a global perspective in our operations and processes and yet still maintains alignment with the operating segments.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 October 1, 2018, we reorganized our operational reporting segmentation from Electricity, Gas, Water, and Networks to Device Solutions, Networked Solutions, and Outcomes. Prior period segment results have been recast to conform to the new segment structure. As part of our reorganization, we integrated our recent acquisitions and are making investment decisions and implementing an organizational structure that aligns with the new segments. In conjunction with the rollout of our new operating segments, we unified our go-to-market strategy with a single, global sales force, which sells the full portfolio of Itron solutions, products, and services. We continue to manage our product development, service delivery, supply chain, and manufacturing operations on a worldwide basis to promote global, integrated oversight of our operations and to ensure consistency and interoperability between our operating segments. The reorganization of the business segments allows us to more effectively compete in our industry.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this reorganization, we operate under the Itron brand worldwide and manage and report under the three operating segments: Device Solutions, Networked Solutions, and Outcomes.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three measures of segment performance: revenues, gross profit (gross margin), and operating income (operating margin). Intersegment revenues are minimal. Certain operating expenses are allocated to the operating segments based upon internally established allocation methodologies. Interest income, interest expense, other income (expense), income tax provision, and all corporate operating expenses, including restructuring, acquisition and integration, and amortization of intangible assets expenses, are neither allocated to the segments nor included in the measures of segment performance.</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includes financial information prepared in accordance with accounting principles generally accepted in the United States (GAAP), as well as certain adjusted or non-GAAP financial measures such as constant currency, free cash flow, non-GAAP operating expenses, non-GAAP operating income, non-GAAP net income, adjusted EBITDA, and non-GAAP diluted earnings per share (EPS). We believe that non-GAAP financial measures, when reviewed in conjunction with GAAP financial measures, can provide more information to assist investors in evaluating current period performance and in assessing future performance. For these reasons, our internal management reporting also includes non-GAAP measures. We strongly encourage investors and shareholders to review our financial statements and publicly-filed reports in their entirety and not to rely on any single financial measure. Non-GAAP measures as presented herein may not be comparable to similarly titled measures used by other companies.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Arial" w:cs="Arial" w:eastAsia="Arial" w:hAnsi="Arial"/>
          <w:sz w:val="17"/>
          <w:szCs w:val="17"/>
          <w:color w:val="222222"/>
        </w:rPr>
        <w:t>"</w:t>
      </w:r>
      <w:r>
        <w:rPr>
          <w:rFonts w:ascii="Arial" w:cs="Arial" w:eastAsia="Arial" w:hAnsi="Arial"/>
          <w:sz w:val="17"/>
          <w:szCs w:val="17"/>
          <w:color w:val="auto"/>
        </w:rPr>
        <w:t>constant currency,</w:t>
      </w:r>
      <w:r>
        <w:rPr>
          <w:rFonts w:ascii="Arial" w:cs="Arial" w:eastAsia="Arial" w:hAnsi="Arial"/>
          <w:sz w:val="17"/>
          <w:szCs w:val="17"/>
          <w:color w:val="222222"/>
        </w:rPr>
        <w:t>"</w:t>
      </w:r>
      <w:r>
        <w:rPr>
          <w:rFonts w:ascii="Arial" w:cs="Arial" w:eastAsia="Arial" w:hAnsi="Arial"/>
          <w:sz w:val="17"/>
          <w:szCs w:val="17"/>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adjusted using current period currency exchange rates. We believe the reconciliations of changes in constant currency provide useful supplementary information to investors in light of fluctuations in foreign currency exchange rates.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section below on pages 40-42 for information about these non-GAAP measures and the detailed reconciliation of items that impacted free cash flow, non-GAAP operating expenses, non-GAAP operating income, non-GAAP net income, adjusted EBITDA, and non-GAAP diluted EPS in the presented periods.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Highlights and significant developments for the twelve months ended December 31, 2018</w:t>
      </w:r>
    </w:p>
    <w:p>
      <w:pPr>
        <w:spacing w:after="0" w:line="225" w:lineRule="exact"/>
        <w:rPr>
          <w:sz w:val="20"/>
          <w:szCs w:val="20"/>
          <w:color w:val="auto"/>
        </w:rPr>
      </w:pPr>
    </w:p>
    <w:p>
      <w:pPr>
        <w:ind w:left="260" w:hanging="171"/>
        <w:spacing w:after="0"/>
        <w:tabs>
          <w:tab w:leader="none" w:pos="260" w:val="left"/>
        </w:tabs>
        <w:numPr>
          <w:ilvl w:val="0"/>
          <w:numId w:val="9"/>
        </w:numPr>
        <w:rPr>
          <w:rFonts w:ascii="Arial" w:cs="Arial" w:eastAsia="Arial" w:hAnsi="Arial"/>
          <w:sz w:val="18"/>
          <w:szCs w:val="18"/>
          <w:color w:val="222222"/>
        </w:rPr>
      </w:pPr>
      <w:r>
        <w:rPr>
          <w:rFonts w:ascii="Arial" w:cs="Arial" w:eastAsia="Arial" w:hAnsi="Arial"/>
          <w:sz w:val="18"/>
          <w:szCs w:val="18"/>
          <w:color w:val="222222"/>
        </w:rPr>
        <w:t>Revenues were $2.4 billion compared with $2.0 billion in the same period last year, an increase of $357.9 million, or 18%.</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9"/>
        </w:numPr>
        <w:rPr>
          <w:rFonts w:ascii="Arial" w:cs="Arial" w:eastAsia="Arial" w:hAnsi="Arial"/>
          <w:sz w:val="18"/>
          <w:szCs w:val="18"/>
          <w:color w:val="222222"/>
        </w:rPr>
      </w:pPr>
      <w:r>
        <w:rPr>
          <w:rFonts w:ascii="Arial" w:cs="Arial" w:eastAsia="Arial" w:hAnsi="Arial"/>
          <w:sz w:val="18"/>
          <w:szCs w:val="18"/>
          <w:color w:val="222222"/>
        </w:rPr>
        <w:t>Gross margin was 30.7% compared with 33.5% last year.</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9"/>
        </w:numPr>
        <w:rPr>
          <w:rFonts w:ascii="Arial" w:cs="Arial" w:eastAsia="Arial" w:hAnsi="Arial"/>
          <w:sz w:val="18"/>
          <w:szCs w:val="18"/>
          <w:color w:val="222222"/>
        </w:rPr>
      </w:pPr>
      <w:r>
        <w:rPr>
          <w:rFonts w:ascii="Arial" w:cs="Arial" w:eastAsia="Arial" w:hAnsi="Arial"/>
          <w:sz w:val="18"/>
          <w:szCs w:val="18"/>
          <w:color w:val="222222"/>
        </w:rPr>
        <w:t>Operating expenses increased $258.1 million, or 49% compared with 2017.</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9"/>
        </w:numPr>
        <w:rPr>
          <w:rFonts w:ascii="Arial" w:cs="Arial" w:eastAsia="Arial" w:hAnsi="Arial"/>
          <w:sz w:val="18"/>
          <w:szCs w:val="18"/>
          <w:color w:val="222222"/>
        </w:rPr>
      </w:pPr>
      <w:r>
        <w:rPr>
          <w:rFonts w:ascii="Arial" w:cs="Arial" w:eastAsia="Arial" w:hAnsi="Arial"/>
          <w:sz w:val="18"/>
          <w:szCs w:val="18"/>
          <w:color w:val="auto"/>
        </w:rPr>
        <w:t>Net loss attributable to Itron, Inc. was $99.3 million compared with net income of $57.3 million in 2017.</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increased $5.7 million, or 2% to $235.8 million, compared with 2017.</w:t>
      </w:r>
    </w:p>
    <w:p>
      <w:pPr>
        <w:spacing w:after="0" w:line="225" w:lineRule="exact"/>
        <w:rPr>
          <w:rFonts w:ascii="Arial" w:cs="Arial" w:eastAsia="Arial" w:hAnsi="Arial"/>
          <w:sz w:val="18"/>
          <w:szCs w:val="18"/>
          <w:color w:val="auto"/>
        </w:rPr>
      </w:pPr>
    </w:p>
    <w:p>
      <w:pPr>
        <w:ind w:left="260" w:hanging="171"/>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GAAP diluted loss per share was $2.53 compared with diluted EPS of $1.45 in 2017.</w:t>
      </w:r>
    </w:p>
    <w:p>
      <w:pPr>
        <w:spacing w:after="0" w:line="225" w:lineRule="exact"/>
        <w:rPr>
          <w:rFonts w:ascii="Arial" w:cs="Arial" w:eastAsia="Arial" w:hAnsi="Arial"/>
          <w:sz w:val="18"/>
          <w:szCs w:val="18"/>
          <w:color w:val="auto"/>
        </w:rPr>
      </w:pPr>
    </w:p>
    <w:p>
      <w:pPr>
        <w:ind w:left="260" w:hanging="171"/>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Non-GAAP diluted EPS was $2.65 compared with $3.06 in 2017.</w:t>
      </w:r>
    </w:p>
    <w:p>
      <w:pPr>
        <w:spacing w:after="0" w:line="225" w:lineRule="exact"/>
        <w:rPr>
          <w:rFonts w:ascii="Arial" w:cs="Arial" w:eastAsia="Arial" w:hAnsi="Arial"/>
          <w:sz w:val="18"/>
          <w:szCs w:val="18"/>
          <w:color w:val="auto"/>
        </w:rPr>
      </w:pPr>
    </w:p>
    <w:p>
      <w:pPr>
        <w:ind w:left="260" w:hanging="171"/>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backlog was $3.2 billion and twelve-month backlog was $1.3 billion at December 31, 2018.</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Silver Spring Networks, Inc. Acquisition</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5, 2018, we completed the acquisition of Silver Spring Networks, Inc. (SSNI) by purchasing all outstanding shares for $16.25 per share, resulting in a total purchase price, net of cash, of $809.2 million. SSNI provided standards-based wireless connectivity platforms and solutions to utilities and cities. The acquisition continues our focus on expanding management services and software-as-a-service solutions, which allows us to provide more value to our customers by optimizing devices, network technologies, outcomes and analytics. Upon acquisition, SSNI changed its name to Itron Networked Solutions, Inc. (INS), and initially operated separately as our Networks operating segment. Subsequent to the October 1, 2018 reorganization, the prior Networks operating segment was integrated into the new Networked Solutions and Outcomes operating segments.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facilitate the funding of the acquisition of SSNI, we entered into a $1.2 billion senior secured credit facility (the 2018 credit facility), which amended and restated our existing senior secured credit facility. The 2018 credit facility consists of a $650 million U.S. dollar term loan and a multicurrency revolving line of credit with a principal amount of up to $500 million. We also issued $300 million of 5% senior notes on December 22, 2017 to fund this acquisition. On January 19, 2018, we issued an additional $100 million of 5% senior notes. For additional information regarding our 2018 credit facility and senior notes, refer to Item 8: "Financial Statements and Supplementary Data, Note 6: Debt".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implementing an integration plan associated with this acquisition. For the year ended December 31, 2018, we recognized $91.9 million of acquisition and integration related expenses. We estimate annualized savings of $50 million at the conclusion of the integration plan, which we expect to substantially complete by the end of 2020. For further discussion of the acquisition, refer to Item 8: "Financial Statements and Supplementary Data, Note 17: Business Combinations".</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2018 Restructuring Projects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February 22, 2018, our Board of Directors approved a restructuring plan (2018 Projects) to continue our efforts to optimize our global supply chain and manufacturing operations, research and development, and sales and marketing organizations. We expect to substantially complete the plan by the end of 2020. We recognized restructuring expense of $78.1 million related to the 2018 Projects during the year ended December 31, 2018, and we anticipate an additional $20.6 million to be recognized in future periods. At the conclusion of the 2018 Projects, we anticipate annualized savings of $45 million to $50 million. For further discussion of restructuring activities, refer to Item 8: "Financial Statements and Supplementary Data, Note 13: Restructuring".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GAAP and Non-GAAP Highlights and Unit Shipments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12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60" w:type="dxa"/>
            <w:vAlign w:val="bottom"/>
          </w:tcPr>
          <w:p>
            <w:pPr>
              <w:ind w:left="360"/>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center"/>
              <w:ind w:right="27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 Change</w:t>
            </w:r>
          </w:p>
        </w:tc>
        <w:tc>
          <w:tcPr>
            <w:tcW w:w="36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2016</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39"/>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gridSpan w:val="9"/>
          </w:tcPr>
          <w:p>
            <w:pPr>
              <w:jc w:val="center"/>
              <w:ind w:right="120"/>
              <w:spacing w:after="0"/>
              <w:rPr>
                <w:sz w:val="20"/>
                <w:szCs w:val="20"/>
                <w:color w:val="auto"/>
              </w:rPr>
            </w:pPr>
            <w:r>
              <w:rPr>
                <w:rFonts w:ascii="Arial" w:cs="Arial" w:eastAsia="Arial" w:hAnsi="Arial"/>
                <w:sz w:val="16"/>
                <w:szCs w:val="16"/>
                <w:b w:val="1"/>
                <w:bCs w:val="1"/>
                <w:color w:val="auto"/>
                <w:w w:val="90"/>
              </w:rPr>
              <w:t>(in thousands, except margin and per share data)</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6"/>
        </w:trPr>
        <w:tc>
          <w:tcPr>
            <w:tcW w:w="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5"/>
              </w:rPr>
              <w:t>GAAP</w:t>
            </w:r>
          </w:p>
        </w:tc>
        <w:tc>
          <w:tcPr>
            <w:tcW w:w="2960" w:type="dxa"/>
            <w:vAlign w:val="bottom"/>
            <w:gridSpan w:val="4"/>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5"/>
        </w:trPr>
        <w:tc>
          <w:tcPr>
            <w:tcW w:w="40" w:type="dxa"/>
            <w:vAlign w:val="bottom"/>
          </w:tcPr>
          <w:p>
            <w:pPr>
              <w:spacing w:after="0"/>
              <w:rPr>
                <w:sz w:val="24"/>
                <w:szCs w:val="24"/>
                <w:color w:val="auto"/>
              </w:rPr>
            </w:pPr>
          </w:p>
        </w:tc>
        <w:tc>
          <w:tcPr>
            <w:tcW w:w="3420" w:type="dxa"/>
            <w:vAlign w:val="bottom"/>
            <w:gridSpan w:val="5"/>
          </w:tcPr>
          <w:p>
            <w:pPr>
              <w:spacing w:after="0"/>
              <w:rPr>
                <w:sz w:val="20"/>
                <w:szCs w:val="20"/>
                <w:color w:val="auto"/>
              </w:rPr>
            </w:pPr>
            <w:r>
              <w:rPr>
                <w:rFonts w:ascii="Arial" w:cs="Arial" w:eastAsia="Arial" w:hAnsi="Arial"/>
                <w:sz w:val="16"/>
                <w:szCs w:val="16"/>
                <w:color w:val="auto"/>
              </w:rPr>
              <w:t>Revenues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7"/>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Product revenues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2,095,458</w:t>
            </w:r>
          </w:p>
        </w:tc>
        <w:tc>
          <w:tcPr>
            <w:tcW w:w="1360" w:type="dxa"/>
            <w:vAlign w:val="bottom"/>
            <w:tcBorders>
              <w:bottom w:val="single" w:sz="8" w:color="CCEEFF"/>
            </w:tcBorders>
            <w:gridSpan w:val="2"/>
            <w:shd w:val="clear" w:color="auto" w:fill="CCEEFF"/>
          </w:tcPr>
          <w:p>
            <w:pPr>
              <w:jc w:val="center"/>
              <w:ind w:left="219"/>
              <w:spacing w:after="0"/>
              <w:rPr>
                <w:sz w:val="20"/>
                <w:szCs w:val="20"/>
                <w:color w:val="auto"/>
              </w:rPr>
            </w:pPr>
            <w:r>
              <w:rPr>
                <w:rFonts w:ascii="Arial" w:cs="Arial" w:eastAsia="Arial" w:hAnsi="Arial"/>
                <w:sz w:val="16"/>
                <w:szCs w:val="16"/>
                <w:color w:val="auto"/>
                <w:w w:val="93"/>
              </w:rPr>
              <w:t>16%</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1,813,925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4"/>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1,830,070</w:t>
            </w:r>
          </w:p>
        </w:tc>
      </w:tr>
      <w:tr>
        <w:trPr>
          <w:trHeight w:val="237"/>
        </w:trPr>
        <w:tc>
          <w:tcPr>
            <w:tcW w:w="40" w:type="dxa"/>
            <w:vAlign w:val="bottom"/>
          </w:tcPr>
          <w:p>
            <w:pPr>
              <w:spacing w:after="0"/>
              <w:rPr>
                <w:sz w:val="20"/>
                <w:szCs w:val="20"/>
                <w:color w:val="auto"/>
              </w:rPr>
            </w:pPr>
          </w:p>
        </w:tc>
        <w:tc>
          <w:tcPr>
            <w:tcW w:w="3420" w:type="dxa"/>
            <w:vAlign w:val="bottom"/>
            <w:gridSpan w:val="5"/>
          </w:tcPr>
          <w:p>
            <w:pPr>
              <w:ind w:left="240"/>
              <w:spacing w:after="0"/>
              <w:rPr>
                <w:sz w:val="20"/>
                <w:szCs w:val="20"/>
                <w:color w:val="auto"/>
              </w:rPr>
            </w:pPr>
            <w:r>
              <w:rPr>
                <w:rFonts w:ascii="Arial" w:cs="Arial" w:eastAsia="Arial" w:hAnsi="Arial"/>
                <w:sz w:val="16"/>
                <w:szCs w:val="16"/>
                <w:color w:val="auto"/>
              </w:rPr>
              <w:t>Service revenues</w:t>
            </w:r>
          </w:p>
        </w:tc>
        <w:tc>
          <w:tcPr>
            <w:tcW w:w="38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280,659</w:t>
            </w:r>
          </w:p>
        </w:tc>
        <w:tc>
          <w:tcPr>
            <w:tcW w:w="136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37%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204,272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3"/>
              </w:rPr>
              <w:t>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183,116</w:t>
            </w: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42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Total revenues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2,376,117</w:t>
            </w:r>
          </w:p>
        </w:tc>
        <w:tc>
          <w:tcPr>
            <w:tcW w:w="1360" w:type="dxa"/>
            <w:vAlign w:val="bottom"/>
            <w:tcBorders>
              <w:bottom w:val="single" w:sz="8" w:color="CCEEFF"/>
            </w:tcBorders>
            <w:gridSpan w:val="2"/>
            <w:shd w:val="clear" w:color="auto" w:fill="CCEEFF"/>
          </w:tcPr>
          <w:p>
            <w:pPr>
              <w:jc w:val="center"/>
              <w:ind w:left="219"/>
              <w:spacing w:after="0"/>
              <w:rPr>
                <w:sz w:val="20"/>
                <w:szCs w:val="20"/>
                <w:color w:val="auto"/>
              </w:rPr>
            </w:pPr>
            <w:r>
              <w:rPr>
                <w:rFonts w:ascii="Arial" w:cs="Arial" w:eastAsia="Arial" w:hAnsi="Arial"/>
                <w:sz w:val="16"/>
                <w:szCs w:val="16"/>
                <w:color w:val="auto"/>
                <w:w w:val="93"/>
              </w:rPr>
              <w:t>18%</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2,018,197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6"/>
                <w:szCs w:val="16"/>
                <w:color w:val="auto"/>
                <w:w w:val="99"/>
              </w:rPr>
              <w:t>—%</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2,013,186</w:t>
            </w:r>
          </w:p>
        </w:tc>
      </w:tr>
      <w:tr>
        <w:trPr>
          <w:trHeight w:val="162"/>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730,319</w:t>
            </w:r>
          </w:p>
        </w:tc>
        <w:tc>
          <w:tcPr>
            <w:tcW w:w="1360" w:type="dxa"/>
            <w:vAlign w:val="bottom"/>
            <w:tcBorders>
              <w:bottom w:val="single" w:sz="8" w:color="CCEEFF"/>
            </w:tcBorders>
            <w:gridSpan w:val="2"/>
            <w:shd w:val="clear" w:color="auto" w:fill="CCEEFF"/>
          </w:tcPr>
          <w:p>
            <w:pPr>
              <w:jc w:val="center"/>
              <w:ind w:left="219"/>
              <w:spacing w:after="0"/>
              <w:rPr>
                <w:sz w:val="20"/>
                <w:szCs w:val="20"/>
                <w:color w:val="auto"/>
              </w:rPr>
            </w:pPr>
            <w:r>
              <w:rPr>
                <w:rFonts w:ascii="Arial" w:cs="Arial" w:eastAsia="Arial" w:hAnsi="Arial"/>
                <w:sz w:val="16"/>
                <w:szCs w:val="16"/>
                <w:color w:val="auto"/>
                <w:w w:val="94"/>
              </w:rPr>
              <w:t>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676,751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4"/>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662,532</w:t>
            </w:r>
          </w:p>
        </w:tc>
      </w:tr>
      <w:tr>
        <w:trPr>
          <w:trHeight w:val="237"/>
        </w:trPr>
        <w:tc>
          <w:tcPr>
            <w:tcW w:w="40" w:type="dxa"/>
            <w:vAlign w:val="bottom"/>
          </w:tcPr>
          <w:p>
            <w:pPr>
              <w:spacing w:after="0"/>
              <w:rPr>
                <w:sz w:val="20"/>
                <w:szCs w:val="20"/>
                <w:color w:val="auto"/>
              </w:rPr>
            </w:pPr>
          </w:p>
        </w:tc>
        <w:tc>
          <w:tcPr>
            <w:tcW w:w="3420" w:type="dxa"/>
            <w:vAlign w:val="bottom"/>
            <w:gridSpan w:val="5"/>
          </w:tcPr>
          <w:p>
            <w:pPr>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780,011</w:t>
            </w:r>
          </w:p>
        </w:tc>
        <w:tc>
          <w:tcPr>
            <w:tcW w:w="136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49%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521,874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color w:val="auto"/>
                <w:w w:val="94"/>
              </w:rPr>
              <w:t>(7)%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561,539</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(49,692)</w:t>
            </w:r>
          </w:p>
        </w:tc>
        <w:tc>
          <w:tcPr>
            <w:tcW w:w="1360" w:type="dxa"/>
            <w:vAlign w:val="bottom"/>
            <w:tcBorders>
              <w:bottom w:val="single" w:sz="8" w:color="CCEEFF"/>
            </w:tcBorders>
            <w:gridSpan w:val="2"/>
            <w:shd w:val="clear" w:color="auto" w:fill="CCEEFF"/>
          </w:tcPr>
          <w:p>
            <w:pPr>
              <w:jc w:val="center"/>
              <w:ind w:left="219"/>
              <w:spacing w:after="0"/>
              <w:rPr>
                <w:sz w:val="20"/>
                <w:szCs w:val="20"/>
                <w:color w:val="auto"/>
              </w:rPr>
            </w:pPr>
            <w:r>
              <w:rPr>
                <w:rFonts w:ascii="Arial" w:cs="Arial" w:eastAsia="Arial" w:hAnsi="Arial"/>
                <w:sz w:val="16"/>
                <w:szCs w:val="16"/>
                <w:color w:val="auto"/>
                <w:w w:val="96"/>
              </w:rPr>
              <w:t>(132)%</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154,877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3"/>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100,993</w:t>
            </w:r>
          </w:p>
        </w:tc>
      </w:tr>
      <w:tr>
        <w:trPr>
          <w:trHeight w:val="237"/>
        </w:trPr>
        <w:tc>
          <w:tcPr>
            <w:tcW w:w="40" w:type="dxa"/>
            <w:vAlign w:val="bottom"/>
          </w:tcPr>
          <w:p>
            <w:pPr>
              <w:spacing w:after="0"/>
              <w:rPr>
                <w:sz w:val="20"/>
                <w:szCs w:val="20"/>
                <w:color w:val="auto"/>
              </w:rPr>
            </w:pPr>
          </w:p>
        </w:tc>
        <w:tc>
          <w:tcPr>
            <w:tcW w:w="3420" w:type="dxa"/>
            <w:vAlign w:val="bottom"/>
            <w:gridSpan w:val="5"/>
          </w:tcPr>
          <w:p>
            <w:pPr>
              <w:spacing w:after="0"/>
              <w:rPr>
                <w:sz w:val="20"/>
                <w:szCs w:val="20"/>
                <w:color w:val="auto"/>
              </w:rPr>
            </w:pPr>
            <w:r>
              <w:rPr>
                <w:rFonts w:ascii="Arial" w:cs="Arial" w:eastAsia="Arial" w:hAnsi="Arial"/>
                <w:sz w:val="16"/>
                <w:szCs w:val="16"/>
                <w:color w:val="auto"/>
              </w:rPr>
              <w:t>Other income (expense)</w:t>
            </w:r>
          </w:p>
        </w:tc>
        <w:tc>
          <w:tcPr>
            <w:tcW w:w="38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(59,459)</w:t>
            </w:r>
          </w:p>
        </w:tc>
        <w:tc>
          <w:tcPr>
            <w:tcW w:w="1360" w:type="dxa"/>
            <w:vAlign w:val="bottom"/>
            <w:gridSpan w:val="2"/>
          </w:tcPr>
          <w:p>
            <w:pPr>
              <w:jc w:val="center"/>
              <w:ind w:left="219"/>
              <w:spacing w:after="0"/>
              <w:rPr>
                <w:sz w:val="20"/>
                <w:szCs w:val="20"/>
                <w:color w:val="auto"/>
              </w:rPr>
            </w:pPr>
            <w:r>
              <w:rPr>
                <w:rFonts w:ascii="Arial" w:cs="Arial" w:eastAsia="Arial" w:hAnsi="Arial"/>
                <w:sz w:val="16"/>
                <w:szCs w:val="16"/>
                <w:color w:val="auto"/>
                <w:w w:val="92"/>
              </w:rPr>
              <w:t>193%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(20,302)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3"/>
              </w:rPr>
              <w:t>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(16,366)</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Income tax benefit (provision)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12,570</w:t>
            </w:r>
          </w:p>
        </w:tc>
        <w:tc>
          <w:tcPr>
            <w:tcW w:w="1360" w:type="dxa"/>
            <w:vAlign w:val="bottom"/>
            <w:tcBorders>
              <w:bottom w:val="single" w:sz="8" w:color="CCEEFF"/>
            </w:tcBorders>
            <w:gridSpan w:val="2"/>
            <w:shd w:val="clear" w:color="auto" w:fill="CCEEFF"/>
          </w:tcPr>
          <w:p>
            <w:pPr>
              <w:jc w:val="center"/>
              <w:ind w:left="199"/>
              <w:spacing w:after="0"/>
              <w:rPr>
                <w:sz w:val="20"/>
                <w:szCs w:val="20"/>
                <w:color w:val="auto"/>
              </w:rPr>
            </w:pPr>
            <w:r>
              <w:rPr>
                <w:rFonts w:ascii="Arial" w:cs="Arial" w:eastAsia="Arial" w:hAnsi="Arial"/>
                <w:sz w:val="16"/>
                <w:szCs w:val="16"/>
                <w:color w:val="auto"/>
                <w:w w:val="92"/>
              </w:rPr>
              <w:t>(117)%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3"/>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(49,574)</w:t>
            </w:r>
          </w:p>
        </w:tc>
      </w:tr>
      <w:tr>
        <w:trPr>
          <w:trHeight w:val="237"/>
        </w:trPr>
        <w:tc>
          <w:tcPr>
            <w:tcW w:w="40" w:type="dxa"/>
            <w:vAlign w:val="bottom"/>
          </w:tcPr>
          <w:p>
            <w:pPr>
              <w:spacing w:after="0"/>
              <w:rPr>
                <w:sz w:val="20"/>
                <w:szCs w:val="20"/>
                <w:color w:val="auto"/>
              </w:rPr>
            </w:pPr>
          </w:p>
        </w:tc>
        <w:tc>
          <w:tcPr>
            <w:tcW w:w="3420" w:type="dxa"/>
            <w:vAlign w:val="bottom"/>
            <w:gridSpan w:val="5"/>
          </w:tcPr>
          <w:p>
            <w:pPr>
              <w:spacing w:after="0"/>
              <w:rPr>
                <w:sz w:val="20"/>
                <w:szCs w:val="20"/>
                <w:color w:val="auto"/>
              </w:rPr>
            </w:pPr>
            <w:r>
              <w:rPr>
                <w:rFonts w:ascii="Arial" w:cs="Arial" w:eastAsia="Arial" w:hAnsi="Arial"/>
                <w:sz w:val="16"/>
                <w:szCs w:val="16"/>
                <w:color w:val="auto"/>
              </w:rPr>
              <w:t>Net income (loss) attributable to Itron, Inc.</w:t>
            </w:r>
          </w:p>
        </w:tc>
        <w:tc>
          <w:tcPr>
            <w:tcW w:w="38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(99,250)</w:t>
            </w:r>
          </w:p>
        </w:tc>
        <w:tc>
          <w:tcPr>
            <w:tcW w:w="1360" w:type="dxa"/>
            <w:vAlign w:val="bottom"/>
            <w:gridSpan w:val="2"/>
          </w:tcPr>
          <w:p>
            <w:pPr>
              <w:jc w:val="center"/>
              <w:ind w:left="219"/>
              <w:spacing w:after="0"/>
              <w:rPr>
                <w:sz w:val="20"/>
                <w:szCs w:val="20"/>
                <w:color w:val="auto"/>
              </w:rPr>
            </w:pPr>
            <w:r>
              <w:rPr>
                <w:rFonts w:ascii="Arial" w:cs="Arial" w:eastAsia="Arial" w:hAnsi="Arial"/>
                <w:sz w:val="16"/>
                <w:szCs w:val="16"/>
                <w:color w:val="auto"/>
                <w:w w:val="96"/>
              </w:rPr>
              <w:t>(273)%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57,298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3"/>
              </w:rPr>
              <w:t>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31,770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189"/>
        </w:trPr>
        <w:tc>
          <w:tcPr>
            <w:tcW w:w="40" w:type="dxa"/>
            <w:vAlign w:val="bottom"/>
          </w:tcPr>
          <w:p>
            <w:pPr>
              <w:spacing w:after="0"/>
              <w:rPr>
                <w:sz w:val="16"/>
                <w:szCs w:val="16"/>
                <w:color w:val="auto"/>
              </w:rPr>
            </w:pPr>
          </w:p>
        </w:tc>
        <w:tc>
          <w:tcPr>
            <w:tcW w:w="3420" w:type="dxa"/>
            <w:vAlign w:val="bottom"/>
            <w:gridSpan w:val="5"/>
          </w:tcPr>
          <w:p>
            <w:pPr>
              <w:spacing w:after="0" w:line="189" w:lineRule="exact"/>
              <w:rPr>
                <w:sz w:val="20"/>
                <w:szCs w:val="20"/>
                <w:color w:val="auto"/>
              </w:rPr>
            </w:pPr>
            <w:r>
              <w:rPr>
                <w:rFonts w:ascii="Arial" w:cs="Arial" w:eastAsia="Arial" w:hAnsi="Arial"/>
                <w:sz w:val="16"/>
                <w:szCs w:val="16"/>
                <w:b w:val="1"/>
                <w:bCs w:val="1"/>
                <w:color w:val="auto"/>
              </w:rPr>
              <w:t>Non-GAAP</w:t>
            </w:r>
            <w:r>
              <w:rPr>
                <w:rFonts w:ascii="Arial" w:cs="Arial" w:eastAsia="Arial" w:hAnsi="Arial"/>
                <w:sz w:val="21"/>
                <w:szCs w:val="21"/>
                <w:b w:val="1"/>
                <w:bCs w:val="1"/>
                <w:color w:val="auto"/>
                <w:vertAlign w:val="superscript"/>
              </w:rPr>
              <w:t>(1)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Non-GAAP operating expenses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539,199</w:t>
            </w:r>
          </w:p>
        </w:tc>
        <w:tc>
          <w:tcPr>
            <w:tcW w:w="1360" w:type="dxa"/>
            <w:vAlign w:val="bottom"/>
            <w:tcBorders>
              <w:bottom w:val="single" w:sz="8" w:color="CCEEFF"/>
            </w:tcBorders>
            <w:gridSpan w:val="2"/>
            <w:shd w:val="clear" w:color="auto" w:fill="CCEEFF"/>
          </w:tcPr>
          <w:p>
            <w:pPr>
              <w:jc w:val="center"/>
              <w:ind w:left="219"/>
              <w:spacing w:after="0"/>
              <w:rPr>
                <w:sz w:val="20"/>
                <w:szCs w:val="20"/>
                <w:color w:val="auto"/>
              </w:rPr>
            </w:pPr>
            <w:r>
              <w:rPr>
                <w:rFonts w:ascii="Arial" w:cs="Arial" w:eastAsia="Arial" w:hAnsi="Arial"/>
                <w:sz w:val="16"/>
                <w:szCs w:val="16"/>
                <w:color w:val="auto"/>
                <w:w w:val="93"/>
              </w:rPr>
              <w:t>13%</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477,532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4"/>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487,534</w:t>
            </w:r>
          </w:p>
        </w:tc>
      </w:tr>
      <w:tr>
        <w:trPr>
          <w:trHeight w:val="237"/>
        </w:trPr>
        <w:tc>
          <w:tcPr>
            <w:tcW w:w="40" w:type="dxa"/>
            <w:vAlign w:val="bottom"/>
          </w:tcPr>
          <w:p>
            <w:pPr>
              <w:spacing w:after="0"/>
              <w:rPr>
                <w:sz w:val="20"/>
                <w:szCs w:val="20"/>
                <w:color w:val="auto"/>
              </w:rPr>
            </w:pPr>
          </w:p>
        </w:tc>
        <w:tc>
          <w:tcPr>
            <w:tcW w:w="3420" w:type="dxa"/>
            <w:vAlign w:val="bottom"/>
            <w:gridSpan w:val="5"/>
          </w:tcPr>
          <w:p>
            <w:pPr>
              <w:spacing w:after="0"/>
              <w:rPr>
                <w:sz w:val="20"/>
                <w:szCs w:val="20"/>
                <w:color w:val="auto"/>
              </w:rPr>
            </w:pPr>
            <w:r>
              <w:rPr>
                <w:rFonts w:ascii="Arial" w:cs="Arial" w:eastAsia="Arial" w:hAnsi="Arial"/>
                <w:sz w:val="16"/>
                <w:szCs w:val="16"/>
                <w:color w:val="auto"/>
              </w:rPr>
              <w:t>Non-GAAP operating income</w:t>
            </w:r>
          </w:p>
        </w:tc>
        <w:tc>
          <w:tcPr>
            <w:tcW w:w="38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191,120</w:t>
            </w:r>
          </w:p>
        </w:tc>
        <w:tc>
          <w:tcPr>
            <w:tcW w:w="1360" w:type="dxa"/>
            <w:vAlign w:val="bottom"/>
            <w:gridSpan w:val="2"/>
          </w:tcPr>
          <w:p>
            <w:pPr>
              <w:jc w:val="center"/>
              <w:ind w:left="219"/>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199,219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3"/>
              </w:rPr>
              <w:t>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174,998</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Non-GAAP net income attributable to Itron, Inc.</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105,731</w:t>
            </w:r>
          </w:p>
        </w:tc>
        <w:tc>
          <w:tcPr>
            <w:tcW w:w="1360" w:type="dxa"/>
            <w:vAlign w:val="bottom"/>
            <w:tcBorders>
              <w:bottom w:val="single" w:sz="8" w:color="CCEEFF"/>
            </w:tcBorders>
            <w:gridSpan w:val="2"/>
            <w:shd w:val="clear" w:color="auto" w:fill="CCEEFF"/>
          </w:tcPr>
          <w:p>
            <w:pPr>
              <w:jc w:val="center"/>
              <w:ind w:left="219"/>
              <w:spacing w:after="0"/>
              <w:rPr>
                <w:sz w:val="20"/>
                <w:szCs w:val="20"/>
                <w:color w:val="auto"/>
              </w:rPr>
            </w:pPr>
            <w:r>
              <w:rPr>
                <w:rFonts w:ascii="Arial" w:cs="Arial" w:eastAsia="Arial" w:hAnsi="Arial"/>
                <w:sz w:val="16"/>
                <w:szCs w:val="16"/>
                <w:color w:val="auto"/>
                <w:w w:val="98"/>
              </w:rPr>
              <w:t>(12)%</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120,486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3"/>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98,284</w:t>
            </w:r>
          </w:p>
        </w:tc>
      </w:tr>
      <w:tr>
        <w:trPr>
          <w:trHeight w:val="237"/>
        </w:trPr>
        <w:tc>
          <w:tcPr>
            <w:tcW w:w="40" w:type="dxa"/>
            <w:vAlign w:val="bottom"/>
          </w:tcPr>
          <w:p>
            <w:pPr>
              <w:spacing w:after="0"/>
              <w:rPr>
                <w:sz w:val="20"/>
                <w:szCs w:val="20"/>
                <w:color w:val="auto"/>
              </w:rPr>
            </w:pPr>
          </w:p>
        </w:tc>
        <w:tc>
          <w:tcPr>
            <w:tcW w:w="3420" w:type="dxa"/>
            <w:vAlign w:val="bottom"/>
            <w:gridSpan w:val="5"/>
          </w:tcPr>
          <w:p>
            <w:pPr>
              <w:spacing w:after="0"/>
              <w:rPr>
                <w:sz w:val="20"/>
                <w:szCs w:val="20"/>
                <w:color w:val="auto"/>
              </w:rPr>
            </w:pPr>
            <w:r>
              <w:rPr>
                <w:rFonts w:ascii="Arial" w:cs="Arial" w:eastAsia="Arial" w:hAnsi="Arial"/>
                <w:sz w:val="16"/>
                <w:szCs w:val="16"/>
                <w:color w:val="auto"/>
              </w:rPr>
              <w:t>Adjusted EBITDA</w:t>
            </w:r>
          </w:p>
        </w:tc>
        <w:tc>
          <w:tcPr>
            <w:tcW w:w="38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235,826</w:t>
            </w:r>
          </w:p>
        </w:tc>
        <w:tc>
          <w:tcPr>
            <w:tcW w:w="1360" w:type="dxa"/>
            <w:vAlign w:val="bottom"/>
            <w:gridSpan w:val="2"/>
          </w:tcPr>
          <w:p>
            <w:pPr>
              <w:jc w:val="center"/>
              <w:ind w:left="219"/>
              <w:spacing w:after="0"/>
              <w:rPr>
                <w:sz w:val="20"/>
                <w:szCs w:val="20"/>
                <w:color w:val="auto"/>
              </w:rPr>
            </w:pPr>
            <w:r>
              <w:rPr>
                <w:rFonts w:ascii="Arial" w:cs="Arial" w:eastAsia="Arial" w:hAnsi="Arial"/>
                <w:sz w:val="16"/>
                <w:szCs w:val="16"/>
                <w:color w:val="auto"/>
                <w:w w:val="94"/>
              </w:rPr>
              <w:t>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230,115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4"/>
              </w:rPr>
              <w:t>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211,211</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189"/>
        </w:trPr>
        <w:tc>
          <w:tcPr>
            <w:tcW w:w="40" w:type="dxa"/>
            <w:vAlign w:val="bottom"/>
          </w:tcPr>
          <w:p>
            <w:pPr>
              <w:spacing w:after="0"/>
              <w:rPr>
                <w:sz w:val="16"/>
                <w:szCs w:val="16"/>
                <w:color w:val="auto"/>
              </w:rPr>
            </w:pPr>
          </w:p>
        </w:tc>
        <w:tc>
          <w:tcPr>
            <w:tcW w:w="3420" w:type="dxa"/>
            <w:vAlign w:val="bottom"/>
            <w:gridSpan w:val="5"/>
          </w:tcPr>
          <w:p>
            <w:pPr>
              <w:spacing w:after="0"/>
              <w:rPr>
                <w:sz w:val="20"/>
                <w:szCs w:val="20"/>
                <w:color w:val="auto"/>
              </w:rPr>
            </w:pPr>
            <w:r>
              <w:rPr>
                <w:rFonts w:ascii="Arial" w:cs="Arial" w:eastAsia="Arial" w:hAnsi="Arial"/>
                <w:sz w:val="16"/>
                <w:szCs w:val="16"/>
                <w:b w:val="1"/>
                <w:bCs w:val="1"/>
                <w:color w:val="auto"/>
              </w:rPr>
              <w:t>GAAP Margins and Earnings Per Share</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Gross margin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420" w:type="dxa"/>
            <w:vAlign w:val="bottom"/>
            <w:gridSpan w:val="5"/>
          </w:tcPr>
          <w:p>
            <w:pPr>
              <w:ind w:left="240"/>
              <w:spacing w:after="0"/>
              <w:rPr>
                <w:sz w:val="20"/>
                <w:szCs w:val="20"/>
                <w:color w:val="auto"/>
              </w:rPr>
            </w:pPr>
            <w:r>
              <w:rPr>
                <w:rFonts w:ascii="Arial" w:cs="Arial" w:eastAsia="Arial" w:hAnsi="Arial"/>
                <w:sz w:val="16"/>
                <w:szCs w:val="16"/>
                <w:color w:val="auto"/>
              </w:rPr>
              <w:t>Product gross margin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29.5 %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Service gross margin</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39.7 %</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w:t>
            </w:r>
          </w:p>
        </w:tc>
      </w:tr>
      <w:tr>
        <w:trPr>
          <w:trHeight w:val="217"/>
        </w:trPr>
        <w:tc>
          <w:tcPr>
            <w:tcW w:w="40" w:type="dxa"/>
            <w:vAlign w:val="bottom"/>
          </w:tcPr>
          <w:p>
            <w:pPr>
              <w:spacing w:after="0"/>
              <w:rPr>
                <w:sz w:val="18"/>
                <w:szCs w:val="18"/>
                <w:color w:val="auto"/>
              </w:rPr>
            </w:pPr>
          </w:p>
        </w:tc>
        <w:tc>
          <w:tcPr>
            <w:tcW w:w="3420" w:type="dxa"/>
            <w:vAlign w:val="bottom"/>
            <w:gridSpan w:val="5"/>
          </w:tcPr>
          <w:p>
            <w:pPr>
              <w:ind w:left="340"/>
              <w:spacing w:after="0"/>
              <w:rPr>
                <w:sz w:val="20"/>
                <w:szCs w:val="20"/>
                <w:color w:val="auto"/>
              </w:rPr>
            </w:pPr>
            <w:r>
              <w:rPr>
                <w:rFonts w:ascii="Arial" w:cs="Arial" w:eastAsia="Arial" w:hAnsi="Arial"/>
                <w:sz w:val="16"/>
                <w:szCs w:val="16"/>
                <w:color w:val="auto"/>
              </w:rPr>
              <w:t>Total gross margin</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30.7 %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32.9%</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76"/>
        </w:trPr>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3420" w:type="dxa"/>
            <w:vAlign w:val="bottom"/>
            <w:gridSpan w:val="5"/>
          </w:tcPr>
          <w:p>
            <w:pPr>
              <w:spacing w:after="0"/>
              <w:rPr>
                <w:sz w:val="20"/>
                <w:szCs w:val="20"/>
                <w:color w:val="auto"/>
              </w:rPr>
            </w:pPr>
            <w:r>
              <w:rPr>
                <w:rFonts w:ascii="Arial" w:cs="Arial" w:eastAsia="Arial" w:hAnsi="Arial"/>
                <w:sz w:val="16"/>
                <w:szCs w:val="16"/>
                <w:color w:val="auto"/>
              </w:rPr>
              <w:t>Operating margin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Earnings (loss) per common share - Basic</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0.83</w:t>
            </w:r>
          </w:p>
        </w:tc>
      </w:tr>
      <w:tr>
        <w:trPr>
          <w:trHeight w:val="237"/>
        </w:trPr>
        <w:tc>
          <w:tcPr>
            <w:tcW w:w="40" w:type="dxa"/>
            <w:vAlign w:val="bottom"/>
          </w:tcPr>
          <w:p>
            <w:pPr>
              <w:spacing w:after="0"/>
              <w:rPr>
                <w:sz w:val="20"/>
                <w:szCs w:val="20"/>
                <w:color w:val="auto"/>
              </w:rPr>
            </w:pPr>
          </w:p>
        </w:tc>
        <w:tc>
          <w:tcPr>
            <w:tcW w:w="3420" w:type="dxa"/>
            <w:vAlign w:val="bottom"/>
            <w:gridSpan w:val="5"/>
          </w:tcPr>
          <w:p>
            <w:pPr>
              <w:spacing w:after="0"/>
              <w:rPr>
                <w:sz w:val="20"/>
                <w:szCs w:val="20"/>
                <w:color w:val="auto"/>
              </w:rPr>
            </w:pPr>
            <w:r>
              <w:rPr>
                <w:rFonts w:ascii="Arial" w:cs="Arial" w:eastAsia="Arial" w:hAnsi="Arial"/>
                <w:sz w:val="16"/>
                <w:szCs w:val="16"/>
                <w:color w:val="auto"/>
              </w:rPr>
              <w:t>Earnings (loss) per common share - Diluted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0.82</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189"/>
        </w:trPr>
        <w:tc>
          <w:tcPr>
            <w:tcW w:w="40" w:type="dxa"/>
            <w:vAlign w:val="bottom"/>
          </w:tcPr>
          <w:p>
            <w:pPr>
              <w:spacing w:after="0"/>
              <w:rPr>
                <w:sz w:val="16"/>
                <w:szCs w:val="16"/>
                <w:color w:val="auto"/>
              </w:rPr>
            </w:pPr>
          </w:p>
        </w:tc>
        <w:tc>
          <w:tcPr>
            <w:tcW w:w="3420" w:type="dxa"/>
            <w:vAlign w:val="bottom"/>
            <w:gridSpan w:val="5"/>
          </w:tcPr>
          <w:p>
            <w:pPr>
              <w:spacing w:after="0" w:line="189" w:lineRule="exact"/>
              <w:rPr>
                <w:sz w:val="20"/>
                <w:szCs w:val="20"/>
                <w:color w:val="auto"/>
              </w:rPr>
            </w:pPr>
            <w:r>
              <w:rPr>
                <w:rFonts w:ascii="Arial" w:cs="Arial" w:eastAsia="Arial" w:hAnsi="Arial"/>
                <w:sz w:val="16"/>
                <w:szCs w:val="16"/>
                <w:b w:val="1"/>
                <w:bCs w:val="1"/>
                <w:color w:val="auto"/>
              </w:rPr>
              <w:t>Non-GAAP Earnings Per Share</w:t>
            </w:r>
            <w:r>
              <w:rPr>
                <w:rFonts w:ascii="Arial" w:cs="Arial" w:eastAsia="Arial" w:hAnsi="Arial"/>
                <w:sz w:val="21"/>
                <w:szCs w:val="21"/>
                <w:b w:val="1"/>
                <w:bCs w:val="1"/>
                <w:color w:val="auto"/>
                <w:vertAlign w:val="superscript"/>
              </w:rPr>
              <w:t>(1)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37"/>
        </w:trPr>
        <w:tc>
          <w:tcPr>
            <w:tcW w:w="40" w:type="dxa"/>
            <w:vAlign w:val="bottom"/>
            <w:shd w:val="clear" w:color="auto" w:fill="CCEEFF"/>
          </w:tcPr>
          <w:p>
            <w:pPr>
              <w:spacing w:after="0"/>
              <w:rPr>
                <w:sz w:val="20"/>
                <w:szCs w:val="20"/>
                <w:color w:val="auto"/>
              </w:rPr>
            </w:pPr>
          </w:p>
        </w:tc>
        <w:tc>
          <w:tcPr>
            <w:tcW w:w="34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diluted EPS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2.54</w:t>
            </w:r>
          </w:p>
        </w:tc>
      </w:tr>
      <w:tr>
        <w:trPr>
          <w:trHeight w:val="33"/>
        </w:trPr>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ind w:left="340" w:right="420" w:hanging="332"/>
        <w:spacing w:after="0" w:line="217" w:lineRule="auto"/>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These measures exclude certain expenses that we do not believe are indicative of our core operating results. See pages 40-42 for information about these non-GAAP measures and reconciliations to the most comparable GAAP measures.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Endpoints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revenue is driven significantly by sales of endpoints. We classify our endpoints into two categories:</w:t>
      </w:r>
    </w:p>
    <w:p>
      <w:pPr>
        <w:spacing w:after="0" w:line="157" w:lineRule="exact"/>
        <w:rPr>
          <w:sz w:val="20"/>
          <w:szCs w:val="20"/>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Standard Endpoints </w:t>
      </w:r>
      <w:r>
        <w:rPr>
          <w:rFonts w:ascii="Arial" w:cs="Arial" w:eastAsia="Arial" w:hAnsi="Arial"/>
          <w:sz w:val="16"/>
          <w:szCs w:val="16"/>
          <w:color w:val="auto"/>
        </w:rPr>
        <w:t>– an Itron product with no built-in remote reading communication technology, which is delivered primarily via our Device</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segment. The majority of our standard devices are used for delivery and metrology in the electricity, water, and gas distribution industries.</w:t>
      </w:r>
    </w:p>
    <w:p>
      <w:pPr>
        <w:spacing w:after="0" w:line="123"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Networked Endpoints </w:t>
      </w:r>
      <w:r>
        <w:rPr>
          <w:rFonts w:ascii="Arial" w:cs="Arial" w:eastAsia="Arial" w:hAnsi="Arial"/>
          <w:sz w:val="18"/>
          <w:szCs w:val="18"/>
          <w:color w:val="auto"/>
        </w:rPr>
        <w:t>– an Itron product with one-way communication or two-way communication of data including remote device configuration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upgrade (consisting primarily of our OpenWay® or Gen X technology). This primarily includes Itron devices used in electricity, water, and gas distribution industries that are delivered via our Networked Solutions Segment. Networked endpoints also include smart communication modules and network interface cards (NICs). NICs are communicating modules that can be sold separately from the device directly to our customers or to third party manufacturers for use in endpoints such as electric, water, and gas meters; streetlights and smart city devices; sensors or another standard device that the end customer would like to connect to our OpenWay or Gen X Networked Solutions. These endpoints are primarily delivered via our Networked Solutions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endpoints shipped is as follows:</w:t>
      </w:r>
    </w:p>
    <w:p>
      <w:pPr>
        <w:spacing w:after="0" w:line="185"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37465</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gridSpan w:val="2"/>
          </w:tcPr>
          <w:p>
            <w:pPr>
              <w:ind w:left="6760"/>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7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2"/>
          </w:tcPr>
          <w:p>
            <w:pPr>
              <w:ind w:left="160"/>
              <w:spacing w:after="0"/>
              <w:rPr>
                <w:sz w:val="20"/>
                <w:szCs w:val="20"/>
                <w:color w:val="auto"/>
              </w:rPr>
            </w:pPr>
            <w:r>
              <w:rPr>
                <w:rFonts w:ascii="Arial" w:cs="Arial" w:eastAsia="Arial" w:hAnsi="Arial"/>
                <w:sz w:val="16"/>
                <w:szCs w:val="16"/>
                <w:b w:val="1"/>
                <w:bCs w:val="1"/>
                <w:color w:val="auto"/>
              </w:rPr>
              <w:t>(units in thousands)</w:t>
            </w:r>
          </w:p>
        </w:tc>
        <w:tc>
          <w:tcPr>
            <w:tcW w:w="1700" w:type="dxa"/>
            <w:vAlign w:val="bottom"/>
          </w:tcPr>
          <w:p>
            <w:pPr>
              <w:spacing w:after="0"/>
              <w:rPr>
                <w:sz w:val="24"/>
                <w:szCs w:val="24"/>
                <w:color w:val="auto"/>
              </w:rPr>
            </w:pPr>
          </w:p>
        </w:tc>
      </w:tr>
      <w:tr>
        <w:trPr>
          <w:trHeight w:val="270"/>
        </w:trPr>
        <w:tc>
          <w:tcPr>
            <w:tcW w:w="7160" w:type="dxa"/>
            <w:vAlign w:val="bottom"/>
            <w:gridSpan w:val="2"/>
          </w:tcPr>
          <w:p>
            <w:pPr>
              <w:ind w:left="40"/>
              <w:spacing w:after="0"/>
              <w:rPr>
                <w:sz w:val="20"/>
                <w:szCs w:val="20"/>
                <w:color w:val="auto"/>
              </w:rPr>
            </w:pPr>
            <w:r>
              <w:rPr>
                <w:rFonts w:ascii="Arial" w:cs="Arial" w:eastAsia="Arial" w:hAnsi="Arial"/>
                <w:sz w:val="16"/>
                <w:szCs w:val="16"/>
                <w:color w:val="auto"/>
              </w:rPr>
              <w:t>Itron Endpoints</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Standard endpoints</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16,360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15,740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15,540</w:t>
            </w:r>
          </w:p>
        </w:tc>
      </w:tr>
      <w:tr>
        <w:trPr>
          <w:trHeight w:val="237"/>
        </w:trPr>
        <w:tc>
          <w:tcPr>
            <w:tcW w:w="7160" w:type="dxa"/>
            <w:vAlign w:val="bottom"/>
            <w:gridSpan w:val="2"/>
          </w:tcPr>
          <w:p>
            <w:pPr>
              <w:ind w:left="380"/>
              <w:spacing w:after="0"/>
              <w:rPr>
                <w:sz w:val="20"/>
                <w:szCs w:val="20"/>
                <w:color w:val="auto"/>
              </w:rPr>
            </w:pPr>
            <w:r>
              <w:rPr>
                <w:rFonts w:ascii="Arial" w:cs="Arial" w:eastAsia="Arial" w:hAnsi="Arial"/>
                <w:sz w:val="16"/>
                <w:szCs w:val="16"/>
                <w:color w:val="auto"/>
              </w:rPr>
              <w:t>Networked endpoints</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21,540</w:t>
            </w:r>
          </w:p>
        </w:tc>
        <w:tc>
          <w:tcPr>
            <w:tcW w:w="1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16,640</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15,320</w:t>
            </w: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1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 endpoints</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37,900</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32,380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30,860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and effects of changes in foreign currency exchange rates in revenues and gross profit were as follows:</w:t>
      </w:r>
    </w:p>
    <w:p>
      <w:pPr>
        <w:spacing w:after="0" w:line="334"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gridSpan w:val="4"/>
            <w:vMerge w:val="restart"/>
          </w:tcPr>
          <w:p>
            <w:pPr>
              <w:jc w:val="right"/>
              <w:ind w:right="699"/>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7"/>
                <w:szCs w:val="17"/>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Effect of Changes in</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2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00" w:type="dxa"/>
            <w:vAlign w:val="bottom"/>
          </w:tcPr>
          <w:p>
            <w:pPr>
              <w:spacing w:after="0"/>
              <w:rPr>
                <w:sz w:val="11"/>
                <w:szCs w:val="11"/>
                <w:color w:val="auto"/>
              </w:rPr>
            </w:pPr>
          </w:p>
        </w:tc>
        <w:tc>
          <w:tcPr>
            <w:tcW w:w="15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8"/>
              </w:rPr>
              <w:t>Exchange Rates</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c>
          <w:tcPr>
            <w:tcW w:w="0" w:type="dxa"/>
            <w:vAlign w:val="bottom"/>
          </w:tcPr>
          <w:p>
            <w:pPr>
              <w:spacing w:after="0"/>
              <w:rPr>
                <w:sz w:val="1"/>
                <w:szCs w:val="1"/>
                <w:color w:val="auto"/>
              </w:rPr>
            </w:pPr>
          </w:p>
        </w:tc>
      </w:tr>
      <w:tr>
        <w:trPr>
          <w:trHeight w:val="352"/>
        </w:trPr>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8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2,376,117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2,018,197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357,920</w:t>
            </w:r>
          </w:p>
        </w:tc>
        <w:tc>
          <w:tcPr>
            <w:tcW w:w="0" w:type="dxa"/>
            <w:vAlign w:val="bottom"/>
          </w:tcPr>
          <w:p>
            <w:pPr>
              <w:spacing w:after="0"/>
              <w:rPr>
                <w:sz w:val="1"/>
                <w:szCs w:val="1"/>
                <w:color w:val="auto"/>
              </w:rPr>
            </w:pPr>
          </w:p>
        </w:tc>
      </w:tr>
      <w:tr>
        <w:trPr>
          <w:trHeight w:val="237"/>
        </w:trPr>
        <w:tc>
          <w:tcPr>
            <w:tcW w:w="286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730,319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676,751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5,404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48,164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53,568</w:t>
            </w:r>
          </w:p>
        </w:tc>
        <w:tc>
          <w:tcPr>
            <w:tcW w:w="0" w:type="dxa"/>
            <w:vAlign w:val="bottom"/>
          </w:tcPr>
          <w:p>
            <w:pPr>
              <w:spacing w:after="0"/>
              <w:rPr>
                <w:sz w:val="1"/>
                <w:szCs w:val="1"/>
                <w:color w:val="auto"/>
              </w:rPr>
            </w:pPr>
          </w:p>
        </w:tc>
      </w:tr>
      <w:tr>
        <w:trPr>
          <w:trHeight w:val="802"/>
        </w:trPr>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gridSpan w:val="4"/>
            <w:vMerge w:val="restart"/>
          </w:tcPr>
          <w:p>
            <w:pPr>
              <w:jc w:val="right"/>
              <w:ind w:right="699"/>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24"/>
                <w:szCs w:val="24"/>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Effect of Changes in</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2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00" w:type="dxa"/>
            <w:vAlign w:val="bottom"/>
          </w:tcPr>
          <w:p>
            <w:pPr>
              <w:spacing w:after="0"/>
              <w:rPr>
                <w:sz w:val="11"/>
                <w:szCs w:val="11"/>
                <w:color w:val="auto"/>
              </w:rPr>
            </w:pPr>
          </w:p>
        </w:tc>
        <w:tc>
          <w:tcPr>
            <w:tcW w:w="15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8"/>
              </w:rPr>
              <w:t>Exchange Rates</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c>
          <w:tcPr>
            <w:tcW w:w="0" w:type="dxa"/>
            <w:vAlign w:val="bottom"/>
          </w:tcPr>
          <w:p>
            <w:pPr>
              <w:spacing w:after="0"/>
              <w:rPr>
                <w:sz w:val="1"/>
                <w:szCs w:val="1"/>
                <w:color w:val="auto"/>
              </w:rPr>
            </w:pPr>
          </w:p>
        </w:tc>
      </w:tr>
      <w:tr>
        <w:trPr>
          <w:trHeight w:val="352"/>
        </w:trPr>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8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2,018,197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2,013,186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5,011</w:t>
            </w:r>
          </w:p>
        </w:tc>
        <w:tc>
          <w:tcPr>
            <w:tcW w:w="0" w:type="dxa"/>
            <w:vAlign w:val="bottom"/>
          </w:tcPr>
          <w:p>
            <w:pPr>
              <w:spacing w:after="0"/>
              <w:rPr>
                <w:sz w:val="1"/>
                <w:szCs w:val="1"/>
                <w:color w:val="auto"/>
              </w:rPr>
            </w:pPr>
          </w:p>
        </w:tc>
      </w:tr>
      <w:tr>
        <w:trPr>
          <w:trHeight w:val="237"/>
        </w:trPr>
        <w:tc>
          <w:tcPr>
            <w:tcW w:w="286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676,751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662,532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13,177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14,219</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40" w:hanging="332"/>
        <w:spacing w:after="0" w:line="217"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increased $357.9 million in 2018, compared with 2017 of which $353.0 million is related to our acquisition of SSNI. Product revenues increased $281.5 million in 2018, primarily in North America as a result of the SSNI acquisition as well as in our Europe, Middle East, and Africa (EMEA) region. This was partially offset by reduced product revenues in our Latin America and Asia Pacific regions during 2018. Service revenues increased $76.4 million in 2018 as compared with 2017, which was</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primarily driven by North America including the addition of SSNI. Changes in currency exchange rates favorably impacted revenues by $15.9 million in 2018.</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Revenues increased $5.0 million in 2017 compared with 2016. Product revenues decreased $16.1 million in 2017 primarily in our North America and Europe, Middle East, and Africa (EMEA) regions. This was partially offset by improved product revenues in our Latin America and Asia Pacific regions during 2017. Service revenues increased $21.2 million in 2017 as compared with 2016, which was primarily driven by Comverge service revenues of $19.6 million. Changes in currency exchange rates favorably impacted revenues by $11.6 million in 2017. A more detailed analysis of these fluctuations, including analysis by segment, is provided in </w:t>
      </w:r>
      <w:r>
        <w:rPr>
          <w:rFonts w:ascii="Arial" w:cs="Arial" w:eastAsia="Arial" w:hAnsi="Arial"/>
          <w:sz w:val="18"/>
          <w:szCs w:val="18"/>
          <w:i w:val="1"/>
          <w:iCs w:val="1"/>
          <w:color w:val="auto"/>
        </w:rPr>
        <w:t>Operating Segment Results.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customer represented more than 10% of total revenues for the years ended December 31, 2018, 2017, and 2016. Our 10 largest customers accounted for 31%, 33%, and 31% of total revenues in 2018, 2017, and 2016, respectively.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Gross margin was 30.7% for 2018, compared with 33.5% in 2017. Our gross margin associated with product sales decreased to 29.5% in 2018 from 33.6% in 2017 due to lower margin sales in EMEA for Device Solutions and North America for Networked Solutions . Gross margin associated with our service revenues increased to 39.7% from 32.8% in 2017 due to higher margin sales in our North America and EMEA regions.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margin was 33.5% in 2017, compared with 32.9% in 2016. Our gross margin associated with product sales improved to 33.6% in 2017 from 32.4% in 2016 due to improved product mix, particularly in our Networked Solutions segment, and an $8.0 million insurance recovery in 2017 associated with warranty expenses previously recognized as a result of our 2015 communication module product replacement in our Networked Solutions segment. This recovery contributed 40 basis points to the gross margin improvement. Gross margin associated with our service revenues declined to 32.8% from 37.9% in 2016 due to lower margin sales in our EMEA region.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operating expense:</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2800" w:type="dxa"/>
            <w:vAlign w:val="bottom"/>
            <w:gridSpan w:val="4"/>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Effect of Changes in</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2800" w:type="dxa"/>
            <w:vAlign w:val="bottom"/>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1"/>
                <w:szCs w:val="11"/>
                <w:color w:val="auto"/>
              </w:rPr>
            </w:pPr>
          </w:p>
        </w:tc>
        <w:tc>
          <w:tcPr>
            <w:tcW w:w="15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8"/>
              </w:rPr>
              <w:t>Exchange Rates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c>
          <w:tcPr>
            <w:tcW w:w="0" w:type="dxa"/>
            <w:vAlign w:val="bottom"/>
          </w:tcPr>
          <w:p>
            <w:pPr>
              <w:spacing w:after="0"/>
              <w:rPr>
                <w:sz w:val="1"/>
                <w:szCs w:val="1"/>
                <w:color w:val="auto"/>
              </w:rPr>
            </w:pPr>
          </w:p>
        </w:tc>
      </w:tr>
      <w:tr>
        <w:trPr>
          <w:trHeight w:val="352"/>
        </w:trPr>
        <w:tc>
          <w:tcPr>
            <w:tcW w:w="3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0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Sales, general and administrative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423,210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325,264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94,066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97,946</w:t>
            </w:r>
          </w:p>
        </w:tc>
        <w:tc>
          <w:tcPr>
            <w:tcW w:w="0" w:type="dxa"/>
            <w:vAlign w:val="bottom"/>
          </w:tcPr>
          <w:p>
            <w:pPr>
              <w:spacing w:after="0"/>
              <w:rPr>
                <w:sz w:val="1"/>
                <w:szCs w:val="1"/>
                <w:color w:val="auto"/>
              </w:rPr>
            </w:pPr>
          </w:p>
        </w:tc>
      </w:tr>
      <w:tr>
        <w:trPr>
          <w:trHeight w:val="237"/>
        </w:trPr>
        <w:tc>
          <w:tcPr>
            <w:tcW w:w="300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207,905</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169,407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2,573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35,925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38,498</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71,713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50,928</w:t>
            </w:r>
          </w:p>
        </w:tc>
        <w:tc>
          <w:tcPr>
            <w:tcW w:w="0" w:type="dxa"/>
            <w:vAlign w:val="bottom"/>
          </w:tcPr>
          <w:p>
            <w:pPr>
              <w:spacing w:after="0"/>
              <w:rPr>
                <w:sz w:val="1"/>
                <w:szCs w:val="1"/>
                <w:color w:val="auto"/>
              </w:rPr>
            </w:pPr>
          </w:p>
        </w:tc>
      </w:tr>
      <w:tr>
        <w:trPr>
          <w:trHeight w:val="237"/>
        </w:trPr>
        <w:tc>
          <w:tcPr>
            <w:tcW w:w="3000" w:type="dxa"/>
            <w:vAlign w:val="bottom"/>
          </w:tcPr>
          <w:p>
            <w:pPr>
              <w:ind w:left="140"/>
              <w:spacing w:after="0"/>
              <w:rPr>
                <w:sz w:val="20"/>
                <w:szCs w:val="20"/>
                <w:color w:val="auto"/>
              </w:rPr>
            </w:pPr>
            <w:r>
              <w:rPr>
                <w:rFonts w:ascii="Arial" w:cs="Arial" w:eastAsia="Arial" w:hAnsi="Arial"/>
                <w:sz w:val="16"/>
                <w:szCs w:val="16"/>
                <w:color w:val="auto"/>
              </w:rPr>
              <w:t>Restructuring</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77,183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6,418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70,302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70,765</w:t>
            </w:r>
          </w:p>
        </w:tc>
        <w:tc>
          <w:tcPr>
            <w:tcW w:w="0" w:type="dxa"/>
            <w:vAlign w:val="bottom"/>
          </w:tcPr>
          <w:p>
            <w:pPr>
              <w:spacing w:after="0"/>
              <w:rPr>
                <w:sz w:val="1"/>
                <w:szCs w:val="1"/>
                <w:color w:val="auto"/>
              </w:rPr>
            </w:pPr>
          </w:p>
        </w:tc>
      </w:tr>
      <w:tr>
        <w:trPr>
          <w:trHeight w:val="33"/>
        </w:trPr>
        <w:tc>
          <w:tcPr>
            <w:tcW w:w="30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780,011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521,874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250,717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258,137</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000" w:type="dxa"/>
            <w:vAlign w:val="bottom"/>
          </w:tcPr>
          <w:p>
            <w:pPr>
              <w:spacing w:after="0"/>
              <w:rPr>
                <w:sz w:val="24"/>
                <w:szCs w:val="24"/>
                <w:color w:val="auto"/>
              </w:rPr>
            </w:pPr>
          </w:p>
        </w:tc>
        <w:tc>
          <w:tcPr>
            <w:tcW w:w="2800" w:type="dxa"/>
            <w:vAlign w:val="bottom"/>
            <w:gridSpan w:val="4"/>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Effect of Changes in</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2800" w:type="dxa"/>
            <w:vAlign w:val="bottom"/>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1"/>
                <w:szCs w:val="11"/>
                <w:color w:val="auto"/>
              </w:rPr>
            </w:pPr>
          </w:p>
        </w:tc>
        <w:tc>
          <w:tcPr>
            <w:tcW w:w="15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8"/>
              </w:rPr>
              <w:t>Exchange Rates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c>
          <w:tcPr>
            <w:tcW w:w="0" w:type="dxa"/>
            <w:vAlign w:val="bottom"/>
          </w:tcPr>
          <w:p>
            <w:pPr>
              <w:spacing w:after="0"/>
              <w:rPr>
                <w:sz w:val="1"/>
                <w:szCs w:val="1"/>
                <w:color w:val="auto"/>
              </w:rPr>
            </w:pPr>
          </w:p>
        </w:tc>
      </w:tr>
      <w:tr>
        <w:trPr>
          <w:trHeight w:val="352"/>
        </w:trPr>
        <w:tc>
          <w:tcPr>
            <w:tcW w:w="3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0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Sales, general and administrative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325,264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319,571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5,693</w:t>
            </w:r>
          </w:p>
        </w:tc>
        <w:tc>
          <w:tcPr>
            <w:tcW w:w="0" w:type="dxa"/>
            <w:vAlign w:val="bottom"/>
          </w:tcPr>
          <w:p>
            <w:pPr>
              <w:spacing w:after="0"/>
              <w:rPr>
                <w:sz w:val="1"/>
                <w:szCs w:val="1"/>
                <w:color w:val="auto"/>
              </w:rPr>
            </w:pPr>
          </w:p>
        </w:tc>
      </w:tr>
      <w:tr>
        <w:trPr>
          <w:trHeight w:val="237"/>
        </w:trPr>
        <w:tc>
          <w:tcPr>
            <w:tcW w:w="300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169,407</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167,766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3,189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1,641</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20,785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(4,327)</w:t>
            </w:r>
          </w:p>
        </w:tc>
        <w:tc>
          <w:tcPr>
            <w:tcW w:w="0" w:type="dxa"/>
            <w:vAlign w:val="bottom"/>
          </w:tcPr>
          <w:p>
            <w:pPr>
              <w:spacing w:after="0"/>
              <w:rPr>
                <w:sz w:val="1"/>
                <w:szCs w:val="1"/>
                <w:color w:val="auto"/>
              </w:rPr>
            </w:pPr>
          </w:p>
        </w:tc>
      </w:tr>
      <w:tr>
        <w:trPr>
          <w:trHeight w:val="237"/>
        </w:trPr>
        <w:tc>
          <w:tcPr>
            <w:tcW w:w="3000" w:type="dxa"/>
            <w:vAlign w:val="bottom"/>
          </w:tcPr>
          <w:p>
            <w:pPr>
              <w:ind w:left="140"/>
              <w:spacing w:after="0"/>
              <w:rPr>
                <w:sz w:val="20"/>
                <w:szCs w:val="20"/>
                <w:color w:val="auto"/>
              </w:rPr>
            </w:pPr>
            <w:r>
              <w:rPr>
                <w:rFonts w:ascii="Arial" w:cs="Arial" w:eastAsia="Arial" w:hAnsi="Arial"/>
                <w:sz w:val="16"/>
                <w:szCs w:val="16"/>
                <w:color w:val="auto"/>
              </w:rPr>
              <w:t>Restructuring</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6,418</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49,090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1,925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(44,597)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(42,672)</w:t>
            </w:r>
          </w:p>
        </w:tc>
        <w:tc>
          <w:tcPr>
            <w:tcW w:w="0" w:type="dxa"/>
            <w:vAlign w:val="bottom"/>
          </w:tcPr>
          <w:p>
            <w:pPr>
              <w:spacing w:after="0"/>
              <w:rPr>
                <w:sz w:val="1"/>
                <w:szCs w:val="1"/>
                <w:color w:val="auto"/>
              </w:rPr>
            </w:pPr>
          </w:p>
        </w:tc>
      </w:tr>
      <w:tr>
        <w:trPr>
          <w:trHeight w:val="33"/>
        </w:trPr>
        <w:tc>
          <w:tcPr>
            <w:tcW w:w="30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521,874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561,539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(39,665)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line="217"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expenses increased $258.1 million for the year ended December 31, 2018 as compared with the same period in 2017. This was primarily due to increased restructuring expense following the announcement of the 2018 Projects in the first quarter of 2018, increased acquisition and integration related expenses included within sales, general and administrative expenses, and increased amortization of intangible asset and research and development expenses associated with the SSNI acquisition. These increases were partially offset by reduced variable compensation expense in 2018. Operating expenses were favorably impacted by $7.4 million due to the effect of changes in foreign currency exchange rates.</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expenses decreased $39.7 million for the year ended December 31, 2017 as compared with the same period in 2016. This was primarily related to a decrease of $42.7 million in restructuring expense, partially offset by $5.7 million in higher sales, general and administrative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80" w:type="dxa"/>
            <w:vAlign w:val="bottom"/>
            <w:gridSpan w:val="5"/>
          </w:tcPr>
          <w:p>
            <w:pPr>
              <w:ind w:left="160"/>
              <w:spacing w:after="0"/>
              <w:rPr>
                <w:sz w:val="20"/>
                <w:szCs w:val="20"/>
                <w:color w:val="auto"/>
              </w:rPr>
            </w:pPr>
            <w:r>
              <w:rPr>
                <w:rFonts w:ascii="Arial" w:cs="Arial" w:eastAsia="Arial" w:hAnsi="Arial"/>
                <w:sz w:val="16"/>
                <w:szCs w:val="16"/>
                <w:b w:val="1"/>
                <w:bCs w:val="1"/>
                <w:color w:val="auto"/>
                <w:w w:val="91"/>
              </w:rPr>
              <w:t>Year Ended December 31,</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200" w:type="dxa"/>
            <w:vAlign w:val="bottom"/>
          </w:tcPr>
          <w:p>
            <w:pPr>
              <w:ind w:left="320"/>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80" w:type="dxa"/>
            <w:vAlign w:val="bottom"/>
            <w:gridSpan w:val="2"/>
          </w:tcPr>
          <w:p>
            <w:pPr>
              <w:ind w:left="320"/>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20"/>
                <w:szCs w:val="20"/>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33"/>
        </w:trPr>
        <w:tc>
          <w:tcPr>
            <w:tcW w:w="3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thousands)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19"/>
              <w:spacing w:after="0"/>
              <w:rPr>
                <w:sz w:val="20"/>
                <w:szCs w:val="20"/>
                <w:color w:val="auto"/>
              </w:rPr>
            </w:pPr>
            <w:r>
              <w:rPr>
                <w:rFonts w:ascii="Arial" w:cs="Arial" w:eastAsia="Arial" w:hAnsi="Arial"/>
                <w:sz w:val="16"/>
                <w:szCs w:val="16"/>
                <w:b w:val="1"/>
                <w:bCs w:val="1"/>
                <w:color w:val="auto"/>
                <w:w w:val="96"/>
              </w:rPr>
              <w:t>(in thousands)</w:t>
            </w:r>
          </w:p>
        </w:tc>
      </w:tr>
      <w:tr>
        <w:trPr>
          <w:trHeight w:val="3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w w:val="94"/>
              </w:rPr>
              <w:t>1%</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(51,157)</w:t>
            </w:r>
          </w:p>
        </w:tc>
        <w:tc>
          <w:tcPr>
            <w:tcW w:w="120" w:type="dxa"/>
            <w:vAlign w:val="bottom"/>
          </w:tcPr>
          <w:p>
            <w:pPr>
              <w:spacing w:after="0"/>
              <w:rPr>
                <w:sz w:val="20"/>
                <w:szCs w:val="20"/>
                <w:color w:val="auto"/>
              </w:rPr>
            </w:pPr>
          </w:p>
        </w:tc>
        <w:tc>
          <w:tcPr>
            <w:tcW w:w="1200" w:type="dxa"/>
            <w:vAlign w:val="bottom"/>
          </w:tcPr>
          <w:p>
            <w:pPr>
              <w:jc w:val="center"/>
              <w:ind w:left="99"/>
              <w:spacing w:after="0"/>
              <w:rPr>
                <w:sz w:val="20"/>
                <w:szCs w:val="20"/>
                <w:color w:val="auto"/>
              </w:rPr>
            </w:pPr>
            <w:r>
              <w:rPr>
                <w:rFonts w:ascii="Arial" w:cs="Arial" w:eastAsia="Arial" w:hAnsi="Arial"/>
                <w:sz w:val="16"/>
                <w:szCs w:val="16"/>
                <w:color w:val="auto"/>
                <w:w w:val="92"/>
              </w:rPr>
              <w:t>300%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(12,778)</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(12,445)</w:t>
            </w:r>
          </w:p>
        </w:tc>
      </w:tr>
      <w:tr>
        <w:trPr>
          <w:trHeight w:val="3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w w:val="92"/>
              </w:rPr>
              <w:t>560%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(3,409)</w:t>
            </w:r>
          </w:p>
        </w:tc>
        <w:tc>
          <w:tcPr>
            <w:tcW w:w="120" w:type="dxa"/>
            <w:vAlign w:val="bottom"/>
          </w:tcPr>
          <w:p>
            <w:pPr>
              <w:spacing w:after="0"/>
              <w:rPr>
                <w:sz w:val="20"/>
                <w:szCs w:val="20"/>
                <w:color w:val="auto"/>
              </w:rPr>
            </w:pPr>
          </w:p>
        </w:tc>
        <w:tc>
          <w:tcPr>
            <w:tcW w:w="1200" w:type="dxa"/>
            <w:vAlign w:val="bottom"/>
          </w:tcPr>
          <w:p>
            <w:pPr>
              <w:jc w:val="center"/>
              <w:ind w:left="99"/>
              <w:spacing w:after="0"/>
              <w:rPr>
                <w:sz w:val="20"/>
                <w:szCs w:val="20"/>
                <w:color w:val="auto"/>
              </w:rPr>
            </w:pPr>
            <w:r>
              <w:rPr>
                <w:rFonts w:ascii="Arial" w:cs="Arial" w:eastAsia="Arial" w:hAnsi="Arial"/>
                <w:sz w:val="16"/>
                <w:szCs w:val="16"/>
                <w:color w:val="auto"/>
                <w:w w:val="98"/>
              </w:rPr>
              <w:t>(60)%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(8,583)</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(3,710)</w:t>
            </w:r>
          </w:p>
        </w:tc>
      </w:tr>
      <w:tr>
        <w:trPr>
          <w:trHeight w:val="33"/>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income (expense)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(59,459)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w w:val="92"/>
              </w:rPr>
              <w:t>193%</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(20,302)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(16,366)</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other income (expense) for the year ended December 31, 2018 was a net expense of $59.5 million compared with $20.3 million in 2017. The increases were related to the increase in interest expense and amortization of prepaid debt fees as a result of the funding from the 2018 credit facility and senior secured notes. In 2018, we had reduced losses, classified within other income (expense), resulting from foreign currency exchange fluctuations from transactions denominated in a currency other than our various subsidiary entities' functional currencies.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other income (expense) for the year ended December 31, 2017 was a net expense of $20.3 million compared with an expense of $16.4 million in 2016. The change for the year ended December 31, 2017 as compared with 2016 was due to fluctuations in the recognized foreign currency exchange gains and losses due to transactions denominated in a currency other than an entity's functional currency.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income tax provision (benefit) was $(12.6) million, $74.3 million, and $49.6 million for the years ended December 31, 2018, 2017, and 2016, respectively. Our tax rate of 12% for the year ended December 31, 2018 differed from the U.S. federal statutory tax rate of 21% due primarily to the level of profit or losses in domestic and foreign jurisdictions, research and development tax credits, state income taxes, adjustments to valuation allowances, settlement of tax audits, and uncertain tax positions, among other items. Our tax rates of 55%, and 59% for the years ended December 31, 2017, and 2016 differed from the 35% U.S. federal statutory tax rate due to the level of profit or losses in domestic and foreign jurisdictions, new or revised tax legislation and accounting pronouncements, tax credits (including research and development and foreign tax), state income taxes, adjustments to valuation allowances, settlement of tax audits, and uncertain tax positions, among other items.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tax provision for the year ended December 31, 2017 was significantly impacted by the inclusion of $30.4 million of expense for the provisional determination of the impact to our deferred tax positions of the Tax Cut and Jobs Act. No material adjustments to these provisional amounts were recognized for the year ended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discussion related to income taxes, see Item 8: "Financial Statements and Supplementary Data, Note 11: Income Taxes".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description of our operating segments, refer to Item 8: "Financial Statements and Supplementary Data, Note 16: Segment Information". The following tables and discussion highlight significant changes in trends or components of each operating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00" w:type="dxa"/>
            <w:vAlign w:val="bottom"/>
            <w:gridSpan w:val="6"/>
          </w:tcPr>
          <w:p>
            <w:pPr>
              <w:jc w:val="right"/>
              <w:ind w:right="60"/>
              <w:spacing w:after="0"/>
              <w:rPr>
                <w:sz w:val="20"/>
                <w:szCs w:val="20"/>
                <w:color w:val="auto"/>
              </w:rPr>
            </w:pPr>
            <w:r>
              <w:rPr>
                <w:rFonts w:ascii="Arial" w:cs="Arial" w:eastAsia="Arial" w:hAnsi="Arial"/>
                <w:sz w:val="16"/>
                <w:szCs w:val="16"/>
                <w:b w:val="1"/>
                <w:bCs w:val="1"/>
                <w:color w:val="auto"/>
                <w:w w:val="92"/>
              </w:rPr>
              <w:t>Year Ended December 31,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121"/>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 Change</w:t>
            </w:r>
          </w:p>
        </w:tc>
        <w:tc>
          <w:tcPr>
            <w:tcW w:w="180" w:type="dxa"/>
            <w:vAlign w:val="bottom"/>
          </w:tcPr>
          <w:p>
            <w:pPr>
              <w:spacing w:after="0"/>
              <w:rPr>
                <w:sz w:val="20"/>
                <w:szCs w:val="20"/>
                <w:color w:val="auto"/>
              </w:rPr>
            </w:pPr>
          </w:p>
        </w:tc>
        <w:tc>
          <w:tcPr>
            <w:tcW w:w="1060" w:type="dxa"/>
            <w:vAlign w:val="bottom"/>
          </w:tcPr>
          <w:p>
            <w:pPr>
              <w:jc w:val="center"/>
              <w:ind w:right="81"/>
              <w:spacing w:after="0"/>
              <w:rPr>
                <w:sz w:val="20"/>
                <w:szCs w:val="20"/>
                <w:color w:val="auto"/>
              </w:rPr>
            </w:pPr>
            <w:r>
              <w:rPr>
                <w:rFonts w:ascii="Arial" w:cs="Arial" w:eastAsia="Arial" w:hAnsi="Arial"/>
                <w:sz w:val="16"/>
                <w:szCs w:val="16"/>
                <w:b w:val="1"/>
                <w:bCs w:val="1"/>
                <w:color w:val="auto"/>
                <w:w w:val="95"/>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Segment revenues</w:t>
            </w: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3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87"/>
              </w:rPr>
              <w:t>(in thousands)</w:t>
            </w: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4"/>
              </w:rPr>
              <w:t>(in thousands)</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7"/>
              </w:rPr>
              <w:t>(in thousands)</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Device Solutions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933,365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882,896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4"/>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913,521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Networked Solutions</w:t>
            </w:r>
          </w:p>
        </w:tc>
        <w:tc>
          <w:tcPr>
            <w:tcW w:w="18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1,224,144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29%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947,384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4"/>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939,681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Outcomes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218,608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16%</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187,917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3"/>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159,984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340" w:type="dxa"/>
            <w:vAlign w:val="bottom"/>
          </w:tcPr>
          <w:p>
            <w:pPr>
              <w:ind w:left="72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2,376,117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18%</w:t>
            </w:r>
          </w:p>
        </w:tc>
        <w:tc>
          <w:tcPr>
            <w:tcW w:w="340" w:type="dxa"/>
            <w:vAlign w:val="bottom"/>
            <w:gridSpan w:val="2"/>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2,018,197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2,013,186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2018</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2017</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2016</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6"/>
                <w:szCs w:val="16"/>
                <w:b w:val="1"/>
                <w:bCs w:val="1"/>
                <w:i w:val="1"/>
                <w:iCs w:val="1"/>
                <w:color w:val="auto"/>
                <w:w w:val="82"/>
              </w:rPr>
              <w:t>Gross</w:t>
            </w:r>
          </w:p>
        </w:tc>
        <w:tc>
          <w:tcPr>
            <w:tcW w:w="86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6"/>
              </w:rPr>
              <w:t>Gross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6"/>
              </w:rPr>
              <w:t>Gross</w:t>
            </w: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i w:val="1"/>
                <w:iCs w:val="1"/>
                <w:color w:val="auto"/>
                <w:w w:val="86"/>
              </w:rPr>
              <w:t>Gross</w:t>
            </w:r>
          </w:p>
        </w:tc>
        <w:tc>
          <w:tcPr>
            <w:tcW w:w="180" w:type="dxa"/>
            <w:vAlign w:val="bottom"/>
          </w:tcPr>
          <w:p>
            <w:pPr>
              <w:spacing w:after="0"/>
              <w:rPr>
                <w:sz w:val="18"/>
                <w:szCs w:val="18"/>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2"/>
              </w:rPr>
              <w:t>Gross</w:t>
            </w: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i w:val="1"/>
                <w:iCs w:val="1"/>
                <w:color w:val="auto"/>
                <w:w w:val="86"/>
              </w:rPr>
              <w:t>Gross</w:t>
            </w:r>
          </w:p>
        </w:tc>
        <w:tc>
          <w:tcPr>
            <w:tcW w:w="0" w:type="dxa"/>
            <w:vAlign w:val="bottom"/>
          </w:tcPr>
          <w:p>
            <w:pPr>
              <w:spacing w:after="0"/>
              <w:rPr>
                <w:sz w:val="1"/>
                <w:szCs w:val="1"/>
                <w:color w:val="auto"/>
              </w:rPr>
            </w:pPr>
          </w:p>
        </w:tc>
      </w:tr>
      <w:tr>
        <w:trPr>
          <w:trHeight w:val="20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6"/>
                <w:szCs w:val="16"/>
                <w:b w:val="1"/>
                <w:bCs w:val="1"/>
                <w:i w:val="1"/>
                <w:iCs w:val="1"/>
                <w:color w:val="auto"/>
                <w:w w:val="90"/>
              </w:rPr>
              <w:t>Profit</w:t>
            </w:r>
          </w:p>
        </w:tc>
        <w:tc>
          <w:tcPr>
            <w:tcW w:w="86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5"/>
              </w:rPr>
              <w:t>Margin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95"/>
              </w:rPr>
              <w:t>Profit</w:t>
            </w: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i w:val="1"/>
                <w:iCs w:val="1"/>
                <w:color w:val="auto"/>
                <w:w w:val="95"/>
              </w:rPr>
              <w:t>Margin</w:t>
            </w:r>
          </w:p>
        </w:tc>
        <w:tc>
          <w:tcPr>
            <w:tcW w:w="180" w:type="dxa"/>
            <w:vAlign w:val="bottom"/>
          </w:tcPr>
          <w:p>
            <w:pPr>
              <w:spacing w:after="0"/>
              <w:rPr>
                <w:sz w:val="17"/>
                <w:szCs w:val="17"/>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90"/>
              </w:rPr>
              <w:t>Profit</w:t>
            </w: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i w:val="1"/>
                <w:iCs w:val="1"/>
                <w:color w:val="auto"/>
                <w:w w:val="99"/>
              </w:rPr>
              <w:t>Margin</w:t>
            </w:r>
          </w:p>
        </w:tc>
        <w:tc>
          <w:tcPr>
            <w:tcW w:w="0" w:type="dxa"/>
            <w:vAlign w:val="bottom"/>
          </w:tcPr>
          <w:p>
            <w:pPr>
              <w:spacing w:after="0"/>
              <w:rPr>
                <w:sz w:val="1"/>
                <w:szCs w:val="1"/>
                <w:color w:val="auto"/>
              </w:rPr>
            </w:pPr>
          </w:p>
        </w:tc>
      </w:tr>
      <w:tr>
        <w:trPr>
          <w:trHeight w:val="33"/>
        </w:trPr>
        <w:tc>
          <w:tcPr>
            <w:tcW w:w="334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Segment gross profit and margin</w:t>
            </w: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3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87"/>
              </w:rPr>
              <w:t>(in thousands)</w:t>
            </w: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4"/>
              </w:rPr>
              <w:t>(in thousands)</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7"/>
              </w:rPr>
              <w:t>(in thousands)</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Device Solutions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187,254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20.1%</w:t>
            </w: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216,631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2"/>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232,896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2"/>
              </w:rPr>
              <w:t>25.5%</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Networked Solutions</w:t>
            </w:r>
          </w:p>
        </w:tc>
        <w:tc>
          <w:tcPr>
            <w:tcW w:w="18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482,471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39.4%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412,375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2"/>
              </w:rPr>
              <w:t>43.5%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378,382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2"/>
              </w:rPr>
              <w:t>40.3%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Outcomes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60,594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27.7%</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47,745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2"/>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51,254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2"/>
              </w:rPr>
              <w:t>32.0%</w:t>
            </w:r>
          </w:p>
        </w:tc>
        <w:tc>
          <w:tcPr>
            <w:tcW w:w="0" w:type="dxa"/>
            <w:vAlign w:val="bottom"/>
          </w:tcPr>
          <w:p>
            <w:pPr>
              <w:spacing w:after="0"/>
              <w:rPr>
                <w:sz w:val="1"/>
                <w:szCs w:val="1"/>
                <w:color w:val="auto"/>
              </w:rPr>
            </w:pPr>
          </w:p>
        </w:tc>
      </w:tr>
      <w:tr>
        <w:trPr>
          <w:trHeight w:val="244"/>
        </w:trPr>
        <w:tc>
          <w:tcPr>
            <w:tcW w:w="3340" w:type="dxa"/>
            <w:vAlign w:val="bottom"/>
          </w:tcPr>
          <w:p>
            <w:pPr>
              <w:ind w:left="720"/>
              <w:spacing w:after="0"/>
              <w:rPr>
                <w:sz w:val="20"/>
                <w:szCs w:val="20"/>
                <w:color w:val="auto"/>
              </w:rPr>
            </w:pPr>
            <w:r>
              <w:rPr>
                <w:rFonts w:ascii="Arial" w:cs="Arial" w:eastAsia="Arial" w:hAnsi="Arial"/>
                <w:sz w:val="16"/>
                <w:szCs w:val="16"/>
                <w:color w:val="auto"/>
              </w:rPr>
              <w:t>Total gross profit and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730,319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30.7%</w:t>
            </w:r>
          </w:p>
        </w:tc>
        <w:tc>
          <w:tcPr>
            <w:tcW w:w="340" w:type="dxa"/>
            <w:vAlign w:val="bottom"/>
            <w:gridSpan w:val="2"/>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676,751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2"/>
              </w:rPr>
              <w:t>33.5%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662,532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2"/>
              </w:rPr>
              <w:t>32.9%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00" w:type="dxa"/>
            <w:vAlign w:val="bottom"/>
            <w:gridSpan w:val="6"/>
          </w:tcPr>
          <w:p>
            <w:pPr>
              <w:jc w:val="right"/>
              <w:ind w:right="60"/>
              <w:spacing w:after="0"/>
              <w:rPr>
                <w:sz w:val="20"/>
                <w:szCs w:val="20"/>
                <w:color w:val="auto"/>
              </w:rPr>
            </w:pPr>
            <w:r>
              <w:rPr>
                <w:rFonts w:ascii="Arial" w:cs="Arial" w:eastAsia="Arial" w:hAnsi="Arial"/>
                <w:sz w:val="16"/>
                <w:szCs w:val="16"/>
                <w:b w:val="1"/>
                <w:bCs w:val="1"/>
                <w:color w:val="auto"/>
                <w:w w:val="92"/>
              </w:rPr>
              <w:t>Year Ended December 31,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121"/>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 Change</w:t>
            </w:r>
          </w:p>
        </w:tc>
        <w:tc>
          <w:tcPr>
            <w:tcW w:w="180" w:type="dxa"/>
            <w:vAlign w:val="bottom"/>
          </w:tcPr>
          <w:p>
            <w:pPr>
              <w:spacing w:after="0"/>
              <w:rPr>
                <w:sz w:val="20"/>
                <w:szCs w:val="20"/>
                <w:color w:val="auto"/>
              </w:rPr>
            </w:pPr>
          </w:p>
        </w:tc>
        <w:tc>
          <w:tcPr>
            <w:tcW w:w="1060" w:type="dxa"/>
            <w:vAlign w:val="bottom"/>
          </w:tcPr>
          <w:p>
            <w:pPr>
              <w:jc w:val="center"/>
              <w:ind w:right="81"/>
              <w:spacing w:after="0"/>
              <w:rPr>
                <w:sz w:val="20"/>
                <w:szCs w:val="20"/>
                <w:color w:val="auto"/>
              </w:rPr>
            </w:pPr>
            <w:r>
              <w:rPr>
                <w:rFonts w:ascii="Arial" w:cs="Arial" w:eastAsia="Arial" w:hAnsi="Arial"/>
                <w:sz w:val="16"/>
                <w:szCs w:val="16"/>
                <w:b w:val="1"/>
                <w:bCs w:val="1"/>
                <w:color w:val="auto"/>
                <w:w w:val="95"/>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Segment operating expenses</w:t>
            </w: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3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87"/>
              </w:rPr>
              <w:t>(in thousands)</w:t>
            </w: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4"/>
              </w:rPr>
              <w:t>(in thousands)</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7"/>
              </w:rPr>
              <w:t>(in thousands)</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Device Solutions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56,266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(1)%</w:t>
            </w: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56,990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4"/>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54,735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Networked Solutions</w:t>
            </w:r>
          </w:p>
        </w:tc>
        <w:tc>
          <w:tcPr>
            <w:tcW w:w="18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121,692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35%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90,008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87,147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Outcomes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43,960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42,830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3"/>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35,015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Corporate unallocated</w:t>
            </w:r>
          </w:p>
        </w:tc>
        <w:tc>
          <w:tcPr>
            <w:tcW w:w="18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558,093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68%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332,046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color w:val="auto"/>
                <w:w w:val="93"/>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384,642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780,011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49%</w:t>
            </w: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521,874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4"/>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561,539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2018</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2017</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2016</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6"/>
                <w:szCs w:val="16"/>
                <w:b w:val="1"/>
                <w:bCs w:val="1"/>
                <w:i w:val="1"/>
                <w:iCs w:val="1"/>
                <w:color w:val="auto"/>
                <w:w w:val="87"/>
              </w:rPr>
              <w:t>Operating</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9"/>
              </w:rPr>
              <w:t>Operating</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7"/>
              </w:rPr>
              <w:t>Operating</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6"/>
                <w:szCs w:val="16"/>
                <w:b w:val="1"/>
                <w:bCs w:val="1"/>
                <w:i w:val="1"/>
                <w:iCs w:val="1"/>
                <w:color w:val="auto"/>
                <w:w w:val="89"/>
              </w:rPr>
              <w:t>Income</w:t>
            </w:r>
          </w:p>
        </w:tc>
        <w:tc>
          <w:tcPr>
            <w:tcW w:w="86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9"/>
              </w:rPr>
              <w:t>Operating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92"/>
              </w:rPr>
              <w:t>Income</w:t>
            </w: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i w:val="1"/>
                <w:iCs w:val="1"/>
                <w:color w:val="auto"/>
                <w:w w:val="89"/>
              </w:rPr>
              <w:t>Operating</w:t>
            </w:r>
          </w:p>
        </w:tc>
        <w:tc>
          <w:tcPr>
            <w:tcW w:w="180" w:type="dxa"/>
            <w:vAlign w:val="bottom"/>
          </w:tcPr>
          <w:p>
            <w:pPr>
              <w:spacing w:after="0"/>
              <w:rPr>
                <w:sz w:val="17"/>
                <w:szCs w:val="17"/>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9"/>
              </w:rPr>
              <w:t>Income</w:t>
            </w: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i w:val="1"/>
                <w:iCs w:val="1"/>
                <w:color w:val="auto"/>
                <w:w w:val="89"/>
              </w:rPr>
              <w:t>Operating</w:t>
            </w:r>
          </w:p>
        </w:tc>
        <w:tc>
          <w:tcPr>
            <w:tcW w:w="0" w:type="dxa"/>
            <w:vAlign w:val="bottom"/>
          </w:tcPr>
          <w:p>
            <w:pPr>
              <w:spacing w:after="0"/>
              <w:rPr>
                <w:sz w:val="1"/>
                <w:szCs w:val="1"/>
                <w:color w:val="auto"/>
              </w:rPr>
            </w:pPr>
          </w:p>
        </w:tc>
      </w:tr>
      <w:tr>
        <w:trPr>
          <w:trHeight w:val="20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6"/>
                <w:szCs w:val="16"/>
                <w:b w:val="1"/>
                <w:bCs w:val="1"/>
                <w:i w:val="1"/>
                <w:iCs w:val="1"/>
                <w:color w:val="auto"/>
                <w:w w:val="87"/>
              </w:rPr>
              <w:t>(Loss)</w:t>
            </w:r>
          </w:p>
        </w:tc>
        <w:tc>
          <w:tcPr>
            <w:tcW w:w="86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5"/>
              </w:rPr>
              <w:t>Margin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3"/>
              </w:rPr>
              <w:t>(Loss)</w:t>
            </w: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i w:val="1"/>
                <w:iCs w:val="1"/>
                <w:color w:val="auto"/>
                <w:w w:val="95"/>
              </w:rPr>
              <w:t>Margin</w:t>
            </w:r>
          </w:p>
        </w:tc>
        <w:tc>
          <w:tcPr>
            <w:tcW w:w="180" w:type="dxa"/>
            <w:vAlign w:val="bottom"/>
          </w:tcPr>
          <w:p>
            <w:pPr>
              <w:spacing w:after="0"/>
              <w:rPr>
                <w:sz w:val="17"/>
                <w:szCs w:val="17"/>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7"/>
              </w:rPr>
              <w:t>(Loss)</w:t>
            </w: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i w:val="1"/>
                <w:iCs w:val="1"/>
                <w:color w:val="auto"/>
                <w:w w:val="99"/>
              </w:rPr>
              <w:t>Margin</w:t>
            </w:r>
          </w:p>
        </w:tc>
        <w:tc>
          <w:tcPr>
            <w:tcW w:w="0" w:type="dxa"/>
            <w:vAlign w:val="bottom"/>
          </w:tcPr>
          <w:p>
            <w:pPr>
              <w:spacing w:after="0"/>
              <w:rPr>
                <w:sz w:val="1"/>
                <w:szCs w:val="1"/>
                <w:color w:val="auto"/>
              </w:rPr>
            </w:pPr>
          </w:p>
        </w:tc>
      </w:tr>
      <w:tr>
        <w:trPr>
          <w:trHeight w:val="33"/>
        </w:trPr>
        <w:tc>
          <w:tcPr>
            <w:tcW w:w="334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w w:val="90"/>
              </w:rPr>
              <w:t>Segment operating income (loss) and operating</w:t>
            </w: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87"/>
              </w:rPr>
              <w:t>(in thousands)</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4"/>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7"/>
              </w:rPr>
              <w:t>(in thousands)</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margin</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Device Solutions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130,988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14.0%</w:t>
            </w: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159,641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2"/>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178,161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2"/>
              </w:rPr>
              <w:t>19.5%</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Networked Solutions</w:t>
            </w:r>
          </w:p>
        </w:tc>
        <w:tc>
          <w:tcPr>
            <w:tcW w:w="18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360,779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29.5%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322,367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2"/>
              </w:rPr>
              <w:t>34.0%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291,235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2"/>
              </w:rPr>
              <w:t>31.0%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Outcomes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16,634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3"/>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16,239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2"/>
              </w:rPr>
              <w:t>10.2%</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Corporate unallocated</w:t>
            </w:r>
          </w:p>
        </w:tc>
        <w:tc>
          <w:tcPr>
            <w:tcW w:w="18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(558,093)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(332,046)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(384,642)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operating income (loss) and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(49,692)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154,877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100,993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880"/>
              <w:spacing w:after="0"/>
              <w:rPr>
                <w:sz w:val="20"/>
                <w:szCs w:val="20"/>
                <w:color w:val="auto"/>
              </w:rPr>
            </w:pPr>
            <w:r>
              <w:rPr>
                <w:rFonts w:ascii="Arial" w:cs="Arial" w:eastAsia="Arial" w:hAnsi="Arial"/>
                <w:sz w:val="16"/>
                <w:szCs w:val="16"/>
                <w:color w:val="auto"/>
              </w:rPr>
              <w:t>operating margin</w:t>
            </w:r>
          </w:p>
        </w:tc>
        <w:tc>
          <w:tcPr>
            <w:tcW w:w="1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(2.1)%</w:t>
            </w:r>
          </w:p>
        </w:tc>
        <w:tc>
          <w:tcPr>
            <w:tcW w:w="500" w:type="dxa"/>
            <w:vAlign w:val="bottom"/>
            <w:gridSpan w:val="3"/>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w w:val="93"/>
              </w:rPr>
              <w:t>7.7%</w:t>
            </w: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87"/>
              </w:rPr>
              <w:t>5.0%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Device Solutions: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Device Solutions segment financial results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2800" w:type="dxa"/>
            <w:vAlign w:val="bottom"/>
            <w:gridSpan w:val="4"/>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Effect of Changes in</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2800" w:type="dxa"/>
            <w:vAlign w:val="bottom"/>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vMerge w:val="restart"/>
          </w:tcPr>
          <w:p>
            <w:pPr>
              <w:jc w:val="center"/>
              <w:ind w:right="24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00" w:type="dxa"/>
            <w:vAlign w:val="bottom"/>
          </w:tcPr>
          <w:p>
            <w:pPr>
              <w:spacing w:after="0"/>
              <w:rPr>
                <w:sz w:val="11"/>
                <w:szCs w:val="11"/>
                <w:color w:val="auto"/>
              </w:rPr>
            </w:pPr>
          </w:p>
        </w:tc>
        <w:tc>
          <w:tcPr>
            <w:tcW w:w="158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1"/>
              </w:rPr>
              <w:t>Constant Currency</w:t>
            </w: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Exchange Rates</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4"/>
              </w:rPr>
              <w:t>Change</w:t>
            </w:r>
            <w:r>
              <w:rPr>
                <w:rFonts w:ascii="Arial" w:cs="Arial" w:eastAsia="Arial" w:hAnsi="Arial"/>
                <w:sz w:val="21"/>
                <w:szCs w:val="21"/>
                <w:b w:val="1"/>
                <w:bCs w:val="1"/>
                <w:color w:val="auto"/>
                <w:w w:val="84"/>
                <w:vertAlign w:val="superscript"/>
              </w:rPr>
              <w:t>(1)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rPr>
                <w:sz w:val="1"/>
                <w:szCs w:val="1"/>
                <w:color w:val="auto"/>
              </w:rPr>
            </w:pPr>
          </w:p>
        </w:tc>
      </w:tr>
      <w:tr>
        <w:trPr>
          <w:trHeight w:val="352"/>
        </w:trPr>
        <w:tc>
          <w:tcPr>
            <w:tcW w:w="2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Device Solutions Segment</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933,365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882,896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50,469</w:t>
            </w:r>
          </w:p>
        </w:tc>
        <w:tc>
          <w:tcPr>
            <w:tcW w:w="0" w:type="dxa"/>
            <w:vAlign w:val="bottom"/>
          </w:tcPr>
          <w:p>
            <w:pPr>
              <w:spacing w:after="0"/>
              <w:rPr>
                <w:sz w:val="1"/>
                <w:szCs w:val="1"/>
                <w:color w:val="auto"/>
              </w:rPr>
            </w:pP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187,254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216,631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1,484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(30,861)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(29,377)</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56,266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648"/>
        </w:trPr>
        <w:tc>
          <w:tcPr>
            <w:tcW w:w="2700" w:type="dxa"/>
            <w:vAlign w:val="bottom"/>
          </w:tcPr>
          <w:p>
            <w:pPr>
              <w:spacing w:after="0"/>
              <w:rPr>
                <w:sz w:val="24"/>
                <w:szCs w:val="24"/>
                <w:color w:val="auto"/>
              </w:rPr>
            </w:pPr>
          </w:p>
        </w:tc>
        <w:tc>
          <w:tcPr>
            <w:tcW w:w="2800" w:type="dxa"/>
            <w:vAlign w:val="bottom"/>
            <w:gridSpan w:val="4"/>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Effect of Changes in</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2800" w:type="dxa"/>
            <w:vAlign w:val="bottom"/>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vMerge w:val="restart"/>
          </w:tcPr>
          <w:p>
            <w:pPr>
              <w:jc w:val="center"/>
              <w:ind w:right="24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00" w:type="dxa"/>
            <w:vAlign w:val="bottom"/>
          </w:tcPr>
          <w:p>
            <w:pPr>
              <w:spacing w:after="0"/>
              <w:rPr>
                <w:sz w:val="11"/>
                <w:szCs w:val="11"/>
                <w:color w:val="auto"/>
              </w:rPr>
            </w:pPr>
          </w:p>
        </w:tc>
        <w:tc>
          <w:tcPr>
            <w:tcW w:w="158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1"/>
              </w:rPr>
              <w:t>Constant Currency</w:t>
            </w: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Exchange Rates</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4"/>
              </w:rPr>
              <w:t>Change</w:t>
            </w:r>
            <w:r>
              <w:rPr>
                <w:rFonts w:ascii="Arial" w:cs="Arial" w:eastAsia="Arial" w:hAnsi="Arial"/>
                <w:sz w:val="21"/>
                <w:szCs w:val="21"/>
                <w:b w:val="1"/>
                <w:bCs w:val="1"/>
                <w:color w:val="auto"/>
                <w:w w:val="84"/>
                <w:vertAlign w:val="superscript"/>
              </w:rPr>
              <w:t>(1)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rPr>
                <w:sz w:val="1"/>
                <w:szCs w:val="1"/>
                <w:color w:val="auto"/>
              </w:rPr>
            </w:pPr>
          </w:p>
        </w:tc>
      </w:tr>
      <w:tr>
        <w:trPr>
          <w:trHeight w:val="352"/>
        </w:trPr>
        <w:tc>
          <w:tcPr>
            <w:tcW w:w="2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Device Solutions Segment</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882,896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913,521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(30,625)</w:t>
            </w:r>
          </w:p>
        </w:tc>
        <w:tc>
          <w:tcPr>
            <w:tcW w:w="0" w:type="dxa"/>
            <w:vAlign w:val="bottom"/>
          </w:tcPr>
          <w:p>
            <w:pPr>
              <w:spacing w:after="0"/>
              <w:rPr>
                <w:sz w:val="1"/>
                <w:szCs w:val="1"/>
                <w:color w:val="auto"/>
              </w:rPr>
            </w:pP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216,631</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232,896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(15,909)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(16,265)</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10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56,990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54,735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1,724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w:t>
            </w:r>
          </w:p>
        </w:tc>
        <w:tc>
          <w:tcPr>
            <w:tcW w:w="0" w:type="dxa"/>
            <w:vAlign w:val="bottom"/>
          </w:tcPr>
          <w:p>
            <w:pPr>
              <w:spacing w:after="0"/>
              <w:rPr>
                <w:sz w:val="1"/>
                <w:szCs w:val="1"/>
                <w:color w:val="auto"/>
              </w:rPr>
            </w:pPr>
          </w:p>
        </w:tc>
      </w:tr>
      <w:tr>
        <w:trPr>
          <w:trHeight w:val="33"/>
        </w:trPr>
        <w:tc>
          <w:tcPr>
            <w:tcW w:w="27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- 2018 vs. 2017</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Revenues increased by $50.5 million in 2018, or 6%, compared with 2017. This was a result of an increased meter deployment in EMEA and increased product sales in Latin America. The improvements were partially offset by a decline in product sales in North America.</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- 2017 vs. 2016</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Revenues decreased by $30.6 million in 2017, or 3%, compared with 2016. This was a result of completion of various contracts in North America and EMEA partly offset by increased product revenue in EMEA.</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- 2018 vs. 2017</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Gross margin was 20.1% in 2018, compared with 24.5% in 2017. The 440 basis point deterioration compared with the prior year was due to unfavorable product mix, supply chain transition inefficiencies, increased component costs, as well as higher warranty charges in 2018.</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- 2017 vs. 2016</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Gross margin was 24.5% in 2017, compared with 25.5% in 2016. The 100 basis point deterioration over the prior year was primarily the result of unfavorable product mix.</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- 2018 vs.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decreased $0.7 million, or 1%. The decrease was primarily due to lower product development expense.</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- 2017 vs. 2016</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Operating expenses increased by $2.3 million, or 4%. The increase was primarily due to higher product marketing expense partially offset by lower product development expense.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Networked Solutions: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Networked Solutions segment financial results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80" w:type="dxa"/>
            <w:vAlign w:val="bottom"/>
            <w:gridSpan w:val="4"/>
            <w:vMerge w:val="restart"/>
          </w:tcPr>
          <w:p>
            <w:pPr>
              <w:jc w:val="right"/>
              <w:ind w:right="739"/>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Effect of Changes in</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8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vMerge w:val="restart"/>
          </w:tcPr>
          <w:p>
            <w:pPr>
              <w:jc w:val="center"/>
              <w:ind w:right="24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00" w:type="dxa"/>
            <w:vAlign w:val="bottom"/>
          </w:tcPr>
          <w:p>
            <w:pPr>
              <w:spacing w:after="0"/>
              <w:rPr>
                <w:sz w:val="11"/>
                <w:szCs w:val="11"/>
                <w:color w:val="auto"/>
              </w:rPr>
            </w:pPr>
          </w:p>
        </w:tc>
        <w:tc>
          <w:tcPr>
            <w:tcW w:w="158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1"/>
              </w:rPr>
              <w:t>Constant Currency</w:t>
            </w: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Exchange Rates</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rPr>
                <w:sz w:val="1"/>
                <w:szCs w:val="1"/>
                <w:color w:val="auto"/>
              </w:rPr>
            </w:pPr>
          </w:p>
        </w:tc>
      </w:tr>
      <w:tr>
        <w:trPr>
          <w:trHeight w:val="501"/>
        </w:trPr>
        <w:tc>
          <w:tcPr>
            <w:tcW w:w="2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Networked Solutions Segment</w:t>
            </w: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7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1,224,144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947,384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271,757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276,760</w:t>
            </w:r>
          </w:p>
        </w:tc>
        <w:tc>
          <w:tcPr>
            <w:tcW w:w="0" w:type="dxa"/>
            <w:vAlign w:val="bottom"/>
          </w:tcPr>
          <w:p>
            <w:pPr>
              <w:spacing w:after="0"/>
              <w:rPr>
                <w:sz w:val="1"/>
                <w:szCs w:val="1"/>
                <w:color w:val="auto"/>
              </w:rPr>
            </w:pPr>
          </w:p>
        </w:tc>
      </w:tr>
      <w:tr>
        <w:trPr>
          <w:trHeight w:val="237"/>
        </w:trPr>
        <w:tc>
          <w:tcPr>
            <w:tcW w:w="2760" w:type="dxa"/>
            <w:vAlign w:val="bottom"/>
          </w:tcPr>
          <w:p>
            <w:pPr>
              <w:ind w:left="180"/>
              <w:spacing w:after="0"/>
              <w:rPr>
                <w:sz w:val="20"/>
                <w:szCs w:val="20"/>
                <w:color w:val="auto"/>
              </w:rPr>
            </w:pPr>
            <w:r>
              <w:rPr>
                <w:rFonts w:ascii="Arial" w:cs="Arial" w:eastAsia="Arial" w:hAnsi="Arial"/>
                <w:sz w:val="16"/>
                <w:szCs w:val="16"/>
                <w:color w:val="auto"/>
              </w:rPr>
              <w:t>Gross profit</w:t>
            </w: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482,471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412,375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3,820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66,276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70,096</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121,692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31,684</w:t>
            </w:r>
          </w:p>
        </w:tc>
        <w:tc>
          <w:tcPr>
            <w:tcW w:w="0" w:type="dxa"/>
            <w:vAlign w:val="bottom"/>
          </w:tcPr>
          <w:p>
            <w:pPr>
              <w:spacing w:after="0"/>
              <w:rPr>
                <w:sz w:val="1"/>
                <w:szCs w:val="1"/>
                <w:color w:val="auto"/>
              </w:rPr>
            </w:pPr>
          </w:p>
        </w:tc>
      </w:tr>
      <w:tr>
        <w:trPr>
          <w:trHeight w:val="648"/>
        </w:trPr>
        <w:tc>
          <w:tcPr>
            <w:tcW w:w="2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80" w:type="dxa"/>
            <w:vAlign w:val="bottom"/>
            <w:gridSpan w:val="4"/>
            <w:vMerge w:val="restart"/>
          </w:tcPr>
          <w:p>
            <w:pPr>
              <w:jc w:val="right"/>
              <w:ind w:right="739"/>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Effect of Changes in</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8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vMerge w:val="restart"/>
          </w:tcPr>
          <w:p>
            <w:pPr>
              <w:jc w:val="center"/>
              <w:ind w:right="24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00" w:type="dxa"/>
            <w:vAlign w:val="bottom"/>
          </w:tcPr>
          <w:p>
            <w:pPr>
              <w:spacing w:after="0"/>
              <w:rPr>
                <w:sz w:val="11"/>
                <w:szCs w:val="11"/>
                <w:color w:val="auto"/>
              </w:rPr>
            </w:pPr>
          </w:p>
        </w:tc>
        <w:tc>
          <w:tcPr>
            <w:tcW w:w="158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1"/>
              </w:rPr>
              <w:t>Constant Currency</w:t>
            </w: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Exchange Rates</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rPr>
                <w:sz w:val="1"/>
                <w:szCs w:val="1"/>
                <w:color w:val="auto"/>
              </w:rPr>
            </w:pPr>
          </w:p>
        </w:tc>
      </w:tr>
      <w:tr>
        <w:trPr>
          <w:trHeight w:val="352"/>
        </w:trPr>
        <w:tc>
          <w:tcPr>
            <w:tcW w:w="2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Networked Solutions Segment</w:t>
            </w: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7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947,384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939,681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7,703</w:t>
            </w:r>
          </w:p>
        </w:tc>
        <w:tc>
          <w:tcPr>
            <w:tcW w:w="0" w:type="dxa"/>
            <w:vAlign w:val="bottom"/>
          </w:tcPr>
          <w:p>
            <w:pPr>
              <w:spacing w:after="0"/>
              <w:rPr>
                <w:sz w:val="1"/>
                <w:szCs w:val="1"/>
                <w:color w:val="auto"/>
              </w:rPr>
            </w:pPr>
          </w:p>
        </w:tc>
      </w:tr>
      <w:tr>
        <w:trPr>
          <w:trHeight w:val="237"/>
        </w:trPr>
        <w:tc>
          <w:tcPr>
            <w:tcW w:w="2760" w:type="dxa"/>
            <w:vAlign w:val="bottom"/>
          </w:tcPr>
          <w:p>
            <w:pPr>
              <w:ind w:left="180"/>
              <w:spacing w:after="0"/>
              <w:rPr>
                <w:sz w:val="20"/>
                <w:szCs w:val="20"/>
                <w:color w:val="auto"/>
              </w:rPr>
            </w:pPr>
            <w:r>
              <w:rPr>
                <w:rFonts w:ascii="Arial" w:cs="Arial" w:eastAsia="Arial" w:hAnsi="Arial"/>
                <w:sz w:val="16"/>
                <w:szCs w:val="16"/>
                <w:color w:val="auto"/>
              </w:rPr>
              <w:t>Gross profit</w:t>
            </w: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412,375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378,382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1,611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32,382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33,993</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expenses</w:t>
            </w: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90,008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87,147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2,866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33"/>
        </w:trPr>
        <w:tc>
          <w:tcPr>
            <w:tcW w:w="2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- 2018 vs. 2017</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Revenues increased by $276.8 million, or 29%, in 2018 compared with 2017. This increase in revenues was primarily related to the acquisition of SSNI, partially offset by decrease in product revenue due to completion of significant projects in the prior year.</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- 2017 vs. 2016</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Revenues increased by $7.7 million, or 1%, in 2017 compared with 2016. This increase in revenue was primarily driven by increase in smart metering revenues in North America, partially offset by the completion of significant projects in the prior year.</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- 2018 vs. 2017</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Gross margin was 39.4% in 2018, compared with 43.5% in 2017. The decrease of 410 basis points was driven by unfavorable product mix, as well as higher warranty expenses in 2018 due to the insurance recovery received in 2017.</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- 2017 vs. 2016</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Gross margin was 43.5% in 2017, compared with 40.3% in 2016. The increase of 320 basis points was primarily driven by favorable product mix as well as lower warranty expenses due to the insurance recovery received in 2017.</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- 2018 vs. 2017</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Operating expenses increased by $31.7 million, or 35%, in 2018. The increase was primarily due to higher product development expenses due to our acquisition of SSNI in 2018.</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- 2017 vs. 2016</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Operating expenses increased by $2.9 million, or 3% in 2017. The increase in product marketing and product development was related to variable compensation and professional service expenses.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Outcomes: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Outcomes segment financial results were as follows: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2800" w:type="dxa"/>
            <w:vAlign w:val="bottom"/>
            <w:gridSpan w:val="4"/>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Effect of Changes in</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2800" w:type="dxa"/>
            <w:vAlign w:val="bottom"/>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vMerge w:val="restart"/>
          </w:tcPr>
          <w:p>
            <w:pPr>
              <w:jc w:val="center"/>
              <w:ind w:right="24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00" w:type="dxa"/>
            <w:vAlign w:val="bottom"/>
          </w:tcPr>
          <w:p>
            <w:pPr>
              <w:spacing w:after="0"/>
              <w:rPr>
                <w:sz w:val="11"/>
                <w:szCs w:val="11"/>
                <w:color w:val="auto"/>
              </w:rPr>
            </w:pPr>
          </w:p>
        </w:tc>
        <w:tc>
          <w:tcPr>
            <w:tcW w:w="158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1"/>
              </w:rPr>
              <w:t>Constant Currency</w:t>
            </w: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Exchange Rates</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4"/>
              </w:rPr>
              <w:t>Change</w:t>
            </w:r>
            <w:r>
              <w:rPr>
                <w:rFonts w:ascii="Arial" w:cs="Arial" w:eastAsia="Arial" w:hAnsi="Arial"/>
                <w:sz w:val="21"/>
                <w:szCs w:val="21"/>
                <w:b w:val="1"/>
                <w:bCs w:val="1"/>
                <w:color w:val="auto"/>
                <w:w w:val="84"/>
                <w:vertAlign w:val="superscript"/>
              </w:rPr>
              <w:t>(1)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rPr>
                <w:sz w:val="1"/>
                <w:szCs w:val="1"/>
                <w:color w:val="auto"/>
              </w:rPr>
            </w:pPr>
          </w:p>
        </w:tc>
      </w:tr>
      <w:tr>
        <w:trPr>
          <w:trHeight w:val="352"/>
        </w:trPr>
        <w:tc>
          <w:tcPr>
            <w:tcW w:w="2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Outcomes Segment</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218,608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187,917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30,691</w:t>
            </w:r>
          </w:p>
        </w:tc>
        <w:tc>
          <w:tcPr>
            <w:tcW w:w="0" w:type="dxa"/>
            <w:vAlign w:val="bottom"/>
          </w:tcPr>
          <w:p>
            <w:pPr>
              <w:spacing w:after="0"/>
              <w:rPr>
                <w:sz w:val="1"/>
                <w:szCs w:val="1"/>
                <w:color w:val="auto"/>
              </w:rPr>
            </w:pP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60,594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47,745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12,094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12,849</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43,960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648"/>
        </w:trPr>
        <w:tc>
          <w:tcPr>
            <w:tcW w:w="2700" w:type="dxa"/>
            <w:vAlign w:val="bottom"/>
          </w:tcPr>
          <w:p>
            <w:pPr>
              <w:spacing w:after="0"/>
              <w:rPr>
                <w:sz w:val="24"/>
                <w:szCs w:val="24"/>
                <w:color w:val="auto"/>
              </w:rPr>
            </w:pPr>
          </w:p>
        </w:tc>
        <w:tc>
          <w:tcPr>
            <w:tcW w:w="2800" w:type="dxa"/>
            <w:vAlign w:val="bottom"/>
            <w:gridSpan w:val="4"/>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Effect of Changes in</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2800" w:type="dxa"/>
            <w:vAlign w:val="bottom"/>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vMerge w:val="restart"/>
          </w:tcPr>
          <w:p>
            <w:pPr>
              <w:jc w:val="center"/>
              <w:ind w:right="24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00" w:type="dxa"/>
            <w:vAlign w:val="bottom"/>
          </w:tcPr>
          <w:p>
            <w:pPr>
              <w:spacing w:after="0"/>
              <w:rPr>
                <w:sz w:val="11"/>
                <w:szCs w:val="11"/>
                <w:color w:val="auto"/>
              </w:rPr>
            </w:pPr>
          </w:p>
        </w:tc>
        <w:tc>
          <w:tcPr>
            <w:tcW w:w="158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1"/>
              </w:rPr>
              <w:t>Constant Currency</w:t>
            </w: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Exchange Rates</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4"/>
              </w:rPr>
              <w:t>Change</w:t>
            </w:r>
            <w:r>
              <w:rPr>
                <w:rFonts w:ascii="Arial" w:cs="Arial" w:eastAsia="Arial" w:hAnsi="Arial"/>
                <w:sz w:val="21"/>
                <w:szCs w:val="21"/>
                <w:b w:val="1"/>
                <w:bCs w:val="1"/>
                <w:color w:val="auto"/>
                <w:w w:val="84"/>
                <w:vertAlign w:val="superscript"/>
              </w:rPr>
              <w:t>(1)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rPr>
                <w:sz w:val="1"/>
                <w:szCs w:val="1"/>
                <w:color w:val="auto"/>
              </w:rPr>
            </w:pPr>
          </w:p>
        </w:tc>
      </w:tr>
      <w:tr>
        <w:trPr>
          <w:trHeight w:val="352"/>
        </w:trPr>
        <w:tc>
          <w:tcPr>
            <w:tcW w:w="2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Outcomes Segment</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187,917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159,984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27,933</w:t>
            </w:r>
          </w:p>
        </w:tc>
        <w:tc>
          <w:tcPr>
            <w:tcW w:w="0" w:type="dxa"/>
            <w:vAlign w:val="bottom"/>
          </w:tcPr>
          <w:p>
            <w:pPr>
              <w:spacing w:after="0"/>
              <w:rPr>
                <w:sz w:val="1"/>
                <w:szCs w:val="1"/>
                <w:color w:val="auto"/>
              </w:rPr>
            </w:pP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47,745</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51,254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(3,509)</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10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42,830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35,015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7,841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7,815</w:t>
            </w:r>
          </w:p>
        </w:tc>
        <w:tc>
          <w:tcPr>
            <w:tcW w:w="0" w:type="dxa"/>
            <w:vAlign w:val="bottom"/>
          </w:tcPr>
          <w:p>
            <w:pPr>
              <w:spacing w:after="0"/>
              <w:rPr>
                <w:sz w:val="1"/>
                <w:szCs w:val="1"/>
                <w:color w:val="auto"/>
              </w:rPr>
            </w:pPr>
          </w:p>
        </w:tc>
      </w:tr>
      <w:tr>
        <w:trPr>
          <w:trHeight w:val="33"/>
        </w:trPr>
        <w:tc>
          <w:tcPr>
            <w:tcW w:w="27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- 2018 vs. 2017</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Revenues increased $30.7 million, or 16%, in 2018. This increase was primarily due to the acquisition of SSNI and a full year of revenue incurred from the acquisition of Peak Holding Corp. (Comverge). This increase was partially offset by decrease in service revenue in EMEA and North America.</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- 2017 vs. 2016</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Revenues increased $27.9 million, or 17%, in 2017. This was the result of increased revenue in North America due to the Comverge acquisition. This was partially offset by decline in service revenues in EMEA.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- 2018 vs. 2017</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Gross margin increased to 27.7% in 2018, compared with 25.4% in 2017. The 230 basis point increase was driven by the acquisition of SSNI and partially offset by lower margin services in EMEA and North America.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- 2017 vs. 2016</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Gross margin decreased to 25.4% in 2017, compared with 32.0% in 2016. The 660 basis point decrease was driven by an increase in investment spending within managed services to support growth initiatives and a decline in services in EMEA.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- 2018 vs.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increased $1.1 million, or 3%, in 2018. The increase was due to higher product development expense.</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- 2017 vs. 2016</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Operating expenses increased by $7.8 million, or 22% in 2017. The increase was primarily due to higher product marketing and product development expense related to the Comverge acquisition.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increased $226.0 million, or 68%, in 2018 as compared with 2017. The increase was primarily due to higher acquisition and integration expense related to the SSNI acquisition of $74.8 million and restructuring expense for the 2018 Projects of $78.1 million. In addition, as a result of the SSNI acquisition, amortization of intangible assets increased by $50.9 million, as well as higher sales, general and administrative expenses. These increases were partially offset by lower variable compensation expense.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unallocated expenses decreased $52.6 million, or 14%, in 2017 as compared with 2016. The decrease was primarily in lower restructuring expense for the 2016 Projects of $42.7 million and professional fees associated with audit, accounting, and legal services, partially offset by an increase in acquisition and integration related expenses of $17.3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109,755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191,354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115,842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0"/>
              </w:rPr>
              <w:t>(862,658)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(148,179)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(47,528)</w:t>
            </w:r>
          </w:p>
        </w:tc>
      </w:tr>
      <w:tr>
        <w:trPr>
          <w:trHeight w:val="33"/>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395,821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301,959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(63,023)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8,636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(2,744)</w:t>
            </w:r>
          </w:p>
        </w:tc>
      </w:tr>
      <w:tr>
        <w:trPr>
          <w:trHeight w:val="33"/>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(Decrease) increase in cash, cash equivalents, and restricted cash</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(365,007)</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353,770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cash equivalents, and restricted cash at December 31, 2018 were $122.3 million, compared with $487.3 million at December 31, 2017. The $365.0 million decrease in cash, cash equivalents, and restricted cash was primarily the result of investing activities related to our acquisition of SSNI and a decrease in cash flows provided by operating activities, due to SSNI acquisition and integration, and restructuring costs, partially offset by increased net proceeds from borrowings associated with financing the acquisition of SSNI of $109.6 million.</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Cash, cash equivalents, and restricted cash at December 31, 2017 were $487.3 million compared with $133.6 million at December 31, 2016. The $353.8 million increase in cash, cash equivalents, and restricted cash was primarily the result of our net financing activities in anticipation of our acquisitions of SSNI, as well as an increase in cash flow provided by operating activities. The overall increase was partially offset by the acquisition of Comverge in 2017.</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provided by operating activities in 2018 was $81.6 million lower than in 2017. This decrease was primarily due to a reduction in net income (loss) adjusted for non-cash items and changes in operating asset and liabilities. Net loss for the year ended December 31, 2018 includes $91.9 million of acquisition and integration related expenses, the majority of which were paid in cash. In addition, cash provided from accounts payable decreased $48.9 million primarily due to the timing of payments in 2017. While warranty liabilities increased $25.6 million in 2018, cash paid for claims activity was lower compared with 2017, resulting in a $31.4 million decrease in use of cash.</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Net cash provided by operating activities in 2017 was $75.5 million higher than 2016. This increase was due to an improvement in net income adjusted for non-cash items and changes in operating asset and liabilities. Favorable adjustments include a $115.8 million reduction in cash used for accounts payable, other current liabilities, and taxes payable primarily due to the timing of payments and a litigation payment made during the year ended December 31, 2016. Unfavorable adjustments include a $38.6 million increase in use of cash to purchase inventory, primarily related to </w:t>
      </w:r>
      <w:r>
        <w:rPr>
          <w:rFonts w:ascii="Arial" w:cs="Arial" w:eastAsia="Arial" w:hAnsi="Arial"/>
          <w:sz w:val="17"/>
          <w:szCs w:val="17"/>
          <w:color w:val="222222"/>
        </w:rPr>
        <w:t>our strategic sourcing projects and related</w:t>
      </w:r>
      <w:r>
        <w:rPr>
          <w:rFonts w:ascii="Arial" w:cs="Arial" w:eastAsia="Arial" w:hAnsi="Arial"/>
          <w:sz w:val="17"/>
          <w:szCs w:val="17"/>
          <w:color w:val="auto"/>
        </w:rPr>
        <w:t xml:space="preserve"> </w:t>
      </w:r>
      <w:r>
        <w:rPr>
          <w:rFonts w:ascii="Arial" w:cs="Arial" w:eastAsia="Arial" w:hAnsi="Arial"/>
          <w:sz w:val="17"/>
          <w:szCs w:val="17"/>
          <w:color w:val="222222"/>
        </w:rPr>
        <w:t xml:space="preserve">manufacturing and supplier transitions </w:t>
      </w:r>
      <w:r>
        <w:rPr>
          <w:rFonts w:ascii="Arial" w:cs="Arial" w:eastAsia="Arial" w:hAnsi="Arial"/>
          <w:sz w:val="17"/>
          <w:szCs w:val="17"/>
          <w:color w:val="000000"/>
        </w:rPr>
        <w:t>during the year ended December 31, 2017.</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cash used in investing activities in 2018 was $714.5 million higher than in 2017. This increased use of cash was primarily related to our acquisition of SSNI during the year ended December 31, 2018, partially offset by reduction of cash used for the Comverge acquisition.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in 2017 was $100.7 million higher than in 2016. This increase use of cash was primarily related to our acquisition of Comverge during the year ended December 31,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financing activities in 2018 was $93.9 million higher than in 2017. The increase in cash provided by financing activities was primarily caused by $778.9 million of proceeds from borrowings utilized for the acquisition of SSNI in 2018. This was partially offset by $363.4 million use of cash for debt repayment, and $24.0 million use of cash for debt issuance costs.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in 2017 was $302.0 million, compared with a net use of cash of $63.0 million in 2016. The increase in cash provided by financing activities was primarily caused by the issuance of $300 million of senior notes at the end of 2017 to finance the acquisition of SSNI. In addition, net debt repayments for the year ended December 31, 2016 were $54.9 million greater than in 2017, as cash provided from operating activities in 2017 was retained and used for the acquisitions of Comverge and SSNI.</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exchange rates on the cash balances of currencies held in foreign denominations resulted in a decrease of $7.9 million, an increase of $8.6 million, and a decrease of $2.7 million in 2018, 2017, and 2016, respectively. Our foreign currency exposure relates to non-U.S. dollar denominated balances in our international subsidiary operations, the most significant of which is the Euro.</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6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6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109,755</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191,354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115,842</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Acquisitions of property, plant, and equipment</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(59,952)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(49,495)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(43,543)</w:t>
            </w:r>
          </w:p>
        </w:tc>
      </w:tr>
      <w:tr>
        <w:trPr>
          <w:trHeight w:val="33"/>
        </w:trPr>
        <w:tc>
          <w:tcPr>
            <w:tcW w:w="6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Free cash flow</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49,803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141,859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72,299</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Free cash flow fluctuated primarily as a result of changes in cash provided by operating activities. See the cash flow discussion of operating activities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 off-balance sheet financing agreements or guarantees as defined by Item 303 of Regulation S-K at December 31, 2018 and December 31, 2017 that we believe are reasonably likely to have a current or future effect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about contractual obligations and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known obligations to make future payments pursuant to certain contracts as of December 31, 2018, as well as an estimate of the timing in which these obligations are expected to be satisfied.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Less than</w:t>
            </w:r>
          </w:p>
        </w:tc>
        <w:tc>
          <w:tcPr>
            <w:tcW w:w="100" w:type="dxa"/>
            <w:vAlign w:val="bottom"/>
          </w:tcPr>
          <w:p>
            <w:pPr>
              <w:spacing w:after="0"/>
              <w:rPr>
                <w:sz w:val="17"/>
                <w:szCs w:val="17"/>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19"/>
              <w:spacing w:after="0"/>
              <w:rPr>
                <w:sz w:val="20"/>
                <w:szCs w:val="20"/>
                <w:color w:val="auto"/>
              </w:rPr>
            </w:pPr>
            <w:r>
              <w:rPr>
                <w:rFonts w:ascii="Arial" w:cs="Arial" w:eastAsia="Arial" w:hAnsi="Arial"/>
                <w:sz w:val="16"/>
                <w:szCs w:val="16"/>
                <w:b w:val="1"/>
                <w:bCs w:val="1"/>
                <w:color w:val="auto"/>
              </w:rPr>
              <w:t>3-5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279"/>
              <w:spacing w:after="0"/>
              <w:rPr>
                <w:sz w:val="20"/>
                <w:szCs w:val="20"/>
                <w:color w:val="auto"/>
              </w:rPr>
            </w:pPr>
            <w:r>
              <w:rPr>
                <w:rFonts w:ascii="Arial" w:cs="Arial" w:eastAsia="Arial" w:hAnsi="Arial"/>
                <w:sz w:val="16"/>
                <w:szCs w:val="16"/>
                <w:b w:val="1"/>
                <w:bCs w:val="1"/>
                <w:color w:val="auto"/>
              </w:rPr>
              <w:t>Beyond</w:t>
            </w:r>
          </w:p>
        </w:tc>
      </w:t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1 year</w:t>
            </w:r>
          </w:p>
        </w:tc>
        <w:tc>
          <w:tcPr>
            <w:tcW w:w="100" w:type="dxa"/>
            <w:vAlign w:val="bottom"/>
          </w:tcPr>
          <w:p>
            <w:pPr>
              <w:spacing w:after="0"/>
              <w:rPr>
                <w:sz w:val="18"/>
                <w:szCs w:val="18"/>
                <w:color w:val="auto"/>
              </w:rPr>
            </w:pP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years</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4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b w:val="1"/>
                <w:bCs w:val="1"/>
                <w:color w:val="auto"/>
              </w:rPr>
              <w:t>5 years</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52"/>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3"/>
        </w:trPr>
        <w:tc>
          <w:tcPr>
            <w:tcW w:w="4700" w:type="dxa"/>
            <w:vAlign w:val="bottom"/>
          </w:tcPr>
          <w:p>
            <w:pPr>
              <w:ind w:left="40"/>
              <w:spacing w:after="0"/>
              <w:rPr>
                <w:sz w:val="20"/>
                <w:szCs w:val="20"/>
                <w:color w:val="auto"/>
              </w:rPr>
            </w:pPr>
            <w:r>
              <w:rPr>
                <w:rFonts w:ascii="Arial" w:cs="Arial" w:eastAsia="Arial" w:hAnsi="Arial"/>
                <w:sz w:val="16"/>
                <w:szCs w:val="16"/>
                <w:color w:val="auto"/>
              </w:rPr>
              <w:t>Credit facility</w:t>
            </w:r>
            <w:r>
              <w:rPr>
                <w:rFonts w:ascii="Arial" w:cs="Arial" w:eastAsia="Arial" w:hAnsi="Arial"/>
                <w:sz w:val="21"/>
                <w:szCs w:val="21"/>
                <w:color w:val="auto"/>
                <w:vertAlign w:val="superscript"/>
              </w:rPr>
              <w:t>(1)</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USD denominated term loan</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734,259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154,129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524,335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tcPr>
          <w:p>
            <w:pPr>
              <w:ind w:left="36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Senior notes </w:t>
            </w:r>
            <w:r>
              <w:rPr>
                <w:rFonts w:ascii="Arial" w:cs="Arial" w:eastAsia="Arial" w:hAnsi="Arial"/>
                <w:sz w:val="21"/>
                <w:szCs w:val="21"/>
                <w:color w:val="auto"/>
                <w:vertAlign w:val="superscript"/>
              </w:rPr>
              <w:t>(5)</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550,000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20,000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450,000</w:t>
            </w: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Operating lease obligations</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90,059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17,456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26,241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19,659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26,703</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and service commitments</w:t>
            </w:r>
            <w:r>
              <w:rPr>
                <w:rFonts w:ascii="Arial" w:cs="Arial" w:eastAsia="Arial" w:hAnsi="Arial"/>
                <w:sz w:val="21"/>
                <w:szCs w:val="21"/>
                <w:color w:val="auto"/>
                <w:vertAlign w:val="superscript"/>
              </w:rPr>
              <w:t>(3)</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319,791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306,287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13,220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700" w:type="dxa"/>
            <w:vAlign w:val="bottom"/>
          </w:tcPr>
          <w:p>
            <w:pPr>
              <w:ind w:left="40"/>
              <w:spacing w:after="0"/>
              <w:rPr>
                <w:sz w:val="20"/>
                <w:szCs w:val="20"/>
                <w:color w:val="auto"/>
              </w:rPr>
            </w:pPr>
            <w:r>
              <w:rPr>
                <w:rFonts w:ascii="Arial" w:cs="Arial" w:eastAsia="Arial" w:hAnsi="Arial"/>
                <w:sz w:val="16"/>
                <w:szCs w:val="16"/>
                <w:color w:val="auto"/>
              </w:rPr>
              <w:t>Other long-term liabilities reflected on the balance sheet under</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9"/>
        </w:trPr>
        <w:tc>
          <w:tcPr>
            <w:tcW w:w="4700" w:type="dxa"/>
            <w:vAlign w:val="bottom"/>
          </w:tcPr>
          <w:p>
            <w:pPr>
              <w:ind w:left="120"/>
              <w:spacing w:after="0" w:line="239" w:lineRule="exact"/>
              <w:rPr>
                <w:sz w:val="20"/>
                <w:szCs w:val="20"/>
                <w:color w:val="auto"/>
              </w:rPr>
            </w:pPr>
            <w:r>
              <w:rPr>
                <w:rFonts w:ascii="Arial" w:cs="Arial" w:eastAsia="Arial" w:hAnsi="Arial"/>
                <w:sz w:val="16"/>
                <w:szCs w:val="16"/>
                <w:color w:val="auto"/>
              </w:rPr>
              <w:t>generally accepted accounting principles</w:t>
            </w:r>
            <w:r>
              <w:rPr>
                <w:rFonts w:ascii="Arial" w:cs="Arial" w:eastAsia="Arial" w:hAnsi="Arial"/>
                <w:sz w:val="21"/>
                <w:szCs w:val="21"/>
                <w:color w:val="auto"/>
                <w:vertAlign w:val="superscript"/>
              </w:rPr>
              <w:t>(4)</w:t>
            </w:r>
          </w:p>
        </w:tc>
        <w:tc>
          <w:tcPr>
            <w:tcW w:w="30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129,913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88,786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11,663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29,464</w:t>
            </w:r>
          </w:p>
        </w:tc>
      </w:tr>
      <w:tr>
        <w:trPr>
          <w:trHeight w:val="244"/>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1,824,022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399,538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322,376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595,941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506,167</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Borrowings are disclosed within Item 8: "Financial Statements and Supplementary Data, Note 6: Debt".</w:t>
      </w:r>
    </w:p>
    <w:p>
      <w:pPr>
        <w:spacing w:after="0" w:line="171" w:lineRule="exact"/>
        <w:rPr>
          <w:rFonts w:ascii="Arial" w:cs="Arial" w:eastAsia="Arial" w:hAnsi="Arial"/>
          <w:sz w:val="22"/>
          <w:szCs w:val="22"/>
          <w:color w:val="auto"/>
          <w:vertAlign w:val="superscript"/>
        </w:rPr>
      </w:pPr>
    </w:p>
    <w:p>
      <w:pPr>
        <w:ind w:left="340" w:hanging="332"/>
        <w:spacing w:after="0" w:line="217"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Operating lease obligations are disclosed in Item 8: "Financial Statements and Supplementary Data, Note 12: Commitments and Contingencies" and do not include common area maintenance charges, real estate taxes, and insurance charges for which we are obligated.</w:t>
      </w:r>
    </w:p>
    <w:p>
      <w:pPr>
        <w:spacing w:after="0" w:line="172" w:lineRule="exact"/>
        <w:rPr>
          <w:rFonts w:ascii="Arial" w:cs="Arial" w:eastAsia="Arial" w:hAnsi="Arial"/>
          <w:sz w:val="22"/>
          <w:szCs w:val="22"/>
          <w:color w:val="auto"/>
          <w:vertAlign w:val="superscript"/>
        </w:rPr>
      </w:pPr>
    </w:p>
    <w:p>
      <w:pPr>
        <w:jc w:val="both"/>
        <w:ind w:left="340" w:hanging="332"/>
        <w:spacing w:after="0" w:line="230"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We enter into standard purchase orders in the ordinary course of business that typically obligate us to purchase materials and other items. Purchase orders can include open-ended agreements that provide for estimated quantities over an extended shipment period, typically up to one year at an established unit cost. Our long-term executory purchase agreements that contain termination clauses have been classified as less than one year, as the commitments are the estimated amounts we would be required to pay at December 31, 2018 if the commitments were canceled.</w:t>
      </w:r>
    </w:p>
    <w:p>
      <w:pPr>
        <w:spacing w:after="0" w:line="187" w:lineRule="exact"/>
        <w:rPr>
          <w:rFonts w:ascii="Arial" w:cs="Arial" w:eastAsia="Arial" w:hAnsi="Arial"/>
          <w:sz w:val="22"/>
          <w:szCs w:val="22"/>
          <w:color w:val="auto"/>
          <w:vertAlign w:val="superscript"/>
        </w:rPr>
      </w:pPr>
    </w:p>
    <w:p>
      <w:pPr>
        <w:jc w:val="both"/>
        <w:ind w:left="340" w:hanging="332"/>
        <w:spacing w:after="0" w:line="261"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 xml:space="preserve">Other long-term liabilities consist of warranty obligations, estimated pension benefit payments, and other obligations. Estimated pension benefit payments include amounts from 2019-2027. Long-term unrecognized tax benefits totaling $18.6 million (net of pre-payments), which include accrued interest and penalties, are not included in the above contractual obligations and commitments table as we cannot reliably estimate the period of cash settlement with the respective taxing authorities. Additionally, because the amount and timing of the future cash outflows are uncertain, unearned revenue totaling $35.3 million, which includes unearned revenue related to extended warranty guarantees, is not included in the table. For further information on defined benefit pension plans, income taxes, warranty obligations, and unearned revenue for extended warranties, see Item 8: </w:t>
      </w:r>
      <w:r>
        <w:rPr>
          <w:rFonts w:ascii="Arial" w:cs="Arial" w:eastAsia="Arial" w:hAnsi="Arial"/>
          <w:sz w:val="18"/>
          <w:szCs w:val="18"/>
          <w:color w:val="auto"/>
        </w:rPr>
        <w:t>"</w:t>
      </w:r>
      <w:r>
        <w:rPr>
          <w:rFonts w:ascii="Arial" w:cs="Arial" w:eastAsia="Arial" w:hAnsi="Arial"/>
          <w:sz w:val="16"/>
          <w:szCs w:val="16"/>
          <w:color w:val="auto"/>
        </w:rPr>
        <w:t>Financial Statements and Supplementary Data, Note 8: Defined Benefit Pension Plans, Note 11: Income Taxes, Note 12: Commitments and Contingencies, and Note 18: Revenues,</w:t>
      </w:r>
      <w:r>
        <w:rPr>
          <w:rFonts w:ascii="Arial" w:cs="Arial" w:eastAsia="Arial" w:hAnsi="Arial"/>
          <w:sz w:val="18"/>
          <w:szCs w:val="18"/>
          <w:color w:val="auto"/>
        </w:rPr>
        <w:t>"</w:t>
      </w:r>
      <w:r>
        <w:rPr>
          <w:rFonts w:ascii="Arial" w:cs="Arial" w:eastAsia="Arial" w:hAnsi="Arial"/>
          <w:sz w:val="16"/>
          <w:szCs w:val="16"/>
          <w:color w:val="auto"/>
        </w:rPr>
        <w:t xml:space="preserve"> respectively.</w:t>
      </w:r>
    </w:p>
    <w:p>
      <w:pPr>
        <w:spacing w:after="0" w:line="115"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Amount includes principal and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of debt. Working capital, which represents current assets less current liabilities, was $243.4 million at December 31, 2018.</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5, 2018, we entered into a credit agreement providing for committed credit facilities in the amount of $1.2 billion U.S. dollars (the 2018 credit facility) which amended and restated in its entirety our credit agreement dated June 23, 2015 and replaced committed facilities in the amount of $725 million.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At December 31, 2018, no amount was outstanding under the 2018 credit facility revolver, and $41 million was utilized by outstanding standby letters of credit, resulting in $459 million available for additional borrowings or standby letters of credit. At December 31, 2018, $259 million was available for additional standby letters of credit under the letter of credit sub-facility and no amounts were outstanding under the swingline sub-facility. Both the term loan and the revolver mature on January 5, 2023 and can be repaid without penalty. Amounts repaid on the term loan may not be reborrowed and amounts borrowed under the revolver may be repaid and reborrowed until the revolver's maturity, at which time all outstanding loans together with all accrued and unpaid interest must be repaid.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further description of our borrowings, refer to Item 8: "Financial Statements and Supplementary Data, Note 6: Debt". For a description of our letters of credit and performance bonds, and the amounts available for additional borrowings or letters of credit under our lines of credit, including the revolver that is part of our credit facility, refer to Item 8: "Financial Statements and Supplementary Data, Note 12: Commitments and Contingencies".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Silver Spring Networks, Inc. Acquisition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the acquisition of SSNI, we announced an integration plan to obtain approximately $50 million of annualized savings by the end of 2020. We have recognized $91.9 million of the acquisition and integration related expenses for the year ended December 31, 2018, of which $9.6 million was accrued as a current liability within wages and benefits payable and $3.1 million as a noncurrent liability within other long-term obligations. We also expect to recognize an additional $15 million to $25 million of expenses in future periods, of which approximately 95% will be cash outlays. The majority of the additional expenses are expected to be recognized over the next 12 months.</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2018, $75.6 million was accrued for the restructuring projects, of which $36.0 million is expected to be paid over the next 12 months. We also expect to recognize approximately $22 million in future restructuring costs, which will result in cash expenditures.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For further details regarding our restructuring activities, refer to Item 8: "Financial Statements and Supplementary Data, Note 13: Restructuring".</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tax provision as a percentage of income before tax typically differs from the U.S. federal statutory rate of 21%. Changes in our actual tax rate are subject to several factors, including fluctuations in operating results, new or revised tax legislation and accounting pronouncements, changes in the level of business in domestic and foreign jurisdictions, research and development tax credits, state income taxes, adjustments to valuation allowances, settlement of tax audits, and uncertain tax positions, among other items. Changes in tax laws, valuation allowances, and unanticipated tax liabilities could significantly impact our tax rate.</w:t>
      </w: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Our cash income tax payments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
        <w:spacing w:after="0"/>
        <w:rPr>
          <w:sz w:val="20"/>
          <w:szCs w:val="20"/>
          <w:color w:val="auto"/>
        </w:rPr>
      </w:pPr>
      <w:r>
        <w:rPr>
          <w:rFonts w:ascii="Arial" w:cs="Arial" w:eastAsia="Arial" w:hAnsi="Arial"/>
          <w:sz w:val="16"/>
          <w:szCs w:val="16"/>
          <w:color w:val="auto"/>
        </w:rPr>
        <w:t>U.S. federal taxes paid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 income taxes paid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and local income taxes paid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income taxes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1,339</w:t>
            </w:r>
          </w:p>
        </w:tc>
        <w:tc>
          <w:tcPr>
            <w:tcW w:w="12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17,500</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9,000</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1,534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4,636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4,526</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10,898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6,833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10,761</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13,771</w:t>
            </w:r>
          </w:p>
        </w:tc>
        <w:tc>
          <w:tcPr>
            <w:tcW w:w="12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28,969</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24,287</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-711200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-368300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current projections, we expect to pay, net of refunds, approximately $15 million in foreign and local income taxes in 2019. We do not expect to pay any U.S. federal or state taxes.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2018, there was $35.6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many factors that we consider in the management of global cash. Accordingly, the amount of taxes that we would need to accrue and pay to repatriate foreign cash could vary significantly.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Among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December 31, 2018, $10.5 million of our consolidated cash balance is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2018, we have accrued $4.9 million of bonus and profit sharing plans expense for the expected achievement of financial and nonfinancial targets, which we expect to pay in cash during the first quarter of 2019.</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to grow through a combination of internal new product development, licensing technology from and to others, distribution agreements, partnering arrangements, and acquisitions of technology or other companies. We expect these activities to be funded with existing cash, cash flow from operations, borrowings, or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our dependence on certain key vendors and components, changes in estimated liabilities for product warranties and/or litigation, future business combinations, capital market fluctuations, international risks, and other factors described under Item 1A: "Risk Factors," as well as Item 7A: "Quantitative and Qualitative Disclosures About Market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Item 8: "Financial Statements and Supplementary Data, Note 12: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These estimates and assumptions are affected by management's application of accounting policies. Critical accounting policies for us include revenue recognition, warranty, restructuring, income taxes, business combinations, goodwill and intangible assets, defined benefit pension plans, contingencies, and stock-based compensation. Refer to Item 8: "Financial Statements and Supplementary Data, Note 1: Summary of Significant Accounting Policies" for further disclosures regarding accounting policies and new accounting pronouncements.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Many of our revenue arrangements involve multiple performance obligations, which require us to determine the standalone selling price of the promised goods or services underlying each performance obligation and then allocate the total arrangement consideration among the separate performance obligations based on the relative standalone selling price. Revenues for each performance obligation are then recognized upon transfer of control to the customer at a point in time as products are shipped or received by a customer, or over time as services are delivered. The majority of our revenue is recognized at a point in time when products are shipped to or received by a customer.</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Professional services, which include implementation, project management, installation, and consulting services are recognized over time. We measure progress towards satisfying these performance obligations using input methods, most commonly based on the costs incurred in relation to the total expected costs to provide the service. The estimate of expected costs to provide services requires judgment. Cost estimates take into consideration past history and the specific scope requested by the customer and are updated quarterly. Other variables impacting our estimate of costs to complete include length of time to complete, changes in wages, subcontractor performance, supplier information, and business volume assumptions. Changes in underlying assumptions and estimates may adversely or favorably affect financial performance.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If we estimate that the completion of a performance obligation will result in a loss, then the loss is recognized in the period in which the loss becomes evident.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reevaluate the estimated loss through the completion of the performance obligation and adjust the estimated loss for changes in facts and circumstances.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of our contracts with customers include variable consideration, which can include liquidated damage provisions, rebates and volume and early payment discounts, or software licenses sold where the amount of consideration is dependent on the number of endpoints deployed. We estimate variable consideration using the expected value method, taking into consideration contract terms, historical customer behavior and historical sales. Some of our contracts with customers contain clauses for liquidated damages related to the timing of delivery or milestone accomplishments, which could become material in an event of failure to meet the contractual deadlines. At the inception of the arrangement and on an ongoing basis, we evaluate the probability and magnitude of having to pay liquidated damages. In the case of liquidated damages, we also take into consideration progress towards meeting contractual milestones, including whether milestones have not been achieved, specified rates, if applicable, stated in the contract, and history of paying liquidated damages to the customer or similar customers.</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deliverable. This revenue is deferred and recognized over the extended warranty coverage period. Extended or noncustomary warranties do not represent a significant portion of our revenue.</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allocate consideration to each performance obligation in an arrangement based on its relative standalone selling price. For goods or services where we have observable standalone sales, the observable standalone sales are used to determine the standalone selling price. For the majority of our goods and services, we do not have observable standalone sales. As a result, we estimate the standalone selling price using either the adjusted market assessment approach or the expected cost plus a margin approach. Approaches used to estimate the standalone selling price for a given good or service will maximize the use of observable inputs and considers several factors, including our pricing practices, costs to provide a good or service, the type of good or service, and availability of other transactional data, among others.</w:t>
      </w:r>
    </w:p>
    <w:p>
      <w:pPr>
        <w:spacing w:after="0" w:line="1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determine the estimated standalone selling prices of goods or services used in our allocation of arrangement consideration on an annual basis or more frequently if there is a significant change in our business or if we experience significant variances in our transaction prices.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recognized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recognize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recognized at the date the employee is notified. If the employee must provide future service greater than 60 days, such benefits are recognized ratably over the future service period. For contract termination costs, we recognize a liability upon the later of when we terminate a contract in accordance with the contract terms or when we cease using the rights conveyed by the contract.</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 impairments associated with a restructuring project are determined at the asset group level. An impairment may be recognized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recognized within restructuring expense in the Consolidated Statements of Operations.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restructuring charges, we analyze our future operating requirements, including the required headcount by business functions and facility space requirements. Our restructuring costs and any resulting accruals involve significant estimates using the best information available at the time the estimates are made. Our estimates involve a number of risks and uncertainties, some of which are beyond our control, including real estate market conditions and local labor and employment laws, rules, and regulations. If the amounts and timing of cash flows from restructuring activities are significantly different from what we have estimated, the actual amount of restructuring and asset impairment charges could be materially different, either higher or lower, than those we have recognized.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estimate income tax expense in each of the taxing jurisdictions in which we operate. Changes in our actual tax rate are subject to several factors, including fluctuations in operating results, new or revised tax legislation and accounting pronouncements, changes in the level of business in domestic and foreign jurisdictions, research and development tax credits state income taxes, adjustments to valuation allowances, settlement of tax audits, and uncertain tax positions, among other items. Changes in tax laws, valuation allowances, and unanticipated tax liabilities could significantly impact our tax rate.</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 valuation allowances to reduce deferred tax assets to the extent we believe it is more likely than not that a portion of such assets will not be realized. In making such determinations, we consider all available favorable and unfavorable evidence, including scheduled reversals of deferred tax liabilities, projected future taxable income, tax planning strategies, and our ability to carry back losses to prior years. We are required to make assumptions and judgments about potential outcomes that lie outside our control. Our most sensitive and critical factors are the projection, source, and character of future taxable income. Although realization is not assured, management believes it is more likely than not that deferred tax assets, net of valuation allowance,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audits in multiple taxing jurisdictions in which we operate. These audits may involve complex issues, which may require an extended period of time to resolve. We believe we have recognized adequate income tax provisions and reserves for uncertain tax positions.</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the date of acquisition, the assets acquired, liabilities assumed, and any noncontrolling interests in the acquiree are recognized at their fair values. The acquiree's results of operations are also included as of the date of acquisition in our consolidated results. Intangible assets that arise from contractual/legal rights, or are capable of being separated, as well as in-process research and development (IPR&amp;D), are measured and recognized at fair value, and amortized over the estimated useful life. IPR&amp;D is not amortized until such time as the associated development projects are completed or terminated. If a development project is completed, the IPR&amp;D is reclassified as a core technology intangible asset and amortized over its estimated useful life. If the development project is terminated, the recognized value of the associated IPR&amp;D is immediately recognized. If practicable, assets acquired and liabilities assumed arising from contingencies are measured and recognized at fair value. If not practicable, such assets and liabilities are measured and recognized when it is probable that a gain or loss has occurred, and the amount can be reasonably estimated. The residual balance of the purchase price, after fair value allocations to all identified assets and liabilities, represents goodwill. Acquisition-related costs are recognized as incurred. Integration costs associated with an acquisition are generally recognized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 us to recognize the fair value of the estimated liability at the time of the acquisition. Subsequent changes in the estimate of the amount to be paid under the contingent consideration arrangement are recognized in the Consolidated Statements of Operations.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estimate the preliminary fair value of acquired assets and liabilities as of the date of acquisition based on information available at that time utilizing either a cost or income approach. These estimates are subject to variability in future cash flows. Contingent consideration is recognized at fair value as of the date of the acquisition with adjustments occurring after the purchase price allocation period, which could be up to one year, recognized in earnings. Changes to valuation allowances on acquired deferred tax assets that occur after the acquisition date are recognized in the provision for, or benefit from, income taxes. The valuation of these tangible and identifiable intangible assets and liabilities is subject to further management review and may change materially between the preliminary allocation and end of the purchase price allocation period. Any changes in these estimates may have a material effect on our consolidated operating results or financial position.</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Goodwill and intangible assets may result from our business acquisitions. Intangible assets may also result from the purchase of assets and intellectual property where we do not acquire a business.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In-process research and development (IPR&amp;D) is considered an indefinite-lived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 discounted cash flows associated with each reporting unit. Each reporting unit corresponds with its respective operating segment.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impairment test. The impairment test involves comparing the fair values of the reporting units to their carrying amounts. If the carrying amount of a reporting unit exceeds its fair value an impairment loss is recognized in an amount equal to the excess.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market demand, fluctuations in the economies in which we operate, the volatility and decline in the worldwide equity markets, and a decline in our market capitalization could unfavorably impact the remaining carrying value of our goodwill, which could have a significant effect on our current and future results of operations and financial condition.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(loss) (OCI), net of tax, the actuarial gains or losses and prior service costs or credits, if any that arise during the period but are not recognized as components of net periodic benefit cost.</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the rate of future compensation increase. The discount rate is a significant assumption used to value our pension benefit obligation. We determine a discount rate for our plans based on the estimated duration of each plan's liabilities. For our euro denominated defined benefit pension plans, which represent 94% of our benefit obligation, we use two discount rates with consideration of the duration of the plans, using a hypothetical yield curve developed from euro-denominated AA-rated corporate bond issues. These bond issues are partially weighted for market value, with minimum amounts outstanding of €500 million for bonds with less than 10 years to maturity and €50 million for bonds with 10 or more years to maturity, and excluding the highest and lowest yielding 10% of bonds within each maturity group. The discount rates used, depending on the duration of the plans, were 1.00% and 1.75%, respectively. The weighted average discount rate used to measure the projected benefit obligation for all of the plans at December 31, 2018 was 2.24%. A change of 25 basis points in the discount rate would change our projected benefit obligation by approximately $5 million. The financial and actuarial assumptions used at December 31, 2018 may differ materially from actual results due to changing market and economic conditions and other factors. These differences could result in a significant change in the amount of pension expense recognized in future periods.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recognized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recognized. Changes in these factors and related estimates could materially affect our financial position and results of operations. Legal costs to defend against contingent liabilities are recognized as incurred.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grant various stock-based compensation awards to our officers, employees and Board of Directors with service, performance, and market vesting conditions, including stock options, restricted stock units, phantom stock units, and unrestricted stock units (awards). We measure and recognize compensation expense for all awards based on estimated fair values. For awards with only a service condition, we expense stock-based compensation using the straight-line method over the requisite service period for the entire award. For awards with service and performance conditions, if vesting is probable, we expense the stock-based compensation on a straight-line basis over the requisite service period for each separately vesting portion of the award. For awards with a market condition, we expense the fair value over the requisite service period.</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and recognize compensation expense for all stock-based compensation based on estimated fair values. The fair value of stock options is estimated at the date of grant using the Black-Scholes option-pricing model, which includes assumptions for the dividend yield, expected volatility, risk-free interest rate, and expected term. For unrestricted stock awards with no market conditions, the fair value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For phantom stock units, fair value is the market close price of our common stock at the end of each reporting period.</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valuing our stock options and restricted stock units with a market condition, significant judgment is required in determining the expected volatility of our common stock and the expected life that individuals will hold their stock options prior to exercising. Expected volatility for stock options is based on the historical and implied volatility of our own common stock while the volatility for our restricted stock units with a market condition is based on the historical volatility of our own stock and the stock for companies comprising the market index within the market condition.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these assumptions may be difficult to measure as they represent future expectations based on historical experience. Further, our expected volatility and expected life may change in the future, which could substantially change the grant-date fair value of future awards and ultimately the expense we recognize. Actual results and future estimates may differ substantially from our current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consolidated financial statements are prepared in accordance with GAAP, which we supplement with certain non-GAAP financial information. These non-GAAP measures should not be considered in isolation or as a substitute for the related GAAP measures, and other companies may define such measures differently. We encourage investors to review our financial statements and publicly-filed reports in their entirety and not to rely on any single financial measure. These non-GAAP measures exclude the impact of certain expenses that we do not believe are indicative of our core operating results. We use these non-GAAP financial measures for financial and operational decision making and/or as a means for determining executive compensation.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purchase accounting adjustments,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u w:val="single" w:color="auto"/>
          <w:color w:val="auto"/>
        </w:rPr>
        <w:t>Non-GAAP operating expenses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non-GAAP operating income</w:t>
      </w:r>
      <w:r>
        <w:rPr>
          <w:rFonts w:ascii="Arial" w:cs="Arial" w:eastAsia="Arial" w:hAnsi="Arial"/>
          <w:sz w:val="16"/>
          <w:szCs w:val="16"/>
          <w:color w:val="auto"/>
        </w:rPr>
        <w:t xml:space="preserve"> – We define non-GAAP operating expenses as operating expenses excluding certain expenses related to the amortization of intangible assets, restructuring, acquisition and integration, and goodwill impairment. We define non-GAAP operating income as operating income excluding the expenses related to the amortization of intangible assets, restructuring, acquisition and integration, and goodwill impairment.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Non-GAAP net income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non-GAAP diluted EPS</w:t>
      </w:r>
      <w:r>
        <w:rPr>
          <w:rFonts w:ascii="Arial" w:cs="Arial" w:eastAsia="Arial" w:hAnsi="Arial"/>
          <w:sz w:val="17"/>
          <w:szCs w:val="17"/>
          <w:color w:val="auto"/>
        </w:rPr>
        <w:t xml:space="preserve"> – We define non-GAAP net income as net income attributable to Itron, Inc. excluding the expenses associated with amortization of intangible assets, restructuring, acquisition and integration, goodwill impairment, amortization of debt placement fees, the impact of the Tax Cuts and Jobs Act (Tax Act),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Adjusted EBITDA</w:t>
      </w:r>
      <w:r>
        <w:rPr>
          <w:rFonts w:ascii="Arial" w:cs="Arial" w:eastAsia="Arial" w:hAnsi="Arial"/>
          <w:sz w:val="17"/>
          <w:szCs w:val="17"/>
          <w:color w:val="auto"/>
        </w:rPr>
        <w:t xml:space="preserve"> – We define adjusted EBITDA as net income (a) minus interest income, (b) plus interest expense, depreciation, and amortization, restructuring, acquisition and integration related expense, goodwill impairment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Free cash flow</w:t>
      </w:r>
      <w:r>
        <w:rPr>
          <w:rFonts w:ascii="Arial" w:cs="Arial" w:eastAsia="Arial" w:hAnsi="Arial"/>
          <w:sz w:val="18"/>
          <w:szCs w:val="18"/>
          <w:color w:val="auto"/>
        </w:rPr>
        <w:t xml:space="preserve">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u w:val="single" w:color="auto"/>
          <w:color w:val="auto"/>
        </w:rPr>
        <w:t>Constant currency</w:t>
      </w:r>
      <w:r>
        <w:rPr>
          <w:rFonts w:ascii="Arial" w:cs="Arial" w:eastAsia="Arial" w:hAnsi="Arial"/>
          <w:sz w:val="17"/>
          <w:szCs w:val="17"/>
          <w:color w:val="auto"/>
        </w:rPr>
        <w:t xml:space="preserve"> - We refer to the impact of foreign currency exchange rate fluctuations in our discussions of financial results, which references the 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Measures to Non-GAAP Measures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80" w:type="dxa"/>
            <w:vAlign w:val="bottom"/>
          </w:tcPr>
          <w:p>
            <w:pPr>
              <w:ind w:left="40"/>
              <w:spacing w:after="0"/>
              <w:rPr>
                <w:sz w:val="20"/>
                <w:szCs w:val="20"/>
                <w:color w:val="auto"/>
              </w:rPr>
            </w:pPr>
            <w:r>
              <w:rPr>
                <w:rFonts w:ascii="Arial" w:cs="Arial" w:eastAsia="Arial" w:hAnsi="Arial"/>
                <w:sz w:val="13"/>
                <w:szCs w:val="13"/>
                <w:b w:val="1"/>
                <w:bCs w:val="1"/>
                <w:color w:val="auto"/>
              </w:rPr>
              <w:t>TOTAL COMPANY RECONCILIATIONS</w:t>
            </w:r>
          </w:p>
        </w:tc>
        <w:tc>
          <w:tcPr>
            <w:tcW w:w="1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3"/>
                <w:szCs w:val="13"/>
                <w:b w:val="1"/>
                <w:bCs w:val="1"/>
                <w:color w:val="auto"/>
                <w:w w:val="87"/>
              </w:rPr>
              <w:t>Year Ended December 31,</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080" w:type="dxa"/>
            <w:vAlign w:val="bottom"/>
          </w:tcPr>
          <w:p>
            <w:pPr>
              <w:spacing w:after="0"/>
              <w:rPr>
                <w:sz w:val="22"/>
                <w:szCs w:val="22"/>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2018</w:t>
            </w:r>
          </w:p>
        </w:tc>
        <w:tc>
          <w:tcPr>
            <w:tcW w:w="5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2"/>
              </w:rPr>
              <w:t>2017</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376"/>
        </w:trPr>
        <w:tc>
          <w:tcPr>
            <w:tcW w:w="6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0" w:type="dxa"/>
            <w:vAlign w:val="bottom"/>
            <w:gridSpan w:val="6"/>
          </w:tcPr>
          <w:p>
            <w:pPr>
              <w:jc w:val="center"/>
              <w:spacing w:after="0"/>
              <w:rPr>
                <w:sz w:val="20"/>
                <w:szCs w:val="20"/>
                <w:color w:val="auto"/>
              </w:rPr>
            </w:pPr>
            <w:r>
              <w:rPr>
                <w:rFonts w:ascii="Arial" w:cs="Arial" w:eastAsia="Arial" w:hAnsi="Arial"/>
                <w:sz w:val="13"/>
                <w:szCs w:val="13"/>
                <w:b w:val="1"/>
                <w:bCs w:val="1"/>
                <w:color w:val="auto"/>
                <w:w w:val="85"/>
              </w:rPr>
              <w:t>(in thousands, except per share data)</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80" w:type="dxa"/>
            <w:vAlign w:val="bottom"/>
          </w:tcPr>
          <w:p>
            <w:pPr>
              <w:ind w:left="160"/>
              <w:spacing w:after="0"/>
              <w:rPr>
                <w:sz w:val="20"/>
                <w:szCs w:val="20"/>
                <w:color w:val="auto"/>
              </w:rPr>
            </w:pPr>
            <w:r>
              <w:rPr>
                <w:rFonts w:ascii="Arial" w:cs="Arial" w:eastAsia="Arial" w:hAnsi="Arial"/>
                <w:sz w:val="13"/>
                <w:szCs w:val="13"/>
                <w:b w:val="1"/>
                <w:bCs w:val="1"/>
                <w:color w:val="auto"/>
              </w:rPr>
              <w:t>NON-GAAP OPERATING EXPENSES</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GAAP operating expenses</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780,011</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521,874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73"/>
              <w:spacing w:after="0"/>
              <w:rPr>
                <w:sz w:val="20"/>
                <w:szCs w:val="20"/>
                <w:color w:val="auto"/>
              </w:rPr>
            </w:pPr>
            <w:r>
              <w:rPr>
                <w:rFonts w:ascii="Arial" w:cs="Arial" w:eastAsia="Arial" w:hAnsi="Arial"/>
                <w:sz w:val="9"/>
                <w:szCs w:val="9"/>
                <w:color w:val="auto"/>
                <w:w w:val="78"/>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561,539</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Amortization of intangible assets</w:t>
            </w:r>
          </w:p>
        </w:tc>
        <w:tc>
          <w:tcPr>
            <w:tcW w:w="1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(71,713)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(20,785)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(25,112)</w:t>
            </w: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Restructuring</w:t>
            </w:r>
          </w:p>
        </w:tc>
        <w:tc>
          <w:tcPr>
            <w:tcW w:w="1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(77,183)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(6,418)</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(49,090)</w:t>
            </w: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Acquisition and integration related recovery (expense)</w:t>
            </w:r>
          </w:p>
        </w:tc>
        <w:tc>
          <w:tcPr>
            <w:tcW w:w="1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(91,916)</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(17,139)</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242"/>
        </w:trPr>
        <w:tc>
          <w:tcPr>
            <w:tcW w:w="6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Non-GAAP operating expenses</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539,199</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477,532</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73"/>
              <w:spacing w:after="0"/>
              <w:rPr>
                <w:sz w:val="20"/>
                <w:szCs w:val="20"/>
                <w:color w:val="auto"/>
              </w:rPr>
            </w:pPr>
            <w:r>
              <w:rPr>
                <w:rFonts w:ascii="Arial" w:cs="Arial" w:eastAsia="Arial" w:hAnsi="Arial"/>
                <w:sz w:val="9"/>
                <w:szCs w:val="9"/>
                <w:color w:val="auto"/>
                <w:w w:val="78"/>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487,534</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NON-GAAP OPERATING INCOME</w:t>
            </w:r>
          </w:p>
        </w:tc>
        <w:tc>
          <w:tcPr>
            <w:tcW w:w="1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6080" w:type="dxa"/>
            <w:vAlign w:val="bottom"/>
          </w:tcPr>
          <w:p>
            <w:pPr>
              <w:ind w:left="280"/>
              <w:spacing w:after="0"/>
              <w:rPr>
                <w:sz w:val="20"/>
                <w:szCs w:val="20"/>
                <w:color w:val="auto"/>
              </w:rPr>
            </w:pPr>
            <w:r>
              <w:rPr>
                <w:rFonts w:ascii="Arial" w:cs="Arial" w:eastAsia="Arial" w:hAnsi="Arial"/>
                <w:sz w:val="13"/>
                <w:szCs w:val="13"/>
                <w:color w:val="auto"/>
              </w:rPr>
              <w:t>GAAP operating income (loss)</w:t>
            </w:r>
          </w:p>
        </w:tc>
        <w:tc>
          <w:tcPr>
            <w:tcW w:w="1100" w:type="dxa"/>
            <w:vAlign w:val="bottom"/>
          </w:tcPr>
          <w:p>
            <w:pPr>
              <w:jc w:val="right"/>
              <w:ind w:right="93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(49,692)</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154,877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jc w:val="right"/>
              <w:ind w:right="273"/>
              <w:spacing w:after="0"/>
              <w:rPr>
                <w:sz w:val="20"/>
                <w:szCs w:val="20"/>
                <w:color w:val="auto"/>
              </w:rPr>
            </w:pPr>
            <w:r>
              <w:rPr>
                <w:rFonts w:ascii="Arial" w:cs="Arial" w:eastAsia="Arial" w:hAnsi="Arial"/>
                <w:sz w:val="9"/>
                <w:szCs w:val="9"/>
                <w:color w:val="auto"/>
                <w:w w:val="78"/>
              </w:rPr>
              <w:t>$</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100,993</w:t>
            </w: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Amortization of intangible assets</w:t>
            </w:r>
          </w:p>
        </w:tc>
        <w:tc>
          <w:tcPr>
            <w:tcW w:w="1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71,713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20,785</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25,112</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Restructuring</w:t>
            </w:r>
          </w:p>
        </w:tc>
        <w:tc>
          <w:tcPr>
            <w:tcW w:w="1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77,183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6,418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49,090</w:t>
            </w:r>
          </w:p>
        </w:tc>
        <w:tc>
          <w:tcPr>
            <w:tcW w:w="0" w:type="dxa"/>
            <w:vAlign w:val="bottom"/>
          </w:tcPr>
          <w:p>
            <w:pPr>
              <w:spacing w:after="0"/>
              <w:rPr>
                <w:sz w:val="1"/>
                <w:szCs w:val="1"/>
                <w:color w:val="auto"/>
              </w:rPr>
            </w:pPr>
          </w:p>
        </w:tc>
      </w:tr>
      <w:tr>
        <w:trPr>
          <w:trHeight w:val="272"/>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Acquisition and integration related (recovery) expense</w:t>
            </w:r>
          </w:p>
        </w:tc>
        <w:tc>
          <w:tcPr>
            <w:tcW w:w="11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91,916</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17,139</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282"/>
        </w:trPr>
        <w:tc>
          <w:tcPr>
            <w:tcW w:w="6080" w:type="dxa"/>
            <w:vAlign w:val="bottom"/>
          </w:tcPr>
          <w:p>
            <w:pPr>
              <w:ind w:left="280"/>
              <w:spacing w:after="0"/>
              <w:rPr>
                <w:sz w:val="20"/>
                <w:szCs w:val="20"/>
                <w:color w:val="auto"/>
              </w:rPr>
            </w:pPr>
            <w:r>
              <w:rPr>
                <w:rFonts w:ascii="Arial" w:cs="Arial" w:eastAsia="Arial" w:hAnsi="Arial"/>
                <w:sz w:val="13"/>
                <w:szCs w:val="13"/>
                <w:color w:val="auto"/>
              </w:rPr>
              <w:t>Non-GAAP operating income</w:t>
            </w:r>
          </w:p>
        </w:tc>
        <w:tc>
          <w:tcPr>
            <w:tcW w:w="1100" w:type="dxa"/>
            <w:vAlign w:val="bottom"/>
          </w:tcPr>
          <w:p>
            <w:pPr>
              <w:jc w:val="right"/>
              <w:ind w:right="93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191,120</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199,219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jc w:val="right"/>
              <w:ind w:right="273"/>
              <w:spacing w:after="0"/>
              <w:rPr>
                <w:sz w:val="20"/>
                <w:szCs w:val="20"/>
                <w:color w:val="auto"/>
              </w:rPr>
            </w:pPr>
            <w:r>
              <w:rPr>
                <w:rFonts w:ascii="Arial" w:cs="Arial" w:eastAsia="Arial" w:hAnsi="Arial"/>
                <w:sz w:val="9"/>
                <w:szCs w:val="9"/>
                <w:color w:val="auto"/>
                <w:w w:val="78"/>
              </w:rPr>
              <w:t>$</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174,998</w:t>
            </w:r>
          </w:p>
        </w:tc>
        <w:tc>
          <w:tcPr>
            <w:tcW w:w="0" w:type="dxa"/>
            <w:vAlign w:val="bottom"/>
          </w:tcPr>
          <w:p>
            <w:pPr>
              <w:spacing w:after="0"/>
              <w:rPr>
                <w:sz w:val="1"/>
                <w:szCs w:val="1"/>
                <w:color w:val="auto"/>
              </w:rPr>
            </w:pPr>
          </w:p>
        </w:tc>
      </w:tr>
      <w:tr>
        <w:trPr>
          <w:trHeight w:val="225"/>
        </w:trPr>
        <w:tc>
          <w:tcPr>
            <w:tcW w:w="60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080" w:type="dxa"/>
            <w:vAlign w:val="bottom"/>
          </w:tcPr>
          <w:p>
            <w:pPr>
              <w:ind w:left="160"/>
              <w:spacing w:after="0"/>
              <w:rPr>
                <w:sz w:val="20"/>
                <w:szCs w:val="20"/>
                <w:color w:val="auto"/>
              </w:rPr>
            </w:pPr>
            <w:r>
              <w:rPr>
                <w:rFonts w:ascii="Arial" w:cs="Arial" w:eastAsia="Arial" w:hAnsi="Arial"/>
                <w:sz w:val="13"/>
                <w:szCs w:val="13"/>
                <w:b w:val="1"/>
                <w:bCs w:val="1"/>
                <w:color w:val="auto"/>
              </w:rPr>
              <w:t>NON-GAAP NET INCOME &amp; DILUTED EPS</w:t>
            </w:r>
          </w:p>
        </w:tc>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GAAP net income (loss) attributable to Itron, Inc.</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(99,250)</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57,298</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73"/>
              <w:spacing w:after="0"/>
              <w:rPr>
                <w:sz w:val="20"/>
                <w:szCs w:val="20"/>
                <w:color w:val="auto"/>
              </w:rPr>
            </w:pPr>
            <w:r>
              <w:rPr>
                <w:rFonts w:ascii="Arial" w:cs="Arial" w:eastAsia="Arial" w:hAnsi="Arial"/>
                <w:sz w:val="9"/>
                <w:szCs w:val="9"/>
                <w:color w:val="auto"/>
                <w:w w:val="78"/>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31,770</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Amortization of intangible assets</w:t>
            </w:r>
          </w:p>
        </w:tc>
        <w:tc>
          <w:tcPr>
            <w:tcW w:w="1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71,713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20,785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25,112</w:t>
            </w: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Amortization of debt placement fees</w:t>
            </w:r>
          </w:p>
        </w:tc>
        <w:tc>
          <w:tcPr>
            <w:tcW w:w="1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6,869</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966</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987</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Restructuring</w:t>
            </w:r>
          </w:p>
        </w:tc>
        <w:tc>
          <w:tcPr>
            <w:tcW w:w="1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77,183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6,418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49,090</w:t>
            </w: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Acquisition and integration related (recovery) expense</w:t>
            </w:r>
          </w:p>
        </w:tc>
        <w:tc>
          <w:tcPr>
            <w:tcW w:w="1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91,916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17,139</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Tax Cuts and Jobs Act Adjustment</w:t>
            </w:r>
          </w:p>
        </w:tc>
        <w:tc>
          <w:tcPr>
            <w:tcW w:w="1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30,424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Income tax effect of non-GAAP adjustments</w:t>
            </w:r>
            <w:r>
              <w:rPr>
                <w:rFonts w:ascii="Arial" w:cs="Arial" w:eastAsia="Arial" w:hAnsi="Arial"/>
                <w:sz w:val="8"/>
                <w:szCs w:val="8"/>
                <w:color w:val="auto"/>
              </w:rPr>
              <w:t>(1)</w:t>
            </w:r>
          </w:p>
        </w:tc>
        <w:tc>
          <w:tcPr>
            <w:tcW w:w="11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(42,700)</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(12,544)</w:t>
            </w:r>
          </w:p>
        </w:tc>
        <w:tc>
          <w:tcPr>
            <w:tcW w:w="12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(8,478)</w:t>
            </w:r>
          </w:p>
        </w:tc>
        <w:tc>
          <w:tcPr>
            <w:tcW w:w="0" w:type="dxa"/>
            <w:vAlign w:val="bottom"/>
          </w:tcPr>
          <w:p>
            <w:pPr>
              <w:spacing w:after="0"/>
              <w:rPr>
                <w:sz w:val="1"/>
                <w:szCs w:val="1"/>
                <w:color w:val="auto"/>
              </w:rPr>
            </w:pPr>
          </w:p>
        </w:tc>
      </w:tr>
      <w:tr>
        <w:trPr>
          <w:trHeight w:val="153"/>
        </w:trPr>
        <w:tc>
          <w:tcPr>
            <w:tcW w:w="6080" w:type="dxa"/>
            <w:vAlign w:val="bottom"/>
          </w:tcPr>
          <w:p>
            <w:pPr>
              <w:ind w:left="280"/>
              <w:spacing w:after="0"/>
              <w:rPr>
                <w:sz w:val="20"/>
                <w:szCs w:val="20"/>
                <w:color w:val="auto"/>
              </w:rPr>
            </w:pPr>
            <w:r>
              <w:rPr>
                <w:rFonts w:ascii="Arial" w:cs="Arial" w:eastAsia="Arial" w:hAnsi="Arial"/>
                <w:sz w:val="13"/>
                <w:szCs w:val="13"/>
                <w:color w:val="auto"/>
              </w:rPr>
              <w:t>Non-GAAP net income attributable to Itron, Inc.</w:t>
            </w:r>
          </w:p>
        </w:tc>
        <w:tc>
          <w:tcPr>
            <w:tcW w:w="1100" w:type="dxa"/>
            <w:vAlign w:val="bottom"/>
            <w:vMerge w:val="restart"/>
          </w:tcPr>
          <w:p>
            <w:pPr>
              <w:jc w:val="right"/>
              <w:ind w:right="93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105,731</w:t>
            </w:r>
          </w:p>
        </w:tc>
        <w:tc>
          <w:tcPr>
            <w:tcW w:w="28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1580" w:type="dxa"/>
            <w:vAlign w:val="bottom"/>
            <w:vMerge w:val="restart"/>
          </w:tcPr>
          <w:p>
            <w:pPr>
              <w:jc w:val="right"/>
              <w:ind w:right="37"/>
              <w:spacing w:after="0"/>
              <w:rPr>
                <w:sz w:val="20"/>
                <w:szCs w:val="20"/>
                <w:color w:val="auto"/>
              </w:rPr>
            </w:pPr>
            <w:r>
              <w:rPr>
                <w:rFonts w:ascii="Arial" w:cs="Arial" w:eastAsia="Arial" w:hAnsi="Arial"/>
                <w:sz w:val="13"/>
                <w:szCs w:val="13"/>
                <w:color w:val="auto"/>
              </w:rPr>
              <w:t>120,486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vMerge w:val="restart"/>
          </w:tcPr>
          <w:p>
            <w:pPr>
              <w:jc w:val="right"/>
              <w:ind w:right="273"/>
              <w:spacing w:after="0"/>
              <w:rPr>
                <w:sz w:val="20"/>
                <w:szCs w:val="20"/>
                <w:color w:val="auto"/>
              </w:rPr>
            </w:pPr>
            <w:r>
              <w:rPr>
                <w:rFonts w:ascii="Arial" w:cs="Arial" w:eastAsia="Arial" w:hAnsi="Arial"/>
                <w:sz w:val="9"/>
                <w:szCs w:val="9"/>
                <w:color w:val="auto"/>
                <w:w w:val="78"/>
              </w:rPr>
              <w:t>$</w:t>
            </w:r>
          </w:p>
        </w:tc>
        <w:tc>
          <w:tcPr>
            <w:tcW w:w="1280" w:type="dxa"/>
            <w:vAlign w:val="bottom"/>
            <w:vMerge w:val="restart"/>
          </w:tcPr>
          <w:p>
            <w:pPr>
              <w:jc w:val="right"/>
              <w:ind w:right="37"/>
              <w:spacing w:after="0"/>
              <w:rPr>
                <w:sz w:val="20"/>
                <w:szCs w:val="20"/>
                <w:color w:val="auto"/>
              </w:rPr>
            </w:pPr>
            <w:r>
              <w:rPr>
                <w:rFonts w:ascii="Arial" w:cs="Arial" w:eastAsia="Arial" w:hAnsi="Arial"/>
                <w:sz w:val="13"/>
                <w:szCs w:val="13"/>
                <w:color w:val="auto"/>
              </w:rPr>
              <w:t>98,284</w:t>
            </w: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08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6080" w:type="dxa"/>
            <w:vAlign w:val="bottom"/>
          </w:tcPr>
          <w:p>
            <w:pPr>
              <w:ind w:left="280"/>
              <w:spacing w:after="0"/>
              <w:rPr>
                <w:sz w:val="20"/>
                <w:szCs w:val="20"/>
                <w:color w:val="auto"/>
              </w:rPr>
            </w:pPr>
            <w:r>
              <w:rPr>
                <w:rFonts w:ascii="Arial" w:cs="Arial" w:eastAsia="Arial" w:hAnsi="Arial"/>
                <w:sz w:val="13"/>
                <w:szCs w:val="13"/>
                <w:color w:val="auto"/>
              </w:rPr>
              <w:t>Non-GAAP diluted EPS</w:t>
            </w:r>
          </w:p>
        </w:tc>
        <w:tc>
          <w:tcPr>
            <w:tcW w:w="1100" w:type="dxa"/>
            <w:vAlign w:val="bottom"/>
          </w:tcPr>
          <w:p>
            <w:pPr>
              <w:jc w:val="right"/>
              <w:ind w:right="93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2.65</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3.06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jc w:val="right"/>
              <w:ind w:right="273"/>
              <w:spacing w:after="0"/>
              <w:rPr>
                <w:sz w:val="20"/>
                <w:szCs w:val="20"/>
                <w:color w:val="auto"/>
              </w:rPr>
            </w:pPr>
            <w:r>
              <w:rPr>
                <w:rFonts w:ascii="Arial" w:cs="Arial" w:eastAsia="Arial" w:hAnsi="Arial"/>
                <w:sz w:val="9"/>
                <w:szCs w:val="9"/>
                <w:color w:val="auto"/>
                <w:w w:val="78"/>
              </w:rPr>
              <w:t>$</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225"/>
        </w:trPr>
        <w:tc>
          <w:tcPr>
            <w:tcW w:w="60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60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Weighted average common shares outstanding - Diluted</w:t>
            </w: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39,840</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39,387</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38,643</w:t>
            </w:r>
          </w:p>
        </w:tc>
        <w:tc>
          <w:tcPr>
            <w:tcW w:w="0" w:type="dxa"/>
            <w:vAlign w:val="bottom"/>
          </w:tcPr>
          <w:p>
            <w:pPr>
              <w:spacing w:after="0"/>
              <w:rPr>
                <w:sz w:val="1"/>
                <w:szCs w:val="1"/>
                <w:color w:val="auto"/>
              </w:rPr>
            </w:pPr>
          </w:p>
        </w:tc>
      </w:tr>
      <w:tr>
        <w:trPr>
          <w:trHeight w:val="225"/>
        </w:trPr>
        <w:tc>
          <w:tcPr>
            <w:tcW w:w="60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080" w:type="dxa"/>
            <w:vAlign w:val="bottom"/>
          </w:tcPr>
          <w:p>
            <w:pPr>
              <w:ind w:left="160"/>
              <w:spacing w:after="0"/>
              <w:rPr>
                <w:sz w:val="20"/>
                <w:szCs w:val="20"/>
                <w:color w:val="auto"/>
              </w:rPr>
            </w:pPr>
            <w:r>
              <w:rPr>
                <w:rFonts w:ascii="Arial" w:cs="Arial" w:eastAsia="Arial" w:hAnsi="Arial"/>
                <w:sz w:val="13"/>
                <w:szCs w:val="13"/>
                <w:b w:val="1"/>
                <w:bCs w:val="1"/>
                <w:color w:val="auto"/>
              </w:rPr>
              <w:t>ADJUSTED EBITDA</w:t>
            </w:r>
          </w:p>
        </w:tc>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GAAP net income (loss) attributable to Itron, Inc.</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(99,250)</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57,298</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73"/>
              <w:spacing w:after="0"/>
              <w:rPr>
                <w:sz w:val="20"/>
                <w:szCs w:val="20"/>
                <w:color w:val="auto"/>
              </w:rPr>
            </w:pPr>
            <w:r>
              <w:rPr>
                <w:rFonts w:ascii="Arial" w:cs="Arial" w:eastAsia="Arial" w:hAnsi="Arial"/>
                <w:sz w:val="9"/>
                <w:szCs w:val="9"/>
                <w:color w:val="auto"/>
                <w:w w:val="78"/>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31,770</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Interest income</w:t>
            </w:r>
          </w:p>
        </w:tc>
        <w:tc>
          <w:tcPr>
            <w:tcW w:w="1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(2,153)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(2,126)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(865)</w:t>
            </w: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Interest expense</w:t>
            </w:r>
          </w:p>
        </w:tc>
        <w:tc>
          <w:tcPr>
            <w:tcW w:w="1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58,203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13,845</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13,521</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Income tax (benefit) provision</w:t>
            </w:r>
          </w:p>
        </w:tc>
        <w:tc>
          <w:tcPr>
            <w:tcW w:w="1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(12,570)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74,326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49,574</w:t>
            </w: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Depreciation and amortization</w:t>
            </w:r>
          </w:p>
        </w:tc>
        <w:tc>
          <w:tcPr>
            <w:tcW w:w="1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122,497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63,215</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68,318</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Restructuring</w:t>
            </w:r>
          </w:p>
        </w:tc>
        <w:tc>
          <w:tcPr>
            <w:tcW w:w="1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77,183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6,418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49,090</w:t>
            </w:r>
          </w:p>
        </w:tc>
        <w:tc>
          <w:tcPr>
            <w:tcW w:w="0" w:type="dxa"/>
            <w:vAlign w:val="bottom"/>
          </w:tcPr>
          <w:p>
            <w:pPr>
              <w:spacing w:after="0"/>
              <w:rPr>
                <w:sz w:val="1"/>
                <w:szCs w:val="1"/>
                <w:color w:val="auto"/>
              </w:rPr>
            </w:pPr>
          </w:p>
        </w:tc>
      </w:tr>
      <w:tr>
        <w:trPr>
          <w:trHeight w:val="272"/>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Acquisition and integration related (recovery) expense</w:t>
            </w:r>
          </w:p>
        </w:tc>
        <w:tc>
          <w:tcPr>
            <w:tcW w:w="11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91,916</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17,139</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282"/>
        </w:trPr>
        <w:tc>
          <w:tcPr>
            <w:tcW w:w="6080" w:type="dxa"/>
            <w:vAlign w:val="bottom"/>
          </w:tcPr>
          <w:p>
            <w:pPr>
              <w:ind w:left="280"/>
              <w:spacing w:after="0"/>
              <w:rPr>
                <w:sz w:val="20"/>
                <w:szCs w:val="20"/>
                <w:color w:val="auto"/>
              </w:rPr>
            </w:pPr>
            <w:r>
              <w:rPr>
                <w:rFonts w:ascii="Arial" w:cs="Arial" w:eastAsia="Arial" w:hAnsi="Arial"/>
                <w:sz w:val="13"/>
                <w:szCs w:val="13"/>
                <w:color w:val="auto"/>
              </w:rPr>
              <w:t>Adjusted EBITDA</w:t>
            </w:r>
          </w:p>
        </w:tc>
        <w:tc>
          <w:tcPr>
            <w:tcW w:w="1100" w:type="dxa"/>
            <w:vAlign w:val="bottom"/>
          </w:tcPr>
          <w:p>
            <w:pPr>
              <w:jc w:val="right"/>
              <w:ind w:right="93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235,826</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230,115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jc w:val="right"/>
              <w:ind w:right="273"/>
              <w:spacing w:after="0"/>
              <w:rPr>
                <w:sz w:val="20"/>
                <w:szCs w:val="20"/>
                <w:color w:val="auto"/>
              </w:rPr>
            </w:pPr>
            <w:r>
              <w:rPr>
                <w:rFonts w:ascii="Arial" w:cs="Arial" w:eastAsia="Arial" w:hAnsi="Arial"/>
                <w:sz w:val="9"/>
                <w:szCs w:val="9"/>
                <w:color w:val="auto"/>
                <w:w w:val="78"/>
              </w:rPr>
              <w:t>$</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211,211</w:t>
            </w:r>
          </w:p>
        </w:tc>
        <w:tc>
          <w:tcPr>
            <w:tcW w:w="0" w:type="dxa"/>
            <w:vAlign w:val="bottom"/>
          </w:tcPr>
          <w:p>
            <w:pPr>
              <w:spacing w:after="0"/>
              <w:rPr>
                <w:sz w:val="1"/>
                <w:szCs w:val="1"/>
                <w:color w:val="auto"/>
              </w:rPr>
            </w:pPr>
          </w:p>
        </w:tc>
      </w:tr>
      <w:tr>
        <w:trPr>
          <w:trHeight w:val="225"/>
        </w:trPr>
        <w:tc>
          <w:tcPr>
            <w:tcW w:w="60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080" w:type="dxa"/>
            <w:vAlign w:val="bottom"/>
          </w:tcPr>
          <w:p>
            <w:pPr>
              <w:ind w:left="160"/>
              <w:spacing w:after="0"/>
              <w:rPr>
                <w:sz w:val="20"/>
                <w:szCs w:val="20"/>
                <w:color w:val="auto"/>
              </w:rPr>
            </w:pPr>
            <w:r>
              <w:rPr>
                <w:rFonts w:ascii="Arial" w:cs="Arial" w:eastAsia="Arial" w:hAnsi="Arial"/>
                <w:sz w:val="13"/>
                <w:szCs w:val="13"/>
                <w:b w:val="1"/>
                <w:bCs w:val="1"/>
                <w:color w:val="auto"/>
              </w:rPr>
              <w:t>FREE CASH FLOW</w:t>
            </w:r>
          </w:p>
        </w:tc>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cash provided by operating activities</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109,755</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191,354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73"/>
              <w:spacing w:after="0"/>
              <w:rPr>
                <w:sz w:val="20"/>
                <w:szCs w:val="20"/>
                <w:color w:val="auto"/>
              </w:rPr>
            </w:pPr>
            <w:r>
              <w:rPr>
                <w:rFonts w:ascii="Arial" w:cs="Arial" w:eastAsia="Arial" w:hAnsi="Arial"/>
                <w:sz w:val="9"/>
                <w:szCs w:val="9"/>
                <w:color w:val="auto"/>
                <w:w w:val="78"/>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115,842</w:t>
            </w: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Acquisitions of property, plant, and equipment</w:t>
            </w:r>
          </w:p>
        </w:tc>
        <w:tc>
          <w:tcPr>
            <w:tcW w:w="1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(59,952)</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(49,495)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(43,543)</w:t>
            </w:r>
          </w:p>
        </w:tc>
        <w:tc>
          <w:tcPr>
            <w:tcW w:w="0" w:type="dxa"/>
            <w:vAlign w:val="bottom"/>
          </w:tcPr>
          <w:p>
            <w:pPr>
              <w:spacing w:after="0"/>
              <w:rPr>
                <w:sz w:val="1"/>
                <w:szCs w:val="1"/>
                <w:color w:val="auto"/>
              </w:rPr>
            </w:pPr>
          </w:p>
        </w:tc>
      </w:tr>
      <w:tr>
        <w:trPr>
          <w:trHeight w:val="242"/>
        </w:trPr>
        <w:tc>
          <w:tcPr>
            <w:tcW w:w="6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Free Cash Flow</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49,803</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141,859</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73"/>
              <w:spacing w:after="0"/>
              <w:rPr>
                <w:sz w:val="20"/>
                <w:szCs w:val="20"/>
                <w:color w:val="auto"/>
              </w:rPr>
            </w:pPr>
            <w:r>
              <w:rPr>
                <w:rFonts w:ascii="Arial" w:cs="Arial" w:eastAsia="Arial" w:hAnsi="Arial"/>
                <w:sz w:val="9"/>
                <w:szCs w:val="9"/>
                <w:color w:val="auto"/>
                <w:w w:val="78"/>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72,299</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hanging="332"/>
        <w:spacing w:after="0" w:line="255" w:lineRule="auto"/>
        <w:tabs>
          <w:tab w:leader="none" w:pos="340" w:val="left"/>
        </w:tabs>
        <w:numPr>
          <w:ilvl w:val="0"/>
          <w:numId w:val="18"/>
        </w:numPr>
        <w:rPr>
          <w:rFonts w:ascii="Arial" w:cs="Arial" w:eastAsia="Arial" w:hAnsi="Arial"/>
          <w:sz w:val="9"/>
          <w:szCs w:val="9"/>
          <w:color w:val="auto"/>
        </w:rPr>
      </w:pPr>
      <w:r>
        <w:rPr>
          <w:rFonts w:ascii="Arial" w:cs="Arial" w:eastAsia="Arial" w:hAnsi="Arial"/>
          <w:sz w:val="13"/>
          <w:szCs w:val="13"/>
          <w:color w:val="auto"/>
        </w:rPr>
        <w:t>The income tax effect of non-GAAP adjustments is calculated using the statutory tax rates for the relevant jurisdictions if no valuation allowance exists. If a valuation allowance exists, there is no tax impact to the non-GAAP adjustment.</w:t>
      </w:r>
    </w:p>
    <w:p>
      <w:pPr>
        <w:spacing w:after="0" w:line="19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ectPr>
          <w:pgSz w:w="11900" w:h="16838" w:orient="portrait"/>
          <w:cols w:equalWidth="0" w:num="1">
            <w:col w:w="11420"/>
          </w:cols>
          <w:pgMar w:left="240" w:top="125" w:right="239" w:bottom="155" w:gutter="0" w:footer="0" w:header="0"/>
        </w:sectPr>
      </w:pPr>
    </w:p>
    <w:bookmarkStart w:id="44" w:name="page45"/>
    <w:bookmarkEnd w:id="44"/>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9019"/>
          </w:cols>
          <w:pgMar w:left="1440" w:top="125" w:right="1440"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interest rate risk through our variable rate debt instruments. In October 2015, we entered into an interest rate swap, which is effective from August 31, 2016 to June 23, 2020, and converts $214 million of our LIBOR-based debt from a floating LIBOR interest rate to a fixed interest rate of 1.42% (excluding the applicable margin on the debt). The notional balance will amortize to maturity at the same rate as required minimum payments on our term loan. At December 31, 2018, our LIBOR-based debt balance was $637.8 million.</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we entered into three interest rate cap contracts with a total notional amount of $100 million. The interest rate cap contracts expire on June 23, 2020 and were entered into in order to limit our interest rate exposure on $100 million of our variable LIBOR-based debt up to 2.00%. In the event LIBOR is higher than 2.00%, we will pay interest at the capped rate of 2.00% with respect to the $100 million notional amount of such agreements. The interest rate cap contracts do not include the effect of the applicable margin.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2018, we entered into a cross-currency swap which converts $56.0 million of floating rate U.S. Dollar denominated debt into fixed rate euro denominated debt. This cross-currency swap matures on April 30, 2021 and mitigates the risk associated with fluctuations in interest and currency rates impacting cash flows related to a U.S. Dollar denominated debt in a euro functional currency entity.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the weighted average interest rates at December 31, 2018. Weighted average variable rates in the table are based on implied forward rates in the Reuters U.S. dollar yield curve as of December 31, 2018 and our estimated leverage ratio, which determines our additional interest rate margin at December 31, 2018.</w:t>
      </w:r>
    </w:p>
    <w:p>
      <w:pPr>
        <w:spacing w:after="0" w:line="363" w:lineRule="exact"/>
        <w:rPr>
          <w:sz w:val="20"/>
          <w:szCs w:val="20"/>
          <w:color w:val="auto"/>
        </w:rPr>
      </w:pPr>
    </w:p>
    <w:p>
      <w:pPr>
        <w:ind w:left="3820"/>
        <w:spacing w:after="0"/>
        <w:tabs>
          <w:tab w:leader="none" w:pos="4960" w:val="left"/>
          <w:tab w:leader="none" w:pos="6120" w:val="left"/>
          <w:tab w:leader="none" w:pos="7280" w:val="left"/>
          <w:tab w:leader="none" w:pos="8460" w:val="left"/>
          <w:tab w:leader="none" w:pos="9600" w:val="left"/>
          <w:tab w:leader="none" w:pos="1052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Total</w:t>
      </w:r>
      <w:r>
        <w:rPr>
          <w:sz w:val="20"/>
          <w:szCs w:val="20"/>
          <w:color w:val="auto"/>
        </w:rPr>
        <w:tab/>
      </w:r>
      <w:r>
        <w:rPr>
          <w:rFonts w:ascii="Arial" w:cs="Arial" w:eastAsia="Arial" w:hAnsi="Arial"/>
          <w:sz w:val="15"/>
          <w:szCs w:val="15"/>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37465</wp:posOffset>
            </wp:positionV>
            <wp:extent cx="50596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pacing w:after="0" w:line="201"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60" w:type="dxa"/>
            <w:vAlign w:val="bottom"/>
          </w:tcPr>
          <w:p>
            <w:pPr>
              <w:ind w:left="40"/>
              <w:spacing w:after="0"/>
              <w:rPr>
                <w:sz w:val="20"/>
                <w:szCs w:val="20"/>
                <w:color w:val="auto"/>
              </w:rPr>
            </w:pPr>
            <w:r>
              <w:rPr>
                <w:rFonts w:ascii="Arial" w:cs="Arial" w:eastAsia="Arial" w:hAnsi="Arial"/>
                <w:sz w:val="16"/>
                <w:szCs w:val="16"/>
                <w:i w:val="1"/>
                <w:iCs w:val="1"/>
                <w:color w:val="auto"/>
              </w:rPr>
              <w:t>Variable Rate Debt</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3"/>
        </w:trPr>
        <w:tc>
          <w:tcPr>
            <w:tcW w:w="3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Principal: U.S. dollar term loan</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28,438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44,688</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60,937</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65,000</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438,750</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637,813</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630,971</w:t>
            </w:r>
          </w:p>
        </w:tc>
      </w:tr>
      <w:tr>
        <w:trPr>
          <w:trHeight w:val="237"/>
        </w:trPr>
        <w:tc>
          <w:tcPr>
            <w:tcW w:w="3460" w:type="dxa"/>
            <w:vAlign w:val="bottom"/>
          </w:tcPr>
          <w:p>
            <w:pPr>
              <w:ind w:left="380"/>
              <w:spacing w:after="0"/>
              <w:rPr>
                <w:sz w:val="20"/>
                <w:szCs w:val="20"/>
                <w:color w:val="auto"/>
              </w:rPr>
            </w:pPr>
            <w:r>
              <w:rPr>
                <w:rFonts w:ascii="Arial" w:cs="Arial" w:eastAsia="Arial" w:hAnsi="Arial"/>
                <w:sz w:val="16"/>
                <w:szCs w:val="16"/>
                <w:color w:val="auto"/>
              </w:rPr>
              <w:t>Weighted average interest rate</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4.49%</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4.40%</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4.43%</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4.46%</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3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4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20"/>
        </w:trPr>
        <w:tc>
          <w:tcPr>
            <w:tcW w:w="3460" w:type="dxa"/>
            <w:vAlign w:val="bottom"/>
          </w:tcPr>
          <w:p>
            <w:pPr>
              <w:ind w:left="620"/>
              <w:spacing w:after="0"/>
              <w:rPr>
                <w:sz w:val="20"/>
                <w:szCs w:val="20"/>
                <w:color w:val="auto"/>
              </w:rPr>
            </w:pPr>
            <w:r>
              <w:rPr>
                <w:rFonts w:ascii="Arial" w:cs="Arial" w:eastAsia="Arial" w:hAnsi="Arial"/>
                <w:sz w:val="16"/>
                <w:szCs w:val="16"/>
                <w:color w:val="auto"/>
              </w:rPr>
              <w:t>Principal: Multicurrency revolving line of</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3460" w:type="dxa"/>
            <w:vAlign w:val="bottom"/>
          </w:tcPr>
          <w:p>
            <w:pPr>
              <w:ind w:left="620"/>
              <w:spacing w:after="0"/>
              <w:rPr>
                <w:sz w:val="20"/>
                <w:szCs w:val="20"/>
                <w:color w:val="auto"/>
              </w:rPr>
            </w:pPr>
            <w:r>
              <w:rPr>
                <w:rFonts w:ascii="Arial" w:cs="Arial" w:eastAsia="Arial" w:hAnsi="Arial"/>
                <w:sz w:val="16"/>
                <w:szCs w:val="16"/>
                <w:color w:val="auto"/>
              </w:rPr>
              <w:t>credit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Weighted average interest rate</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70"/>
        </w:trPr>
        <w:tc>
          <w:tcPr>
            <w:tcW w:w="3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50"/>
        </w:trPr>
        <w:tc>
          <w:tcPr>
            <w:tcW w:w="34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Interest rate swap</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3460" w:type="dxa"/>
            <w:vAlign w:val="bottom"/>
          </w:tcPr>
          <w:p>
            <w:pPr>
              <w:ind w:left="380"/>
              <w:spacing w:after="0"/>
              <w:rPr>
                <w:sz w:val="20"/>
                <w:szCs w:val="20"/>
                <w:color w:val="auto"/>
              </w:rPr>
            </w:pPr>
            <w:r>
              <w:rPr>
                <w:rFonts w:ascii="Arial" w:cs="Arial" w:eastAsia="Arial" w:hAnsi="Arial"/>
                <w:sz w:val="16"/>
                <w:szCs w:val="16"/>
                <w:color w:val="auto"/>
              </w:rPr>
              <w:t>Weighted average interest rate (pay) Fixed</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1.42%</w:t>
            </w: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3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3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Weighted average interest rate (receive)</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9"/>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Floating LIBOR</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17"/>
        </w:trPr>
        <w:tc>
          <w:tcPr>
            <w:tcW w:w="3460" w:type="dxa"/>
            <w:vAlign w:val="bottom"/>
          </w:tcPr>
          <w:p>
            <w:pPr>
              <w:ind w:left="380"/>
              <w:spacing w:after="0"/>
              <w:rPr>
                <w:sz w:val="20"/>
                <w:szCs w:val="20"/>
                <w:color w:val="auto"/>
              </w:rPr>
            </w:pPr>
            <w:r>
              <w:rPr>
                <w:rFonts w:ascii="Arial" w:cs="Arial" w:eastAsia="Arial" w:hAnsi="Arial"/>
                <w:sz w:val="16"/>
                <w:szCs w:val="16"/>
                <w:color w:val="auto"/>
              </w:rPr>
              <w:t>Net/Spread</w:t>
            </w: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
        </w:trPr>
        <w:tc>
          <w:tcPr>
            <w:tcW w:w="3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4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37"/>
        </w:trPr>
        <w:tc>
          <w:tcPr>
            <w:tcW w:w="3460" w:type="dxa"/>
            <w:vAlign w:val="bottom"/>
          </w:tcPr>
          <w:p>
            <w:pPr>
              <w:ind w:left="620"/>
              <w:spacing w:after="0"/>
              <w:rPr>
                <w:sz w:val="20"/>
                <w:szCs w:val="20"/>
                <w:color w:val="auto"/>
              </w:rPr>
            </w:pPr>
            <w:r>
              <w:rPr>
                <w:rFonts w:ascii="Arial" w:cs="Arial" w:eastAsia="Arial" w:hAnsi="Arial"/>
                <w:sz w:val="16"/>
                <w:szCs w:val="16"/>
                <w:color w:val="auto"/>
              </w:rPr>
              <w:t>Interest rate cap</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3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 rate</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20"/>
        </w:trPr>
        <w:tc>
          <w:tcPr>
            <w:tcW w:w="3460" w:type="dxa"/>
            <w:vAlign w:val="bottom"/>
          </w:tcPr>
          <w:p>
            <w:pPr>
              <w:ind w:left="380"/>
              <w:spacing w:after="0"/>
              <w:rPr>
                <w:sz w:val="20"/>
                <w:szCs w:val="20"/>
                <w:color w:val="auto"/>
              </w:rPr>
            </w:pPr>
            <w:r>
              <w:rPr>
                <w:rFonts w:ascii="Arial" w:cs="Arial" w:eastAsia="Arial" w:hAnsi="Arial"/>
                <w:sz w:val="16"/>
                <w:szCs w:val="16"/>
                <w:color w:val="auto"/>
              </w:rPr>
              <w:t>Weighted average interest rate Floating</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3460" w:type="dxa"/>
            <w:vAlign w:val="bottom"/>
          </w:tcPr>
          <w:p>
            <w:pPr>
              <w:ind w:left="380"/>
              <w:spacing w:after="0"/>
              <w:rPr>
                <w:sz w:val="20"/>
                <w:szCs w:val="20"/>
                <w:color w:val="auto"/>
              </w:rPr>
            </w:pPr>
            <w:r>
              <w:rPr>
                <w:rFonts w:ascii="Arial" w:cs="Arial" w:eastAsia="Arial" w:hAnsi="Arial"/>
                <w:sz w:val="16"/>
                <w:szCs w:val="16"/>
                <w:color w:val="auto"/>
              </w:rPr>
              <w:t>LIBOR</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2.49%</w:t>
            </w: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3"/>
        </w:trPr>
        <w:tc>
          <w:tcPr>
            <w:tcW w:w="3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3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Weighted average interest rate (receive)</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70"/>
        </w:trPr>
        <w:tc>
          <w:tcPr>
            <w:tcW w:w="3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50"/>
        </w:trPr>
        <w:tc>
          <w:tcPr>
            <w:tcW w:w="34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Cross currency swap</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20"/>
        </w:trPr>
        <w:tc>
          <w:tcPr>
            <w:tcW w:w="3460" w:type="dxa"/>
            <w:vAlign w:val="bottom"/>
          </w:tcPr>
          <w:p>
            <w:pPr>
              <w:ind w:left="380"/>
              <w:spacing w:after="0"/>
              <w:rPr>
                <w:sz w:val="20"/>
                <w:szCs w:val="20"/>
                <w:color w:val="auto"/>
              </w:rPr>
            </w:pPr>
            <w:r>
              <w:rPr>
                <w:rFonts w:ascii="Arial" w:cs="Arial" w:eastAsia="Arial" w:hAnsi="Arial"/>
                <w:sz w:val="16"/>
                <w:szCs w:val="16"/>
                <w:color w:val="auto"/>
                <w:w w:val="97"/>
              </w:rPr>
              <w:t>Weighted average interest rate (pay) Fixed -</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3460" w:type="dxa"/>
            <w:vAlign w:val="bottom"/>
          </w:tcPr>
          <w:p>
            <w:pPr>
              <w:ind w:left="380"/>
              <w:spacing w:after="0"/>
              <w:rPr>
                <w:sz w:val="20"/>
                <w:szCs w:val="20"/>
                <w:color w:val="auto"/>
              </w:rPr>
            </w:pPr>
            <w:r>
              <w:rPr>
                <w:rFonts w:ascii="Arial" w:cs="Arial" w:eastAsia="Arial" w:hAnsi="Arial"/>
                <w:sz w:val="16"/>
                <w:szCs w:val="16"/>
                <w:color w:val="auto"/>
              </w:rPr>
              <w:t>EURIBOR</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1.38%</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1.38%</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3"/>
        </w:trPr>
        <w:tc>
          <w:tcPr>
            <w:tcW w:w="3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3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Weighted average interest rate (receive)</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06"/>
        </w:trPr>
        <w:tc>
          <w:tcPr>
            <w:tcW w:w="3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Floating - LIBOR</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33"/>
        </w:trPr>
        <w:tc>
          <w:tcPr>
            <w:tcW w:w="3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a sensitivity analysis as of December 31, 2018, we estimate that, if market interest rates average one percentage point higher in 2019 than in the table above, our financial results in 2019 would not be materially impacted.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 business in a number of countries. As a result, approximately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41% of total revenues for the year ended December 31, 2018, compared with 47% for the years ended December 31, 2017 and 2016.</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third-party. At each period-end, non-functional currency monetary assets and liabilities are revalued with the change recognized to other income and expense. We enter into monthly foreign exchange forward contracts, which are not designated for hedge accounting, with the intent to reduce earnings volatility associated with currency exposures. As of December 31, 2018, a total of 57 contracts were offsetting our exposures from the Euro, Pound Sterling, New Zealand dollar, Swedish Krona, Hungarian Forint and various other currencies, with notional amounts ranging from $107,000 to $47.5 million. Based on a sensitivity analysis as of December 31, 2018, we estimate that, if foreign currency exchange rates average ten percentage points higher in 2018 for these financial instruments, our financial results in 2018 would not be materially impacted.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Itron, Inc.</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Itron, Inc. and subsidiaries (the "Company") as of December 31, 2018 and 2017, the related consolidated statements of operations, comprehensive income (loss), equity,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2019, expressed an unqualified opinion on the Company's internal control over financial reporting.</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discussed in Note 18 to the financial statements, the Company has changed its method of accounting for revenue from contracts with customers in 2018 due to the adoption of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adopted the new revenue standard on January 1, 2018, using the modified retrospective approach.</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5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540" w:type="dxa"/>
            <w:vAlign w:val="bottom"/>
            <w:gridSpan w:val="6"/>
          </w:tcPr>
          <w:p>
            <w:pPr>
              <w:jc w:val="center"/>
              <w:ind w:right="410"/>
              <w:spacing w:after="0"/>
              <w:rPr>
                <w:sz w:val="20"/>
                <w:szCs w:val="20"/>
                <w:color w:val="auto"/>
              </w:rPr>
            </w:pPr>
            <w:r>
              <w:rPr>
                <w:rFonts w:ascii="Arial" w:cs="Arial" w:eastAsia="Arial" w:hAnsi="Arial"/>
                <w:sz w:val="18"/>
                <w:szCs w:val="18"/>
                <w:b w:val="1"/>
                <w:bCs w:val="1"/>
                <w:color w:val="auto"/>
                <w:w w:val="90"/>
              </w:rPr>
              <w:t>Year Ended December 31,</w:t>
            </w:r>
          </w:p>
        </w:tc>
        <w:tc>
          <w:tcPr>
            <w:tcW w:w="11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58"/>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20" w:type="dxa"/>
            <w:vAlign w:val="bottom"/>
            <w:gridSpan w:val="7"/>
          </w:tcPr>
          <w:p>
            <w:pPr>
              <w:jc w:val="center"/>
              <w:ind w:left="67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140" w:type="dxa"/>
            <w:vAlign w:val="bottom"/>
          </w:tcPr>
          <w:p>
            <w:pPr>
              <w:spacing w:after="0"/>
              <w:rPr>
                <w:sz w:val="24"/>
                <w:szCs w:val="24"/>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 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2,095,458</w:t>
            </w:r>
          </w:p>
        </w:tc>
        <w:tc>
          <w:tcPr>
            <w:tcW w:w="56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1,813,925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1,830,070</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Service revenues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280,659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204,272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183,116</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2,376,117</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2,018,197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2,013,186</w:t>
            </w: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6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 cost of revenues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1,476,498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1,204,127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1,236,977</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Service cost of revenues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169,300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137,319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113,677</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cost of revenues</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1,645,798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1,341,446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1,350,654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730,319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676,751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662,532</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6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general and 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423,210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325,264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319,571</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Product development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207,905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169,407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167,766</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20,785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25,112</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77,183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6,418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49,090</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780,011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521,874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561,539</w:t>
            </w:r>
          </w:p>
        </w:tc>
      </w:tr>
      <w:tr>
        <w:trPr>
          <w:trHeight w:val="223"/>
        </w:trPr>
        <w:tc>
          <w:tcPr>
            <w:tcW w:w="60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(49,692)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154,877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100,993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(58,203)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(13,845)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(13,521)</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(3,710)</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(59,459)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(20,302)</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(16,366)</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(109,151)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134,575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84,627</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(74,326)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(49,574)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(96,581)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60,249</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35,053</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3,283</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Itron, Inc.</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(99,250)</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57,298</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31,770</w:t>
            </w:r>
          </w:p>
        </w:tc>
      </w:tr>
      <w:tr>
        <w:trPr>
          <w:trHeight w:val="284"/>
        </w:trPr>
        <w:tc>
          <w:tcPr>
            <w:tcW w:w="60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Earnings (loss) per common share - Basic</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(2.53)</w:t>
            </w:r>
          </w:p>
        </w:tc>
        <w:tc>
          <w:tcPr>
            <w:tcW w:w="56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0.83</w:t>
            </w:r>
          </w:p>
        </w:tc>
      </w:tr>
      <w:tr>
        <w:trPr>
          <w:trHeight w:val="67"/>
        </w:trPr>
        <w:tc>
          <w:tcPr>
            <w:tcW w:w="60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56"/>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(loss) per common share - Diluted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56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39,244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38,655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38,207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39,244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39,387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38,643</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8"/>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(96,581)</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35,053</w:t>
            </w:r>
          </w:p>
        </w:tc>
      </w:tr>
      <w:tr>
        <w:trPr>
          <w:trHeight w:val="297"/>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(28,841)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54,338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(24,977)</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Net unrealized gain (loss) on derivative instruments designated as cash flow</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hedges</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Pension benefit obligation adjustment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2,779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3,588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(3,468)</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(25,827)</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(28,720)</w:t>
            </w:r>
          </w:p>
        </w:tc>
      </w:tr>
      <w:tr>
        <w:trPr>
          <w:trHeight w:val="291"/>
        </w:trPr>
        <w:tc>
          <w:tcPr>
            <w:tcW w:w="60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(122,408)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119,098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6,333</w:t>
            </w:r>
          </w:p>
        </w:tc>
      </w:tr>
      <w:tr>
        <w:trPr>
          <w:trHeight w:val="291"/>
        </w:trPr>
        <w:tc>
          <w:tcPr>
            <w:tcW w:w="60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Comprehensive income attributable to noncontrolling interest, net of tax</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3,283</w:t>
            </w:r>
          </w:p>
        </w:tc>
      </w:tr>
      <w:tr>
        <w:trPr>
          <w:trHeight w:val="297"/>
        </w:trPr>
        <w:tc>
          <w:tcPr>
            <w:tcW w:w="60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Itron, Inc.</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(125,077)</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116,147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3,050</w:t>
            </w:r>
          </w:p>
        </w:tc>
      </w:tr>
      <w:tr>
        <w:trPr>
          <w:trHeight w:val="20"/>
        </w:trPr>
        <w:tc>
          <w:tcPr>
            <w:tcW w:w="6060" w:type="dxa"/>
            <w:vAlign w:val="bottom"/>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65"/>
        </w:trPr>
        <w:tc>
          <w:tcPr>
            <w:tcW w:w="9720" w:type="dxa"/>
            <w:vAlign w:val="bottom"/>
            <w:gridSpan w:val="8"/>
          </w:tcPr>
          <w:p>
            <w:pPr>
              <w:ind w:left="25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9"/>
        </w:trPr>
        <w:tc>
          <w:tcPr>
            <w:tcW w:w="6060" w:type="dxa"/>
            <w:vAlign w:val="bottom"/>
          </w:tcPr>
          <w:p>
            <w:pPr>
              <w:ind w:left="5620"/>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rPr>
              <w:t>ITRON, INC.</w:t>
            </w: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7860" w:type="dxa"/>
            <w:vAlign w:val="bottom"/>
            <w:gridSpan w:val="4"/>
          </w:tcPr>
          <w:p>
            <w:pPr>
              <w:jc w:val="center"/>
              <w:ind w:left="93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2018</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2017</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r>
      <w:tr>
        <w:trPr>
          <w:trHeight w:val="358"/>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0" w:type="dxa"/>
            <w:vAlign w:val="bottom"/>
            <w:gridSpan w:val="4"/>
          </w:tcPr>
          <w:p>
            <w:pPr>
              <w:jc w:val="right"/>
              <w:ind w:right="169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1280" w:type="dxa"/>
            <w:vAlign w:val="bottom"/>
          </w:tcPr>
          <w:p>
            <w:pPr>
              <w:spacing w:after="0"/>
              <w:rPr>
                <w:sz w:val="23"/>
                <w:szCs w:val="23"/>
                <w:color w:val="auto"/>
              </w:rPr>
            </w:pPr>
          </w:p>
        </w:tc>
        <w:tc>
          <w:tcPr>
            <w:tcW w:w="54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4"/>
              </w:rPr>
              <w:t>ASSETS</w:t>
            </w: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176,274</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437,161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398,029</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220,674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193,835</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118,085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81,604</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896,141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849,742</w:t>
            </w: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226,551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200,768</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Deferred tax assets, net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64,830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49,971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311,010</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45,288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43,666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257,583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95,228</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1,116,533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555,762</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2,608,982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2,106,147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128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50"/>
        </w:trPr>
        <w:tc>
          <w:tcPr>
            <w:tcW w:w="128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119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262,166</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70,136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56,736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90,505</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Taxes payable</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14,753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16,100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19,688</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Current portion of warranty</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47,205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21,150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41,438</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652,707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507,783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988,185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593,572</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warranty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13,712</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Pension benefit obligation</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91,522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95,717</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1,525</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long-term obligations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127,739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88,206</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1,874,934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1,300,515</w:t>
            </w: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w w:val="89"/>
              </w:rPr>
              <w:t>Preferred stock, no par value, 10,000 shares authorized, no shares issued or outstanding</w:t>
            </w:r>
          </w:p>
        </w:tc>
        <w:tc>
          <w:tcPr>
            <w:tcW w:w="280" w:type="dxa"/>
            <w:vAlign w:val="bottom"/>
          </w:tcPr>
          <w:p>
            <w:pPr>
              <w:spacing w:after="0"/>
              <w:rPr>
                <w:sz w:val="21"/>
                <w:szCs w:val="21"/>
                <w:color w:val="auto"/>
              </w:rPr>
            </w:pP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9"/>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Common stock, no par value, 75,000 shares authorized, 39,498 and 38,771 shares</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issued and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1,334,364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1,294,767</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(196,305)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(170,478)</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(425,396)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(337,873)</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Itron, Inc. shareholders' equity</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712,663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786,416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21,385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19,216</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734,048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805,632</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2,608,982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2,106,147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08" w:right="239" w:bottom="108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08" w:right="239" w:bottom="1081"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gridSpan w:val="3"/>
            <w:vMerge w:val="restart"/>
          </w:tcPr>
          <w:p>
            <w:pPr>
              <w:ind w:left="80"/>
              <w:spacing w:after="0" w:line="139" w:lineRule="exact"/>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4"/>
                <w:szCs w:val="4"/>
                <w:color w:val="auto"/>
              </w:rPr>
            </w:pPr>
          </w:p>
        </w:tc>
        <w:tc>
          <w:tcPr>
            <w:tcW w:w="118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4"/>
                <w:szCs w:val="4"/>
                <w:color w:val="auto"/>
              </w:rPr>
            </w:pPr>
          </w:p>
        </w:tc>
        <w:tc>
          <w:tcPr>
            <w:tcW w:w="12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740" w:type="dxa"/>
            <w:vAlign w:val="bottom"/>
          </w:tcPr>
          <w:p>
            <w:pPr>
              <w:spacing w:after="0"/>
              <w:rPr>
                <w:sz w:val="5"/>
                <w:szCs w:val="5"/>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vMerge w:val="restart"/>
          </w:tcPr>
          <w:p>
            <w:pPr>
              <w:jc w:val="right"/>
              <w:ind w:right="207"/>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Comprehensive Loss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2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at January 1, 2016</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37,906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1,246,671</w:t>
            </w:r>
          </w:p>
        </w:tc>
        <w:tc>
          <w:tcPr>
            <w:tcW w:w="12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(200,607)</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(441,306)</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604,758</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17,945</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622,703</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31,770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31,770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3,283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35,053</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Other comprehensive income (loss), net of tax</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(28,720)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(28,720)</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(2,479)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(2,479)</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issues and repurchases: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Options exercised</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7"/>
              <w:spacing w:after="0"/>
              <w:rPr>
                <w:sz w:val="20"/>
                <w:szCs w:val="20"/>
                <w:color w:val="auto"/>
              </w:rPr>
            </w:pPr>
            <w:r>
              <w:rPr>
                <w:rFonts w:ascii="Arial" w:cs="Arial" w:eastAsia="Arial" w:hAnsi="Arial"/>
                <w:sz w:val="14"/>
                <w:szCs w:val="14"/>
                <w:color w:val="auto"/>
              </w:rPr>
              <w:t>2,144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2,144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2,144</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Restricted stock awards released</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740" w:type="dxa"/>
            <w:vAlign w:val="bottom"/>
          </w:tcPr>
          <w:p>
            <w:pPr>
              <w:ind w:left="380"/>
              <w:spacing w:after="0" w:line="157" w:lineRule="exact"/>
              <w:rPr>
                <w:sz w:val="20"/>
                <w:szCs w:val="20"/>
                <w:color w:val="auto"/>
              </w:rPr>
            </w:pPr>
            <w:r>
              <w:rPr>
                <w:rFonts w:ascii="Arial" w:cs="Arial" w:eastAsia="Arial" w:hAnsi="Arial"/>
                <w:sz w:val="14"/>
                <w:szCs w:val="14"/>
                <w:color w:val="auto"/>
                <w:w w:val="96"/>
              </w:rPr>
              <w:t>Issuance of stock-based compensation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380"/>
              <w:spacing w:after="0"/>
              <w:rPr>
                <w:sz w:val="20"/>
                <w:szCs w:val="20"/>
                <w:color w:val="auto"/>
              </w:rPr>
            </w:pPr>
            <w:r>
              <w:rPr>
                <w:rFonts w:ascii="Arial" w:cs="Arial" w:eastAsia="Arial" w:hAnsi="Arial"/>
                <w:sz w:val="14"/>
                <w:szCs w:val="14"/>
                <w:color w:val="auto"/>
              </w:rPr>
              <w:t>awards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955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955</w:t>
            </w: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Employee stock purchase plan</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747</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7"/>
              <w:spacing w:after="0"/>
              <w:rPr>
                <w:sz w:val="20"/>
                <w:szCs w:val="20"/>
                <w:color w:val="auto"/>
              </w:rPr>
            </w:pPr>
            <w:r>
              <w:rPr>
                <w:rFonts w:ascii="Arial" w:cs="Arial" w:eastAsia="Arial" w:hAnsi="Arial"/>
                <w:sz w:val="14"/>
                <w:szCs w:val="14"/>
                <w:color w:val="auto"/>
              </w:rPr>
              <w:t>17,080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17,080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17,080</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Employee stock plans income tax</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deficiencies</w:t>
            </w:r>
          </w:p>
        </w:tc>
        <w:tc>
          <w:tcPr>
            <w:tcW w:w="8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2,870</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2,870</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2,870</w:t>
            </w:r>
          </w:p>
        </w:tc>
        <w:tc>
          <w:tcPr>
            <w:tcW w:w="0" w:type="dxa"/>
            <w:vAlign w:val="bottom"/>
          </w:tcPr>
          <w:p>
            <w:pPr>
              <w:spacing w:after="0"/>
              <w:rPr>
                <w:sz w:val="1"/>
                <w:szCs w:val="1"/>
                <w:color w:val="auto"/>
              </w:rPr>
            </w:pPr>
          </w:p>
        </w:tc>
      </w:tr>
      <w:tr>
        <w:trPr>
          <w:trHeight w:val="171"/>
        </w:trPr>
        <w:tc>
          <w:tcPr>
            <w:tcW w:w="2740" w:type="dxa"/>
            <w:vAlign w:val="bottom"/>
          </w:tcPr>
          <w:p>
            <w:pPr>
              <w:ind w:left="40"/>
              <w:spacing w:after="0"/>
              <w:rPr>
                <w:sz w:val="20"/>
                <w:szCs w:val="20"/>
                <w:color w:val="auto"/>
              </w:rPr>
            </w:pPr>
            <w:r>
              <w:rPr>
                <w:rFonts w:ascii="Arial" w:cs="Arial" w:eastAsia="Arial" w:hAnsi="Arial"/>
                <w:sz w:val="14"/>
                <w:szCs w:val="14"/>
                <w:color w:val="auto"/>
              </w:rPr>
              <w:t>Balances at December 31, 2016</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38,317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47"/>
              <w:spacing w:after="0"/>
              <w:rPr>
                <w:sz w:val="20"/>
                <w:szCs w:val="20"/>
                <w:color w:val="auto"/>
              </w:rPr>
            </w:pPr>
            <w:r>
              <w:rPr>
                <w:rFonts w:ascii="Arial" w:cs="Arial" w:eastAsia="Arial" w:hAnsi="Arial"/>
                <w:sz w:val="14"/>
                <w:szCs w:val="14"/>
                <w:color w:val="auto"/>
              </w:rPr>
              <w:t>1,270,467</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(229,327)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(409,536)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631,604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18,749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650,353</w:t>
            </w:r>
          </w:p>
        </w:tc>
        <w:tc>
          <w:tcPr>
            <w:tcW w:w="0" w:type="dxa"/>
            <w:vAlign w:val="bottom"/>
          </w:tcPr>
          <w:p>
            <w:pPr>
              <w:spacing w:after="0"/>
              <w:rPr>
                <w:sz w:val="1"/>
                <w:szCs w:val="1"/>
                <w:color w:val="auto"/>
              </w:rPr>
            </w:pPr>
          </w:p>
        </w:tc>
      </w:tr>
      <w:tr>
        <w:trPr>
          <w:trHeight w:val="74"/>
        </w:trPr>
        <w:tc>
          <w:tcPr>
            <w:tcW w:w="274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57,298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57,298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2,951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60,249</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Cumulative effect of accounting change (ASU</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2016-09)</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14,365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14,580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14,580</w:t>
            </w: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w w:val="93"/>
              </w:rPr>
              <w:t>Other comprehensive income (loss), net of tax</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58,849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58,849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58,849</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(2,171)</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Stock issues and repurchases: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Options exercised</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1,631</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1,631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1,631</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Restricted stock awards released</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6"/>
              </w:rPr>
              <w:t>Issuance of stock-based compensation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awards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974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Employee stock purchase plan</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7"/>
              <w:spacing w:after="0"/>
              <w:rPr>
                <w:sz w:val="20"/>
                <w:szCs w:val="20"/>
                <w:color w:val="auto"/>
              </w:rPr>
            </w:pPr>
            <w:r>
              <w:rPr>
                <w:rFonts w:ascii="Arial" w:cs="Arial" w:eastAsia="Arial" w:hAnsi="Arial"/>
                <w:sz w:val="14"/>
                <w:szCs w:val="14"/>
                <w:color w:val="auto"/>
              </w:rPr>
              <w:t>1,978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1,978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1,978</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20,433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20,433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20,433</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Repurchase of noncontrolling interest</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7"/>
              <w:spacing w:after="0"/>
              <w:rPr>
                <w:sz w:val="20"/>
                <w:szCs w:val="20"/>
                <w:color w:val="auto"/>
              </w:rPr>
            </w:pPr>
            <w:r>
              <w:rPr>
                <w:rFonts w:ascii="Arial" w:cs="Arial" w:eastAsia="Arial" w:hAnsi="Arial"/>
                <w:sz w:val="14"/>
                <w:szCs w:val="14"/>
                <w:color w:val="auto"/>
              </w:rPr>
              <w:t>(906)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(906)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Registration fee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40"/>
              <w:spacing w:after="0"/>
              <w:rPr>
                <w:sz w:val="20"/>
                <w:szCs w:val="20"/>
                <w:color w:val="auto"/>
              </w:rPr>
            </w:pPr>
            <w:r>
              <w:rPr>
                <w:rFonts w:ascii="Arial" w:cs="Arial" w:eastAsia="Arial" w:hAnsi="Arial"/>
                <w:sz w:val="14"/>
                <w:szCs w:val="14"/>
                <w:color w:val="auto"/>
              </w:rPr>
              <w:t>Balances at December 31, 2017</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38,771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47"/>
              <w:spacing w:after="0"/>
              <w:rPr>
                <w:sz w:val="20"/>
                <w:szCs w:val="20"/>
                <w:color w:val="auto"/>
              </w:rPr>
            </w:pPr>
            <w:r>
              <w:rPr>
                <w:rFonts w:ascii="Arial" w:cs="Arial" w:eastAsia="Arial" w:hAnsi="Arial"/>
                <w:sz w:val="14"/>
                <w:szCs w:val="14"/>
                <w:color w:val="auto"/>
              </w:rPr>
              <w:t>1,294,767</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(170,478)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(337,873)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786,416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19,216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805,632</w:t>
            </w:r>
          </w:p>
        </w:tc>
        <w:tc>
          <w:tcPr>
            <w:tcW w:w="0" w:type="dxa"/>
            <w:vAlign w:val="bottom"/>
          </w:tcPr>
          <w:p>
            <w:pPr>
              <w:spacing w:after="0"/>
              <w:rPr>
                <w:sz w:val="1"/>
                <w:szCs w:val="1"/>
                <w:color w:val="auto"/>
              </w:rPr>
            </w:pPr>
          </w:p>
        </w:tc>
      </w:tr>
      <w:tr>
        <w:trPr>
          <w:trHeight w:val="74"/>
        </w:trPr>
        <w:tc>
          <w:tcPr>
            <w:tcW w:w="274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(99,250)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(99,250)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2,669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(96,581)</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Cumulative effect of accounting change (ASU</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2014-09 and ASU 2016-16)</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11,727</w:t>
            </w: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w w:val="93"/>
              </w:rPr>
              <w:t>Other comprehensive income (loss), net of tax</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(25,827)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(25,827)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(25,827)</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Stock issues and repurchases: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Options exercised</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5,935</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5,935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5,935</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Restricted stock awards released</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517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6"/>
              </w:rPr>
              <w:t>Issuance of stock-based compensation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awards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729</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Employee stock purchase plan</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7"/>
              <w:spacing w:after="0"/>
              <w:rPr>
                <w:sz w:val="20"/>
                <w:szCs w:val="20"/>
                <w:color w:val="auto"/>
              </w:rPr>
            </w:pPr>
            <w:r>
              <w:rPr>
                <w:rFonts w:ascii="Arial" w:cs="Arial" w:eastAsia="Arial" w:hAnsi="Arial"/>
                <w:sz w:val="14"/>
                <w:szCs w:val="14"/>
                <w:color w:val="auto"/>
              </w:rPr>
              <w:t>2,974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2,974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2,974</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30,534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30,534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30,534</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Registration fee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7"/>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SSNI acquisition adjustments, net</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(553)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40"/>
              <w:spacing w:after="0"/>
              <w:rPr>
                <w:sz w:val="20"/>
                <w:szCs w:val="20"/>
                <w:color w:val="auto"/>
              </w:rPr>
            </w:pPr>
            <w:r>
              <w:rPr>
                <w:rFonts w:ascii="Arial" w:cs="Arial" w:eastAsia="Arial" w:hAnsi="Arial"/>
                <w:sz w:val="14"/>
                <w:szCs w:val="14"/>
                <w:color w:val="auto"/>
              </w:rPr>
              <w:t>Balances at December 31, 2018</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39,498</w:t>
            </w:r>
          </w:p>
        </w:tc>
        <w:tc>
          <w:tcPr>
            <w:tcW w:w="120" w:type="dxa"/>
            <w:vAlign w:val="bottom"/>
          </w:tcPr>
          <w:p>
            <w:pPr>
              <w:spacing w:after="0"/>
              <w:rPr>
                <w:sz w:val="14"/>
                <w:szCs w:val="14"/>
                <w:color w:val="auto"/>
              </w:rPr>
            </w:pPr>
          </w:p>
        </w:tc>
        <w:tc>
          <w:tcPr>
            <w:tcW w:w="1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7"/>
              <w:spacing w:after="0"/>
              <w:rPr>
                <w:sz w:val="20"/>
                <w:szCs w:val="20"/>
                <w:color w:val="auto"/>
              </w:rPr>
            </w:pPr>
            <w:r>
              <w:rPr>
                <w:rFonts w:ascii="Arial" w:cs="Arial" w:eastAsia="Arial" w:hAnsi="Arial"/>
                <w:sz w:val="14"/>
                <w:szCs w:val="14"/>
                <w:color w:val="auto"/>
              </w:rPr>
              <w:t>1,334,364</w:t>
            </w:r>
          </w:p>
        </w:tc>
        <w:tc>
          <w:tcPr>
            <w:tcW w:w="120" w:type="dxa"/>
            <w:vAlign w:val="bottom"/>
          </w:tcPr>
          <w:p>
            <w:pPr>
              <w:spacing w:after="0"/>
              <w:rPr>
                <w:sz w:val="14"/>
                <w:szCs w:val="14"/>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(196,305)</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(425,396)</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712,663</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21,385</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734,048</w:t>
            </w:r>
          </w:p>
        </w:tc>
        <w:tc>
          <w:tcPr>
            <w:tcW w:w="0" w:type="dxa"/>
            <w:vAlign w:val="bottom"/>
          </w:tcPr>
          <w:p>
            <w:pPr>
              <w:spacing w:after="0"/>
              <w:rPr>
                <w:sz w:val="1"/>
                <w:szCs w:val="1"/>
                <w:color w:val="auto"/>
              </w:rPr>
            </w:pPr>
          </w:p>
        </w:tc>
      </w:tr>
      <w:tr>
        <w:trPr>
          <w:trHeight w:val="65"/>
        </w:trPr>
        <w:tc>
          <w:tcPr>
            <w:tcW w:w="2740" w:type="dxa"/>
            <w:vAlign w:val="bottom"/>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8"/>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(96,581)</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35,053</w:t>
            </w:r>
          </w:p>
        </w:tc>
      </w:tr>
      <w:tr>
        <w:trPr>
          <w:trHeight w:val="229"/>
        </w:trPr>
        <w:tc>
          <w:tcPr>
            <w:tcW w:w="6060" w:type="dxa"/>
            <w:vAlign w:val="bottom"/>
          </w:tcPr>
          <w:p>
            <w:pPr>
              <w:ind w:left="380"/>
              <w:spacing w:after="0"/>
              <w:rPr>
                <w:sz w:val="20"/>
                <w:szCs w:val="20"/>
                <w:color w:val="auto"/>
              </w:rPr>
            </w:pPr>
            <w:r>
              <w:rPr>
                <w:rFonts w:ascii="Arial" w:cs="Arial" w:eastAsia="Arial" w:hAnsi="Arial"/>
                <w:sz w:val="18"/>
                <w:szCs w:val="18"/>
                <w:color w:val="auto"/>
                <w:w w:val="92"/>
              </w:rPr>
              <w:t>Adjustments to reconcile net (loss) income to net cash provided by operating</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060" w:type="dxa"/>
            <w:vAlign w:val="bottom"/>
          </w:tcPr>
          <w:p>
            <w:pPr>
              <w:ind w:left="380"/>
              <w:spacing w:after="0"/>
              <w:rPr>
                <w:sz w:val="20"/>
                <w:szCs w:val="20"/>
                <w:color w:val="auto"/>
              </w:rPr>
            </w:pPr>
            <w:r>
              <w:rPr>
                <w:rFonts w:ascii="Arial" w:cs="Arial" w:eastAsia="Arial" w:hAnsi="Arial"/>
                <w:sz w:val="18"/>
                <w:szCs w:val="18"/>
                <w:color w:val="auto"/>
              </w:rPr>
              <w:t>activities:</w:t>
            </w: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122,497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68,318</w:t>
            </w: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31,263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21,407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18,035</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prepaid debt fees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w:t>
            </w: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Deferred taxes, net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(19,130)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50,667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13,790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Restructuring, non-cash</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7,188</w:t>
            </w: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Other adjustments, net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4,309</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net of acquisitions: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(17,573)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(27,162)</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22,343</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(23,589)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8,112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20,705</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long-term assets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Accounts payables, other current liabilities, and taxes payable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20,101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78,463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(37,312)</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7,808</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Unearned revenue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27,584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(41,309)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(25,810)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Warranty</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(10,246)</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 operating, net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34,072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(20,680)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18,086</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109,755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191,354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115,842</w:t>
            </w:r>
          </w:p>
        </w:tc>
      </w:tr>
      <w:tr>
        <w:trPr>
          <w:trHeight w:val="270"/>
        </w:trPr>
        <w:tc>
          <w:tcPr>
            <w:tcW w:w="6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Acquisitions of property, plant, and equipment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(59,952)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(49,495)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(43,543)</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Business acquisitions, net of cash equivalents acquired</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(803,075)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 investing, net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(3,034)</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(862,658)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(47,528)</w:t>
            </w:r>
          </w:p>
        </w:tc>
      </w:tr>
      <w:tr>
        <w:trPr>
          <w:trHeight w:val="270"/>
        </w:trPr>
        <w:tc>
          <w:tcPr>
            <w:tcW w:w="6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778,938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335,000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15,877</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debt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(363,359)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(79,119)</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9,171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2,891</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debt fees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 financing, net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(2,672)</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395,821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301,959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(63,023)</w:t>
            </w:r>
          </w:p>
        </w:tc>
      </w:tr>
      <w:tr>
        <w:trPr>
          <w:trHeight w:val="270"/>
        </w:trPr>
        <w:tc>
          <w:tcPr>
            <w:tcW w:w="6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Effect of foreign exchange rate changes on cash, cash equivalents, and restricted</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(Decrease) increase in cash, cash equivalents, and restricted cash</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(365,007)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353,770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2,547</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487,335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133,565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131,018</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122,328</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487,335</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133,565</w:t>
            </w:r>
          </w:p>
        </w:tc>
      </w:tr>
      <w:tr>
        <w:trPr>
          <w:trHeight w:val="257"/>
        </w:trPr>
        <w:tc>
          <w:tcPr>
            <w:tcW w:w="60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during the period for:</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Income taxes, net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13,771</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28,969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24,287</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6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42,347</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10,106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9,921</w:t>
            </w:r>
          </w:p>
        </w:tc>
      </w:tr>
      <w:tr>
        <w:trPr>
          <w:trHeight w:val="27"/>
        </w:trPr>
        <w:tc>
          <w:tcPr>
            <w:tcW w:w="6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71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717"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incorporated in the state of Washington in 1977, and are a technology company, offering end-to-end solutions to enhance productivity and efficiency, primarily focused on utilities and municipalities around the globe. Our solutions generally include robust industrial grade networks, smart meters, meter data management software, and knowledge application solutions, which bring additional value to the customer. Our professional services help our customers project-manage, install, implement, operate, and maintain their systems. We operate under the Itron brand worldwide and manage and report under three operating segments: Device Solutions, Networked Solutions, and Outcomes.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consolidated financial statements presented in this Annual Report include the Consolidated Statements of Operations, Comprehensive Income (Loss), Equity, and Cash Flows for the years ended December 31, 2018, 2017, and 2016 and the Consolidated Balance Sheets as of December 31, 2018 and 2017 of Itron, Inc. and its subsidiaries, prepared in accordance with U.S. generally accepted accounting principles (GAAP).</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On January 1, 2018, we adopted ASC 606 using the modified retrospective method applied to those contracts that were not completed. Results for reporting periods beginning after January 1, 2018 are presented under ASC 606, while prior period amounts are not adjusted and continue to be reported in accordance with our historic accounting under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The cumulative impact of adoption was a net decrease to accumulated deficit of $10.9 million as of January 1, 2018, with the impact primarily related to multiple element arrangements that contain software and software related elements. As we had not established vendor specific objective evidence of fair value for certain of our software and software related elements, we historically combined them as one unit of account and recognized the combined unit of account using the combined services approach. Under ASC 606, these software and software related elements are generally determined to be distinct performance obligations. As such, we are able to recognize revenue as we satisfy the performance obligations, either at a point in time or over time. For contracts that were modified prior to January 1, 2018, we have reflected the aggregate effect of all modifications prior to the date of initial adoption in order to identify the satisfied and unsatisfied performance obligations, determine the transaction price, and allocate the transaction price to satisfied and unsatisfied performance obligations.</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the updated Revenue Recognition accounting policy described below and "Note 18: Revenues" for additional disclosures regarding our revenues from contracts with customers and the adoption of ASC 606.</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Examples of significant estimates include revenue recognition, warranty, restructuring, income taxes, business combinations, goodwill and intangible assets, defined benefit pension plans, contingencies, and stock-based compensation. Due to various factors affecting future costs and operations, actual results could differ materially from these estimates.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consolidate all entities in which we have a greater than 50% ownership interest or in which we exercise control over the operations. We use the equity method of accounting for entities in which we have a 50% or less investment and exercise significant influence. Entities in which we have less than a 20% investment and where we do not exercise significant influence are accounted for under the cost method. Intercompany transactions and balances are eliminated upon consolidation.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Noncontrolling Interests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we consolidate them because we have a greater than 50% ownership interest or because we exercise control over the operations. The noncontrolling interest balance is adjusted each period to reflect the allocation of net income (loss) and other comprehensive income (loss) attributable to the noncontrolling interests, as shown in our Consolidated Statements of Operations and our Consolidated Statements of Comprehensive Income (Loss) as well as contributions from and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distributions to the owners. The noncontrolling interest balance in our Consolidated Balance Sheets represents the proportional share of the equity of the joint venture entities which is attributable to the minority shareholders.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Cash and Cash Equivalents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Cash and cash equivalents that are contractually restricted from operating use are classified as restricted cash and cash equivalents. On December 22, 2017, we issued $300 million aggregate principal amount of 5.00% senior unsecured notes due in 2026 (Notes). The proceeds of the Notes plus prepaid interest and a premium for a special mandatory redemption option were deposited into escrow, where the funds remained until all the escrow release conditions were satisfied, specifically the closing of the acquisition of Silver Spring Networks, Inc. (SSNI) on January 5, 2018. We have recognized the balance in escrow as restricted cash in our consolidated financial statements as of December 31, 2017. See "Note 6: Debt" for further details.</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120,221</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133,565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Current restricted cash included in other current assets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restricted cash</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311,010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6060" w:type="dxa"/>
            <w:vAlign w:val="bottom"/>
          </w:tcPr>
          <w:p>
            <w:pPr>
              <w:ind w:left="380"/>
              <w:spacing w:after="0"/>
              <w:rPr>
                <w:sz w:val="20"/>
                <w:szCs w:val="20"/>
                <w:color w:val="auto"/>
              </w:rPr>
            </w:pPr>
            <w:r>
              <w:rPr>
                <w:rFonts w:ascii="Arial" w:cs="Arial" w:eastAsia="Arial" w:hAnsi="Arial"/>
                <w:sz w:val="16"/>
                <w:szCs w:val="16"/>
                <w:color w:val="auto"/>
              </w:rPr>
              <w:t>Total cash, cash equivalents, and restricted cash:</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122,328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487,335</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133,565</w:t>
            </w: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net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Accounts receivable are recognized for invoices issued to customers in accordance with our contractual arrangements. Interest and late payment fees are minimal. Unbilled receivables are recognized when revenues are recognized upon product shipment or service delivery and invoicing occurs at a later date. We recognize an allowance for doubtful accounts representing our estimate of the probable losses in accounts receivable at the date of the balance sheet based on our historical experience of bad debts and our specific review of outstanding receivables. Accounts receivable are written-off against the allowance when we believe an account, or a portion thereof, is no longer collectible.</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Inventories are stated at the lower of cost or net realizable value using the first-in, first-out method. Cost includes raw materials and labor, plus applied direct and indirect costs. Net realizable value is the estimated selling price in the normal course of business, minus the cost of completion, disposal and transportation.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derivative instruments, whether designated in hedging relationships or not, are recognized on the Consolidated Balance Sheets at fair value as either assets or liabilities. The components and fair values of our derivative instruments are determined using the fair value measurements of significant other observable inputs (Level 2), as defined by GAAP. The fair value of our derivative instruments may switch between an asset and a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any derivative designated as a fair value hedge, the changes in the fair value of the derivative and of the hedged item attributable to the hedged risk are recognized in earnings. For any derivative designated as a cash flow hedge, the effective portions of changes in the fair value of the derivative are recognized as a component of other comprehensive income (loss) (OCI) and are recognized in earnings when the hedged item affects earnings. For a hedge of a net investment, the effective portion of any unrealized gain or loss from the foreign currency revaluation of the hedging instrument is reported in OCI as a net unrealized gain or loss on derivative instruments. Upon termination of a net investment hedge, the net derivative gain/loss will remain in accumulated other comprehensive income (loss) (AOCI) until such time when earnings are impacted by a sale or liquidation of the associated operations. We classify cash flows from our derivative programs as cash flows from operating activities in the Consolidated Statements of Cash Flows.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Derivatives are not used for trading or speculative purposes. Our derivatives are with credit worthy multinational commercial banks, with whom we have master netting agreements; however, our derivative positions are not recognized on a net basis in the Consolidated Balance Sheets. There are no credit-risk-related contingent features within our derivative instruments. Refer to "Note 7: Derivative Financial Instruments" and "Note 14: Shareholders' Equity" for further disclosures of our derivative instruments and their impact on OCI.</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Property, plant, and equipment are stated at cost less accumulated depreciation. Depreciation is computed using the straight-line method over the estimated useful lives of the assets, generally 30 years for buildings and improvements and three years to ten years for machinery and equipment, computers and software, and furniture. Leasehold improvements are capitalized and depreciated over the term of the applicable lease, including renewable periods if reasonably assured,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recognized as incurred. We have no major planned maintenance activities.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long-lived assets for impairment whenever events or circumstances indicate the carrying amount of an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Consolidated Statements of Operations according to the use of the asset, except those gains and losses recognized in conjunction with our restructuring activities, which are classified within restructuring expense.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Prepaid debt fees for term debt represent the capitalized direct costs incurred related to the issuance of debt and are recognized as a direct deduction from the carrying amount of the corresponding debt liability. We have elected to present prepaid debt fees for revolving debt within other long-term assets in the Consolidated Balance Sheets. These costs are amortized to interest expense over the terms of the respective borrowings, including contingent maturity or call features, using the effective interest method, or straight-line method when associated with a revolving credit facility. When debt is repaid early, the related portion of unamortized prepaid debt fees is written off and included in interest expense.</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the date of acquisition, the assets acquired, liabilities assumed, and any noncontrolling interests in the acquiree are recognized at their fair values. The acquiree's results of operations are also included as of the date of acquisition in our consolidated results. Intangible assets that arise from contractual/legal rights, or are capable of being separated, as well as in-process research and development (IPR&amp;D), are measured and recognized at fair value, and amortized over the estimated useful life. IPR&amp;D is not amortized until such time as the associated development projects are completed or terminated. If a development project is completed, the IPR&amp;D is reclassified as a core technology intangible asset and amortized over its estimated useful life. If the development project is terminated, the recognized value of the associated IPR&amp;D is immediately recognized. If practicable, assets acquired and liabilities assumed arising from contingencies are measured and recognized at fair value. If not practicable, such assets and liabilities are measured and recognized when it is probable that a gain or loss has occurred, and the amount can be reasonably estimated. The residual balance of the purchase price, after fair value allocations to all identified assets and liabilities, represents goodwill. Acquisition-related costs are recognized as incurred. Integration costs associated with an acquisition are generally recognized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 us to recognize the fair value of the estimated liability at the time of the acquisition. Subsequent changes in the estimate of the amount to be paid under the contingent consideration arrangement are recognized in the Consolidated Statements of Operations.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estimate the preliminary fair value of acquired assets and liabilities as of the date of acquisition based on information available at that time utilizing either a cost or income approach. The determination of the fair value is judgmental in nature and involves the use of significant estimates and assumptions. Contingent consideration is recognized at fair value as of the date of the acquisition with adjustments occurring after the purchase price allocation period, which could be up to one year, recognized in earnings. Changes to valuation allowances on acquired deferred tax assets that occur after the acquisition date are recognized in the provision for, or benefit from, income taxes. The valuation of these tangible and identifiable intangible assets and liabilities is subject to further management review and may change materially between the preliminary allocation and end of the purchase price allocation period. Any changes in these estimates may have a material effect on our consolidated operating results or financial position.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Goodwill and intangible assets may result from our business acquisitions. Intangible assets may also result from the purchase of assets and intellectual property in a transaction that does not qualify as a business combination.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generally three years to ten years for core-developed technology and customer contracts and relationships.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Each reporting unit corresponds with its respective operating segment. 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quantitative impairment test. The impairment test involves comparing the fair values of the reporting units to their carrying amounts. If the carrying amount of the reporting unit's goodwill exceeds the fair value of the reporting unit, an impairment loss is recognized in an amount equal to the excess.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recognized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recognized. Changes in these factors and related estimates could materially affect our financial position and results of operations. Legal costs to defend against contingent liabilities are recognized as incurred.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have various employee bonus and profit sharing plans, which provide award amounts for the achievement of financial and nonfinancial targets. If management determines it is probable that the targets will be achieved, and the amounts can be reasonably estimated, a compensation accrual is recognized based on the proportional achievement of the financial and nonfinancial targets. Although we monitor and accrue expenses quarterly based on our progress toward the achievement of the targets, the actual results may result in awards that are significantly greater or less than the estimates made in earlier quarters.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recognized if a failure event is probable and the cost can be reasonably estimated. When new products are introduced, our process relies on historical averages of similar products until sufficient data is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 Warranty expense is classified within cost of revenues.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recognize a liability for costs associated with an exit or disposal activity under a restructuring project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recognized at the date the employee is notified. If the employee must provide future service greater than 60 days, such benefits are recognized ratably over the future service period. For contract termination costs, we recognize a liability upon the termination of a contract in accordance with the contract terms or the cessation of the use of the rights conveyed by the contract, whichever occurs later.</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 impairments associated with a restructuring project are determined at the asset group level. An impairment may be recognized for assets that are to be abandoned, are to be sold for less than net book value, or are held for sale in which the estimated proceeds less costs to sell are less than the net book value.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recognized within restructuring expense in the Consolidated Statements of Operations.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sponsor both funded and unfunded defined benefit pension plans for certain international employees.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OCI, net of tax, the actuarial gains or losses and prior service costs or credits, if any, that arise during the period but that are not recognized as components of net periodic benefit cost. If actuarial gains and losses exceed ten percent of the greater of plan assets or plan liabilities, we amortize them over the employees' average future service period.</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Repurchase Plan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may repurchase shares of Itron common stock under programs authorized by our Board of Directors. Share repurchases are made in the open market or in privately negotiated transactions and in accordance with applicable securities laws. Under applicable Washington State law, shares repurchased are retired and not displayed separately as treasury stock on the financial statements; the value of the repurchased shares is deducted from common stock.</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Revenues and Service Revenues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Product revenues include sales from standard and smart meters, systems or software, and any associated implementation and installation revenue. Service revenues include sales from post-sale maintenance support, consulting, outsourcing, and managed services.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 - ASC 606 (for 2018 results in Consolidated Statements of Operations)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majority of our revenues consist primarily of hardware sales, but may also include the license of software, software implementation services, cloud services and software-as-a-service (SaaS), project management services, installation services, consulting services, post-sale maintenance support, and extended or noncustomary warranties. We account for a contract when it has approval and commitment from both parties, the rights of the parties are identified, payment terms are identified, the contract has commercial substance, and collectability of consideration is probable. In determining whether the definition of a contract has been met, we will consider whether the arrangement creates enforceable rights and obligations, which involves evaluation of agreement terms that would allow for the customer to terminate the agreement. If the customer has the unilateral right to terminate the agreement without providing further consideration to us, the agreement would not be considered to meet the definition of a contract.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Many of our revenue arrangements involve multiple performance obligations consisting of hardware, meter reading system software, installation, and/or project management services. Separate contracts entered into with the same customer (or related parties of the customer) at or near the same time are accounted for as a single contract where one or more of the following criteria are met:</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contracts are negotiated as a package with a single commercial objective;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of consideration to be paid in one contract depends on the price or performance of the other contract;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goods or services promised in the contracts (or some goods or services promised in each of the contracts) are a single performance obligation.</w:t>
      </w: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Once the contract has been defined, we evaluate whether the promises in the contract should be accounted for as more than one performance obligation. This evaluation requires significant judgment, and the decision to separate the combined or single contract into multiple performance obligations could change the amount of revenue and profit recognized in a given period. For some of our contracts, the customer contracts with us to provide a significant service of integrating, customizing or modifying goods or services in the contract in which case the goods or services would be combined into a single performance obligation. It is common that we may promise to provide multiple distinct goods or services within a contract in which case we separate the contract into more than one performance obligation. If a contract is separated into more than one performance obligation, we allocate the total transaction price to each performance obligation in an amount based on the estimated relative standalone selling prices of the promised goods or services underlying each performance obligation. If applicable, for goods or services where we have observable standalone sales, the observable standalone sales are used to determine the standalone selling price. For the majority of our goods and services, we do not have observable standalone sales. As a result, we estimate the standalone selling price using either the adjusted market assessment approach or the expected cost plus a margin approach. Approaches used to estimate the standalone selling price for a given good or service will maximize the use of observable inputs and considers several factors, including our pricing practices, costs to provide a good or service, the type of good or service, and availability of other transactional data, among others.</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determine the estimated standalone selling prices of goods or services used in our allocation of arrangement consideration on an annual basis or more frequently if there is a significant change in our business or if we experience significant variances in our transaction prices.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Many of our contracts with customers include variable consideration, which can include liquidated damage provisions, rebates and volume and early payment discounts. Some of our contracts with customers contain clauses for liquidated damages related to the timing of delivery or milestone accomplishments, which could become material in an event of failure to meet the contractual deadlines. At the inception of the arrangement and on an ongoing basis, we evaluate the probability and magnitude of having to pay liquidated damages. We estimate variable consideration using the expected value method, taking into consideration contract terms, historical customer behavior and historical sales. In the case of liquidated damages, we also take into consideration progress towards meeting contractual milestones, including whether milestones have not been achieved, specified rates, if applicable, stated in the contract, and history of paying liquidated damages to the customer or similar customers. Variable consideration is included in the transaction price if, in our judgment, it is probable that a significant future reversal of cumulative revenue under the contract will not occur.</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normal course of business, we do not accept product returns unless the item is defective as manufactured. We establish provisions for estimated returns and warranties. In addition, we do not typically provide customers with the right to a refund.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Hardware revenue is recognized at a point in time. Transfer of control is typically at the time of shipment, receipt by the customer, or, if applicable, upon receipt of customer acceptance provisions. We will recognize revenue prior to receipt of customer acceptance for hardware in cases where the customer acceptance provision is determined to be a formality. Transfer of control would not occur until receipt of customer acceptance in hardware arrangements where such provisions are subjective or where we do not have history of meeting the acceptance criteria.</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Perpetual software licenses are considered to be a right to use intellectual property and are recognized at a point in time. Transfer of control is considered to be at the point at which it is available to the customer to download and use or upon receipt of customer acceptance. In certain contracts, software licenses may be sold with professional services that include implementation services that include a significant service of integrating, customizing or modifying the software. In these instances, the software license is combined into single performance obligation with the implementation services and recognized over time as the implementation services are performed.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Hardware and software licenses (when not combined with professional services) are typically billed when shipped and revenue recognized at a point-in-time.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timing of revenue recognition and invoicing does not have a significant impact on contract assets and liabilities.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Professional services, which include implementation, project management, installation, and consulting services are recognized over time. We measure progress towards satisfying these performance obligations using input methods, most commonly based on the costs incurred in relation to the total expected costs to provide the service. We expect this method to best depict our performance in transferring control of services promised to the customer or represents a reasonable proxy for measuring progress. The estimate of expected costs to provide services requires judgment. Cost estimates take into consideration past history and the specific scope requested by the customer and are updated quarterly. We may also offer professional services on a stand-ready basis over a specified period of time, in which case revenue would be recognized ratably over the term. Invoicing of these services is commensurate with performance and occurs on a monthly basis. As such, these services do not have a significant impact on contract assets and contract liabilities.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Cloud services and SaaS arrangements where customers have access to certain of our software within a cloud-based IT environment that we manage, host and support are offered to customers on a subscription basis. Revenue for the cloud services and SaaS offerings are generally recognized over time, ratably over the contact term commencing with the date the services are made available to the customer.</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Services, including professional services, cloud services and SaaS arrangements, are commonly billed on a monthly basis in arrears and typically result in an unbilled receivable, which is not considered a contract asset as our right to consideration is unconditional.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 arrangements include an extended or noncustomary warranty provisions that covers all or a portion of a customer's replacement or repair costs beyond the standard or customary warranty period. Whether or not the extended warranty is separately priced in the arrangement, such warranties are considered to be a separate good or service, and a portion of the transaction price is allocated to this extended warranty performance obligation. This revenue is recognized, ratably over the extended warranty coverage period.</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Hardware and software post-sale maintenance support fees are recognized over time, ratably over the life of the related service contract. Support fees are typically billed on an annual basis, resulting in a contract liability. Shipping and handling costs and incidental expenses billed to customers are recognized as revenue, with the associated cost charged to cost of revenues. We recognize sales, use, and value added taxes billed to our customers on a net basis.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Payment terms with customers can vary by customer; however, amounts billed are typically payable within 30 to 90 days, depending on the destination country. We do not make a practice of offering financing as part of our contracts with customers.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incur certain incremental costs to obtain contracts with customers, primarily in the form of sales commissions. Where the amortization period is one year or less, we have elected to apply the practical expedient and recognize the related commissions expense as incurred. Otherwise, such incremental costs are capitalized and amortized over the contract period. Capitalized incremental costs are not material.</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 - ASC 605 (for 2016 and 2017 results in Consolidated Statements of Operations)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 Revenues are recognized when (1) persuasive evidence of an arrangement exists, (2) delivery has occurred or services have been rendered, (3) the sales price is fixed or determinable, and (4) collectability is reasonably assured.</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Many of our revenue arrangements involve multiple deliverables, which combine two or more of the following: hardware, meter reading system software, installation, and/or project management services. Separate contracts entered into with the same customer that meet certain criteria such as those that are entered into at or near the same time are evaluated as one single arrangement for purposes of applying multiple element arrangement revenue recognition. Revenue arrangements with multiple deliverables are divided into separate units of accounting at the inception of the arrangement and as each item in the arrangement is delivered. If the delivered item(s) has value to the customer on a standalone basis and delivery/performance of the undelivered item(s) is probable the total arrangement consideration is allocated among the separate units of accounting based on their relative fair values and the applicable revenue recognition criteria are then considered for each unit of accounting. The amount allocable to a delivered item is limited to the amount that we are entitled to collect and that is not contingent upon the delivery/performance of additional items. Revenues for each deliverable are then recognized based on the type of deliverable, such as (1) when the products are shipped, (2) services are delivered, (3) percentage-of-completion for implementation services, (4) upon receipt of customer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acceptance, or 5) transfer of title and risk of loss. The majority of our revenue is recognized when products are shipped to or received by a customer or when services are provided.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Hardware revenues are generally recognized at the time of shipment, receipt by the customer, or, if applicable, upon completion of customer acceptance provisions.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contract accounting where revenue is recognized using percentage of completion, the cost to cost method is used to measure progress to completion. Revenue from OpenWay network software and services are recognized using the units-of-delivery method of contract accounting, as network design services and network software are essential to the functionality of the related hardware (network) for certain contracts. This methodology results in the deferral of costs and revenues as professional services and software implementation commence prior to deployment of hardware.</w:t>
      </w:r>
    </w:p>
    <w:p>
      <w:pPr>
        <w:spacing w:after="0" w:line="15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unusual instances when we are unable to reliably estimate the cost to complete a contract at its inception, we use the completed contract method of contract accounting. Revenues and costs are recognized upon substantial completion when remaining costs are insignificant and potential risks are minimal.</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Change orders and contract modifications entered into after inception of the original contract are analyzed to determine if change orders or modifications are extensions of an existing agreement or are accounted for as a separate arrangement for purposes of applying contract accounting.</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estimate that the completion of a contract component (unit of accounting) will result in a loss, the loss is recognized in the period in which the loss becomes evident. We reevaluate the estimated loss through the completion of the contract component and adjust the estimated loss for changes in facts and circumstances.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few of our larger customer arrangements contain clauses for liquidated damages, related to delays in delivery or milestone accomplishments, which could become material in an event of failure to meet the contractual deadlines. At the inception of the arrangement and on an ongoing basis, we evaluate if the liquidated damages represent contingent revenue and, if so, we reduce the amount of consideration allocated to the delivered products and services and recognize it as a reduction in revenue in the period of default. If the arrangement is subject to contract accounting, liquidated damages resulting from failure or expected failure to meet milestones are estimated and are accounted for as a reduction of revenue in the period in which the liquidated damages are deemed probable of occurrence and are reasonably estimable.</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software customers often purchase a combination of software, software-related services, and post contract customer support (PCS). PCS includes telephone support services and updates or upgrades for software as part of a maintenance program. For these types of arrangements, revenue recognition is dependent upon the availability of vendor specific objective evidence (VSOE) of fair value for any undelivered element. We determine VSOE by reference to the range of comparable standalone sales or stated renewals. We review these standalone sales or renewals on at least an annual basis. If VSOE is established for all undelivered elements in the contract, revenue is recognized for delivered elements when all other revenue recognition criteria are met. Arrangements in which VSOE for all undelivered elements is not established, we recognize revenue under the combined services approach where revenue for software and software related elements is deferred until all software products have been delivered, all software related services have commenced, and undelivered services do not include significant production, customization or modification. This will also result in the deferral of costs for software and software implementation services until the undelivered element commence. Revenue would be recognized over the longest period that services would be provided, which is typically the PCS period.</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Cloud services and SaaS arrangements where customers have access to certain of our software within a cloud-based IT environment that we manage, host and support are offered to customers on a subscription basis. Revenue for the cloud services and SaaS offerings are generally recognized ratably over the contact term commencing with the date the services is made available to customers and all other revenue recognition criteria have been satisfied. For arrangements where cloud services and SaaS is provided on a per meter basis, revenue is recognized based on actual meters read during the period.</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allocate consideration to each deliverable in an arrangement based on its relative selling price. We determine selling price using VSOE, if it exists, otherwise we use third-party evidence (TPE). We define VSOE as a median price of recent standalone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transactions that are priced within a narrow range. TPE is determined based on the prices charged by our competitors for a similar deliverable when sold separately. If neither VSOE nor TPE of selling price exists for a unit of accounting, we use estimated selling price (ESP) to determine the price at which we would transact if the product or service were regularly sold by us on a standalone basis. Our determination of ESP involves a weighting of several factors based on the specific facts and circumstances of the arrangement. The factors considered include historical contractual sales, market conditions and entity specific factors, the cost to produce the deliverable, the anticipated margin on that deliverable, our ongoing pricing strategy and policies, and the characteristics of the varying markets in which the deliverable is sold.</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Unearned revenue is recognized when a customer pays for products or services, but the criteria for revenue recognition have not been met as of the balance sheet date. Unearned revenue of $77.0 million and $114.3 million at December 31, 2017 and 2016 related primarily to professional services and software associated with our smart metering contracts, extended or noncustomary warranty, and prepaid post-contract support. Deferred costs are recognized for products or services for which ownership (typically defined as title and risk of loss) has transferred to the customer, but the criteria for revenue recognition have not been met as of the balance sheet date. Deferred costs were $14.4 million and $34.4 million at December 31, 2017 and 2016 and are recognized within other assets in the Consolidated Balance Sheets.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Hardware and software post-sale maintenance support fees, such as post contract support or extended warranty are recognized ratably over the life of the related service contract. Shipping and handling costs and incidental expenses billed to customers are recognized as revenue, with the associated cost charged to cost of revenues. We recognize sales, use, and value added taxes billed to our customers on a net basis.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Product and software development costs primarily include employee compensation and third-party contracting fees. We do not capitalize product development costs, and we do not generally capitalize development expenses for computer software to be sold, leased, or otherwise marketed as the costs incurred are immaterial for the relatively short period of time between technological feasibility and the completion of software development.</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grant various stock-based compensation awards to our officers, employees and Board of Directors with service, performance, and market vesting conditions, including stock options, restricted stock units, phantom stock units, and unrestricted stock units (awards). We measure and recognize compensation expense for all awards based on estimated fair values. For awards with only a service condition, we expense stock-based compensation using the straight-line method over the requisite service period for the entire award. For awards with service and performance conditions, if vesting is probable, we expense the stock-based compensation on a straight-line basis over the requisite service period for each separately vesting portion of the award. For awards with a market condition, we expense the fair value over the requisite service period. We have elected to account for forfeitures of any awards in stock-based compensation expense prospectively as they occur.</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fair value of stock options is estimated at the date of grant using the Black-Scholes option-pricing model. Options to purchase our common stock are granted with an exercise price equal to the market close price of the stock on the date the Board of Directors approves the grant. Options generally become exercisable in three equal annual installments beginning one year from the date of grant and expire 10 years from the date of grant. Expected volatility is based on a combination of the historical volatility of our common stock and the implied volatility of our traded options for the related expected term. We believe this combined approach is reflective of current and historical market conditions and is an appropriate indicator of expected volatility. The risk-free interest rate is the rate available as of the award date on zero-coupon U.S. government issues with a term equal to the expected term of the award. The expected term is the weighted average expected term of an award based on the period of time between the date the award is granted and the estimated date the award will be fully exercised. Factors considered in estimating the expected term include historical experience of similar awards, contractual terms, vesting schedules, and expectations of future employee behavior. We have not paid dividends in the past and do not plan to pay dividends in the foreseeable future.</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fair value of a restricted stock unit is the market close price of our common stock on the date of grant. Restricted stock units vest over a maximum period of three years. After vesting, the restricted stock units are converted into shares of our common stock on a one-for-one basis and issued to employees. Certain restricted stock units are issued under the Long-Term Performance Restricted Stock Unit Award Agreement and include performance and market conditions. The final number of shares issued will be based on the achievement of financial targets and our total shareholder return relative to the Russell 3000 Index during the performance periods. Due to the presence of a market condition, we utilize a Monte Carlo valuation model to determine the fair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value of the awards at the grant date. Expected volatility is based on the historical volatility of our common stock for the related expected term. We believe this approach is reflective of current and historical market conditions and is an appropriate indicator of expected volatility. The risk-free interest rate is the rate available as of the award date on zero-coupon U.S. government issues with a term equal to the expected term of the award. The expected term is the term of an award based on the period of time between the date of the award and the date the award is expected to vest. The expected term assumption is based upon the plan's performance period as of the date of the award. We have not paid dividends in the past and do not plan to pay dividends in the foreseeable future.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Phantom stock units are a form of share-based award that are indexed to our stock price and are settled in cash upon vesting and accounted for as liability-based awards. Fair value is remeasured at the end of each reporting period based on the market close price of our common stock. Phantom stock units vest over a maximum period of three years. Since phantom stock units are settled in cash, compensation expense recognized over the vesting period will vary based on changes in fair value.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unrestricted stock awards is the market close price of our common stock on the date of grant, and awards are fully vested. We expense stock-based compensation at the date of grant for unrestricted stock awards.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Excess tax benefits and deficiencies resulting from employee share-based payment are recognized as income tax provision or benefit in the Consolidated Statements of Operations, and as an operating activity on the Consolidated Statements of Cash Flows.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maintain an Employee Stock Purchase Plan (ESPP) for our employees. Under the terms of the ESPP, employees can deduct up to 10% of their regular cash compensation to purchase our common stock at a 5% discount from the fair market value of the stock at the end of each fiscal quarter, subject to other limitations under the plan. The sale of the stock to the employees occurs at the beginning of the subsequent quarter. The ESPP is not considered compensatory, and no compensation expense is recognized for sales of our common stock to employees.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account for income taxes using the asset and liability method of accounting. Deferred tax assets and liabilities are recognized based upon anticipated future tax consequences, in each of the jurisdictions that we operate, attributable to: (1) the differences between the financial statement carrying amounts of existing assets and liabilities and their respective income tax bases; and (2) net operating loss and tax credit carryforwards. Deferred tax assets and liabilities are measured annually using enacted tax rates expected to apply to taxable income in the years in which those temporary differences are expected to be recovered or settled. The calculation of our tax liabilities involves applying complex tax regulations in different tax jurisdictions to our tax positions. The effect on deferred tax assets and liabilities of a change in tax legislation and/or rates is recognized in the period that includes the enactment date. A valuation allowance is recognized to reduce the carrying amounts of deferred tax assets if it is not more likely than not that such assets will be realized. We do not recognize tax liabilities on undistributed earnings of international subsidiaries that are permanently reinvested.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consolidated financial statements are reported in U.S. dollars. Assets and liabilities of international subsidiaries with non-U.S. dollar functional currencies are translated to U.S. dollars at the exchange rates in effect on the balance sheet date, or the last business day of the period, if applicable. Revenues and expenses for each subsidiary are translated to U.S. dollars using a weighted 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 Foreign currency losses, net of hedging, of $3.0 million, $5.1 million, and $0.3 million were included in other expenses, net, for the years ended December 31, 2018, 2017 and 2016, respectively.</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New Accounting Pronouncements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w:t>
      </w:r>
      <w:r>
        <w:rPr>
          <w:rFonts w:ascii="Arial" w:cs="Arial" w:eastAsia="Arial" w:hAnsi="Arial"/>
          <w:sz w:val="18"/>
          <w:szCs w:val="18"/>
          <w:i w:val="1"/>
          <w:iCs w:val="1"/>
          <w:color w:val="auto"/>
        </w:rPr>
        <w:t>,</w:t>
      </w:r>
      <w:r>
        <w:rPr>
          <w:rFonts w:ascii="Arial" w:cs="Arial" w:eastAsia="Arial" w:hAnsi="Arial"/>
          <w:sz w:val="18"/>
          <w:szCs w:val="18"/>
          <w:color w:val="auto"/>
        </w:rPr>
        <w:t xml:space="preserve"> which requires substantially all leases be recognized by lessees on their balance sheet as a right-of-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use asset and corresponding lease liability, including leases currently accounted for as operating leases. The new standard also will result in enhanced quantitative and qualitative disclosures, including significant judgments made by management, to provide greater insight into the extent of revenue and expense recognized and expected to be recognized from existing leases. The standard requires modified retrospective adoption and will be effective for annual reporting periods beginning after December 15, 2018, with early adoption permitted. In July 2018, the FASB issued ASU 2018-10, </w:t>
      </w:r>
      <w:r>
        <w:rPr>
          <w:rFonts w:ascii="Arial" w:cs="Arial" w:eastAsia="Arial" w:hAnsi="Arial"/>
          <w:sz w:val="17"/>
          <w:szCs w:val="17"/>
          <w:i w:val="1"/>
          <w:iCs w:val="1"/>
          <w:color w:val="auto"/>
        </w:rPr>
        <w:t>Codification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Improvements to Topic 842, Leases </w:t>
      </w:r>
      <w:r>
        <w:rPr>
          <w:rFonts w:ascii="Arial" w:cs="Arial" w:eastAsia="Arial" w:hAnsi="Arial"/>
          <w:sz w:val="17"/>
          <w:szCs w:val="17"/>
          <w:color w:val="auto"/>
        </w:rPr>
        <w:t>(ASU 2018-10), to clarify, improve, and correct various aspects of ASU 2016-02, and also issued ASU 2018-11,</w:t>
      </w:r>
      <w:r>
        <w:rPr>
          <w:rFonts w:ascii="Arial" w:cs="Arial" w:eastAsia="Arial" w:hAnsi="Arial"/>
          <w:sz w:val="17"/>
          <w:szCs w:val="17"/>
          <w:i w:val="1"/>
          <w:iCs w:val="1"/>
          <w:color w:val="auto"/>
        </w:rPr>
        <w:t xml:space="preserve"> Targeted Improvements to Topic 842, Leases </w:t>
      </w:r>
      <w:r>
        <w:rPr>
          <w:rFonts w:ascii="Arial" w:cs="Arial" w:eastAsia="Arial" w:hAnsi="Arial"/>
          <w:sz w:val="17"/>
          <w:szCs w:val="17"/>
          <w:color w:val="auto"/>
        </w:rPr>
        <w:t>(ASU 2018-11), to simplify transition requirements and, for lessors, provide a practical expedient for the separation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nonlease components from lease components. The effective date and transition requirements in ASU 2018-10 and ASU 2018-11 are the same as the effective date and transition requirements of ASU 2016-02. We currently believe the most significant impact relates to our real estate leases and the increased financial statement disclosures, with an increase to both total assets and total liabilities between $65 million and $85 million.</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(ASU 2016-13), which replaces the incurred loss impairment methodology in current GAAP with a methodology based on expected credit losses. This estimate of expected credit losses uses a broader range of reasonable and supportable information. This change will result in earlier recognition of credit losses. ASU 2016-13 is effective for annual reporting periods, and interim periods within those years, beginning after December 15, 2019. We are currently evaluating the impact of this standard on our consolidated financial statements, including accounting policies, processes, and systems.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Intra-Entity Transfers of Assets Other Than Inventory (Topic 740)</w:t>
      </w:r>
      <w:r>
        <w:rPr>
          <w:rFonts w:ascii="Arial" w:cs="Arial" w:eastAsia="Arial" w:hAnsi="Arial"/>
          <w:sz w:val="16"/>
          <w:szCs w:val="16"/>
          <w:color w:val="auto"/>
        </w:rPr>
        <w:t xml:space="preserve"> (ASU 2016-16), which removes the prohibition in ASC 740 against the immediate recognition of the current and deferred income tax effects of intra-entity transfers of assets other than inventory. Under ASU 2016-16, the selling entity is required to recognize a current tax expense or benefit upon transfer of the asset. Similarly, the purchasing entity is required to recognize a deferred tax asset or deferred tax liability, as well as the related deferred tax benefit or expense, upon receipt of the asset. The resulting deferred tax asset or deferred tax liability is measured by computing the difference between the tax basis of the asset in the buyer's jurisdiction and its financial reporting carrying value in the consolidated financial statements and multiplying such difference by the enacted tax rate in the buyer's jurisdiction. ASU 2016-16 is effective for fiscal years beginning after December 15, 2017 with early adoption permitted. We adopted this standard effective January 1, 2018 using the modified retrospective transition method, recognizing a $0.8 million one-time decrease to accumulated deficit.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2017, the FASB issued ASU 2017-07, </w:t>
      </w:r>
      <w:r>
        <w:rPr>
          <w:rFonts w:ascii="Arial" w:cs="Arial" w:eastAsia="Arial" w:hAnsi="Arial"/>
          <w:sz w:val="18"/>
          <w:szCs w:val="18"/>
          <w:i w:val="1"/>
          <w:iCs w:val="1"/>
          <w:color w:val="auto"/>
        </w:rPr>
        <w:t>Improving the Presentation of Net Periodic Pension Cost and Net Periodic Postretirement Benefit Cost</w:t>
      </w:r>
      <w:r>
        <w:rPr>
          <w:rFonts w:ascii="Arial" w:cs="Arial" w:eastAsia="Arial" w:hAnsi="Arial"/>
          <w:sz w:val="18"/>
          <w:szCs w:val="18"/>
          <w:color w:val="auto"/>
        </w:rPr>
        <w:t xml:space="preserve"> (ASU 2017-07), which provides additional guidance on the presentation of net benefit costs in the income statement. ASU 2017-07 requires an employer to disaggregate the service cost component from the other components of net benefit cost and to disclose other components outside of a subtotal of income from operations. It also allows only the service cost component of net benefit costs to be eligible for capitalization. ASU 2017-07 is effective for fiscal years beginning after December 15, 2017 with early adoption permitted.</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adopted this standard on January 1, 2018 retrospectively for the presentation of the service cost component of net periodic pension cost in the statement of operations, and prospectively for the capitalization of the service cost component of net periodic pension cost. For applying the retrospective presentation requirements, we elected to utilize amounts previously disclosed in our defined benefit pension plan footnote for the prior comparative periods as the estimation basis for applying the retrospective presentation. This resulted in a reclassification of an immaterial amount of net periodic pension benefit costs from operating income to other income (expense) in all periods presented on the Consolidated Statements of Operations.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Targeted Improvements to Accounting for Hedging Activities</w:t>
      </w:r>
      <w:r>
        <w:rPr>
          <w:rFonts w:ascii="Arial" w:cs="Arial" w:eastAsia="Arial" w:hAnsi="Arial"/>
          <w:sz w:val="17"/>
          <w:szCs w:val="17"/>
          <w:color w:val="auto"/>
        </w:rPr>
        <w:t xml:space="preserve">, which amends and simplifies existing guidance in order to allow companies to more accurately present the economic effects of risk management activities in the financial statements. This update expands and refines hedge accounting for both nonfinancial and financial risk components and aligns the recognition and presentation of the effects of the hedging instrument and the hedged item in the financial statements. Additionally, the amendments in ASU 2017-12 provide new guidance about income statement classification and eliminates the requirement to separately measure and report hedge ineffectiveness. ASU 2017-12 is effective for fiscal years beginning after December 15, 2018, with early adoption permitted. We adopted this standard on April 1, 2018 and it did not materially impact our consolidated results of operations, financial position, cash flows, or related financial statement disclosures. In October 2018 the FASB issued ASU 2018-16, </w:t>
      </w:r>
      <w:r>
        <w:rPr>
          <w:rFonts w:ascii="Arial" w:cs="Arial" w:eastAsia="Arial" w:hAnsi="Arial"/>
          <w:sz w:val="17"/>
          <w:szCs w:val="17"/>
          <w:i w:val="1"/>
          <w:iCs w:val="1"/>
          <w:color w:val="auto"/>
        </w:rPr>
        <w:t>Inclusion of the Secured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Overnight Financing Rate (SOFR) Overnight Index Swap (OIS) Rate as a Benchmark Interest Rate for Hedge Accounting Purposes </w:t>
      </w:r>
      <w:r>
        <w:rPr>
          <w:rFonts w:ascii="Arial" w:cs="Arial" w:eastAsia="Arial" w:hAnsi="Arial"/>
          <w:sz w:val="17"/>
          <w:szCs w:val="17"/>
          <w:color w:val="auto"/>
        </w:rPr>
        <w:t>and is effective for Itron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first quarter of 2019. This update establishes OIS rates based on SOFR as an approved benchmark interest rate in addition to existing rates such as the LIBOR swap rate.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Disclosure Framework—Changes to the Disclosure Requirements for Fair Value Measurement</w:t>
      </w:r>
      <w:r>
        <w:rPr>
          <w:rFonts w:ascii="Arial" w:cs="Arial" w:eastAsia="Arial" w:hAnsi="Arial"/>
          <w:sz w:val="16"/>
          <w:szCs w:val="16"/>
          <w:color w:val="auto"/>
        </w:rPr>
        <w:t xml:space="preserve"> (ASU 2018-</w:t>
      </w:r>
    </w:p>
    <w:p>
      <w:pPr>
        <w:spacing w:after="0" w:line="46" w:lineRule="exact"/>
        <w:rPr>
          <w:sz w:val="20"/>
          <w:szCs w:val="20"/>
          <w:color w:val="auto"/>
        </w:rPr>
      </w:pPr>
    </w:p>
    <w:p>
      <w:pPr>
        <w:ind w:firstLine="8"/>
        <w:spacing w:after="0" w:line="261" w:lineRule="auto"/>
        <w:tabs>
          <w:tab w:leader="none" w:pos="3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which amends the disclosure requirements under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ASU 2018-13 is effective for us beginning with our interim financial reports for the first quarter of 2020.</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August 2018, the FASB issued ASU 2018-14, </w:t>
      </w:r>
      <w:r>
        <w:rPr>
          <w:rFonts w:ascii="Arial" w:cs="Arial" w:eastAsia="Arial" w:hAnsi="Arial"/>
          <w:sz w:val="16"/>
          <w:szCs w:val="16"/>
          <w:i w:val="1"/>
          <w:iCs w:val="1"/>
          <w:color w:val="auto"/>
        </w:rPr>
        <w:t>Disclosure Framework—Changes to the Disclosure Requirements for Defined Benefit Plans</w:t>
      </w:r>
      <w:r>
        <w:rPr>
          <w:rFonts w:ascii="Arial" w:cs="Arial" w:eastAsia="Arial" w:hAnsi="Arial"/>
          <w:sz w:val="16"/>
          <w:szCs w:val="16"/>
          <w:color w:val="auto"/>
        </w:rPr>
        <w:t xml:space="preserve"> (ASU 2018-14) which amends the disclosure requirements under ASC 715-20, </w:t>
      </w:r>
      <w:r>
        <w:rPr>
          <w:rFonts w:ascii="Arial" w:cs="Arial" w:eastAsia="Arial" w:hAnsi="Arial"/>
          <w:sz w:val="16"/>
          <w:szCs w:val="16"/>
          <w:i w:val="1"/>
          <w:iCs w:val="1"/>
          <w:color w:val="auto"/>
        </w:rPr>
        <w:t>Compensation—Retirement Benefits—Defined Benefit Plans</w:t>
      </w:r>
      <w:r>
        <w:rPr>
          <w:rFonts w:ascii="Arial" w:cs="Arial" w:eastAsia="Arial" w:hAnsi="Arial"/>
          <w:sz w:val="16"/>
          <w:szCs w:val="16"/>
          <w:color w:val="auto"/>
        </w:rPr>
        <w:t>. ASU 2018-14 is effective for our financial reporting in 2020. We are currently evaluating the impact this standard will have on our financial statement disclosures for our defined benefit plan.</w:t>
      </w:r>
    </w:p>
    <w:p>
      <w:pPr>
        <w:spacing w:after="0" w:line="14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(EPS):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center"/>
              <w:ind w:right="33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100" w:type="dxa"/>
            <w:vAlign w:val="bottom"/>
            <w:gridSpan w:val="6"/>
          </w:tcPr>
          <w:p>
            <w:pPr>
              <w:jc w:val="center"/>
              <w:ind w:left="79"/>
              <w:spacing w:after="0"/>
              <w:rPr>
                <w:sz w:val="20"/>
                <w:szCs w:val="20"/>
                <w:color w:val="auto"/>
              </w:rPr>
            </w:pPr>
            <w:r>
              <w:rPr>
                <w:rFonts w:ascii="Arial" w:cs="Arial" w:eastAsia="Arial" w:hAnsi="Arial"/>
                <w:sz w:val="16"/>
                <w:szCs w:val="16"/>
                <w:b w:val="1"/>
                <w:bCs w:val="1"/>
                <w:color w:val="auto"/>
                <w:w w:val="89"/>
              </w:rPr>
              <w:t>(in thousands, except per share data)</w:t>
            </w:r>
          </w:p>
        </w:tc>
        <w:tc>
          <w:tcPr>
            <w:tcW w:w="120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common shareholders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(99,250)</w:t>
            </w:r>
          </w:p>
        </w:tc>
        <w:tc>
          <w:tcPr>
            <w:tcW w:w="54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57,298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31,770</w:t>
            </w:r>
          </w:p>
        </w:tc>
      </w:tr>
      <w:tr>
        <w:trPr>
          <w:trHeight w:val="270"/>
        </w:trPr>
        <w:tc>
          <w:tcPr>
            <w:tcW w:w="60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38,207</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Dilutive effect of stock-based awards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732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436</w:t>
            </w: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10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39,244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39,387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38,643</w:t>
            </w: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7"/>
        </w:trPr>
        <w:tc>
          <w:tcPr>
            <w:tcW w:w="60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per common share - Basic</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0.83</w:t>
            </w: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Earnings (loss) per common share - Diluted</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(2.53)</w:t>
            </w:r>
          </w:p>
        </w:tc>
        <w:tc>
          <w:tcPr>
            <w:tcW w:w="54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0.82</w:t>
            </w:r>
          </w:p>
        </w:tc>
      </w:tr>
      <w:tr>
        <w:trPr>
          <w:trHeight w:val="20"/>
        </w:trPr>
        <w:tc>
          <w:tcPr>
            <w:tcW w:w="60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future compensation cost associated with the stock award. Approximately</w:t>
      </w:r>
    </w:p>
    <w:p>
      <w:pPr>
        <w:spacing w:after="0" w:line="2"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1.1 million, 0.2 million, and 0.7 million shares related to stock-based awards were excluded from the calculation of diluted EPS for the years ended December 31, 2018, 2017, and 2016, respectively, because they were anti-dilutive. These stock-based awards could be dilutive in future periods.</w:t>
      </w:r>
    </w:p>
    <w:p>
      <w:pPr>
        <w:spacing w:after="0" w:line="15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300" w:type="dxa"/>
            <w:vAlign w:val="bottom"/>
          </w:tcPr>
          <w:p>
            <w:pPr>
              <w:spacing w:after="0"/>
              <w:rPr>
                <w:sz w:val="20"/>
                <w:szCs w:val="20"/>
                <w:color w:val="auto"/>
              </w:rPr>
            </w:pPr>
          </w:p>
        </w:tc>
        <w:tc>
          <w:tcPr>
            <w:tcW w:w="212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2018</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352"/>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Trade receivables (net of allowance of $6,331 and $3,957)</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416,503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369,047</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Unbilled receivables</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20,658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28,982</w:t>
            </w: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accounts receivable, net</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437,161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398,029</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 activity</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3,957</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5,949</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Provision for doubtful accounts, net</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3,874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1,656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written-off</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(2,422)</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Effects of change in exchange rates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6,331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3,957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3,320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Inventories</w:t>
            </w:r>
          </w:p>
        </w:tc>
        <w:tc>
          <w:tcPr>
            <w:tcW w:w="300" w:type="dxa"/>
            <w:vAlign w:val="bottom"/>
          </w:tcPr>
          <w:p>
            <w:pPr>
              <w:spacing w:after="0"/>
              <w:rPr>
                <w:sz w:val="20"/>
                <w:szCs w:val="20"/>
                <w:color w:val="auto"/>
              </w:rPr>
            </w:pPr>
          </w:p>
        </w:tc>
        <w:tc>
          <w:tcPr>
            <w:tcW w:w="212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2018</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352"/>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Materials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133,398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126,656</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Work in process</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9,744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9,863</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77,532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57,316</w:t>
            </w:r>
          </w:p>
        </w:tc>
      </w:tr>
      <w:tr>
        <w:trPr>
          <w:trHeight w:val="244"/>
        </w:trPr>
        <w:tc>
          <w:tcPr>
            <w:tcW w:w="6740" w:type="dxa"/>
            <w:vAlign w:val="bottom"/>
          </w:tcPr>
          <w:p>
            <w:pPr>
              <w:ind w:left="720"/>
              <w:spacing w:after="0"/>
              <w:rPr>
                <w:sz w:val="20"/>
                <w:szCs w:val="20"/>
                <w:color w:val="auto"/>
              </w:rPr>
            </w:pPr>
            <w:r>
              <w:rPr>
                <w:rFonts w:ascii="Arial" w:cs="Arial" w:eastAsia="Arial" w:hAnsi="Arial"/>
                <w:sz w:val="16"/>
                <w:szCs w:val="16"/>
                <w:color w:val="auto"/>
              </w:rPr>
              <w:t>Total inventories</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220,674</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193,835</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Property, plant, and equipment, net</w:t>
            </w:r>
          </w:p>
        </w:tc>
        <w:tc>
          <w:tcPr>
            <w:tcW w:w="300" w:type="dxa"/>
            <w:vAlign w:val="bottom"/>
          </w:tcPr>
          <w:p>
            <w:pPr>
              <w:spacing w:after="0"/>
              <w:rPr>
                <w:sz w:val="20"/>
                <w:szCs w:val="20"/>
                <w:color w:val="auto"/>
              </w:rPr>
            </w:pPr>
          </w:p>
        </w:tc>
        <w:tc>
          <w:tcPr>
            <w:tcW w:w="212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2018</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352"/>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315,974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310,753</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Computers and software</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104,290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104,384</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Buildings, furniture, and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146,071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135,566</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Land</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14,980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18,433</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Construction in progress, including purchased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49,682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39,946</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cost</w:t>
            </w:r>
          </w:p>
        </w:tc>
        <w:tc>
          <w:tcPr>
            <w:tcW w:w="30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630,997</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609,082</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(404,446)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(408,314)</w:t>
            </w:r>
          </w:p>
        </w:tc>
      </w:tr>
      <w:tr>
        <w:trPr>
          <w:trHeight w:val="244"/>
        </w:trPr>
        <w:tc>
          <w:tcPr>
            <w:tcW w:w="6740" w:type="dxa"/>
            <w:vAlign w:val="bottom"/>
          </w:tcPr>
          <w:p>
            <w:pPr>
              <w:ind w:left="112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226,551</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200,768</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50,784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42,430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43,206</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Intangible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(accretion) of our intangible assets and liabilities, other than goodwill,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December 31, 2018</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 2017</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3"/>
        </w:trPr>
        <w:tc>
          <w:tcPr>
            <w:tcW w:w="2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(Amortization)</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(Amortization)</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Gross Assets</w:t>
            </w: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Accretion</w:t>
            </w:r>
          </w:p>
        </w:tc>
        <w:tc>
          <w:tcPr>
            <w:tcW w:w="30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6"/>
                <w:szCs w:val="16"/>
                <w:b w:val="1"/>
                <w:bCs w:val="1"/>
                <w:color w:val="auto"/>
              </w:rPr>
              <w:t>Net</w:t>
            </w: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Gross Assets</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Accretion</w:t>
            </w:r>
          </w:p>
        </w:tc>
        <w:tc>
          <w:tcPr>
            <w:tcW w:w="30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Net</w:t>
            </w:r>
          </w:p>
        </w:tc>
      </w:tr>
      <w:tr>
        <w:trPr>
          <w:trHeight w:val="33"/>
        </w:trPr>
        <w:tc>
          <w:tcPr>
            <w:tcW w:w="2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52"/>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ind w:left="46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Intangible Assets</w:t>
            </w: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Core-developed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(429,955)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429,548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(399,969)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29,579</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379,614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(212,538)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167,076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258,586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(197,582)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61,004</w:t>
            </w: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78,746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4,052</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12,600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(11,205)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11,661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(11,068)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593</w:t>
            </w:r>
          </w:p>
        </w:tc>
      </w:tr>
      <w:tr>
        <w:trPr>
          <w:trHeight w:val="33"/>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0"/>
        </w:trPr>
        <w:tc>
          <w:tcPr>
            <w:tcW w:w="2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intangible assets subject to</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9"/>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978,060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(723,577)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254,483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769,851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(674,623)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95,228</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In-process research and development</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3,100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981,160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(723,577)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257,583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769,851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(674,623)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95,228</w:t>
            </w: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Intangible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50"/>
        </w:trPr>
        <w:tc>
          <w:tcPr>
            <w:tcW w:w="288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5,217</w:t>
            </w:r>
          </w:p>
        </w:tc>
        <w:tc>
          <w:tcPr>
            <w:tcW w:w="12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(18,683)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2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intangible assets and liabilities account activity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352"/>
        </w:trPr>
        <w:tc>
          <w:tcPr>
            <w:tcW w:w="7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2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(in thousands)</w:t>
            </w:r>
          </w:p>
        </w:tc>
        <w:tc>
          <w:tcPr>
            <w:tcW w:w="660" w:type="dxa"/>
            <w:vAlign w:val="bottom"/>
          </w:tcPr>
          <w:p>
            <w:pPr>
              <w:spacing w:after="0"/>
              <w:rPr>
                <w:sz w:val="24"/>
                <w:szCs w:val="24"/>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intangible assets, gross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769,851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669,896</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Intangible assets acquired</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242,039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36,500</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(30,730)</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63,455</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Ending balance, intangible assets, gross</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3"/>
              </w:rPr>
              <w:t>981,160</w:t>
            </w:r>
          </w:p>
        </w:tc>
        <w:tc>
          <w:tcPr>
            <w:tcW w:w="12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3"/>
              </w:rPr>
              <w:t>769,851</w:t>
            </w:r>
          </w:p>
        </w:tc>
      </w:tr>
      <w:tr>
        <w:trPr>
          <w:trHeight w:val="257"/>
        </w:trPr>
        <w:tc>
          <w:tcPr>
            <w:tcW w:w="79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Beginning balance, intangible liabilities, gross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Intangible liabilities acquired</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intangible liabilities, gross</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5, 2018, we completed our acquisition of SSNI by purchasing 100% of the voting stock. Intangible assets acquired in 2018 are primarily based on the purchase price allocation relating to this acquisition. Acquired intangible assets include in-process research and development IPR&amp;D, which is not amortized until such time as the associated development projects are completed. Of these projects, $11.3 million were completed during the twelve months ended December 31, 2018 and are included in core-developed technology. The remaining IPR&amp;D is expected to be completed in the next year. Acquired intangible liabilities reflect the present value of the projected cash outflows for an existing contract where remaining costs are expected to exceed projected revenues. Refer to "Note 17: Business Combinations" for additional information regarding this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 amortization expense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71,713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20,785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25,112</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recognized net amortization of intangible assets for the year ended December 31, 2018, 2017 and 2016, respectively within operating expenses in the Consolidated Statements of Operations. These expenses relate to intangible assets and liabilities acquired as part of a business combination.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(accretion) is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Estimated Annual</w:t>
            </w:r>
          </w:p>
        </w:tc>
      </w:tr>
      <w:tr>
        <w:trPr>
          <w:trHeight w:val="21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26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Accretion</w:t>
            </w:r>
          </w:p>
        </w:tc>
        <w:tc>
          <w:tcPr>
            <w:tcW w:w="16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Amortization, net</w:t>
            </w:r>
          </w:p>
        </w:tc>
      </w:tr>
      <w:tr>
        <w:trPr>
          <w:trHeight w:val="33"/>
        </w:trPr>
        <w:tc>
          <w:tcPr>
            <w:tcW w:w="6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72,512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64,279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2020</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52,591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(8,028)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44,563</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35,161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26,950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26,491</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19,363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Beyond 2023</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45,943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45,943</w:t>
            </w:r>
          </w:p>
        </w:tc>
      </w:tr>
      <w:tr>
        <w:trPr>
          <w:trHeight w:val="33"/>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intangible assets subject to amortization</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254,483</w:t>
            </w: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(18,683)</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235,800</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changes in the carrying amount of goodwill for the years ended December 31, 2018 and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w w:val="97"/>
              </w:rPr>
              <w:t>(in thousands)</w:t>
            </w: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color w:val="auto"/>
              </w:rPr>
              <w:t>Goodwill balance at January 1, 2017</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452,494</w:t>
            </w:r>
          </w:p>
        </w:tc>
      </w:tr>
      <w:tr>
        <w:trPr>
          <w:trHeight w:val="33"/>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7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37"/>
        </w:trPr>
        <w:tc>
          <w:tcPr>
            <w:tcW w:w="9720" w:type="dxa"/>
            <w:vAlign w:val="bottom"/>
          </w:tcPr>
          <w:p>
            <w:pPr>
              <w:ind w:left="380"/>
              <w:spacing w:after="0"/>
              <w:rPr>
                <w:sz w:val="20"/>
                <w:szCs w:val="20"/>
                <w:color w:val="auto"/>
              </w:rPr>
            </w:pPr>
            <w:r>
              <w:rPr>
                <w:rFonts w:ascii="Arial" w:cs="Arial" w:eastAsia="Arial" w:hAnsi="Arial"/>
                <w:sz w:val="16"/>
                <w:szCs w:val="16"/>
                <w:color w:val="auto"/>
              </w:rPr>
              <w:t>Goodwill acquired</w:t>
            </w:r>
          </w:p>
        </w:tc>
        <w:tc>
          <w:tcPr>
            <w:tcW w:w="2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59,675</w:t>
            </w:r>
          </w:p>
        </w:tc>
      </w:tr>
      <w:tr>
        <w:trPr>
          <w:trHeight w:val="33"/>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43,593</w:t>
            </w:r>
          </w:p>
        </w:tc>
      </w:tr>
      <w:tr>
        <w:trPr>
          <w:trHeight w:val="270"/>
        </w:trPr>
        <w:tc>
          <w:tcPr>
            <w:tcW w:w="97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balance at December 31, 2017</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555,762</w:t>
            </w:r>
          </w:p>
        </w:tc>
      </w:tr>
      <w:tr>
        <w:trPr>
          <w:trHeight w:val="270"/>
        </w:trPr>
        <w:tc>
          <w:tcPr>
            <w:tcW w:w="9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acquired</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575,750</w:t>
            </w:r>
          </w:p>
        </w:tc>
      </w:tr>
      <w:tr>
        <w:trPr>
          <w:trHeight w:val="237"/>
        </w:trPr>
        <w:tc>
          <w:tcPr>
            <w:tcW w:w="972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(14,979)</w:t>
            </w:r>
          </w:p>
        </w:tc>
      </w:tr>
      <w:tr>
        <w:trPr>
          <w:trHeight w:val="33"/>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7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r>
      <w:tr>
        <w:trPr>
          <w:trHeight w:val="244"/>
        </w:trPr>
        <w:tc>
          <w:tcPr>
            <w:tcW w:w="9720" w:type="dxa"/>
            <w:vAlign w:val="bottom"/>
          </w:tcPr>
          <w:p>
            <w:pPr>
              <w:ind w:left="40"/>
              <w:spacing w:after="0"/>
              <w:rPr>
                <w:sz w:val="20"/>
                <w:szCs w:val="20"/>
                <w:color w:val="auto"/>
              </w:rPr>
            </w:pPr>
            <w:r>
              <w:rPr>
                <w:rFonts w:ascii="Arial" w:cs="Arial" w:eastAsia="Arial" w:hAnsi="Arial"/>
                <w:sz w:val="16"/>
                <w:szCs w:val="16"/>
                <w:color w:val="auto"/>
              </w:rPr>
              <w:t>Goodwill balance at December 31, 2018</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1,116,533</w:t>
            </w:r>
          </w:p>
        </w:tc>
      </w:tr>
      <w:tr>
        <w:trPr>
          <w:trHeight w:val="20"/>
        </w:trPr>
        <w:tc>
          <w:tcPr>
            <w:tcW w:w="9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accumulated goodwill impairment losses at December 31, 2018 and 2017 were $676.5 million. The goodwill impairment losses were originally recognized in 2011.</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October 1, 2018, we reorganized our operating segmentation from Electricity, Gas, Water, and Networks to Device Solutions, Networked Solutions, and Outcomes. A fair value calculation was performed to allocate goodwill from the previous reporting units to the new reporting units, using a relative fair value method. This reorganization was effective at the same date as our regular annual goodwill impairment test date, performed as of October 1. We performed quantitative assessments under both our previous reporting units and our new reporting units. As a result of these assessments, there was no impairment of the carrying value of goodwill.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changes in goodwill by segment from October 1, 2018, the date of the reorganization of our operating segments: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rPr>
              <w:t>Device Solutions</w:t>
            </w:r>
          </w:p>
        </w:tc>
        <w:tc>
          <w:tcPr>
            <w:tcW w:w="1720" w:type="dxa"/>
            <w:vAlign w:val="bottom"/>
            <w:gridSpan w:val="3"/>
          </w:tcPr>
          <w:p>
            <w:pPr>
              <w:ind w:left="80"/>
              <w:spacing w:after="0"/>
              <w:rPr>
                <w:sz w:val="20"/>
                <w:szCs w:val="20"/>
                <w:color w:val="auto"/>
              </w:rPr>
            </w:pPr>
            <w:r>
              <w:rPr>
                <w:rFonts w:ascii="Arial" w:cs="Arial" w:eastAsia="Arial" w:hAnsi="Arial"/>
                <w:sz w:val="16"/>
                <w:szCs w:val="16"/>
                <w:b w:val="1"/>
                <w:bCs w:val="1"/>
                <w:color w:val="auto"/>
              </w:rPr>
              <w:t>Networked Solutions</w:t>
            </w:r>
          </w:p>
        </w:tc>
        <w:tc>
          <w:tcPr>
            <w:tcW w:w="4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Outcomes</w:t>
            </w:r>
          </w:p>
        </w:tc>
        <w:tc>
          <w:tcPr>
            <w:tcW w:w="180" w:type="dxa"/>
            <w:vAlign w:val="bottom"/>
          </w:tcPr>
          <w:p>
            <w:pPr>
              <w:spacing w:after="0"/>
              <w:rPr>
                <w:sz w:val="18"/>
                <w:szCs w:val="18"/>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Total Company</w:t>
            </w:r>
          </w:p>
        </w:tc>
      </w:tr>
      <w:tr>
        <w:trPr>
          <w:trHeight w:val="33"/>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39"/>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balance at October 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55,770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922,889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1,121,895</w:t>
            </w:r>
          </w:p>
        </w:tc>
      </w:tr>
      <w:tr>
        <w:trPr>
          <w:trHeight w:val="270"/>
        </w:trPr>
        <w:tc>
          <w:tcPr>
            <w:tcW w:w="4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Measurement period adjustments to goodwill acquired</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4,960</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(8,491)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(10,322)</w:t>
            </w: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spacing w:after="0"/>
              <w:rPr>
                <w:sz w:val="23"/>
                <w:szCs w:val="23"/>
                <w:color w:val="auto"/>
              </w:rPr>
            </w:pPr>
          </w:p>
        </w:tc>
      </w:tr>
      <w:tr>
        <w:trPr>
          <w:trHeight w:val="244"/>
        </w:trPr>
        <w:tc>
          <w:tcPr>
            <w:tcW w:w="4700" w:type="dxa"/>
            <w:vAlign w:val="bottom"/>
          </w:tcPr>
          <w:p>
            <w:pPr>
              <w:ind w:left="40"/>
              <w:spacing w:after="0"/>
              <w:rPr>
                <w:sz w:val="20"/>
                <w:szCs w:val="20"/>
                <w:color w:val="auto"/>
              </w:rPr>
            </w:pPr>
            <w:r>
              <w:rPr>
                <w:rFonts w:ascii="Arial" w:cs="Arial" w:eastAsia="Arial" w:hAnsi="Arial"/>
                <w:sz w:val="16"/>
                <w:szCs w:val="16"/>
                <w:color w:val="auto"/>
              </w:rPr>
              <w:t>Goodwill balance at December 31, 2018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55,259</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918,495</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142,779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1,116,533</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our borrowings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Credit facilities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USD denominated term loan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Multicurrency revolving line of credit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Senior notes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debt</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Less: current portion of debt</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Less: unamortized prepaid debt fees - term loan</w:t>
      </w:r>
    </w:p>
    <w:p>
      <w:pPr>
        <w:spacing w:after="0" w:line="98" w:lineRule="exact"/>
        <w:rPr>
          <w:sz w:val="20"/>
          <w:szCs w:val="20"/>
          <w:color w:val="auto"/>
        </w:rPr>
      </w:pPr>
    </w:p>
    <w:p>
      <w:pPr>
        <w:jc w:val="right"/>
        <w:ind w:right="2400"/>
        <w:spacing w:after="0"/>
        <w:rPr>
          <w:sz w:val="20"/>
          <w:szCs w:val="20"/>
          <w:color w:val="auto"/>
        </w:rPr>
      </w:pPr>
      <w:r>
        <w:rPr>
          <w:rFonts w:ascii="Arial" w:cs="Arial" w:eastAsia="Arial" w:hAnsi="Arial"/>
          <w:sz w:val="16"/>
          <w:szCs w:val="16"/>
          <w:color w:val="auto"/>
        </w:rPr>
        <w:t>Less: unamortized prepaid debt fees - senior notes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202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 2018</w:t>
            </w:r>
          </w:p>
        </w:tc>
        <w:tc>
          <w:tcPr>
            <w:tcW w:w="260" w:type="dxa"/>
            <w:vAlign w:val="bottom"/>
          </w:tcPr>
          <w:p>
            <w:pPr>
              <w:spacing w:after="0"/>
              <w:rPr>
                <w:sz w:val="18"/>
                <w:szCs w:val="18"/>
                <w:color w:val="auto"/>
              </w:rPr>
            </w:pPr>
          </w:p>
        </w:tc>
        <w:tc>
          <w:tcPr>
            <w:tcW w:w="1880" w:type="dxa"/>
            <w:vAlign w:val="bottom"/>
          </w:tcPr>
          <w:p>
            <w:pPr>
              <w:jc w:val="right"/>
              <w:ind w:right="339"/>
              <w:spacing w:after="0"/>
              <w:rPr>
                <w:sz w:val="20"/>
                <w:szCs w:val="20"/>
                <w:color w:val="auto"/>
              </w:rPr>
            </w:pPr>
            <w:r>
              <w:rPr>
                <w:rFonts w:ascii="Arial" w:cs="Arial" w:eastAsia="Arial" w:hAnsi="Arial"/>
                <w:sz w:val="16"/>
                <w:szCs w:val="16"/>
                <w:b w:val="1"/>
                <w:bCs w:val="1"/>
                <w:color w:val="auto"/>
                <w:w w:val="99"/>
              </w:rPr>
              <w:t>December 31, 2017</w:t>
            </w:r>
          </w:p>
        </w:tc>
      </w:tr>
      <w:tr>
        <w:trPr>
          <w:trHeight w:val="33"/>
        </w:trPr>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r>
      <w:tr>
        <w:trPr>
          <w:trHeight w:val="352"/>
        </w:trPr>
        <w:tc>
          <w:tcPr>
            <w:tcW w:w="280" w:type="dxa"/>
            <w:vAlign w:val="bottom"/>
          </w:tcPr>
          <w:p>
            <w:pPr>
              <w:spacing w:after="0"/>
              <w:rPr>
                <w:sz w:val="24"/>
                <w:szCs w:val="24"/>
                <w:color w:val="auto"/>
              </w:rPr>
            </w:pPr>
          </w:p>
        </w:tc>
        <w:tc>
          <w:tcPr>
            <w:tcW w:w="4160" w:type="dxa"/>
            <w:vAlign w:val="bottom"/>
            <w:gridSpan w:val="4"/>
          </w:tcPr>
          <w:p>
            <w:pPr>
              <w:jc w:val="right"/>
              <w:ind w:right="1639"/>
              <w:spacing w:after="0"/>
              <w:rPr>
                <w:sz w:val="20"/>
                <w:szCs w:val="20"/>
                <w:color w:val="auto"/>
              </w:rPr>
            </w:pPr>
            <w:r>
              <w:rPr>
                <w:rFonts w:ascii="Arial" w:cs="Arial" w:eastAsia="Arial" w:hAnsi="Arial"/>
                <w:sz w:val="16"/>
                <w:szCs w:val="16"/>
                <w:b w:val="1"/>
                <w:bCs w:val="1"/>
                <w:color w:val="auto"/>
              </w:rPr>
              <w:t>(in thousands)</w:t>
            </w:r>
          </w:p>
        </w:tc>
      </w:tr>
      <w:tr>
        <w:trPr>
          <w:trHeight w:val="540"/>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637,813</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194,063</w:t>
            </w:r>
          </w:p>
        </w:tc>
      </w:tr>
      <w:tr>
        <w:trPr>
          <w:trHeight w:val="270"/>
        </w:trPr>
        <w:tc>
          <w:tcPr>
            <w:tcW w:w="280" w:type="dxa"/>
            <w:vAlign w:val="bottom"/>
          </w:tcPr>
          <w:p>
            <w:pPr>
              <w:spacing w:after="0"/>
              <w:rPr>
                <w:sz w:val="23"/>
                <w:szCs w:val="23"/>
                <w:color w:val="auto"/>
              </w:rPr>
            </w:pPr>
          </w:p>
        </w:tc>
        <w:tc>
          <w:tcPr>
            <w:tcW w:w="2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125,414</w:t>
            </w:r>
          </w:p>
        </w:tc>
      </w:tr>
      <w:tr>
        <w:trPr>
          <w:trHeight w:val="270"/>
        </w:trPr>
        <w:tc>
          <w:tcPr>
            <w:tcW w:w="280" w:type="dxa"/>
            <w:vAlign w:val="bottom"/>
          </w:tcPr>
          <w:p>
            <w:pPr>
              <w:spacing w:after="0"/>
              <w:rPr>
                <w:sz w:val="23"/>
                <w:szCs w:val="23"/>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300,000</w:t>
            </w:r>
          </w:p>
        </w:tc>
      </w:tr>
      <w:tr>
        <w:trPr>
          <w:trHeight w:val="33"/>
        </w:trPr>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1,037,813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619,477</w:t>
            </w:r>
          </w:p>
        </w:tc>
      </w:tr>
      <w:tr>
        <w:trPr>
          <w:trHeight w:val="270"/>
        </w:trPr>
        <w:tc>
          <w:tcPr>
            <w:tcW w:w="280" w:type="dxa"/>
            <w:vAlign w:val="bottom"/>
          </w:tcPr>
          <w:p>
            <w:pPr>
              <w:spacing w:after="0"/>
              <w:rPr>
                <w:sz w:val="23"/>
                <w:szCs w:val="23"/>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28,438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19,688</w:t>
            </w:r>
          </w:p>
        </w:tc>
      </w:tr>
      <w:tr>
        <w:trPr>
          <w:trHeight w:val="270"/>
        </w:trPr>
        <w:tc>
          <w:tcPr>
            <w:tcW w:w="280" w:type="dxa"/>
            <w:vAlign w:val="bottom"/>
          </w:tcPr>
          <w:p>
            <w:pPr>
              <w:spacing w:after="0"/>
              <w:rPr>
                <w:sz w:val="23"/>
                <w:szCs w:val="23"/>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4,859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629</w:t>
            </w:r>
          </w:p>
        </w:tc>
      </w:tr>
      <w:tr>
        <w:trPr>
          <w:trHeight w:val="270"/>
        </w:trPr>
        <w:tc>
          <w:tcPr>
            <w:tcW w:w="280" w:type="dxa"/>
            <w:vAlign w:val="bottom"/>
          </w:tcPr>
          <w:p>
            <w:pPr>
              <w:spacing w:after="0"/>
              <w:rPr>
                <w:sz w:val="23"/>
                <w:szCs w:val="23"/>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16,331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5,588</w:t>
            </w:r>
          </w:p>
        </w:tc>
      </w:tr>
      <w:tr>
        <w:trPr>
          <w:trHeight w:val="33"/>
        </w:trPr>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988,185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593,572</w:t>
            </w:r>
          </w:p>
        </w:tc>
      </w:tr>
      <w:tr>
        <w:trPr>
          <w:trHeight w:val="33"/>
        </w:trPr>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-1397000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-1054100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-711200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-368300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440"/>
          </w:cols>
          <w:pgMar w:left="240" w:top="125" w:right="239" w:bottom="1440" w:gutter="0" w:footer="0" w:header="0"/>
        </w:sect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5, 2018, we entered into a credit agreement providing for committed credit facilities in the amount of $1.2 billion U.S. dollars (the 2018 credit facility) which amended and restated in its entirety our credit agreement dated June 23, 2015 and replaced committed facilities in the amount of $725 million.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Both the term loan and the revolver mature on January 5, 2023 and can be repaid without penalty. Amounts repaid on the term loan may not be reborrowed and amounts borrowed under the revolver may be repaid and reborrowed until the revolver's maturity, at which time all outstanding loans together with all accrued and unpaid interest must be repaid. Amounts not borrowed under the revolver are subject to a commitment fee, which is paid in arrears on the last day of each fiscal quarter, ranging from 0.18% to 0.35% per annum depending on our total leverage ratio as of the most recently ended fiscal quarter.</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2018 credit facility permits us and certain of our foreign subsidiaries to borrow in U.S. dollars, euros, British pounds,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including a pledge of their related assets.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December 31, 2018.</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2018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 month LIBOR plus 1%. At December 31, 2018, the interest rates for both the term loan and the revolver was 4.28%, which includes the LIBOR rate plus a margin of 1.75%.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Total credit facility repayments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12,187</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11,250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Multicurrency revolving line of credit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351,172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67,869</w:t>
            </w: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credit facility repayments</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363,359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29,063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79,119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2018, no amount was outstanding under the 2018 credit facility revolver, and $41.0 million was utilized by outstanding standby letters of credit, resulting in $459.0 million available for additional borrowings or standby letters of credit. At December 31, 2018, $259.0 million was available for additional standby letters of credit under the letter of credit sub-facility and no amounts were outstanding under the swingline sub-facility.</w:t>
      </w:r>
    </w:p>
    <w:p>
      <w:pPr>
        <w:sectPr>
          <w:pgSz w:w="11900" w:h="16838" w:orient="portrait"/>
          <w:cols w:equalWidth="0" w:num="1">
            <w:col w:w="11420"/>
          </w:cols>
          <w:pgMar w:left="240" w:top="125" w:right="239" w:bottom="1440" w:gutter="0" w:footer="0" w:header="0"/>
          <w:type w:val="continuous"/>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5"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Senior Notes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22, 2017 and January 19, 2018, we issued $300 million and $100 million, respectively, of aggregate principal amount of 5.00% senior notes maturing January 15, 2026 (Notes). The proceeds were used to refinance existing indebtedness related to the acquisition of SSNI, pay related fees and expenses, and for general corporate purposes. Interest on the Notes is payable semi-annually in arrears on January 15 and July 15, commencing on July 15, 2018. The Notes are fully and unconditionally guaranteed, jointly and severally, on a senior unsecured basis by each of our subsidiaries that guarantee the senior credit facilities.</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Prior to maturity we may redeem some or all of the Notes, together with accrued and unpaid interest, if any, plus a "make-whole" premium. On or after January 15, 2021, we may redeem some or all of the Notes at any time at declining redemption prices equal to 102.50% beginning on January 15, 2021, 101.25% beginning on January 15, 2022 and 100.00% beginning on January 15, 2023 and thereafter to the applicable redemption date. In addition, before January 15, 2021, and subject to certain conditions, we may redeem up to 35% of the aggregate principal amount of Notes with the net proceeds of certain equity offerings at 105.00% thereof to the date of redemption; provided that (i) at least 65% of the aggregate principal amount of Notes remains outstanding after such redemption and (ii) the redemption occurs within 60 days of the closing of any such equity offering.</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Debt Maturities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amount of required minimum principal payments on our long-term debt in aggregate over the next five years,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200" w:type="dxa"/>
            <w:vAlign w:val="bottom"/>
          </w:tcPr>
          <w:p>
            <w:pPr>
              <w:spacing w:after="0"/>
              <w:rPr>
                <w:sz w:val="18"/>
                <w:szCs w:val="18"/>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Minimum Payments</w:t>
            </w:r>
          </w:p>
        </w:tc>
      </w:tr>
      <w:tr>
        <w:trPr>
          <w:trHeight w:val="33"/>
        </w:trPr>
        <w:tc>
          <w:tcPr>
            <w:tcW w:w="9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9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28,438</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44,688</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60,937</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65,000</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438,750</w:t>
            </w:r>
          </w:p>
        </w:tc>
      </w:tr>
      <w:tr>
        <w:trPr>
          <w:trHeight w:val="244"/>
        </w:trPr>
        <w:tc>
          <w:tcPr>
            <w:tcW w:w="9480" w:type="dxa"/>
            <w:vAlign w:val="bottom"/>
            <w:gridSpan w:val="2"/>
          </w:tcPr>
          <w:p>
            <w:pPr>
              <w:ind w:left="180"/>
              <w:spacing w:after="0"/>
              <w:rPr>
                <w:sz w:val="20"/>
                <w:szCs w:val="20"/>
                <w:color w:val="auto"/>
              </w:rPr>
            </w:pPr>
            <w:r>
              <w:rPr>
                <w:rFonts w:ascii="Arial" w:cs="Arial" w:eastAsia="Arial" w:hAnsi="Arial"/>
                <w:sz w:val="16"/>
                <w:szCs w:val="16"/>
                <w:color w:val="auto"/>
              </w:rPr>
              <w:t>Total minimum payments on debt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637,813</w:t>
            </w:r>
          </w:p>
        </w:tc>
      </w:tr>
      <w:tr>
        <w:trPr>
          <w:trHeight w:val="20"/>
        </w:trPr>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Summary of Significant Accounting Policies", "Note 14: Shareholders' Equity", and "Note 15: Fair Values of Financial Instruments" for additional disclosures on our derivative instruments.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Fair Value</w:t>
            </w:r>
          </w:p>
        </w:tc>
        <w:tc>
          <w:tcPr>
            <w:tcW w:w="13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Pr>
          <w:p>
            <w:pPr>
              <w:spacing w:after="0"/>
              <w:rPr>
                <w:sz w:val="18"/>
                <w:szCs w:val="18"/>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240" w:type="dxa"/>
            <w:vAlign w:val="bottom"/>
          </w:tcPr>
          <w:p>
            <w:pPr>
              <w:spacing w:after="0"/>
              <w:rPr>
                <w:sz w:val="18"/>
                <w:szCs w:val="18"/>
                <w:color w:val="auto"/>
              </w:rPr>
            </w:pPr>
          </w:p>
        </w:tc>
        <w:tc>
          <w:tcPr>
            <w:tcW w:w="14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r>
      <w:tr>
        <w:trPr>
          <w:trHeight w:val="352"/>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Derivatives Asset</w:t>
            </w:r>
          </w:p>
        </w:tc>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80" w:type="dxa"/>
            <w:vAlign w:val="bottom"/>
            <w:gridSpan w:val="4"/>
          </w:tcPr>
          <w:p>
            <w:pPr>
              <w:jc w:val="right"/>
              <w:ind w:right="115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39"/>
        </w:trPr>
        <w:tc>
          <w:tcPr>
            <w:tcW w:w="7900" w:type="dxa"/>
            <w:vAlign w:val="bottom"/>
            <w:gridSpan w:val="4"/>
          </w:tcPr>
          <w:p>
            <w:pPr>
              <w:ind w:left="40"/>
              <w:spacing w:after="0"/>
              <w:rPr>
                <w:sz w:val="20"/>
                <w:szCs w:val="20"/>
                <w:color w:val="auto"/>
              </w:rPr>
            </w:pPr>
            <w:r>
              <w:rPr>
                <w:rFonts w:ascii="Arial" w:cs="Arial" w:eastAsia="Arial" w:hAnsi="Arial"/>
                <w:sz w:val="16"/>
                <w:szCs w:val="16"/>
                <w:b w:val="1"/>
                <w:bCs w:val="1"/>
                <w:color w:val="auto"/>
              </w:rPr>
              <w:t>Derivatives designated as hedging instruments under Subtopic ASC 815-20</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7"/>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 contracts</w:t>
            </w:r>
          </w:p>
        </w:tc>
        <w:tc>
          <w:tcPr>
            <w:tcW w:w="1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658</w:t>
            </w: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Interest rate cap contracts</w:t>
            </w:r>
          </w:p>
        </w:tc>
        <w:tc>
          <w:tcPr>
            <w:tcW w:w="12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Other current assets</w:t>
            </w: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Cross currency swap contract</w:t>
            </w:r>
          </w:p>
        </w:tc>
        <w:tc>
          <w:tcPr>
            <w:tcW w:w="1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Interest rate swap contracts</w:t>
            </w:r>
          </w:p>
        </w:tc>
        <w:tc>
          <w:tcPr>
            <w:tcW w:w="12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Other long-term assets</w:t>
            </w: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1,712</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cap contracts</w:t>
            </w:r>
          </w:p>
        </w:tc>
        <w:tc>
          <w:tcPr>
            <w:tcW w:w="1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Cross currency swap contract</w:t>
            </w:r>
          </w:p>
        </w:tc>
        <w:tc>
          <w:tcPr>
            <w:tcW w:w="12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Other long-term assets</w:t>
            </w: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1,339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Subtopic ASC 815-20</w:t>
      </w:r>
    </w:p>
    <w:p>
      <w:pPr>
        <w:sectPr>
          <w:pgSz w:w="11900" w:h="16838" w:orient="portrait"/>
          <w:cols w:equalWidth="0" w:num="1">
            <w:col w:w="11420"/>
          </w:cols>
          <w:pgMar w:left="240" w:top="125" w:right="239" w:bottom="865" w:gutter="0" w:footer="0" w:header="0"/>
        </w:sectPr>
      </w:pPr>
    </w:p>
    <w:p>
      <w:pPr>
        <w:spacing w:after="0" w:line="9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Foreign exchange forward contracts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cap contracts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cap contracts</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Total asset derivatives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20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270"/>
        </w:trPr>
        <w:tc>
          <w:tcPr>
            <w:tcW w:w="420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70"/>
        </w:trPr>
        <w:tc>
          <w:tcPr>
            <w:tcW w:w="4200" w:type="dxa"/>
            <w:vAlign w:val="bottom"/>
            <w:gridSpan w:val="2"/>
          </w:tcPr>
          <w:p>
            <w:pPr>
              <w:spacing w:after="0"/>
              <w:rPr>
                <w:sz w:val="20"/>
                <w:szCs w:val="20"/>
                <w:color w:val="auto"/>
              </w:rPr>
            </w:pPr>
            <w:r>
              <w:rPr>
                <w:rFonts w:ascii="Arial" w:cs="Arial" w:eastAsia="Arial" w:hAnsi="Arial"/>
                <w:sz w:val="16"/>
                <w:szCs w:val="16"/>
                <w:color w:val="auto"/>
              </w:rPr>
              <w:t>Other long-term assets</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268</w:t>
            </w:r>
          </w:p>
        </w:tc>
      </w:tr>
      <w:tr>
        <w:trPr>
          <w:trHeight w:val="47"/>
        </w:trPr>
        <w:tc>
          <w:tcPr>
            <w:tcW w:w="35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7"/>
        </w:trPr>
        <w:tc>
          <w:tcPr>
            <w:tcW w:w="420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6,525</w:t>
            </w:r>
          </w:p>
        </w:tc>
        <w:tc>
          <w:tcPr>
            <w:tcW w:w="12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2,900</w:t>
            </w:r>
          </w:p>
        </w:tc>
      </w:tr>
      <w:tr>
        <w:trPr>
          <w:trHeight w:val="33"/>
        </w:trPr>
        <w:tc>
          <w:tcPr>
            <w:tcW w:w="35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-539750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-196850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60" w:space="720"/>
            <w:col w:w="7040"/>
          </w:cols>
          <w:pgMar w:left="240" w:top="125" w:right="239" w:bottom="865" w:gutter="0" w:footer="0" w:header="0"/>
          <w:type w:val="continuous"/>
        </w:sect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6841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Subtopic ASC 815-20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180"/>
        <w:spacing w:after="0"/>
        <w:tabs>
          <w:tab w:leader="none" w:pos="4360" w:val="left"/>
          <w:tab w:leader="none" w:pos="7920" w:val="left"/>
          <w:tab w:leader="none" w:pos="9260" w:val="left"/>
          <w:tab w:leader="none" w:pos="9740" w:val="left"/>
          <w:tab w:leader="none" w:pos="11040" w:val="left"/>
        </w:tabs>
        <w:rPr>
          <w:sz w:val="20"/>
          <w:szCs w:val="20"/>
          <w:color w:val="auto"/>
        </w:rPr>
      </w:pPr>
      <w:r>
        <w:rPr>
          <w:rFonts w:ascii="Arial" w:cs="Arial" w:eastAsia="Arial" w:hAnsi="Arial"/>
          <w:sz w:val="16"/>
          <w:szCs w:val="16"/>
          <w:color w:val="auto"/>
        </w:rPr>
        <w:t>Foreign exchange forward contracts</w:t>
      </w:r>
      <w:r>
        <w:rPr>
          <w:sz w:val="20"/>
          <w:szCs w:val="20"/>
          <w:color w:val="auto"/>
        </w:rPr>
        <w:tab/>
      </w:r>
      <w:r>
        <w:rPr>
          <w:rFonts w:ascii="Arial" w:cs="Arial" w:eastAsia="Arial" w:hAnsi="Arial"/>
          <w:sz w:val="16"/>
          <w:szCs w:val="16"/>
          <w:color w:val="auto"/>
        </w:rPr>
        <w:t>Other current liabilities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337</w:t>
        <w:tab/>
        <w:t>$</w:t>
      </w:r>
      <w:r>
        <w:rPr>
          <w:sz w:val="20"/>
          <w:szCs w:val="20"/>
          <w:color w:val="auto"/>
        </w:rPr>
        <w:tab/>
      </w:r>
      <w:r>
        <w:rPr>
          <w:rFonts w:ascii="Arial" w:cs="Arial" w:eastAsia="Arial" w:hAnsi="Arial"/>
          <w:sz w:val="15"/>
          <w:szCs w:val="15"/>
          <w:color w:val="auto"/>
        </w:rPr>
        <w:t>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52070</wp:posOffset>
            </wp:positionV>
            <wp:extent cx="22294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The change in AOCI, net of tax, for our derivative and nonderivative instruments designated as hedging instruments, net of tax,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loss on hedging instruments at January 1,</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(13,414)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(14,062)</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Unrealized gain (loss) on derivative instruments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(1,087)</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Realized (gains) losses reclassified into net income (loss)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w:t>
            </w: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color w:val="auto"/>
              </w:rPr>
              <w:t>Net unrealized loss on hedging instruments at December 31,</w:t>
            </w: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(13,179)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(13,414)</w:t>
            </w: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(14,337)</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 of amounts related to hedging instruments are included in interest expense in the Consolidated Statements of Operations. Included in the net unrealized gain (loss) on hedging instruments at December 31, 2018 and 2017 is a loss of $14.4 million, net of tax, related to our nonderivative net investment hedge, which terminated in 2011. This loss on our net investment hedge will remain in AOCI until such time as earnings are impacted by a sale or liquidation of the associated foreign operation.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potential effect of netting arrangements on our financial position related to the offsetting of our recognized derivative assets and liabilities under master netting arrangements or similar agreements is as follows: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Offsetting of Derivative Assets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20" w:type="dxa"/>
            <w:vAlign w:val="bottom"/>
            <w:gridSpan w:val="5"/>
          </w:tcPr>
          <w:p>
            <w:pPr>
              <w:ind w:left="40"/>
              <w:spacing w:after="0"/>
              <w:rPr>
                <w:sz w:val="20"/>
                <w:szCs w:val="20"/>
                <w:color w:val="auto"/>
              </w:rPr>
            </w:pPr>
            <w:r>
              <w:rPr>
                <w:rFonts w:ascii="Arial" w:cs="Arial" w:eastAsia="Arial" w:hAnsi="Arial"/>
                <w:sz w:val="16"/>
                <w:szCs w:val="16"/>
                <w:b w:val="1"/>
                <w:bCs w:val="1"/>
                <w:color w:val="auto"/>
                <w:w w:val="97"/>
              </w:rPr>
              <w:t>Gross Amounts Not Offset in the Consolidated</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20" w:type="dxa"/>
            <w:vAlign w:val="bottom"/>
            <w:gridSpan w:val="5"/>
          </w:tcPr>
          <w:p>
            <w:pPr>
              <w:ind w:left="1140"/>
              <w:spacing w:after="0"/>
              <w:rPr>
                <w:sz w:val="20"/>
                <w:szCs w:val="20"/>
                <w:color w:val="auto"/>
              </w:rPr>
            </w:pPr>
            <w:r>
              <w:rPr>
                <w:rFonts w:ascii="Arial" w:cs="Arial" w:eastAsia="Arial" w:hAnsi="Arial"/>
                <w:sz w:val="16"/>
                <w:szCs w:val="16"/>
                <w:b w:val="1"/>
                <w:bCs w:val="1"/>
                <w:color w:val="auto"/>
              </w:rPr>
              <w:t>Balance Sheets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Gross Amounts of</w:t>
            </w: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Recognized Assets</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Presented in the</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Consolidated Balance</w:t>
            </w:r>
          </w:p>
        </w:tc>
        <w:tc>
          <w:tcPr>
            <w:tcW w:w="140" w:type="dxa"/>
            <w:vAlign w:val="bottom"/>
          </w:tcPr>
          <w:p>
            <w:pPr>
              <w:spacing w:after="0"/>
              <w:rPr>
                <w:sz w:val="17"/>
                <w:szCs w:val="17"/>
                <w:color w:val="auto"/>
              </w:rPr>
            </w:pPr>
          </w:p>
        </w:tc>
        <w:tc>
          <w:tcPr>
            <w:tcW w:w="172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 Financial</w:t>
            </w:r>
          </w:p>
        </w:tc>
        <w:tc>
          <w:tcPr>
            <w:tcW w:w="200" w:type="dxa"/>
            <w:vAlign w:val="bottom"/>
          </w:tcPr>
          <w:p>
            <w:pPr>
              <w:spacing w:after="0"/>
              <w:rPr>
                <w:sz w:val="17"/>
                <w:szCs w:val="17"/>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Cash Collateral</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3"/>
              </w:rPr>
              <w:t>Sheets</w:t>
            </w:r>
          </w:p>
        </w:tc>
        <w:tc>
          <w:tcPr>
            <w:tcW w:w="140" w:type="dxa"/>
            <w:vAlign w:val="bottom"/>
          </w:tcPr>
          <w:p>
            <w:pPr>
              <w:spacing w:after="0"/>
              <w:rPr>
                <w:sz w:val="18"/>
                <w:szCs w:val="18"/>
                <w:color w:val="auto"/>
              </w:rPr>
            </w:pPr>
          </w:p>
        </w:tc>
        <w:tc>
          <w:tcPr>
            <w:tcW w:w="1720" w:type="dxa"/>
            <w:vAlign w:val="bottom"/>
            <w:gridSpan w:val="2"/>
          </w:tcPr>
          <w:p>
            <w:pPr>
              <w:ind w:left="300"/>
              <w:spacing w:after="0"/>
              <w:rPr>
                <w:sz w:val="20"/>
                <w:szCs w:val="20"/>
                <w:color w:val="auto"/>
              </w:rPr>
            </w:pPr>
            <w:r>
              <w:rPr>
                <w:rFonts w:ascii="Arial" w:cs="Arial" w:eastAsia="Arial" w:hAnsi="Arial"/>
                <w:sz w:val="16"/>
                <w:szCs w:val="16"/>
                <w:b w:val="1"/>
                <w:bCs w:val="1"/>
                <w:color w:val="auto"/>
              </w:rPr>
              <w:t>Instruments</w:t>
            </w:r>
          </w:p>
        </w:tc>
        <w:tc>
          <w:tcPr>
            <w:tcW w:w="2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Received</w:t>
            </w:r>
          </w:p>
        </w:tc>
        <w:tc>
          <w:tcPr>
            <w:tcW w:w="26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2"/>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5"/>
          </w:tcPr>
          <w:p>
            <w:pPr>
              <w:ind w:left="112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6,422</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2,810</w:t>
            </w:r>
          </w:p>
        </w:tc>
        <w:tc>
          <w:tcPr>
            <w:tcW w:w="0" w:type="dxa"/>
            <w:vAlign w:val="bottom"/>
          </w:tcPr>
          <w:p>
            <w:pPr>
              <w:spacing w:after="0"/>
              <w:rPr>
                <w:sz w:val="1"/>
                <w:szCs w:val="1"/>
                <w:color w:val="auto"/>
              </w:rPr>
            </w:pPr>
          </w:p>
        </w:tc>
      </w:tr>
      <w:tr>
        <w:trPr>
          <w:trHeight w:val="33"/>
        </w:trPr>
        <w:tc>
          <w:tcPr>
            <w:tcW w:w="4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865"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5" w:right="239" w:bottom="865"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Offsetting of Derivative Liabilities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20" w:type="dxa"/>
            <w:vAlign w:val="bottom"/>
            <w:gridSpan w:val="5"/>
          </w:tcPr>
          <w:p>
            <w:pPr>
              <w:ind w:left="40"/>
              <w:spacing w:after="0"/>
              <w:rPr>
                <w:sz w:val="20"/>
                <w:szCs w:val="20"/>
                <w:color w:val="auto"/>
              </w:rPr>
            </w:pPr>
            <w:r>
              <w:rPr>
                <w:rFonts w:ascii="Arial" w:cs="Arial" w:eastAsia="Arial" w:hAnsi="Arial"/>
                <w:sz w:val="16"/>
                <w:szCs w:val="16"/>
                <w:b w:val="1"/>
                <w:bCs w:val="1"/>
                <w:color w:val="auto"/>
                <w:w w:val="97"/>
              </w:rPr>
              <w:t>Gross Amounts Not Offset in the Consolidated</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20" w:type="dxa"/>
            <w:vAlign w:val="bottom"/>
            <w:gridSpan w:val="5"/>
          </w:tcPr>
          <w:p>
            <w:pPr>
              <w:ind w:left="1140"/>
              <w:spacing w:after="0"/>
              <w:rPr>
                <w:sz w:val="20"/>
                <w:szCs w:val="20"/>
                <w:color w:val="auto"/>
              </w:rPr>
            </w:pPr>
            <w:r>
              <w:rPr>
                <w:rFonts w:ascii="Arial" w:cs="Arial" w:eastAsia="Arial" w:hAnsi="Arial"/>
                <w:sz w:val="16"/>
                <w:szCs w:val="16"/>
                <w:b w:val="1"/>
                <w:bCs w:val="1"/>
                <w:color w:val="auto"/>
              </w:rPr>
              <w:t>Balance Sheets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Gross Amounts of</w:t>
            </w: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8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Recognized Liabilities</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Presented in the</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Consolidated Balance</w:t>
            </w:r>
          </w:p>
        </w:tc>
        <w:tc>
          <w:tcPr>
            <w:tcW w:w="140" w:type="dxa"/>
            <w:vAlign w:val="bottom"/>
          </w:tcPr>
          <w:p>
            <w:pPr>
              <w:spacing w:after="0"/>
              <w:rPr>
                <w:sz w:val="17"/>
                <w:szCs w:val="17"/>
                <w:color w:val="auto"/>
              </w:rPr>
            </w:pPr>
          </w:p>
        </w:tc>
        <w:tc>
          <w:tcPr>
            <w:tcW w:w="172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 Financial</w:t>
            </w:r>
          </w:p>
        </w:tc>
        <w:tc>
          <w:tcPr>
            <w:tcW w:w="200" w:type="dxa"/>
            <w:vAlign w:val="bottom"/>
          </w:tcPr>
          <w:p>
            <w:pPr>
              <w:spacing w:after="0"/>
              <w:rPr>
                <w:sz w:val="17"/>
                <w:szCs w:val="17"/>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Cash Collateral</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3"/>
              </w:rPr>
              <w:t>Sheets</w:t>
            </w:r>
          </w:p>
        </w:tc>
        <w:tc>
          <w:tcPr>
            <w:tcW w:w="140" w:type="dxa"/>
            <w:vAlign w:val="bottom"/>
          </w:tcPr>
          <w:p>
            <w:pPr>
              <w:spacing w:after="0"/>
              <w:rPr>
                <w:sz w:val="18"/>
                <w:szCs w:val="18"/>
                <w:color w:val="auto"/>
              </w:rPr>
            </w:pPr>
          </w:p>
        </w:tc>
        <w:tc>
          <w:tcPr>
            <w:tcW w:w="1720" w:type="dxa"/>
            <w:vAlign w:val="bottom"/>
            <w:gridSpan w:val="2"/>
          </w:tcPr>
          <w:p>
            <w:pPr>
              <w:ind w:left="300"/>
              <w:spacing w:after="0"/>
              <w:rPr>
                <w:sz w:val="20"/>
                <w:szCs w:val="20"/>
                <w:color w:val="auto"/>
              </w:rPr>
            </w:pPr>
            <w:r>
              <w:rPr>
                <w:rFonts w:ascii="Arial" w:cs="Arial" w:eastAsia="Arial" w:hAnsi="Arial"/>
                <w:sz w:val="16"/>
                <w:szCs w:val="16"/>
                <w:b w:val="1"/>
                <w:bCs w:val="1"/>
                <w:color w:val="auto"/>
              </w:rPr>
              <w:t>Instruments</w:t>
            </w:r>
          </w:p>
        </w:tc>
        <w:tc>
          <w:tcPr>
            <w:tcW w:w="2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Pledged</w:t>
            </w:r>
          </w:p>
        </w:tc>
        <w:tc>
          <w:tcPr>
            <w:tcW w:w="26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2"/>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5"/>
          </w:tcPr>
          <w:p>
            <w:pPr>
              <w:ind w:left="112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33"/>
        </w:trPr>
        <w:tc>
          <w:tcPr>
            <w:tcW w:w="4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derivative assets and liabilities subject to netting arrangements consist of foreign exchange forward and interest rate contracts with five counterparties at December 31, 2018 and three counterparties at December 31, 2017. No derivative asset or liability balance with any of our counterparties was individually significant at December 31, 2018 or 2017. Our derivative contracts with each of these counterparties exist under agreements that provide for the net settlement of all contracts through a single payment in a single currency in the event of default. We have no pledges of cash collateral against our obligations and we have not received pledges of cash collateral from our counterparties under the associated derivative contracts.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interest rate caps and swaps to reduce the variability of cash flows from increases in the LIBOR based borrowing rates on our floating rate credit facility. These instruments do not protect us from changes to the applicable margin under our credit facility. At December 31, 2018, our LIBOR-based debt balance was $637.8 million.</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2015, we entered into an interest rate swap, which is effective from August 31, 2016 to June 23, 2020, and converts $214 million of our LIBOR based debt from a floating LIBOR interest rate to a fixed interest rate of 1.42% (excluding the applicable margin on the debt). The notional balance will amortize to maturity at the same rate as required minimum payments on our term loan. Changes in the fair value of the interest rate swap are recognized as a component of other comprehensive income (OCI) and are recognized in earnings when the hedged item affects earnings. The amounts paid or received on the hedge are recognized as an adjustment to interest expense along with the earnings effect of the hedged item. The amount of net gains (loss) expected to be reclassified into earnings in the next 12 months is $1.9 million.</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 based debt up to 2.00%. In the event LIBOR is higher than 2.00%, we will pay interest at the capped rate of 2.00% with respect to the $100 million notional amount of such agreements. The interest rate cap contracts do not include the effect of the applicable margin. As of December 31, 2016, due to the accelerated revolver payments from surplus cash, we elected to de-designate two of the interest rate cap contracts as cash flow hedges and discontinued the use of cash flow hedge accounting. The amounts recognized in AOCI from de-designated interest rate cap contracts were maintained in AOCI as the forecasted transactions were still probable to occur, and subsequent changes in fair value were recognized within interest expense. In April 2018, due to increases in our total LIBOR-based debt, we elected to re-designate the two interest rate cap contracts as cash flow hedges. Future changes in the fair value of these instruments will be recognized as a component of OCI, and these changes together with amounts previously maintained in AOCI will be recognized in earnings when the hedged item affects earnings. The amounts paid or received on the hedge are recognized as an adjustment to interest expense along with the earnings effect of the hedged item. The amount of net losses expected to be reclassified into earnings for all interest rate cap contracts in the next 12 months is $0.2 million.</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2018, we entered into a cross-currency swap which converts $56.0 million of floating LIBOR-based U.S. Dollar denominated debt into 1.38% fixed rate euro denominated debt. This cross-currency swap matures on April 30, 2021 and mitigates the risk associated with fluctuations in currency rates impacting cash flows related to U.S. Dollar denominated debt in a euro functional currency entity. Changes in the fair value of the cross-currency swap are recognized as a component of OCI and will be recognized in earnings when the hedged item affects earnings. The amounts paid or received on the hedge are recognized as an adjustment to interest expense along with the earnings effect of the hedged item. The amount of net gains expected to be reclassified into earnings in the next 12 months is $1.6 million.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before-tax effects of our accounting for derivative instruments designated as hedges on the Consolidated Balance Sheets and the Consolidated Statements of Operations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0" w:type="dxa"/>
            <w:vAlign w:val="bottom"/>
            <w:gridSpan w:val="2"/>
          </w:tcPr>
          <w:p>
            <w:pPr>
              <w:ind w:left="60"/>
              <w:spacing w:after="0"/>
              <w:rPr>
                <w:sz w:val="20"/>
                <w:szCs w:val="20"/>
                <w:color w:val="auto"/>
              </w:rPr>
            </w:pPr>
            <w:r>
              <w:rPr>
                <w:rFonts w:ascii="Arial" w:cs="Arial" w:eastAsia="Arial" w:hAnsi="Arial"/>
                <w:sz w:val="16"/>
                <w:szCs w:val="16"/>
                <w:b w:val="1"/>
                <w:bCs w:val="1"/>
                <w:color w:val="auto"/>
                <w:w w:val="98"/>
              </w:rPr>
              <w:t>Derivatives in Subtopic ASC</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20" w:type="dxa"/>
            <w:vAlign w:val="bottom"/>
            <w:gridSpan w:val="9"/>
            <w:vMerge w:val="restart"/>
          </w:tcPr>
          <w:p>
            <w:pPr>
              <w:ind w:left="980"/>
              <w:spacing w:after="0"/>
              <w:rPr>
                <w:sz w:val="20"/>
                <w:szCs w:val="20"/>
                <w:color w:val="auto"/>
              </w:rPr>
            </w:pPr>
            <w:r>
              <w:rPr>
                <w:rFonts w:ascii="Arial" w:cs="Arial" w:eastAsia="Arial" w:hAnsi="Arial"/>
                <w:sz w:val="16"/>
                <w:szCs w:val="16"/>
                <w:b w:val="1"/>
                <w:bCs w:val="1"/>
                <w:color w:val="auto"/>
                <w:w w:val="96"/>
              </w:rPr>
              <w:t>Gain (Loss) Reclassified from AOCI into Income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2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815-20 Cash Flow Hedging</w:t>
            </w:r>
          </w:p>
        </w:tc>
        <w:tc>
          <w:tcPr>
            <w:tcW w:w="200" w:type="dxa"/>
            <w:vAlign w:val="bottom"/>
          </w:tcPr>
          <w:p>
            <w:pPr>
              <w:spacing w:after="0"/>
              <w:rPr>
                <w:sz w:val="4"/>
                <w:szCs w:val="4"/>
                <w:color w:val="auto"/>
              </w:rPr>
            </w:pPr>
          </w:p>
        </w:tc>
        <w:tc>
          <w:tcPr>
            <w:tcW w:w="3520" w:type="dxa"/>
            <w:vAlign w:val="bottom"/>
            <w:gridSpan w:val="7"/>
            <w:vMerge w:val="restart"/>
          </w:tcPr>
          <w:p>
            <w:pPr>
              <w:jc w:val="center"/>
              <w:ind w:right="79"/>
              <w:spacing w:after="0"/>
              <w:rPr>
                <w:sz w:val="20"/>
                <w:szCs w:val="20"/>
                <w:color w:val="auto"/>
              </w:rPr>
            </w:pPr>
            <w:r>
              <w:rPr>
                <w:rFonts w:ascii="Arial" w:cs="Arial" w:eastAsia="Arial" w:hAnsi="Arial"/>
                <w:sz w:val="16"/>
                <w:szCs w:val="16"/>
                <w:b w:val="1"/>
                <w:bCs w:val="1"/>
                <w:color w:val="auto"/>
                <w:w w:val="92"/>
              </w:rPr>
              <w:t>Amount of Gain (Loss) Recognized in OCI on</w:t>
            </w:r>
          </w:p>
        </w:tc>
        <w:tc>
          <w:tcPr>
            <w:tcW w:w="120" w:type="dxa"/>
            <w:vAlign w:val="bottom"/>
          </w:tcPr>
          <w:p>
            <w:pPr>
              <w:spacing w:after="0"/>
              <w:rPr>
                <w:sz w:val="4"/>
                <w:szCs w:val="4"/>
                <w:color w:val="auto"/>
              </w:rPr>
            </w:pPr>
          </w:p>
        </w:tc>
        <w:tc>
          <w:tcPr>
            <w:tcW w:w="4520" w:type="dxa"/>
            <w:vAlign w:val="bottom"/>
            <w:gridSpan w:val="9"/>
            <w:vMerge w:val="continue"/>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3520" w:type="dxa"/>
            <w:vAlign w:val="bottom"/>
            <w:gridSpan w:val="7"/>
            <w:vMerge w:val="continue"/>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3520" w:type="dxa"/>
            <w:vAlign w:val="bottom"/>
            <w:gridSpan w:val="7"/>
            <w:vMerge w:val="continue"/>
          </w:tcPr>
          <w:p>
            <w:pPr>
              <w:spacing w:after="0"/>
              <w:rPr>
                <w:sz w:val="7"/>
                <w:szCs w:val="7"/>
                <w:color w:val="auto"/>
              </w:rPr>
            </w:pPr>
          </w:p>
        </w:tc>
        <w:tc>
          <w:tcPr>
            <w:tcW w:w="120" w:type="dxa"/>
            <w:vAlign w:val="bottom"/>
          </w:tcPr>
          <w:p>
            <w:pPr>
              <w:spacing w:after="0"/>
              <w:rPr>
                <w:sz w:val="7"/>
                <w:szCs w:val="7"/>
                <w:color w:val="auto"/>
              </w:rPr>
            </w:pPr>
          </w:p>
        </w:tc>
        <w:tc>
          <w:tcPr>
            <w:tcW w:w="1800" w:type="dxa"/>
            <w:vAlign w:val="bottom"/>
            <w:gridSpan w:val="2"/>
            <w:vMerge w:val="restart"/>
          </w:tcPr>
          <w:p>
            <w:pPr>
              <w:ind w:left="540"/>
              <w:spacing w:after="0"/>
              <w:rPr>
                <w:sz w:val="20"/>
                <w:szCs w:val="20"/>
                <w:color w:val="auto"/>
              </w:rPr>
            </w:pPr>
            <w:r>
              <w:rPr>
                <w:rFonts w:ascii="Arial" w:cs="Arial" w:eastAsia="Arial" w:hAnsi="Arial"/>
                <w:sz w:val="16"/>
                <w:szCs w:val="16"/>
                <w:b w:val="1"/>
                <w:bCs w:val="1"/>
                <w:color w:val="auto"/>
              </w:rPr>
              <w:t>Location</w:t>
            </w: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200" w:type="dxa"/>
            <w:vAlign w:val="bottom"/>
            <w:gridSpan w:val="2"/>
          </w:tcPr>
          <w:p>
            <w:pPr>
              <w:ind w:left="580"/>
              <w:spacing w:after="0"/>
              <w:rPr>
                <w:sz w:val="20"/>
                <w:szCs w:val="20"/>
                <w:color w:val="auto"/>
              </w:rPr>
            </w:pPr>
            <w:r>
              <w:rPr>
                <w:rFonts w:ascii="Arial" w:cs="Arial" w:eastAsia="Arial" w:hAnsi="Arial"/>
                <w:sz w:val="16"/>
                <w:szCs w:val="16"/>
                <w:b w:val="1"/>
                <w:bCs w:val="1"/>
                <w:color w:val="auto"/>
              </w:rPr>
              <w:t>Relationships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Derivative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2"/>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(in thousands)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8"/>
              </w:rPr>
              <w:t>(in thousands)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 contracts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37"/>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Interest rate cap contracts</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Cross currency swap contract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color w:val="auto"/>
                <w:w w:val="99"/>
              </w:rPr>
              <w:t>Other income (expense),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Cross currency swap contract</w:t>
            </w:r>
          </w:p>
        </w:tc>
        <w:tc>
          <w:tcPr>
            <w:tcW w:w="2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net</w:t>
            </w: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also exposed to foreign exchange risk when we enter into non-functional currency transactions, both intercompany and third-party. At each period-end, non-functional currency monetary assets and liabilities are revalued with the change recognized to other income and expense. We enter into monthly foreign exchange forward contracts, which are not designated for hedge accounting, with the intent to reduce earnings volatility associated with currency exposures. As of December 31, 2018, a total of 57 contracts were offsetting our exposures from the Euro, Pound Sterling, New Zealand dollar, Swedish Krona, Hungarian Forint and various other currencies, with notional amounts ranging from $107,000 to $47.5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derivative instruments not designated as hedges on the Consolidated Statements of Operations was as follows:</w:t>
      </w:r>
    </w:p>
    <w:p>
      <w:pPr>
        <w:sectPr>
          <w:pgSz w:w="11900" w:h="16838" w:orient="portrait"/>
          <w:cols w:equalWidth="0" w:num="1">
            <w:col w:w="11420"/>
          </w:cols>
          <w:pgMar w:left="240" w:top="125" w:right="239" w:bottom="1440" w:gutter="0" w:footer="0" w:header="0"/>
        </w:sectPr>
      </w:pPr>
    </w:p>
    <w:p>
      <w:pPr>
        <w:spacing w:after="0" w:line="172" w:lineRule="exact"/>
        <w:rPr>
          <w:sz w:val="20"/>
          <w:szCs w:val="20"/>
          <w:color w:val="auto"/>
        </w:rPr>
      </w:pPr>
    </w:p>
    <w:p>
      <w:pPr>
        <w:ind w:left="340" w:firstLine="32"/>
        <w:spacing w:after="0" w:line="375" w:lineRule="auto"/>
        <w:rPr>
          <w:sz w:val="20"/>
          <w:szCs w:val="20"/>
          <w:color w:val="auto"/>
        </w:rPr>
      </w:pPr>
      <w:r>
        <w:rPr>
          <w:rFonts w:ascii="Arial" w:cs="Arial" w:eastAsia="Arial" w:hAnsi="Arial"/>
          <w:sz w:val="14"/>
          <w:szCs w:val="14"/>
          <w:b w:val="1"/>
          <w:bCs w:val="1"/>
          <w:color w:val="auto"/>
        </w:rPr>
        <w:t>Derivatives Not Designated as Hedging Instrument under Subtopic ASC 815-20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21780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right="720"/>
        <w:spacing w:after="0" w:line="470" w:lineRule="auto"/>
        <w:rPr>
          <w:sz w:val="20"/>
          <w:szCs w:val="20"/>
          <w:color w:val="auto"/>
        </w:rPr>
      </w:pPr>
      <w:r>
        <w:rPr>
          <w:rFonts w:ascii="Arial" w:cs="Arial" w:eastAsia="Arial" w:hAnsi="Arial"/>
          <w:sz w:val="14"/>
          <w:szCs w:val="14"/>
          <w:color w:val="auto"/>
        </w:rPr>
        <w:t>Foreign exchange forward contracts Interest rate cap contracts</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520" w:type="dxa"/>
            <w:vAlign w:val="bottom"/>
            <w:gridSpan w:val="2"/>
          </w:tcPr>
          <w:p>
            <w:pPr>
              <w:ind w:left="900"/>
              <w:spacing w:after="0"/>
              <w:rPr>
                <w:sz w:val="20"/>
                <w:szCs w:val="20"/>
                <w:color w:val="auto"/>
              </w:rPr>
            </w:pPr>
            <w:r>
              <w:rPr>
                <w:rFonts w:ascii="Arial" w:cs="Arial" w:eastAsia="Arial" w:hAnsi="Arial"/>
                <w:sz w:val="16"/>
                <w:szCs w:val="16"/>
                <w:b w:val="1"/>
                <w:bCs w:val="1"/>
                <w:color w:val="auto"/>
              </w:rPr>
              <w:t>Location</w:t>
            </w:r>
          </w:p>
        </w:tc>
        <w:tc>
          <w:tcPr>
            <w:tcW w:w="420" w:type="dxa"/>
            <w:vAlign w:val="bottom"/>
          </w:tcPr>
          <w:p>
            <w:pPr>
              <w:spacing w:after="0"/>
              <w:rPr>
                <w:sz w:val="18"/>
                <w:szCs w:val="18"/>
                <w:color w:val="auto"/>
              </w:rPr>
            </w:pPr>
          </w:p>
        </w:tc>
        <w:tc>
          <w:tcPr>
            <w:tcW w:w="4920" w:type="dxa"/>
            <w:vAlign w:val="bottom"/>
            <w:gridSpan w:val="7"/>
          </w:tcPr>
          <w:p>
            <w:pPr>
              <w:jc w:val="center"/>
              <w:ind w:right="299"/>
              <w:spacing w:after="0"/>
              <w:rPr>
                <w:sz w:val="20"/>
                <w:szCs w:val="20"/>
                <w:color w:val="auto"/>
              </w:rPr>
            </w:pPr>
            <w:r>
              <w:rPr>
                <w:rFonts w:ascii="Arial" w:cs="Arial" w:eastAsia="Arial" w:hAnsi="Arial"/>
                <w:sz w:val="16"/>
                <w:szCs w:val="16"/>
                <w:b w:val="1"/>
                <w:bCs w:val="1"/>
                <w:color w:val="auto"/>
                <w:w w:val="91"/>
              </w:rPr>
              <w:t>Gain (Loss) Recognized in Income on Derivative</w:t>
            </w:r>
          </w:p>
        </w:tc>
      </w:tr>
      <w:tr>
        <w:trPr>
          <w:trHeight w:val="33"/>
        </w:trPr>
        <w:tc>
          <w:tcPr>
            <w:tcW w:w="2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3,448</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(6,281)</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537</w:t>
            </w:r>
          </w:p>
        </w:tc>
      </w:tr>
      <w:tr>
        <w:trPr>
          <w:trHeight w:val="270"/>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-321310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0" w:lineRule="exact"/>
        <w:rPr>
          <w:sz w:val="20"/>
          <w:szCs w:val="20"/>
          <w:color w:val="auto"/>
        </w:rPr>
      </w:pPr>
    </w:p>
    <w:p>
      <w:pPr>
        <w:sectPr>
          <w:pgSz w:w="11900" w:h="16838" w:orient="portrait"/>
          <w:cols w:equalWidth="0" w:num="2">
            <w:col w:w="3100" w:space="460"/>
            <w:col w:w="7860"/>
          </w:cols>
          <w:pgMar w:left="240" w:top="125" w:right="239" w:bottom="1440" w:gutter="0" w:footer="0" w:header="0"/>
          <w:type w:val="continuous"/>
        </w:sectPr>
      </w:pP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and foreign exchange risk and may institute additional derivative instruments to manage such risk in the future.</w:t>
      </w:r>
    </w:p>
    <w:p>
      <w:pPr>
        <w:spacing w:after="0" w:line="16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offering death and disability, retirement, and special termination benefits for certain of our international employees, primarily in Germany, France, Italy, Indonesia, Brazil, and Spain. The defined benefit obligation is calculated annually by using the projected unit credit method. The measurement date for the pension plans was December 31,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components of the changes in benefit obligations and fair value of plan assets</w:t>
      </w:r>
      <w:r>
        <w:rPr>
          <w:rFonts w:ascii="Arial" w:cs="Arial" w:eastAsia="Arial" w:hAnsi="Arial"/>
          <w:sz w:val="16"/>
          <w:szCs w:val="16"/>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339"/>
        </w:trPr>
        <w:tc>
          <w:tcPr>
            <w:tcW w:w="7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2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(in thousands)</w:t>
            </w:r>
          </w:p>
        </w:tc>
        <w:tc>
          <w:tcPr>
            <w:tcW w:w="660" w:type="dxa"/>
            <w:vAlign w:val="bottom"/>
          </w:tcPr>
          <w:p>
            <w:pPr>
              <w:spacing w:after="0"/>
              <w:rPr>
                <w:sz w:val="24"/>
                <w:szCs w:val="24"/>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47"/>
        </w:trPr>
        <w:tc>
          <w:tcPr>
            <w:tcW w:w="7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obligation at January 1,</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110,820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97,261</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Service cost</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4,034</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3,968</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cost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2,264</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Actuarial (gain) loss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(2,497)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(2,351)</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Benefits paid</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(3,136)</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Foreign currency exchange rate changes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(5,110)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13,014</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Curtailment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(858)</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Settlement</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833</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Benefit obligation at December 31,</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105,570</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110,820</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79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plan assets at January 1,</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12,834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10,215</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Actual return on plan assets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786</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Company contributions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Benefits paid</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exchange rate changes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984</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Other</w:t>
            </w:r>
          </w:p>
        </w:tc>
        <w:tc>
          <w:tcPr>
            <w:tcW w:w="10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833</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plan assets at December 31,</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11,890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12,834</w:t>
            </w:r>
          </w:p>
        </w:tc>
      </w:tr>
      <w:tr>
        <w:trPr>
          <w:trHeight w:val="217"/>
        </w:trPr>
        <w:tc>
          <w:tcPr>
            <w:tcW w:w="7900" w:type="dxa"/>
            <w:vAlign w:val="bottom"/>
          </w:tcPr>
          <w:p>
            <w:pPr>
              <w:ind w:left="380"/>
              <w:spacing w:after="0"/>
              <w:rPr>
                <w:sz w:val="20"/>
                <w:szCs w:val="20"/>
                <w:color w:val="auto"/>
              </w:rPr>
            </w:pPr>
            <w:r>
              <w:rPr>
                <w:rFonts w:ascii="Arial" w:cs="Arial" w:eastAsia="Arial" w:hAnsi="Arial"/>
                <w:sz w:val="16"/>
                <w:szCs w:val="16"/>
                <w:color w:val="auto"/>
              </w:rPr>
              <w:t>Net pension benefit obligation at fair value</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93,680</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97,986</w:t>
            </w: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auto"/>
        </w:rPr>
        <w:t>Amounts recognized on the Consolidated Balance Sheets consist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Plan assets in 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Liabilities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Current portion of pension benefit obligation in wages and benefits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Long-term portion of pension benefit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benefit obligation,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37465</wp:posOffset>
            </wp:positionV>
            <wp:extent cx="22383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p>
      <w:pPr>
        <w:ind w:left="680"/>
        <w:spacing w:after="0"/>
        <w:tabs>
          <w:tab w:leader="none" w:pos="248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37465</wp:posOffset>
            </wp:positionV>
            <wp:extent cx="22383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(in thousands)</w:t>
      </w:r>
    </w:p>
    <w:p>
      <w:pPr>
        <w:spacing w:after="0" w:line="360" w:lineRule="exact"/>
        <w:rPr>
          <w:sz w:val="20"/>
          <w:szCs w:val="20"/>
          <w:color w:val="auto"/>
        </w:rPr>
      </w:pPr>
    </w:p>
    <w:p>
      <w:pPr>
        <w:spacing w:after="0"/>
        <w:tabs>
          <w:tab w:leader="none" w:pos="1320" w:val="left"/>
          <w:tab w:leader="none" w:pos="1820" w:val="left"/>
          <w:tab w:leader="none" w:pos="31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572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991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220"/>
        <w:spacing w:after="0"/>
        <w:tabs>
          <w:tab w:leader="none" w:pos="3000" w:val="left"/>
        </w:tabs>
        <w:rPr>
          <w:sz w:val="20"/>
          <w:szCs w:val="20"/>
          <w:color w:val="auto"/>
        </w:rPr>
      </w:pPr>
      <w:r>
        <w:rPr>
          <w:rFonts w:ascii="Arial" w:cs="Arial" w:eastAsia="Arial" w:hAnsi="Arial"/>
          <w:sz w:val="16"/>
          <w:szCs w:val="16"/>
          <w:color w:val="auto"/>
        </w:rPr>
        <w:t>2,730</w:t>
      </w:r>
      <w:r>
        <w:rPr>
          <w:sz w:val="20"/>
          <w:szCs w:val="20"/>
          <w:color w:val="auto"/>
        </w:rPr>
        <w:tab/>
      </w:r>
      <w:r>
        <w:rPr>
          <w:rFonts w:ascii="Arial" w:cs="Arial" w:eastAsia="Arial" w:hAnsi="Arial"/>
          <w:sz w:val="16"/>
          <w:szCs w:val="16"/>
          <w:color w:val="auto"/>
        </w:rPr>
        <w:t>3,260</w:t>
      </w:r>
    </w:p>
    <w:p>
      <w:pPr>
        <w:spacing w:after="0" w:line="86" w:lineRule="exact"/>
        <w:rPr>
          <w:sz w:val="20"/>
          <w:szCs w:val="20"/>
          <w:color w:val="auto"/>
        </w:rPr>
      </w:pPr>
    </w:p>
    <w:p>
      <w:pPr>
        <w:jc w:val="both"/>
        <w:ind w:left="1140"/>
        <w:spacing w:after="0"/>
        <w:tabs>
          <w:tab w:leader="none" w:pos="2920" w:val="left"/>
        </w:tabs>
        <w:rPr>
          <w:sz w:val="20"/>
          <w:szCs w:val="20"/>
          <w:color w:val="auto"/>
        </w:rPr>
      </w:pPr>
      <w:r>
        <w:rPr>
          <w:rFonts w:ascii="Arial" w:cs="Arial" w:eastAsia="Arial" w:hAnsi="Arial"/>
          <w:sz w:val="16"/>
          <w:szCs w:val="16"/>
          <w:color w:val="auto"/>
        </w:rPr>
        <w:t>91,522</w:t>
      </w:r>
      <w:r>
        <w:rPr>
          <w:sz w:val="20"/>
          <w:szCs w:val="20"/>
          <w:color w:val="auto"/>
        </w:rPr>
        <w:tab/>
      </w:r>
      <w:r>
        <w:rPr>
          <w:rFonts w:ascii="Arial" w:cs="Arial" w:eastAsia="Arial" w:hAnsi="Arial"/>
          <w:sz w:val="16"/>
          <w:szCs w:val="16"/>
          <w:color w:val="auto"/>
        </w:rPr>
        <w:t>95,717</w:t>
      </w:r>
    </w:p>
    <w:p>
      <w:pPr>
        <w:spacing w:after="0" w:line="356" w:lineRule="exact"/>
        <w:rPr>
          <w:sz w:val="20"/>
          <w:szCs w:val="20"/>
          <w:color w:val="auto"/>
        </w:rPr>
      </w:pPr>
    </w:p>
    <w:p>
      <w:pPr>
        <w:spacing w:after="0"/>
        <w:tabs>
          <w:tab w:leader="none" w:pos="1120" w:val="left"/>
          <w:tab w:leader="none" w:pos="1820" w:val="left"/>
          <w:tab w:leader="none" w:pos="29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93,680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97,986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52070</wp:posOffset>
            </wp:positionV>
            <wp:extent cx="22383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0" w:space="720"/>
            <w:col w:w="3500"/>
          </w:cols>
          <w:pgMar w:left="240" w:top="125" w:right="239" w:bottom="0" w:gutter="0" w:footer="0" w:header="0"/>
          <w:type w:val="continuous"/>
        </w:sect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OCI (pre-tax)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actuarial (gain) loss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(3,191)</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Settlement (gain) loss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(1,343)</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Curtailment (gain) loss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Plan asset (gain) loss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net actuarial loss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17"/>
        </w:trPr>
        <w:tc>
          <w:tcPr>
            <w:tcW w:w="6060" w:type="dxa"/>
            <w:vAlign w:val="bottom"/>
          </w:tcPr>
          <w:p>
            <w:pPr>
              <w:ind w:left="380"/>
              <w:spacing w:after="0"/>
              <w:rPr>
                <w:sz w:val="20"/>
                <w:szCs w:val="20"/>
                <w:color w:val="auto"/>
              </w:rPr>
            </w:pPr>
            <w:r>
              <w:rPr>
                <w:rFonts w:ascii="Arial" w:cs="Arial" w:eastAsia="Arial" w:hAnsi="Arial"/>
                <w:sz w:val="16"/>
                <w:szCs w:val="16"/>
                <w:color w:val="auto"/>
              </w:rPr>
              <w:t>Other comprehensive (income) loss</w:t>
            </w: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(3,939)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(5,183)</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3,504</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If actuarial gains and losses exceed ten percent of the greater of plan assets or plan liabilities, we amortize them over the employees' average future service period. The estimated net actuarial loss and prior service cost that will be amortized from AOCI into net periodic benefit cost during 2019 is $1.4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2,324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2,264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2,573</w:t>
            </w: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prior service costs</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actuarial net loss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1,343</w:t>
            </w: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Curtailment</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periodic benefit cost</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7,284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significant actuarial weighted average assumptions used in determining the benefit obligations and net periodic benefit cost for our benefit plans are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5"/>
          <w:szCs w:val="15"/>
          <w:color w:val="auto"/>
        </w:rPr>
        <w:t>Actuarial assumptions used to determine benefit obligations at end of period:</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Discount rate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Expected annual rate of compensation increase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Actuarial assumptions used to determine net periodic benefit cost for the period: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Discount rate</w:t>
      </w:r>
    </w:p>
    <w:p>
      <w:pPr>
        <w:spacing w:after="0" w:line="86" w:lineRule="exact"/>
        <w:rPr>
          <w:sz w:val="20"/>
          <w:szCs w:val="20"/>
          <w:color w:val="auto"/>
        </w:rPr>
      </w:pPr>
    </w:p>
    <w:p>
      <w:pPr>
        <w:ind w:left="380" w:right="1820"/>
        <w:spacing w:after="0" w:line="470" w:lineRule="auto"/>
        <w:rPr>
          <w:sz w:val="20"/>
          <w:szCs w:val="20"/>
          <w:color w:val="auto"/>
        </w:rPr>
      </w:pPr>
      <w:r>
        <w:rPr>
          <w:rFonts w:ascii="Arial" w:cs="Arial" w:eastAsia="Arial" w:hAnsi="Arial"/>
          <w:sz w:val="14"/>
          <w:szCs w:val="14"/>
          <w:color w:val="auto"/>
        </w:rPr>
        <w:t>Expected rate of return on plan assets Expected annual rate of compensation increase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At and 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37465</wp:posOffset>
            </wp:positionV>
            <wp:extent cx="34563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18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r>
      <w:tr>
        <w:trPr>
          <w:trHeight w:val="33"/>
        </w:trPr>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501"/>
        </w:trPr>
        <w:tc>
          <w:tcPr>
            <w:tcW w:w="1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70"/>
        </w:trPr>
        <w:tc>
          <w:tcPr>
            <w:tcW w:w="1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3.65%</w:t>
            </w:r>
          </w:p>
        </w:tc>
      </w:tr>
      <w:tr>
        <w:trPr>
          <w:trHeight w:val="540"/>
        </w:trPr>
        <w:tc>
          <w:tcPr>
            <w:tcW w:w="1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70"/>
        </w:trPr>
        <w:tc>
          <w:tcPr>
            <w:tcW w:w="1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5.29%</w:t>
            </w:r>
          </w:p>
        </w:tc>
      </w:tr>
      <w:tr>
        <w:trPr>
          <w:trHeight w:val="270"/>
        </w:trPr>
        <w:tc>
          <w:tcPr>
            <w:tcW w:w="1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-1007745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-664210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-321310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0" w:lineRule="exact"/>
        <w:rPr>
          <w:sz w:val="20"/>
          <w:szCs w:val="20"/>
          <w:color w:val="auto"/>
        </w:rPr>
      </w:pPr>
    </w:p>
    <w:p>
      <w:pPr>
        <w:sectPr>
          <w:pgSz w:w="11900" w:h="16838" w:orient="portrait"/>
          <w:cols w:equalWidth="0" w:num="2">
            <w:col w:w="5260" w:space="720"/>
            <w:col w:w="5440"/>
          </w:cols>
          <w:pgMar w:left="240" w:top="125" w:right="239" w:bottom="1440" w:gutter="0" w:footer="0" w:header="0"/>
          <w:type w:val="continuous"/>
        </w:sectPr>
      </w:pP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determine a discount rate for our plans based on the estimated duration of each plan's liabilities. For our euro denominated defined benefit pension plans, which represent 94% of our benefit obligation, we use two discount rates with consideration of the duration of the plans, using a hypothetical yield curve developed from euro-denominated AA-rated corporate bond issues. These bond issues are partially weighted for market value, with minimum amounts outstanding of €500 million for bonds with less than 10 years to maturity and €50 million for bonds with 10 or more years to maturity, and excluding the highest and lowest yielding 10% of bonds within each maturity group. The discount rates used, depending on the duration of the plans, were 1.00% and 1.75%.</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expected rate of return on plan assets is derived from a study of actual historic returns achieved and anticipated future long-term performance of plan assets, specific to plan investment asset category. While the study primarily gives consideration to recent insurers' performance and historical returns, the assumption represents a long-term prospective return.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accumulated benefit obligation for our defined benefit pension plans was $97.3 million and $101.4 million at December 31, 2018 and 2017,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obligations and fair value of plan assets for plans with projected benefit obligations and accumulated benefit obligations exceeding the fair value of plan assets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At December 31,</w:t>
            </w:r>
          </w:p>
        </w:tc>
        <w:tc>
          <w:tcPr>
            <w:tcW w:w="108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39"/>
        </w:trPr>
        <w:tc>
          <w:tcPr>
            <w:tcW w:w="7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080" w:type="dxa"/>
            <w:vAlign w:val="bottom"/>
          </w:tcPr>
          <w:p>
            <w:pPr>
              <w:spacing w:after="0"/>
              <w:rPr>
                <w:sz w:val="24"/>
                <w:szCs w:val="24"/>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Projected benefit obligation</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103,059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106,486</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Accumulated benefit obligation</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94,831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97,546</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plan assets</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8,807</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7,509</w:t>
            </w:r>
          </w:p>
        </w:tc>
      </w:tr>
      <w:tr>
        <w:trPr>
          <w:trHeight w:val="33"/>
        </w:trPr>
        <w:tc>
          <w:tcPr>
            <w:tcW w:w="79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plan investments by asset category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Quoted Prices in Active</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Markets for Identical</w:t>
            </w:r>
          </w:p>
        </w:tc>
        <w:tc>
          <w:tcPr>
            <w:tcW w:w="100" w:type="dxa"/>
            <w:vAlign w:val="bottom"/>
          </w:tcPr>
          <w:p>
            <w:pPr>
              <w:spacing w:after="0"/>
              <w:rPr>
                <w:sz w:val="17"/>
                <w:szCs w:val="17"/>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Significant</w:t>
            </w:r>
          </w:p>
        </w:tc>
      </w:tr>
      <w:tr>
        <w:trPr>
          <w:trHeight w:val="203"/>
        </w:trPr>
        <w:tc>
          <w:tcPr>
            <w:tcW w:w="6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79"/>
              </w:rPr>
              <w:t>Assets</w:t>
            </w:r>
          </w:p>
        </w:tc>
        <w:tc>
          <w:tcPr>
            <w:tcW w:w="100" w:type="dxa"/>
            <w:vAlign w:val="bottom"/>
          </w:tcPr>
          <w:p>
            <w:pPr>
              <w:spacing w:after="0"/>
              <w:rPr>
                <w:sz w:val="17"/>
                <w:szCs w:val="17"/>
                <w:color w:val="auto"/>
              </w:rPr>
            </w:pPr>
          </w:p>
        </w:tc>
        <w:tc>
          <w:tcPr>
            <w:tcW w:w="158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Unobservable Inputs</w:t>
            </w:r>
          </w:p>
        </w:tc>
      </w:tr>
      <w:tr>
        <w:trPr>
          <w:trHeight w:val="210"/>
        </w:trPr>
        <w:tc>
          <w:tcPr>
            <w:tcW w:w="60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(Level 1)</w:t>
            </w:r>
          </w:p>
        </w:tc>
        <w:tc>
          <w:tcPr>
            <w:tcW w:w="100" w:type="dxa"/>
            <w:vAlign w:val="bottom"/>
          </w:tcPr>
          <w:p>
            <w:pPr>
              <w:spacing w:after="0"/>
              <w:rPr>
                <w:sz w:val="18"/>
                <w:szCs w:val="18"/>
                <w:color w:val="auto"/>
              </w:rPr>
            </w:pPr>
          </w:p>
        </w:tc>
        <w:tc>
          <w:tcPr>
            <w:tcW w:w="158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339"/>
        </w:trPr>
        <w:tc>
          <w:tcPr>
            <w:tcW w:w="6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 thousands)</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84"/>
        </w:trPr>
        <w:tc>
          <w:tcPr>
            <w:tcW w:w="6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2018</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Insurance funds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8,020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8,020</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securities</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3,083</w:t>
            </w:r>
          </w:p>
        </w:tc>
      </w:tr>
      <w:tr>
        <w:trPr>
          <w:trHeight w:val="217"/>
        </w:trPr>
        <w:tc>
          <w:tcPr>
            <w:tcW w:w="6060" w:type="dxa"/>
            <w:vAlign w:val="bottom"/>
          </w:tcPr>
          <w:p>
            <w:pPr>
              <w:ind w:left="380"/>
              <w:spacing w:after="0"/>
              <w:rPr>
                <w:sz w:val="20"/>
                <w:szCs w:val="20"/>
                <w:color w:val="auto"/>
              </w:rPr>
            </w:pPr>
            <w:r>
              <w:rPr>
                <w:rFonts w:ascii="Arial" w:cs="Arial" w:eastAsia="Arial" w:hAnsi="Arial"/>
                <w:sz w:val="16"/>
                <w:szCs w:val="16"/>
                <w:color w:val="auto"/>
              </w:rPr>
              <w:t>Total fair value of plan assets</w:t>
            </w: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11,890</w:t>
            </w:r>
          </w:p>
        </w:tc>
        <w:tc>
          <w:tcPr>
            <w:tcW w:w="12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11,103</w:t>
            </w:r>
          </w:p>
        </w:tc>
      </w:tr>
      <w:tr>
        <w:trPr>
          <w:trHeight w:val="73"/>
        </w:trPr>
        <w:tc>
          <w:tcPr>
            <w:tcW w:w="6060" w:type="dxa"/>
            <w:vAlign w:val="bottom"/>
            <w:tcBorders>
              <w:bottom w:val="single" w:sz="8" w:color="CCEEFF"/>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r>
      <w:tr>
        <w:trPr>
          <w:trHeight w:val="251"/>
        </w:trPr>
        <w:tc>
          <w:tcPr>
            <w:tcW w:w="60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37"/>
        </w:trPr>
        <w:tc>
          <w:tcPr>
            <w:tcW w:w="6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2017</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Insurance funds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8,384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8,384</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securities</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3,661</w:t>
            </w:r>
          </w:p>
        </w:tc>
      </w:tr>
      <w:tr>
        <w:trPr>
          <w:trHeight w:val="217"/>
        </w:trPr>
        <w:tc>
          <w:tcPr>
            <w:tcW w:w="6060" w:type="dxa"/>
            <w:vAlign w:val="bottom"/>
          </w:tcPr>
          <w:p>
            <w:pPr>
              <w:ind w:left="380"/>
              <w:spacing w:after="0"/>
              <w:rPr>
                <w:sz w:val="20"/>
                <w:szCs w:val="20"/>
                <w:color w:val="auto"/>
              </w:rPr>
            </w:pPr>
            <w:r>
              <w:rPr>
                <w:rFonts w:ascii="Arial" w:cs="Arial" w:eastAsia="Arial" w:hAnsi="Arial"/>
                <w:sz w:val="16"/>
                <w:szCs w:val="16"/>
                <w:color w:val="auto"/>
              </w:rPr>
              <w:t>Total fair value of plan assets</w:t>
            </w: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12,834</w:t>
            </w:r>
          </w:p>
        </w:tc>
        <w:tc>
          <w:tcPr>
            <w:tcW w:w="12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12,045</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 reconciliation of Level 3 assets held during the years ended December 31, 2018 and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Net Purchases,</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Issuances,</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Balance at January</w:t>
            </w:r>
          </w:p>
        </w:tc>
        <w:tc>
          <w:tcPr>
            <w:tcW w:w="12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Realized and</w:t>
            </w: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Settlements, and</w:t>
            </w: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Net Transfers Into</w:t>
            </w: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Effect of Foreign</w:t>
            </w: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Balance at</w:t>
            </w:r>
          </w:p>
        </w:tc>
      </w:tr>
      <w:tr>
        <w:trPr>
          <w:trHeight w:val="210"/>
        </w:trPr>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1, 2018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b w:val="1"/>
                <w:bCs w:val="1"/>
                <w:color w:val="auto"/>
              </w:rPr>
              <w:t>Unrealized Gains</w:t>
            </w: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420" w:type="dxa"/>
            <w:vAlign w:val="bottom"/>
          </w:tcPr>
          <w:p>
            <w:pPr>
              <w:spacing w:after="0"/>
              <w:rPr>
                <w:sz w:val="18"/>
                <w:szCs w:val="18"/>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Level 3</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Currency</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 2018</w:t>
            </w:r>
          </w:p>
        </w:tc>
      </w:tr>
      <w:tr>
        <w:trPr>
          <w:trHeight w:val="33"/>
        </w:trPr>
        <w:tc>
          <w:tcPr>
            <w:tcW w:w="1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52"/>
        </w:trPr>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
        </w:trPr>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 funds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8,020</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Other securities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3,661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3,083</w:t>
            </w:r>
          </w:p>
        </w:tc>
      </w:tr>
      <w:tr>
        <w:trPr>
          <w:trHeight w:val="33"/>
        </w:trPr>
        <w:tc>
          <w:tcPr>
            <w:tcW w:w="1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1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11,103</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554"/>
        </w:trPr>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Net Purchases,</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Issuances,</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Balance at January</w:t>
            </w:r>
          </w:p>
        </w:tc>
        <w:tc>
          <w:tcPr>
            <w:tcW w:w="12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Realized and</w:t>
            </w: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Settlements, and</w:t>
            </w: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Net Transfers Into</w:t>
            </w: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Effect of Foreign</w:t>
            </w: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Balance at</w:t>
            </w:r>
          </w:p>
        </w:tc>
      </w:tr>
      <w:tr>
        <w:trPr>
          <w:trHeight w:val="210"/>
        </w:trPr>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1, 2017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b w:val="1"/>
                <w:bCs w:val="1"/>
                <w:color w:val="auto"/>
              </w:rPr>
              <w:t>Unrealized Gains</w:t>
            </w: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420" w:type="dxa"/>
            <w:vAlign w:val="bottom"/>
          </w:tcPr>
          <w:p>
            <w:pPr>
              <w:spacing w:after="0"/>
              <w:rPr>
                <w:sz w:val="18"/>
                <w:szCs w:val="18"/>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Level 3</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Currency</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1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52"/>
        </w:trPr>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
        </w:trPr>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 funds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8,384</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Other securities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2,421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3,661</w:t>
            </w:r>
          </w:p>
        </w:tc>
      </w:tr>
      <w:tr>
        <w:trPr>
          <w:trHeight w:val="33"/>
        </w:trPr>
        <w:tc>
          <w:tcPr>
            <w:tcW w:w="1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12,045</w:t>
            </w:r>
          </w:p>
        </w:tc>
      </w:tr>
      <w:tr>
        <w:trPr>
          <w:trHeight w:val="20"/>
        </w:trPr>
        <w:tc>
          <w:tcPr>
            <w:tcW w:w="1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As the plan assets and contributions are not significant to our total company assets, no further disclosures are considered material.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Annual benefit payments for the next 10 years, including amounts to be paid from our assets for unfunded plans and reflecting expected future service, as appropriate, are expected to be paid as follows:</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9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9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Annual Benefit</w:t>
            </w:r>
          </w:p>
        </w:tc>
      </w:tr>
      <w:tr>
        <w:trPr>
          <w:trHeight w:val="210"/>
        </w:trPr>
        <w:tc>
          <w:tcPr>
            <w:tcW w:w="990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160" w:type="dxa"/>
            <w:vAlign w:val="bottom"/>
          </w:tcPr>
          <w:p>
            <w:pPr>
              <w:spacing w:after="0"/>
              <w:rPr>
                <w:sz w:val="18"/>
                <w:szCs w:val="18"/>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Payments</w:t>
            </w:r>
          </w:p>
        </w:tc>
      </w:tr>
      <w:tr>
        <w:trPr>
          <w:trHeight w:val="33"/>
        </w:trPr>
        <w:tc>
          <w:tcPr>
            <w:tcW w:w="9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9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9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3,522</w:t>
            </w:r>
          </w:p>
        </w:tc>
      </w:tr>
      <w:tr>
        <w:trPr>
          <w:trHeight w:val="237"/>
        </w:trPr>
        <w:tc>
          <w:tcPr>
            <w:tcW w:w="9800" w:type="dxa"/>
            <w:vAlign w:val="bottom"/>
          </w:tcPr>
          <w:p>
            <w:pPr>
              <w:ind w:left="2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3,412</w:t>
            </w:r>
          </w:p>
        </w:tc>
      </w:tr>
      <w:tr>
        <w:trPr>
          <w:trHeight w:val="33"/>
        </w:trPr>
        <w:tc>
          <w:tcPr>
            <w:tcW w:w="9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3,574</w:t>
            </w:r>
          </w:p>
        </w:tc>
      </w:tr>
      <w:tr>
        <w:trPr>
          <w:trHeight w:val="237"/>
        </w:trPr>
        <w:tc>
          <w:tcPr>
            <w:tcW w:w="9800" w:type="dxa"/>
            <w:vAlign w:val="bottom"/>
          </w:tcPr>
          <w:p>
            <w:pPr>
              <w:ind w:left="2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4,051</w:t>
            </w:r>
          </w:p>
        </w:tc>
      </w:tr>
      <w:tr>
        <w:trPr>
          <w:trHeight w:val="33"/>
        </w:trPr>
        <w:tc>
          <w:tcPr>
            <w:tcW w:w="9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4,439</w:t>
            </w:r>
          </w:p>
        </w:tc>
      </w:tr>
      <w:tr>
        <w:trPr>
          <w:trHeight w:val="237"/>
        </w:trPr>
        <w:tc>
          <w:tcPr>
            <w:tcW w:w="9800" w:type="dxa"/>
            <w:vAlign w:val="bottom"/>
          </w:tcPr>
          <w:p>
            <w:pPr>
              <w:ind w:left="20"/>
              <w:spacing w:after="0"/>
              <w:rPr>
                <w:sz w:val="20"/>
                <w:szCs w:val="20"/>
                <w:color w:val="auto"/>
              </w:rPr>
            </w:pPr>
            <w:r>
              <w:rPr>
                <w:rFonts w:ascii="Arial" w:cs="Arial" w:eastAsia="Arial" w:hAnsi="Arial"/>
                <w:sz w:val="16"/>
                <w:szCs w:val="16"/>
                <w:color w:val="auto"/>
              </w:rPr>
              <w:t>2024-2028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27,604</w:t>
            </w:r>
          </w:p>
        </w:tc>
      </w:tr>
    </w:tbl>
    <w:p>
      <w:pPr>
        <w:spacing w:after="0" w:line="200" w:lineRule="exact"/>
        <w:rPr>
          <w:sz w:val="20"/>
          <w:szCs w:val="20"/>
          <w:color w:val="auto"/>
        </w:rPr>
      </w:pPr>
    </w:p>
    <w:p>
      <w:pPr>
        <w:spacing w:after="0" w:line="30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the Second Amended and Restated 2010 Stock Incentive Plan (Stock Incentive Plan), which allows us to grant stock-based compensation awards, including stock options, restricted stock units, phantom stock, and unrestricted stock units. Under the Stock Incentive Plan, we have 12,623,538 shares of common stock reserved and authorized for issuance subject to stock splits, dividends, and other similar events. At December 31, 2018, 6,473,623 shares were available for grant under the Stock Incentive Plan. We issue new shares of common stock upon the exercise of stock options or when vesting conditions on restricted stock units are fully satisfied. These shares are subject to a fungible share provision such that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part of the acquisition of SSNI, we reserved and authorized 2,322,371 shares, collectively, of Itron common stock to be issued under the Stock Incentive Plan for certain SSNI common stock awards that were converted to Itron common stock awards on January 5, 2018 (Acquisition Date) pursuant to the Agreement and Plan of Merger or were available for issuance pursuant to future awards under the Silver Spring Networks, Inc. 2012 Equity Incentive Plan (SSNI Plan). New stock-based compensation awards originally from the SSNI Plan may only be made to individuals who were not employees of Itron as of the Acquisition Date. Notwithstanding the foregoing, there is no fungible share provision for shares originally from the SSNI Plan.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periodically award phantom stock units, which are settled in cash upon vesting and accounted for as liability-based awards with no impact to the shares available for grant.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maintain the ESPP, for which 291,934 shares of common stock were available for future issuance at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Unrestricted stock and ESPP activity for the years ended December 31, 2018, 2017, and 2016 was not significant.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and the related tax benefit were as follows</w:t>
      </w:r>
      <w:r>
        <w:rPr>
          <w:rFonts w:ascii="Arial" w:cs="Arial" w:eastAsia="Arial" w:hAnsi="Arial"/>
          <w:sz w:val="16"/>
          <w:szCs w:val="16"/>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2,357</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26,859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17,738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14,723</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Unrestricted stock awards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Phantom stock units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2,165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1,747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1,077</w:t>
            </w: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stock-based compensation</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33,428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19,112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2"/>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Related tax benefit</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Average Exercise</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7"/>
                <w:szCs w:val="17"/>
                <w:color w:val="auto"/>
              </w:rPr>
            </w:pPr>
          </w:p>
        </w:tc>
        <w:tc>
          <w:tcPr>
            <w:tcW w:w="168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88"/>
              </w:rPr>
              <w:t>Aggregate</w:t>
            </w:r>
          </w:p>
        </w:tc>
        <w:tc>
          <w:tcPr>
            <w:tcW w:w="140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Average Grant</w:t>
            </w:r>
          </w:p>
        </w:tc>
      </w:tr>
      <w:tr>
        <w:trPr>
          <w:trHeight w:val="210"/>
        </w:trPr>
        <w:tc>
          <w:tcPr>
            <w:tcW w:w="308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Price per Share</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Contractual Life</w:t>
            </w:r>
          </w:p>
        </w:tc>
        <w:tc>
          <w:tcPr>
            <w:tcW w:w="200" w:type="dxa"/>
            <w:vAlign w:val="bottom"/>
          </w:tcPr>
          <w:p>
            <w:pPr>
              <w:spacing w:after="0"/>
              <w:rPr>
                <w:sz w:val="18"/>
                <w:szCs w:val="18"/>
                <w:color w:val="auto"/>
              </w:rPr>
            </w:pPr>
          </w:p>
        </w:tc>
        <w:tc>
          <w:tcPr>
            <w:tcW w:w="168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3"/>
              </w:rPr>
              <w:t>Intrinsic Value</w:t>
            </w:r>
          </w:p>
        </w:tc>
        <w:tc>
          <w:tcPr>
            <w:tcW w:w="140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Date Fair Value</w:t>
            </w:r>
          </w:p>
        </w:tc>
      </w:tr>
      <w:tr>
        <w:trPr>
          <w:trHeight w:val="33"/>
        </w:trPr>
        <w:tc>
          <w:tcPr>
            <w:tcW w:w="30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3080" w:type="dxa"/>
            <w:vAlign w:val="bottom"/>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(years)</w:t>
            </w:r>
          </w:p>
        </w:tc>
        <w:tc>
          <w:tcPr>
            <w:tcW w:w="200" w:type="dxa"/>
            <w:vAlign w:val="bottom"/>
          </w:tcPr>
          <w:p>
            <w:pPr>
              <w:spacing w:after="0"/>
              <w:rPr>
                <w:sz w:val="20"/>
                <w:szCs w:val="20"/>
                <w:color w:val="auto"/>
              </w:rPr>
            </w:pPr>
          </w:p>
        </w:tc>
        <w:tc>
          <w:tcPr>
            <w:tcW w:w="168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88"/>
              </w:rPr>
              <w:t>(in thousands)</w:t>
            </w:r>
          </w:p>
        </w:tc>
        <w:tc>
          <w:tcPr>
            <w:tcW w:w="1400" w:type="dxa"/>
            <w:vAlign w:val="bottom"/>
          </w:tcPr>
          <w:p>
            <w:pPr>
              <w:spacing w:after="0"/>
              <w:rPr>
                <w:sz w:val="20"/>
                <w:szCs w:val="20"/>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2016</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48.31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70"/>
        </w:trPr>
        <w:tc>
          <w:tcPr>
            <w:tcW w:w="30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13.27</w:t>
            </w: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37.00</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35.29</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080" w:type="dxa"/>
            <w:vAlign w:val="bottom"/>
          </w:tcPr>
          <w:p>
            <w:pPr>
              <w:ind w:left="36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55.13</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December 31, 2016</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64"/>
        </w:trPr>
        <w:tc>
          <w:tcPr>
            <w:tcW w:w="308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65.94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21.99</w:t>
            </w: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39.92</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47.38</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70.12</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December 31, 2017</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64"/>
        </w:trPr>
        <w:tc>
          <w:tcPr>
            <w:tcW w:w="308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Converted upon acquisition</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51.86</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14.86</w:t>
            </w: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68.21</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24.29</w:t>
            </w: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38.99</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60.03</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95.31</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84"/>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Outstanding, December 31, 2018</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895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47.93</w:t>
            </w: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4,806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r>
      <w:tr>
        <w:trPr>
          <w:trHeight w:val="257"/>
        </w:trPr>
        <w:tc>
          <w:tcPr>
            <w:tcW w:w="30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304"/>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Exercisable, December 31, 2018</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42.30</w:t>
            </w: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4,417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r>
      <w:tr>
        <w:trPr>
          <w:trHeight w:val="257"/>
        </w:trPr>
        <w:tc>
          <w:tcPr>
            <w:tcW w:w="30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64"/>
        </w:trPr>
        <w:tc>
          <w:tcPr>
            <w:tcW w:w="3080" w:type="dxa"/>
            <w:vAlign w:val="bottom"/>
          </w:tcPr>
          <w:p>
            <w:pPr>
              <w:ind w:left="40"/>
              <w:spacing w:after="0"/>
              <w:rPr>
                <w:sz w:val="20"/>
                <w:szCs w:val="20"/>
                <w:color w:val="auto"/>
              </w:rPr>
            </w:pPr>
            <w:r>
              <w:rPr>
                <w:rFonts w:ascii="Arial" w:cs="Arial" w:eastAsia="Arial" w:hAnsi="Arial"/>
                <w:sz w:val="16"/>
                <w:szCs w:val="16"/>
                <w:color w:val="auto"/>
              </w:rPr>
              <w:t>Expected to vest, December 31, 2018</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61.23</w:t>
            </w:r>
          </w:p>
        </w:tc>
        <w:tc>
          <w:tcPr>
            <w:tcW w:w="120" w:type="dxa"/>
            <w:vAlign w:val="bottom"/>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0"/>
        </w:trPr>
        <w:tc>
          <w:tcPr>
            <w:tcW w:w="3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2018, total unrecognized stock-based compensation expense related to unvested stock options was $2.6 million, which is expected to be recognized over a weighted average period of approximately 1.6 years.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assumptions used to estimate the fair value of stock options granted and the resulting weighted average fair value are as follows:</w:t>
      </w:r>
    </w:p>
    <w:p>
      <w:pPr>
        <w:spacing w:after="0" w:line="208"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37465</wp:posOffset>
            </wp:positionV>
            <wp:extent cx="34563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2018</w:t>
            </w:r>
          </w:p>
        </w:tc>
        <w:tc>
          <w:tcPr>
            <w:tcW w:w="18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r>
      <w:tr>
        <w:trPr>
          <w:trHeight w:val="33"/>
        </w:trPr>
        <w:tc>
          <w:tcPr>
            <w:tcW w:w="59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37"/>
        </w:trPr>
        <w:tc>
          <w:tcPr>
            <w:tcW w:w="714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5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5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7"/>
        </w:trPr>
        <w:tc>
          <w:tcPr>
            <w:tcW w:w="7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Expected term (years)</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r>
      <w:tr>
        <w:trPr>
          <w:trHeight w:val="33"/>
        </w:trPr>
        <w:tc>
          <w:tcPr>
            <w:tcW w:w="59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Average Grant</w:t>
            </w:r>
          </w:p>
        </w:tc>
        <w:tc>
          <w:tcPr>
            <w:tcW w:w="22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1"/>
              </w:rPr>
              <w:t>Restricted Stock Units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Date Fair Value</w:t>
            </w:r>
          </w:p>
        </w:tc>
        <w:tc>
          <w:tcPr>
            <w:tcW w:w="220" w:type="dxa"/>
            <w:vAlign w:val="bottom"/>
          </w:tcPr>
          <w:p>
            <w:pPr>
              <w:spacing w:after="0"/>
              <w:rPr>
                <w:sz w:val="18"/>
                <w:szCs w:val="18"/>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Intrinsic Value</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2016</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Released</w:t>
            </w:r>
          </w:p>
        </w:tc>
        <w:tc>
          <w:tcPr>
            <w:tcW w:w="1720" w:type="dxa"/>
            <w:vAlign w:val="bottom"/>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11,944</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Outstanding, December 31, 2016</w:t>
            </w:r>
          </w:p>
        </w:tc>
        <w:tc>
          <w:tcPr>
            <w:tcW w:w="1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701</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38.04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060" w:type="dxa"/>
            <w:vAlign w:val="bottom"/>
          </w:tcPr>
          <w:p>
            <w:pPr>
              <w:ind w:left="380"/>
              <w:spacing w:after="0"/>
              <w:rPr>
                <w:sz w:val="20"/>
                <w:szCs w:val="20"/>
                <w:color w:val="auto"/>
              </w:rPr>
            </w:pPr>
            <w:r>
              <w:rPr>
                <w:rFonts w:ascii="Arial" w:cs="Arial" w:eastAsia="Arial" w:hAnsi="Arial"/>
                <w:sz w:val="16"/>
                <w:szCs w:val="16"/>
                <w:color w:val="auto"/>
              </w:rPr>
              <w:t>Granted</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273</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50.95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14,219</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72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December 31, 2017</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06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rPr>
              <w:t>Converted upon acquisition</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6060" w:type="dxa"/>
            <w:vAlign w:val="bottom"/>
            <w:vMerge w:val="continue"/>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0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060" w:type="dxa"/>
            <w:vAlign w:val="bottom"/>
          </w:tcPr>
          <w:p>
            <w:pPr>
              <w:ind w:left="380"/>
              <w:spacing w:after="0"/>
              <w:rPr>
                <w:sz w:val="20"/>
                <w:szCs w:val="20"/>
                <w:color w:val="auto"/>
              </w:rPr>
            </w:pPr>
            <w:r>
              <w:rPr>
                <w:rFonts w:ascii="Arial" w:cs="Arial" w:eastAsia="Arial" w:hAnsi="Arial"/>
                <w:sz w:val="16"/>
                <w:szCs w:val="16"/>
                <w:color w:val="auto"/>
              </w:rPr>
              <w:t>Granted</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57.48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32,567</w:t>
            </w:r>
          </w:p>
        </w:tc>
        <w:tc>
          <w:tcPr>
            <w:tcW w:w="0" w:type="dxa"/>
            <w:vAlign w:val="bottom"/>
          </w:tcPr>
          <w:p>
            <w:pPr>
              <w:spacing w:after="0"/>
              <w:rPr>
                <w:sz w:val="1"/>
                <w:szCs w:val="1"/>
                <w:color w:val="auto"/>
              </w:rPr>
            </w:pPr>
          </w:p>
        </w:tc>
      </w:tr>
      <w:tr>
        <w:trPr>
          <w:trHeight w:val="224"/>
        </w:trPr>
        <w:tc>
          <w:tcPr>
            <w:tcW w:w="606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72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67.88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060" w:type="dxa"/>
            <w:vAlign w:val="bottom"/>
            <w:tcBorders>
              <w:bottom w:val="single" w:sz="8" w:color="CCEEFF"/>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December 31, 2018</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817</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Vested but not released, December 31, 2018</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to vest, December 31, 2018</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30,405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2018, total unrecognized compensation expense on restricted stock units was $38.5 million, which is expected to be recognized over a weighted average period of approximately 2.0 years.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assumptions used to estimate the fair value of performance-based restricted stock units granted and the resulting weighted average fair value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ind w:left="100"/>
              <w:spacing w:after="0"/>
              <w:rPr>
                <w:sz w:val="20"/>
                <w:szCs w:val="20"/>
                <w:color w:val="auto"/>
              </w:rPr>
            </w:pPr>
            <w:r>
              <w:rPr>
                <w:rFonts w:ascii="Arial" w:cs="Arial" w:eastAsia="Arial" w:hAnsi="Arial"/>
                <w:sz w:val="16"/>
                <w:szCs w:val="16"/>
                <w:b w:val="1"/>
                <w:bCs w:val="1"/>
                <w:color w:val="auto"/>
                <w:w w:val="93"/>
              </w:rPr>
              <w:t>Year Ended December 31,</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40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4080" w:type="dxa"/>
            <w:vAlign w:val="bottom"/>
          </w:tcPr>
          <w:p>
            <w:pPr>
              <w:spacing w:after="0"/>
              <w:rPr>
                <w:sz w:val="20"/>
                <w:szCs w:val="20"/>
                <w:color w:val="auto"/>
              </w:rPr>
            </w:pPr>
          </w:p>
        </w:tc>
        <w:tc>
          <w:tcPr>
            <w:tcW w:w="30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2016</w:t>
            </w:r>
          </w:p>
        </w:tc>
      </w:tr>
      <w:tr>
        <w:trPr>
          <w:trHeight w:val="33"/>
        </w:trPr>
        <w:tc>
          <w:tcPr>
            <w:tcW w:w="40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18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1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40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(years)</w:t>
            </w:r>
          </w:p>
        </w:tc>
        <w:tc>
          <w:tcPr>
            <w:tcW w:w="18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r>
      <w:tr>
        <w:trPr>
          <w:trHeight w:val="270"/>
        </w:trPr>
        <w:tc>
          <w:tcPr>
            <w:tcW w:w="40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w:t>
            </w:r>
          </w:p>
        </w:tc>
        <w:tc>
          <w:tcPr>
            <w:tcW w:w="3000" w:type="dxa"/>
            <w:vAlign w:val="bottom"/>
            <w:tcBorders>
              <w:bottom w:val="single" w:sz="8" w:color="CCEEFF"/>
            </w:tcBorders>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78.56</w:t>
            </w:r>
          </w:p>
        </w:tc>
        <w:tc>
          <w:tcPr>
            <w:tcW w:w="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44.92</w:t>
            </w:r>
          </w:p>
        </w:tc>
      </w:tr>
      <w:tr>
        <w:trPr>
          <w:trHeight w:val="891"/>
        </w:trPr>
        <w:tc>
          <w:tcPr>
            <w:tcW w:w="4080" w:type="dxa"/>
            <w:vAlign w:val="bottom"/>
          </w:tcPr>
          <w:p>
            <w:pPr>
              <w:spacing w:after="0"/>
              <w:rPr>
                <w:sz w:val="24"/>
                <w:szCs w:val="24"/>
                <w:color w:val="auto"/>
              </w:rPr>
            </w:pPr>
          </w:p>
        </w:tc>
        <w:tc>
          <w:tcPr>
            <w:tcW w:w="1880" w:type="dxa"/>
            <w:vAlign w:val="bottom"/>
          </w:tcPr>
          <w:p>
            <w:pPr>
              <w:jc w:val="right"/>
              <w:ind w:right="76"/>
              <w:spacing w:after="0"/>
              <w:rPr>
                <w:sz w:val="20"/>
                <w:szCs w:val="20"/>
                <w:color w:val="auto"/>
              </w:rPr>
            </w:pPr>
            <w:r>
              <w:rPr>
                <w:rFonts w:ascii="Arial" w:cs="Arial" w:eastAsia="Arial" w:hAnsi="Arial"/>
                <w:sz w:val="18"/>
                <w:szCs w:val="18"/>
                <w:color w:val="auto"/>
              </w:rPr>
              <w:t>76</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Phantom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phantom stock unit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January 1, 2017</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Released</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Forfeited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December 31, 2017</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to vest, December 31, 2017</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January 1, 2018</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Converted upon acquisition</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Released</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Forfeited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December 31, 2018</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to vest, December 31,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203"/>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Phantom Stock</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center"/>
              <w:ind w:right="259"/>
              <w:spacing w:after="0"/>
              <w:rPr>
                <w:sz w:val="20"/>
                <w:szCs w:val="20"/>
                <w:color w:val="auto"/>
              </w:rPr>
            </w:pPr>
            <w:r>
              <w:rPr>
                <w:rFonts w:ascii="Arial" w:cs="Arial" w:eastAsia="Arial" w:hAnsi="Arial"/>
                <w:sz w:val="16"/>
                <w:szCs w:val="16"/>
                <w:b w:val="1"/>
                <w:bCs w:val="1"/>
                <w:color w:val="auto"/>
                <w:w w:val="94"/>
              </w:rPr>
              <w:t>Average Grant</w:t>
            </w:r>
          </w:p>
        </w:tc>
        <w:tc>
          <w:tcPr>
            <w:tcW w:w="0" w:type="dxa"/>
            <w:vAlign w:val="bottom"/>
          </w:tcPr>
          <w:p>
            <w:pPr>
              <w:spacing w:after="0"/>
              <w:rPr>
                <w:sz w:val="1"/>
                <w:szCs w:val="1"/>
                <w:color w:val="auto"/>
              </w:rPr>
            </w:pPr>
          </w:p>
        </w:tc>
      </w:tr>
      <w:tr>
        <w:trPr>
          <w:trHeight w:val="210"/>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9"/>
              </w:rPr>
              <w:t>Units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jc w:val="center"/>
              <w:ind w:right="259"/>
              <w:spacing w:after="0"/>
              <w:rPr>
                <w:sz w:val="20"/>
                <w:szCs w:val="20"/>
                <w:color w:val="auto"/>
              </w:rPr>
            </w:pPr>
            <w:r>
              <w:rPr>
                <w:rFonts w:ascii="Arial" w:cs="Arial" w:eastAsia="Arial" w:hAnsi="Arial"/>
                <w:sz w:val="16"/>
                <w:szCs w:val="16"/>
                <w:b w:val="1"/>
                <w:bCs w:val="1"/>
                <w:color w:val="auto"/>
                <w:w w:val="93"/>
              </w:rPr>
              <w:t>Date Fair Value</w:t>
            </w: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65.55</w:t>
            </w: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62.53</w:t>
            </w:r>
          </w:p>
        </w:tc>
        <w:tc>
          <w:tcPr>
            <w:tcW w:w="0" w:type="dxa"/>
            <w:vAlign w:val="bottom"/>
          </w:tcPr>
          <w:p>
            <w:pPr>
              <w:spacing w:after="0"/>
              <w:rPr>
                <w:sz w:val="1"/>
                <w:szCs w:val="1"/>
                <w:color w:val="auto"/>
              </w:rPr>
            </w:pPr>
          </w:p>
        </w:tc>
      </w:tr>
      <w:tr>
        <w:trPr>
          <w:trHeight w:val="25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69.40</w:t>
            </w:r>
          </w:p>
        </w:tc>
        <w:tc>
          <w:tcPr>
            <w:tcW w:w="0" w:type="dxa"/>
            <w:vAlign w:val="bottom"/>
          </w:tcPr>
          <w:p>
            <w:pPr>
              <w:spacing w:after="0"/>
              <w:rPr>
                <w:sz w:val="1"/>
                <w:szCs w:val="1"/>
                <w:color w:val="auto"/>
              </w:rPr>
            </w:pPr>
          </w:p>
        </w:tc>
      </w:tr>
      <w:tr>
        <w:trPr>
          <w:trHeight w:val="270"/>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66.67</w:t>
            </w: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54.33</w:t>
            </w: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61.28</w:t>
            </w:r>
          </w:p>
        </w:tc>
        <w:tc>
          <w:tcPr>
            <w:tcW w:w="0" w:type="dxa"/>
            <w:vAlign w:val="bottom"/>
          </w:tcPr>
          <w:p>
            <w:pPr>
              <w:spacing w:after="0"/>
              <w:rPr>
                <w:sz w:val="1"/>
                <w:szCs w:val="1"/>
                <w:color w:val="auto"/>
              </w:rPr>
            </w:pPr>
          </w:p>
        </w:tc>
      </w:tr>
      <w:tr>
        <w:trPr>
          <w:trHeight w:val="47"/>
        </w:trPr>
        <w:tc>
          <w:tcPr>
            <w:tcW w:w="2300" w:type="dxa"/>
            <w:vAlign w:val="bottom"/>
            <w:tcBorders>
              <w:bottom w:val="single" w:sz="8" w:color="auto"/>
            </w:tcBorders>
          </w:tcPr>
          <w:p>
            <w:pPr>
              <w:spacing w:after="0"/>
              <w:rPr>
                <w:sz w:val="4"/>
                <w:szCs w:val="4"/>
                <w:color w:val="auto"/>
              </w:rPr>
            </w:pP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900" w:type="dxa"/>
            <w:vAlign w:val="bottom"/>
            <w:vMerge w:val="restart"/>
          </w:tcPr>
          <w:p>
            <w:pPr>
              <w:jc w:val="right"/>
              <w:ind w:right="19"/>
              <w:spacing w:after="0"/>
              <w:rPr>
                <w:sz w:val="20"/>
                <w:szCs w:val="20"/>
                <w:color w:val="auto"/>
              </w:rPr>
            </w:pPr>
            <w:r>
              <w:rPr>
                <w:rFonts w:ascii="Arial" w:cs="Arial" w:eastAsia="Arial" w:hAnsi="Arial"/>
                <w:sz w:val="16"/>
                <w:szCs w:val="16"/>
                <w:color w:val="auto"/>
              </w:rPr>
              <w:t>61.80</w:t>
            </w:r>
          </w:p>
        </w:tc>
        <w:tc>
          <w:tcPr>
            <w:tcW w:w="0" w:type="dxa"/>
            <w:vAlign w:val="bottom"/>
          </w:tcPr>
          <w:p>
            <w:pPr>
              <w:spacing w:after="0"/>
              <w:rPr>
                <w:sz w:val="1"/>
                <w:szCs w:val="1"/>
                <w:color w:val="auto"/>
              </w:rPr>
            </w:pPr>
          </w:p>
        </w:tc>
      </w:tr>
      <w:tr>
        <w:trPr>
          <w:trHeight w:val="21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460" w:type="dxa"/>
            <w:vAlign w:val="bottom"/>
            <w:gridSpan w:val="2"/>
            <w:vMerge w:val="continue"/>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-2812415</wp:posOffset>
            </wp:positionV>
            <wp:extent cx="72294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-2469515</wp:posOffset>
            </wp:positionV>
            <wp:extent cx="72294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-2125980</wp:posOffset>
            </wp:positionV>
            <wp:extent cx="7229475"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-1757680</wp:posOffset>
            </wp:positionV>
            <wp:extent cx="72294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-1414145</wp:posOffset>
            </wp:positionV>
            <wp:extent cx="722947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-1071245</wp:posOffset>
            </wp:positionV>
            <wp:extent cx="72294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-728345</wp:posOffset>
            </wp:positionV>
            <wp:extent cx="72294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-376555</wp:posOffset>
            </wp:positionV>
            <wp:extent cx="7229475"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sectPr>
      </w:pPr>
    </w:p>
    <w:p>
      <w:pPr>
        <w:spacing w:after="0" w:line="21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December 31, 2018, total unrecognized compensation expense on phantom stock units was $2.5 million, which is expected to be recognized over a weighted average period of approximately 1.9 years. As of December 31, 2018 and 2017, we have recognized a phantom stock liability of $1.5 million and $1.7 million, respectively, within wages and benefits payable in the Consolidated Balance Sheets.</w:t>
      </w:r>
    </w:p>
    <w:p>
      <w:pPr>
        <w:spacing w:after="0" w:line="2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Defined Contribution, Bonus, and Profit Sharing Plans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Contribution Plans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United Kingdom, and certain other countries, we make contributions to defined contribution plans. For our U.S. employee savings plan, which represents a majority of our contribution expense, we provide a 75% match on the first 6% of the employee salary deferral, subject to statutory limitations. For our international defined contribution plans, we provide various levels of contributions, based on salary, subject to stipulated or statutory limitations. The expense for our defined contribution plans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Defined contribution plans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11,593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11,709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7,941</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 Plans and Awards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have employee bonus and profit sharing plans in which many of our employees participate, as well as an award program, which allows for recognition of individual employees' achievements. The bonus and profit sharing plans provide award amounts for the achievement of performance and financial targets. As the bonuses are being earned during the year, we estimate a compensation accrual each quarter based on the progress towards achieving the goals, the estimated financial forecast for the year, and the probability of achieving results. Bonus and profit sharing plans and award expense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Bonus and profit sharing plans and award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15,466</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40,005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43,377</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22, 2017, H.R.1, commonly referred to as the Tax Cuts and Jobs Act (Tax Act) was enacted into law in the United States. This new tax legislation represents one of the most significant overhauls to the U.S. federal tax code since 1986. The Tax Act lowered the U.S. corporate income tax rate from 35% to 21% effective January 1, 2018. The Tax Act also includes numerous provisions, including, but not limited to, (1) imposing a one-time transition tax on certain unrepatriated earnings of foreign subsidiaries that had not been previously taxed in the U.S.; (2) creating a new provision designed to tax global intangible low-tax income (GILTI); (3) generally eliminating U.S. federal taxes on dividends from foreign subsidiaries; (4) eliminating the corporate alternative minimum tax (AMT); (5) creating the base erosion anti-abuse tax (BEAT); (6) establishing the deduction for foreign derived intangible income (FDII); (7) repealing the domestic production activity deduction; and (8) establishing new limitations on deductible interest expense and certain executive compensation.</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December 22, 2017, the Securities and Exchange Commission (SEC) issued Staff Accounting Bulletin No. 118 (SAB 118) which provides guidance on accounting for the tax effects of the Tax Act. SAB 118 provides a measurement period that should not extend beyond one year from the Tax Act enactment date for companies to complete the accounting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In accordance with SAB 118, a company must reflect the income tax effects of those aspects of the Tax Act for which the accounting under ASC 740 is complete. To the extent that a company's accounting for certain income tax effects of the Tax Act is incomplete but is able to determine a reasonable estimate, it must recognize a provisional estimate in the financial statements. Pursuant to SAB 118, we recognized provisional estimates for the impact of the Tax Act in 2017. This included a one-time tax charge of $30.4 million to remeasure our deferred tax assets as a result of these legislative changes. We have completed our accounting for the Tax Act, and we did not make any material adjustments to these provisional amounts for the year ended December 31,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provision (benefit) for U.S. federal, state, and foreign taxes on income from continuing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color w:val="auto"/>
              </w:rPr>
              <w:t>Current:</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6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Federal</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20,490</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State and local</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3,841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2,708</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12,139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12,586</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current</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6,561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23,659</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35,784</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Deferred:</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Federal</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(17,463)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10,805</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State and local</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(1,144)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1,160</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(22,906)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(24,815)</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deferred</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(44,861)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42,676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(12,850)</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Change in valuation allowance</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25,730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7,991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26,640</w:t>
            </w: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provision (benefit) for income taxes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(12,570)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49,574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the valuation allowance does not include the impacts of currency translation adjustments, acquisitions, or significant intercompany transactions.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provision (benefit) as a percentage of income before tax was 12%, 55%, and 59% for 2018, 2017, and 2016, respectively. Our actual tax rate differed from the 21% or 35% U.S. federal statutory tax rate due to various items. A reconciliation of income taxes at the U.S. federal statutory rate of 21% for 2018 and 35% for 2017 and 2016 to the consolidated actual tax rate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6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Domestic</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(50,463)</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220,342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196,750</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Foreign</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(58,688)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(85,767)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(112,123)</w:t>
            </w:r>
          </w:p>
        </w:tc>
      </w:tr>
      <w:tr>
        <w:trPr>
          <w:trHeight w:val="33"/>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income before income taxes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(109,151)</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134,575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84,627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federal income tax provision</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(22,922)</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29,619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Change in valuation allowance</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25,730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7,991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26,640</w:t>
            </w:r>
          </w:p>
        </w:tc>
      </w:tr>
      <w:tr>
        <w:trPr>
          <w:trHeight w:val="33"/>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Foreign earnings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(15,799)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(22,045)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(12,584)</w:t>
            </w:r>
          </w:p>
        </w:tc>
      </w:tr>
      <w:tr>
        <w:trPr>
          <w:trHeight w:val="33"/>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credits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Uncertain tax positions, including interest and penalties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7,727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(7,637)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3,817</w:t>
            </w:r>
          </w:p>
        </w:tc>
      </w:tr>
      <w:tr>
        <w:trPr>
          <w:trHeight w:val="33"/>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tax rates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State income tax provision (benefit), net of federal effect</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4,986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2,806</w:t>
            </w:r>
          </w:p>
        </w:tc>
      </w:tr>
      <w:tr>
        <w:trPr>
          <w:trHeight w:val="33"/>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tax provision on foreign earnings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Domestic production activities deduction</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(2,534)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(2,424)</w:t>
            </w:r>
          </w:p>
        </w:tc>
      </w:tr>
      <w:tr>
        <w:trPr>
          <w:trHeight w:val="33"/>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Local foreign taxes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Transaction costs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2,643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2,431</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provision (benefit) from income taxes</w:t>
            </w: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(12,570)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74,326</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49,574</w:t>
            </w:r>
          </w:p>
        </w:tc>
      </w:tr>
      <w:tr>
        <w:trPr>
          <w:trHeight w:val="33"/>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Change in tax rates line above includes the deferred tax impact of material rate changes in 2017 to the U.S., France, and Luxembourg, among others.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consist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At December 31,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2"/>
        </w:trPr>
        <w:tc>
          <w:tcPr>
            <w:tcW w:w="7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4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3"/>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Loss carryforwards</w:t>
            </w:r>
            <w:r>
              <w:rPr>
                <w:rFonts w:ascii="Arial" w:cs="Arial" w:eastAsia="Arial" w:hAnsi="Arial"/>
                <w:sz w:val="21"/>
                <w:szCs w:val="21"/>
                <w:color w:val="auto"/>
                <w:vertAlign w:val="superscript"/>
              </w:rPr>
              <w:t>(1)</w:t>
            </w: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370,120</w:t>
            </w:r>
          </w:p>
        </w:tc>
        <w:tc>
          <w:tcPr>
            <w:tcW w:w="120" w:type="dxa"/>
            <w:vAlign w:val="bottom"/>
            <w:shd w:val="clear" w:color="auto" w:fill="CCEEFF"/>
          </w:tcPr>
          <w:p>
            <w:pPr>
              <w:spacing w:after="0"/>
              <w:rPr>
                <w:sz w:val="24"/>
                <w:szCs w:val="24"/>
                <w:color w:val="auto"/>
              </w:rPr>
            </w:pPr>
          </w:p>
        </w:tc>
        <w:tc>
          <w:tcPr>
            <w:tcW w:w="600" w:type="dxa"/>
            <w:vAlign w:val="bottom"/>
            <w:vMerge w:val="restart"/>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218,420</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shd w:val="clear" w:color="auto" w:fill="CCEEFF"/>
          </w:tcPr>
          <w:p>
            <w:pPr>
              <w:spacing w:after="0"/>
              <w:rPr>
                <w:sz w:val="6"/>
                <w:szCs w:val="6"/>
                <w:color w:val="auto"/>
              </w:rPr>
            </w:pPr>
          </w:p>
        </w:tc>
        <w:tc>
          <w:tcPr>
            <w:tcW w:w="400" w:type="dxa"/>
            <w:vAlign w:val="bottom"/>
            <w:tcBorders>
              <w:bottom w:val="single" w:sz="8" w:color="CCEEFF"/>
            </w:tcBorders>
            <w:vMerge w:val="continue"/>
            <w:shd w:val="clear" w:color="auto" w:fill="CCEEFF"/>
          </w:tcPr>
          <w:p>
            <w:pPr>
              <w:spacing w:after="0"/>
              <w:rPr>
                <w:sz w:val="6"/>
                <w:szCs w:val="6"/>
                <w:color w:val="auto"/>
              </w:rPr>
            </w:pPr>
          </w:p>
        </w:tc>
        <w:tc>
          <w:tcPr>
            <w:tcW w:w="132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vMerge w:val="continue"/>
            <w:shd w:val="clear" w:color="auto" w:fill="CCEEFF"/>
          </w:tcPr>
          <w:p>
            <w:pPr>
              <w:spacing w:after="0"/>
              <w:rPr>
                <w:sz w:val="6"/>
                <w:szCs w:val="6"/>
                <w:color w:val="auto"/>
              </w:rPr>
            </w:pPr>
          </w:p>
        </w:tc>
        <w:tc>
          <w:tcPr>
            <w:tcW w:w="108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7900" w:type="dxa"/>
            <w:vAlign w:val="bottom"/>
            <w:vMerge w:val="restart"/>
          </w:tcPr>
          <w:p>
            <w:pPr>
              <w:ind w:left="380"/>
              <w:spacing w:after="0"/>
              <w:rPr>
                <w:sz w:val="20"/>
                <w:szCs w:val="20"/>
                <w:color w:val="auto"/>
              </w:rPr>
            </w:pPr>
            <w:r>
              <w:rPr>
                <w:rFonts w:ascii="Arial" w:cs="Arial" w:eastAsia="Arial" w:hAnsi="Arial"/>
                <w:sz w:val="16"/>
                <w:szCs w:val="16"/>
                <w:color w:val="auto"/>
              </w:rPr>
              <w:t>Tax credits</w:t>
            </w:r>
            <w:r>
              <w:rPr>
                <w:rFonts w:ascii="Arial" w:cs="Arial" w:eastAsia="Arial" w:hAnsi="Arial"/>
                <w:sz w:val="21"/>
                <w:szCs w:val="21"/>
                <w:color w:val="auto"/>
                <w:vertAlign w:val="superscript"/>
              </w:rPr>
              <w:t>(2)</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94,359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58,616</w:t>
            </w:r>
          </w:p>
        </w:tc>
        <w:tc>
          <w:tcPr>
            <w:tcW w:w="0" w:type="dxa"/>
            <w:vAlign w:val="bottom"/>
          </w:tcPr>
          <w:p>
            <w:pPr>
              <w:spacing w:after="0"/>
              <w:rPr>
                <w:sz w:val="1"/>
                <w:szCs w:val="1"/>
                <w:color w:val="auto"/>
              </w:rPr>
            </w:pPr>
          </w:p>
        </w:tc>
      </w:tr>
      <w:tr>
        <w:trPr>
          <w:trHeight w:val="209"/>
        </w:trPr>
        <w:tc>
          <w:tcPr>
            <w:tcW w:w="79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43,213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23,752</w:t>
            </w:r>
          </w:p>
        </w:tc>
        <w:tc>
          <w:tcPr>
            <w:tcW w:w="0" w:type="dxa"/>
            <w:vAlign w:val="bottom"/>
          </w:tcPr>
          <w:p>
            <w:pPr>
              <w:spacing w:after="0"/>
              <w:rPr>
                <w:sz w:val="1"/>
                <w:szCs w:val="1"/>
                <w:color w:val="auto"/>
              </w:rPr>
            </w:pPr>
          </w:p>
        </w:tc>
      </w:tr>
      <w:tr>
        <w:trPr>
          <w:trHeight w:val="224"/>
        </w:trPr>
        <w:tc>
          <w:tcPr>
            <w:tcW w:w="7900" w:type="dxa"/>
            <w:vAlign w:val="bottom"/>
          </w:tcPr>
          <w:p>
            <w:pPr>
              <w:ind w:left="380"/>
              <w:spacing w:after="0"/>
              <w:rPr>
                <w:sz w:val="20"/>
                <w:szCs w:val="20"/>
                <w:color w:val="auto"/>
              </w:rPr>
            </w:pPr>
            <w:r>
              <w:rPr>
                <w:rFonts w:ascii="Arial" w:cs="Arial" w:eastAsia="Arial" w:hAnsi="Arial"/>
                <w:sz w:val="16"/>
                <w:szCs w:val="16"/>
                <w:color w:val="auto"/>
              </w:rPr>
              <w:t>Pension plan benefits expense</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18,086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18,262</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Warranty reserves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13,470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11,170</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5,709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5,736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Equity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5,352</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Inventory valuation</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1,415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2,554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9,062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2,431</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Other deferred tax assets, net</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11,319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16,606</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deferred tax assets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572,143</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362,899</w:t>
            </w:r>
          </w:p>
        </w:tc>
        <w:tc>
          <w:tcPr>
            <w:tcW w:w="0" w:type="dxa"/>
            <w:vAlign w:val="bottom"/>
          </w:tcPr>
          <w:p>
            <w:pPr>
              <w:spacing w:after="0"/>
              <w:rPr>
                <w:sz w:val="1"/>
                <w:szCs w:val="1"/>
                <w:color w:val="auto"/>
              </w:rPr>
            </w:pPr>
          </w:p>
        </w:tc>
      </w:tr>
      <w:tr>
        <w:trPr>
          <w:trHeight w:val="237"/>
        </w:trPr>
        <w:tc>
          <w:tcPr>
            <w:tcW w:w="7900" w:type="dxa"/>
            <w:vAlign w:val="bottom"/>
          </w:tcPr>
          <w:p>
            <w:pPr>
              <w:ind w:left="1040"/>
              <w:spacing w:after="0"/>
              <w:rPr>
                <w:sz w:val="20"/>
                <w:szCs w:val="20"/>
                <w:color w:val="auto"/>
              </w:rPr>
            </w:pPr>
            <w:r>
              <w:rPr>
                <w:rFonts w:ascii="Arial" w:cs="Arial" w:eastAsia="Arial" w:hAnsi="Arial"/>
                <w:sz w:val="16"/>
                <w:szCs w:val="16"/>
                <w:color w:val="auto"/>
              </w:rPr>
              <w:t>Valuation allowance</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(323,822)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(285,784)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deferred tax assets, net of valuation allowance</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248,321</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77,115</w:t>
            </w: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(178,358)</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(23,135)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Tax effect of accumulated translation</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Other deferred tax liabilities, net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(6,676)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(5,231)</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deferred tax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(185,034)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(28,669)</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Net deferred tax assets</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63,287</w:t>
            </w:r>
          </w:p>
        </w:tc>
        <w:tc>
          <w:tcPr>
            <w:tcW w:w="120" w:type="dxa"/>
            <w:vAlign w:val="bottom"/>
          </w:tcPr>
          <w:p>
            <w:pPr>
              <w:spacing w:after="0"/>
              <w:rPr>
                <w:sz w:val="18"/>
                <w:szCs w:val="18"/>
                <w:color w:val="auto"/>
              </w:rPr>
            </w:pP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48,446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340" w:hanging="332"/>
        <w:spacing w:after="0" w:line="253"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For tax return purposes at December 31, 2018, we had U.S. federal loss carryforwards of $350.7 million which begin to expire in the year 2019. At December 31, 2018, we have net operating loss carryforwards in Luxembourg of $936.7 million, the majority of which can be carried forward indefinitely, offset by a full valuation allowance. The remaining portion of the loss carryforwards are composed primarily of losses in various other state and foreign jurisdictions. The majority of these losses can be carried forward indefinitely. At December 31, 2018, there was a valuation allowance of $323.8 million primarily associated with foreign loss carryforwards and foreign tax credit carryforwards (discussed below).</w:t>
      </w:r>
    </w:p>
    <w:p>
      <w:pPr>
        <w:spacing w:after="0" w:line="217" w:lineRule="exact"/>
        <w:rPr>
          <w:rFonts w:ascii="Arial" w:cs="Arial" w:eastAsia="Arial" w:hAnsi="Arial"/>
          <w:sz w:val="25"/>
          <w:szCs w:val="25"/>
          <w:color w:val="auto"/>
          <w:vertAlign w:val="superscript"/>
        </w:rPr>
      </w:pPr>
    </w:p>
    <w:p>
      <w:pPr>
        <w:jc w:val="both"/>
        <w:ind w:left="340" w:hanging="332"/>
        <w:spacing w:after="0" w:line="233"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For tax return purposes at December 31, 2018, we had: (1) U.S. general business credits of $31.2 million, which begin to expire in 2022; (2) U.S. alternative minimum tax credits of $1.6 million that can be carried forward indefinitely; (3) U.S. foreign tax credits of $50.4 million, which begin to expire in 2024; and (4) state tax credits of $35.1 million, which begin to expire in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valuation allowance for deferred tax assets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Balance at</w:t>
            </w:r>
          </w:p>
        </w:tc>
      </w:tr>
      <w:tr>
        <w:trPr>
          <w:trHeight w:val="203"/>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Balance at Beginning of</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Additions Charged to</w:t>
            </w:r>
          </w:p>
        </w:tc>
        <w:tc>
          <w:tcPr>
            <w:tcW w:w="220" w:type="dxa"/>
            <w:vAlign w:val="bottom"/>
          </w:tcPr>
          <w:p>
            <w:pPr>
              <w:spacing w:after="0"/>
              <w:rPr>
                <w:sz w:val="17"/>
                <w:szCs w:val="17"/>
                <w:color w:val="auto"/>
              </w:rPr>
            </w:pPr>
          </w:p>
        </w:tc>
        <w:tc>
          <w:tcPr>
            <w:tcW w:w="146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End of Period,</w:t>
            </w:r>
          </w:p>
        </w:tc>
      </w:tr>
      <w:tr>
        <w:trPr>
          <w:trHeight w:val="210"/>
        </w:trPr>
        <w:tc>
          <w:tcPr>
            <w:tcW w:w="422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380" w:type="dxa"/>
            <w:vAlign w:val="bottom"/>
          </w:tcPr>
          <w:p>
            <w:pPr>
              <w:spacing w:after="0"/>
              <w:rPr>
                <w:sz w:val="18"/>
                <w:szCs w:val="18"/>
                <w:color w:val="auto"/>
              </w:rPr>
            </w:pPr>
          </w:p>
        </w:tc>
        <w:tc>
          <w:tcPr>
            <w:tcW w:w="1480" w:type="dxa"/>
            <w:vAlign w:val="bottom"/>
            <w:gridSpan w:val="2"/>
          </w:tcPr>
          <w:p>
            <w:pPr>
              <w:ind w:left="260"/>
              <w:spacing w:after="0"/>
              <w:rPr>
                <w:sz w:val="20"/>
                <w:szCs w:val="20"/>
                <w:color w:val="auto"/>
              </w:rPr>
            </w:pPr>
            <w:r>
              <w:rPr>
                <w:rFonts w:ascii="Arial" w:cs="Arial" w:eastAsia="Arial" w:hAnsi="Arial"/>
                <w:sz w:val="16"/>
                <w:szCs w:val="16"/>
                <w:b w:val="1"/>
                <w:bCs w:val="1"/>
                <w:color w:val="auto"/>
              </w:rPr>
              <w:t>Period</w:t>
            </w: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Adjustments</w:t>
            </w:r>
          </w:p>
        </w:tc>
        <w:tc>
          <w:tcPr>
            <w:tcW w:w="18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Costs and Expenses</w:t>
            </w:r>
          </w:p>
        </w:tc>
        <w:tc>
          <w:tcPr>
            <w:tcW w:w="220" w:type="dxa"/>
            <w:vAlign w:val="bottom"/>
          </w:tcPr>
          <w:p>
            <w:pPr>
              <w:spacing w:after="0"/>
              <w:rPr>
                <w:sz w:val="18"/>
                <w:szCs w:val="18"/>
                <w:color w:val="auto"/>
              </w:rPr>
            </w:pPr>
          </w:p>
        </w:tc>
        <w:tc>
          <w:tcPr>
            <w:tcW w:w="146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Noncurrent</w:t>
            </w:r>
          </w:p>
        </w:tc>
      </w:tr>
      <w:tr>
        <w:trPr>
          <w:trHeight w:val="33"/>
        </w:trPr>
        <w:tc>
          <w:tcPr>
            <w:tcW w:w="4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52"/>
        </w:trPr>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92"/>
        </w:trPr>
        <w:tc>
          <w:tcPr>
            <w:tcW w:w="4220" w:type="dxa"/>
            <w:vAlign w:val="bottom"/>
            <w:gridSpan w:val="2"/>
          </w:tcPr>
          <w:p>
            <w:pPr>
              <w:ind w:left="60"/>
              <w:spacing w:after="0"/>
              <w:rPr>
                <w:sz w:val="20"/>
                <w:szCs w:val="20"/>
                <w:color w:val="auto"/>
              </w:rPr>
            </w:pPr>
            <w:r>
              <w:rPr>
                <w:rFonts w:ascii="Arial" w:cs="Arial" w:eastAsia="Arial" w:hAnsi="Arial"/>
                <w:sz w:val="16"/>
                <w:szCs w:val="16"/>
                <w:color w:val="auto"/>
              </w:rPr>
              <w:t>Year ended December 31, 2018:</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8"/>
        </w:trPr>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50"/>
        </w:trPr>
        <w:tc>
          <w:tcPr>
            <w:tcW w:w="4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Deferred tax assets valuation allowance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285,784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12,308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323,822</w:t>
            </w:r>
          </w:p>
        </w:tc>
      </w:tr>
      <w:tr>
        <w:trPr>
          <w:trHeight w:val="359"/>
        </w:trPr>
        <w:tc>
          <w:tcPr>
            <w:tcW w:w="4220" w:type="dxa"/>
            <w:vAlign w:val="bottom"/>
            <w:gridSpan w:val="2"/>
          </w:tcPr>
          <w:p>
            <w:pPr>
              <w:ind w:left="60"/>
              <w:spacing w:after="0"/>
              <w:rPr>
                <w:sz w:val="20"/>
                <w:szCs w:val="20"/>
                <w:color w:val="auto"/>
              </w:rPr>
            </w:pPr>
            <w:r>
              <w:rPr>
                <w:rFonts w:ascii="Arial" w:cs="Arial" w:eastAsia="Arial" w:hAnsi="Arial"/>
                <w:sz w:val="16"/>
                <w:szCs w:val="16"/>
                <w:color w:val="auto"/>
              </w:rPr>
              <w:t>Year ended December 31, 2017:</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8"/>
        </w:trPr>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50"/>
        </w:trPr>
        <w:tc>
          <w:tcPr>
            <w:tcW w:w="4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Deferred tax assets valuation allowance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249,560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28,233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285,784</w:t>
            </w:r>
          </w:p>
        </w:tc>
      </w:tr>
      <w:tr>
        <w:trPr>
          <w:trHeight w:val="359"/>
        </w:trPr>
        <w:tc>
          <w:tcPr>
            <w:tcW w:w="4220" w:type="dxa"/>
            <w:vAlign w:val="bottom"/>
            <w:gridSpan w:val="2"/>
          </w:tcPr>
          <w:p>
            <w:pPr>
              <w:ind w:left="60"/>
              <w:spacing w:after="0"/>
              <w:rPr>
                <w:sz w:val="20"/>
                <w:szCs w:val="20"/>
                <w:color w:val="auto"/>
              </w:rPr>
            </w:pPr>
            <w:r>
              <w:rPr>
                <w:rFonts w:ascii="Arial" w:cs="Arial" w:eastAsia="Arial" w:hAnsi="Arial"/>
                <w:sz w:val="16"/>
                <w:szCs w:val="16"/>
                <w:color w:val="auto"/>
              </w:rPr>
              <w:t>Year ended December 31, 2016:</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8"/>
        </w:trPr>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37"/>
        </w:trPr>
        <w:tc>
          <w:tcPr>
            <w:tcW w:w="42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Deferred tax assets valuation allowance</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235,339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(12,419)</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26,640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249,560</w:t>
            </w:r>
          </w:p>
        </w:tc>
      </w:tr>
      <w:tr>
        <w:trPr>
          <w:trHeight w:val="33"/>
        </w:trPr>
        <w:tc>
          <w:tcPr>
            <w:tcW w:w="4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valuation allowances to reduce deferred tax assets to the extent we believe it is more likely than not that a portion of such assets will not be realized. In making such determinations, we consider all available favorable and unfavorable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Although realization is not assured, management believes it is more likely than not that deferred tax assets, net of valuation allowance, will be realized. The amount of deferred tax assets considered realizable, however, could be reduced in the near term</w:t>
      </w:r>
    </w:p>
    <w:p>
      <w:pPr>
        <w:sectPr>
          <w:pgSz w:w="11900" w:h="16838" w:orient="portrait"/>
          <w:cols w:equalWidth="0" w:num="1">
            <w:col w:w="11420"/>
          </w:cols>
          <w:pgMar w:left="240" w:top="125" w:right="239" w:bottom="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if estimates of future taxable income during the carryforward periods are reduced or current tax planning strategies are not implemented.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provide U.S. deferred taxes on temporary differences related to our foreign investments that are considered permanent in duration. These temporary differences include undistributed foreign earnings of $5.1 million and $5.2 million at December 31, 2018 and 2017, respectively. Foreign taxes have been provided on these undistributed foreign earnings. As a result of recent changes in U.S. tax legislation, any repatriation of these earnings would not result in additional U.S. federal income tax.</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positions and changes to reserves that are considered appropriate.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9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9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(in thousands)</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at January 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54,880</w:t>
            </w: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Gross increase to positions in prior years</w:t>
            </w:r>
          </w:p>
        </w:tc>
        <w:tc>
          <w:tcPr>
            <w:tcW w:w="1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1,164</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decrease to positions in prior years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w:t>
            </w: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Gross increases to current period tax positions</w:t>
            </w:r>
          </w:p>
        </w:tc>
        <w:tc>
          <w:tcPr>
            <w:tcW w:w="1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5,071</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Audit settlements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Decrease related to lapsing of statute of limitations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(860)</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w:t>
            </w:r>
          </w:p>
        </w:tc>
      </w:tr>
      <w:tr>
        <w:trPr>
          <w:trHeight w:val="217"/>
        </w:trPr>
        <w:tc>
          <w:tcPr>
            <w:tcW w:w="9940" w:type="dxa"/>
            <w:vAlign w:val="bottom"/>
          </w:tcPr>
          <w:p>
            <w:pPr>
              <w:ind w:left="40"/>
              <w:spacing w:after="0"/>
              <w:rPr>
                <w:sz w:val="20"/>
                <w:szCs w:val="20"/>
                <w:color w:val="auto"/>
              </w:rPr>
            </w:pPr>
            <w:r>
              <w:rPr>
                <w:rFonts w:ascii="Arial" w:cs="Arial" w:eastAsia="Arial" w:hAnsi="Arial"/>
                <w:sz w:val="16"/>
                <w:szCs w:val="16"/>
                <w:color w:val="auto"/>
              </w:rPr>
              <w:t>Unrecognized tax benefits at December 31, 2016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57,626</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9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Gross increase to positions in prior years</w:t>
            </w:r>
          </w:p>
        </w:tc>
        <w:tc>
          <w:tcPr>
            <w:tcW w:w="1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3,367</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decrease to positions in prior years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(5,559)</w:t>
            </w: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Gross increases to current period tax positions</w:t>
            </w:r>
          </w:p>
        </w:tc>
        <w:tc>
          <w:tcPr>
            <w:tcW w:w="1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6,453</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Audit settlements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(5,169)</w:t>
            </w: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Decrease related to lapsing of statute of limitations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(3,445)</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3,429</w:t>
            </w:r>
          </w:p>
        </w:tc>
      </w:tr>
      <w:tr>
        <w:trPr>
          <w:trHeight w:val="217"/>
        </w:trPr>
        <w:tc>
          <w:tcPr>
            <w:tcW w:w="9940" w:type="dxa"/>
            <w:vAlign w:val="bottom"/>
          </w:tcPr>
          <w:p>
            <w:pPr>
              <w:ind w:left="40"/>
              <w:spacing w:after="0"/>
              <w:rPr>
                <w:sz w:val="20"/>
                <w:szCs w:val="20"/>
                <w:color w:val="auto"/>
              </w:rPr>
            </w:pPr>
            <w:r>
              <w:rPr>
                <w:rFonts w:ascii="Arial" w:cs="Arial" w:eastAsia="Arial" w:hAnsi="Arial"/>
                <w:sz w:val="16"/>
                <w:szCs w:val="16"/>
                <w:color w:val="auto"/>
              </w:rPr>
              <w:t>Unrecognized tax benefits at December 31, 2017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56,702</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9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Gross increase to positions in prior years</w:t>
            </w:r>
          </w:p>
        </w:tc>
        <w:tc>
          <w:tcPr>
            <w:tcW w:w="1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22,943</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decrease to positions in prior years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(24,949)</w:t>
            </w: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Gross increases to current period tax positions</w:t>
            </w:r>
          </w:p>
        </w:tc>
        <w:tc>
          <w:tcPr>
            <w:tcW w:w="1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63,869</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Audit settlements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(2,977)</w:t>
            </w: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Decrease related to lapsing of statute of limitations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(1,368)</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(1,662)</w:t>
            </w:r>
          </w:p>
        </w:tc>
      </w:tr>
      <w:tr>
        <w:trPr>
          <w:trHeight w:val="217"/>
        </w:trPr>
        <w:tc>
          <w:tcPr>
            <w:tcW w:w="9940" w:type="dxa"/>
            <w:vAlign w:val="bottom"/>
          </w:tcPr>
          <w:p>
            <w:pPr>
              <w:ind w:left="40"/>
              <w:spacing w:after="0"/>
              <w:rPr>
                <w:sz w:val="20"/>
                <w:szCs w:val="20"/>
                <w:color w:val="auto"/>
              </w:rPr>
            </w:pPr>
            <w:r>
              <w:rPr>
                <w:rFonts w:ascii="Arial" w:cs="Arial" w:eastAsia="Arial" w:hAnsi="Arial"/>
                <w:sz w:val="16"/>
                <w:szCs w:val="16"/>
                <w:color w:val="auto"/>
              </w:rPr>
              <w:t>Unrecognized tax benefits at December 31, 2018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112,558</w:t>
            </w:r>
          </w:p>
        </w:tc>
      </w:tr>
      <w:tr>
        <w:trPr>
          <w:trHeight w:val="33"/>
        </w:trPr>
        <w:tc>
          <w:tcPr>
            <w:tcW w:w="9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At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The amount of unrecognized tax benefits that, if recognized, would affect our effective tax</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06"/>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111,224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55,312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56,411</w:t>
            </w:r>
          </w:p>
        </w:tc>
      </w:tr>
      <w:tr>
        <w:trPr>
          <w:trHeight w:val="33"/>
        </w:trPr>
        <w:tc>
          <w:tcPr>
            <w:tcW w:w="6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certain unrecognized tax benefits are recognized they would create additional deferred tax assets. These assets would require a full valuation allowance in certain locations based upon present circumstances.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5" w:right="2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benefits and interest income on tax overpayments as components of income tax expense. The net interest and penalties expense recognized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and penalties expense (benefit)</w:t>
            </w: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r>
      <w:tr>
        <w:trPr>
          <w:trHeight w:val="588"/>
        </w:trPr>
        <w:tc>
          <w:tcPr>
            <w:tcW w:w="6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At December 31,</w:t>
            </w:r>
          </w:p>
        </w:tc>
        <w:tc>
          <w:tcPr>
            <w:tcW w:w="108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Accrued penalties</w:t>
            </w: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1,758</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2,426</w:t>
            </w:r>
          </w:p>
        </w:tc>
      </w:tr>
    </w:tbl>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December 31, 2018, we are under examination by certain tax authorities for the 2010 to 2017 tax years. The material jurisdictions where we are subject to examination for the 2010 to 2017 tax years include, among others, the U.S., France, Germany, Italy, Brazil and the United Kingdom. During December 2018 we settled our tax audit with the Internal Revenue Service for the 2014-2015 years and we settled our tax audit with Germany for the 2011-2013 years.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file income tax returns in the U.S. federal jurisdiction and various states and foreign jurisdictions. We are subject to income tax examination by tax authorities in our major tax jurisdictions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gridSpan w:val="2"/>
          </w:tcPr>
          <w:p>
            <w:pPr>
              <w:ind w:left="40"/>
              <w:spacing w:after="0"/>
              <w:rPr>
                <w:sz w:val="20"/>
                <w:szCs w:val="20"/>
                <w:color w:val="auto"/>
              </w:rPr>
            </w:pPr>
            <w:r>
              <w:rPr>
                <w:rFonts w:ascii="Arial" w:cs="Arial" w:eastAsia="Arial" w:hAnsi="Arial"/>
                <w:sz w:val="16"/>
                <w:szCs w:val="16"/>
                <w:b w:val="1"/>
                <w:bCs w:val="1"/>
                <w:color w:val="auto"/>
              </w:rPr>
              <w:t>Tax Jurisdiction</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1"/>
              </w:rPr>
              <w:t>Years Subject to Audit</w:t>
            </w:r>
          </w:p>
        </w:tc>
      </w:tr>
      <w:tr>
        <w:trPr>
          <w:trHeight w:val="33"/>
        </w:trPr>
        <w:tc>
          <w:tcPr>
            <w:tcW w:w="8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federal</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Subsequent to 2001</w:t>
            </w: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France</w:t>
            </w: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Subsequent to 2012</w:t>
            </w:r>
          </w:p>
        </w:tc>
      </w:tr>
      <w:tr>
        <w:trPr>
          <w:trHeight w:val="33"/>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Germany</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Subsequent to 2013</w:t>
            </w: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Brazil</w:t>
            </w: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Subsequent to 2012</w:t>
            </w:r>
          </w:p>
        </w:tc>
      </w:tr>
      <w:tr>
        <w:trPr>
          <w:trHeight w:val="33"/>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Kingdom</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Subsequent to 2013</w:t>
            </w: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Italy</w:t>
            </w: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Subsequent to 2013</w:t>
            </w:r>
          </w:p>
        </w:tc>
      </w:tr>
    </w:tbl>
    <w:p>
      <w:pPr>
        <w:spacing w:after="0" w:line="200" w:lineRule="exact"/>
        <w:rPr>
          <w:sz w:val="20"/>
          <w:szCs w:val="20"/>
          <w:color w:val="auto"/>
        </w:rPr>
      </w:pPr>
    </w:p>
    <w:p>
      <w:pPr>
        <w:spacing w:after="0" w:line="24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Commitments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rental expense for factories, service and distribution locations, offices, and equipment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Rental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24,453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14,824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14,232</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Future minimum lease payments at December 31, 2018, under noncancelable operating leases with initial or remaining terms in excess of one year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239"/>
              <w:spacing w:after="0"/>
              <w:rPr>
                <w:sz w:val="20"/>
                <w:szCs w:val="20"/>
                <w:color w:val="auto"/>
              </w:rPr>
            </w:pPr>
            <w:r>
              <w:rPr>
                <w:rFonts w:ascii="Arial" w:cs="Arial" w:eastAsia="Arial" w:hAnsi="Arial"/>
                <w:sz w:val="16"/>
                <w:szCs w:val="16"/>
                <w:b w:val="1"/>
                <w:bCs w:val="1"/>
                <w:color w:val="auto"/>
                <w:w w:val="98"/>
              </w:rPr>
              <w:t>Minimum Payments</w:t>
            </w:r>
          </w:p>
        </w:tc>
      </w:tr>
      <w:tr>
        <w:trPr>
          <w:trHeight w:val="33"/>
        </w:trPr>
        <w:tc>
          <w:tcPr>
            <w:tcW w:w="9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9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43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17,456</w:t>
            </w: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14,234</w:t>
            </w:r>
          </w:p>
        </w:tc>
      </w:tr>
      <w:tr>
        <w:trPr>
          <w:trHeight w:val="33"/>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12,007</w:t>
            </w: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9,764</w:t>
            </w:r>
          </w:p>
        </w:tc>
      </w:tr>
      <w:tr>
        <w:trPr>
          <w:trHeight w:val="33"/>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9,895</w:t>
            </w: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Beyond 2023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26,703</w:t>
            </w:r>
          </w:p>
        </w:tc>
      </w:tr>
      <w:tr>
        <w:trPr>
          <w:trHeight w:val="33"/>
        </w:trPr>
        <w:tc>
          <w:tcPr>
            <w:tcW w:w="9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Future minimum lease payments</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90,059</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Rent expense is recognized straight-line over the lease term, including renewal periods if reasonably assured. We lease most of our sales and distribution locations and administrative offices. Our leases typically contain renewal options similar to the original terms with lease payments that increase based on an index.</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At December 31,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2"/>
        </w:trPr>
        <w:tc>
          <w:tcPr>
            <w:tcW w:w="7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4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900" w:type="dxa"/>
            <w:vAlign w:val="bottom"/>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4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(125,414)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(40,983)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(31,881)</w:t>
            </w:r>
          </w:p>
        </w:tc>
        <w:tc>
          <w:tcPr>
            <w:tcW w:w="0" w:type="dxa"/>
            <w:vAlign w:val="bottom"/>
          </w:tcPr>
          <w:p>
            <w:pPr>
              <w:spacing w:after="0"/>
              <w:rPr>
                <w:sz w:val="1"/>
                <w:szCs w:val="1"/>
                <w:color w:val="auto"/>
              </w:rPr>
            </w:pPr>
          </w:p>
        </w:tc>
      </w:tr>
      <w:tr>
        <w:trPr>
          <w:trHeight w:val="217"/>
        </w:trPr>
        <w:tc>
          <w:tcPr>
            <w:tcW w:w="7900" w:type="dxa"/>
            <w:vAlign w:val="bottom"/>
          </w:tcPr>
          <w:p>
            <w:pPr>
              <w:ind w:left="380"/>
              <w:spacing w:after="0"/>
              <w:rPr>
                <w:sz w:val="20"/>
                <w:szCs w:val="20"/>
                <w:color w:val="auto"/>
              </w:rPr>
            </w:pPr>
            <w:r>
              <w:rPr>
                <w:rFonts w:ascii="Arial" w:cs="Arial" w:eastAsia="Arial" w:hAnsi="Arial"/>
                <w:sz w:val="16"/>
                <w:szCs w:val="16"/>
                <w:color w:val="auto"/>
              </w:rPr>
              <w:t>Net available for additional borrowings under the multi-currency revolving line of credit</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459,017</w:t>
            </w:r>
          </w:p>
        </w:tc>
        <w:tc>
          <w:tcPr>
            <w:tcW w:w="120" w:type="dxa"/>
            <w:vAlign w:val="bottom"/>
          </w:tcPr>
          <w:p>
            <w:pPr>
              <w:spacing w:after="0"/>
              <w:rPr>
                <w:sz w:val="18"/>
                <w:szCs w:val="18"/>
                <w:color w:val="auto"/>
              </w:rPr>
            </w:pP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342,705</w:t>
            </w:r>
          </w:p>
        </w:tc>
        <w:tc>
          <w:tcPr>
            <w:tcW w:w="0" w:type="dxa"/>
            <w:vAlign w:val="bottom"/>
          </w:tcPr>
          <w:p>
            <w:pPr>
              <w:spacing w:after="0"/>
              <w:rPr>
                <w:sz w:val="1"/>
                <w:szCs w:val="1"/>
                <w:color w:val="auto"/>
              </w:rPr>
            </w:pPr>
          </w:p>
        </w:tc>
      </w:tr>
      <w:tr>
        <w:trPr>
          <w:trHeight w:val="73"/>
        </w:trPr>
        <w:tc>
          <w:tcPr>
            <w:tcW w:w="79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9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380"/>
              <w:spacing w:after="0"/>
              <w:rPr>
                <w:sz w:val="20"/>
                <w:szCs w:val="20"/>
                <w:color w:val="auto"/>
              </w:rPr>
            </w:pPr>
            <w:r>
              <w:rPr>
                <w:rFonts w:ascii="Arial" w:cs="Arial" w:eastAsia="Arial" w:hAnsi="Arial"/>
                <w:sz w:val="16"/>
                <w:szCs w:val="16"/>
                <w:color w:val="auto"/>
              </w:rPr>
              <w:t>Net available for additional standby LOCs under sub-facility</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259,017</w:t>
            </w:r>
          </w:p>
        </w:tc>
        <w:tc>
          <w:tcPr>
            <w:tcW w:w="120" w:type="dxa"/>
            <w:vAlign w:val="bottom"/>
          </w:tcPr>
          <w:p>
            <w:pPr>
              <w:spacing w:after="0"/>
              <w:rPr>
                <w:sz w:val="19"/>
                <w:szCs w:val="19"/>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218,119</w:t>
            </w:r>
          </w:p>
        </w:tc>
        <w:tc>
          <w:tcPr>
            <w:tcW w:w="0" w:type="dxa"/>
            <w:vAlign w:val="bottom"/>
          </w:tcPr>
          <w:p>
            <w:pPr>
              <w:spacing w:after="0"/>
              <w:rPr>
                <w:sz w:val="1"/>
                <w:szCs w:val="1"/>
                <w:color w:val="auto"/>
              </w:rPr>
            </w:pPr>
          </w:p>
        </w:tc>
      </w:tr>
      <w:tr>
        <w:trPr>
          <w:trHeight w:val="73"/>
        </w:trPr>
        <w:tc>
          <w:tcPr>
            <w:tcW w:w="79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9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108,039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110,477</w:t>
            </w:r>
          </w:p>
        </w:tc>
        <w:tc>
          <w:tcPr>
            <w:tcW w:w="0" w:type="dxa"/>
            <w:vAlign w:val="bottom"/>
          </w:tcPr>
          <w:p>
            <w:pPr>
              <w:spacing w:after="0"/>
              <w:rPr>
                <w:sz w:val="1"/>
                <w:szCs w:val="1"/>
                <w:color w:val="auto"/>
              </w:rPr>
            </w:pPr>
          </w:p>
        </w:tc>
      </w:tr>
      <w:tr>
        <w:trPr>
          <w:trHeight w:val="224"/>
        </w:trPr>
        <w:tc>
          <w:tcPr>
            <w:tcW w:w="790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(19,386)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(21,030)</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790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Short-term borrowings</w:t>
            </w:r>
            <w:r>
              <w:rPr>
                <w:rFonts w:ascii="Arial" w:cs="Arial" w:eastAsia="Arial" w:hAnsi="Arial"/>
                <w:sz w:val="21"/>
                <w:szCs w:val="21"/>
                <w:color w:val="auto"/>
                <w:vertAlign w:val="superscript"/>
              </w:rPr>
              <w:t>(2)</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09"/>
        </w:trPr>
        <w:tc>
          <w:tcPr>
            <w:tcW w:w="79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900" w:type="dxa"/>
            <w:vAlign w:val="bottom"/>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132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10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86,421</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88,531</w:t>
            </w:r>
          </w:p>
        </w:tc>
        <w:tc>
          <w:tcPr>
            <w:tcW w:w="0" w:type="dxa"/>
            <w:vAlign w:val="bottom"/>
          </w:tcPr>
          <w:p>
            <w:pPr>
              <w:spacing w:after="0"/>
              <w:rPr>
                <w:sz w:val="1"/>
                <w:szCs w:val="1"/>
                <w:color w:val="auto"/>
              </w:rPr>
            </w:pPr>
          </w:p>
        </w:tc>
      </w:tr>
      <w:tr>
        <w:trPr>
          <w:trHeight w:val="73"/>
        </w:trPr>
        <w:tc>
          <w:tcPr>
            <w:tcW w:w="79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9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94,365</w:t>
            </w:r>
          </w:p>
        </w:tc>
        <w:tc>
          <w:tcPr>
            <w:tcW w:w="120" w:type="dxa"/>
            <w:vAlign w:val="bottom"/>
          </w:tcPr>
          <w:p>
            <w:pPr>
              <w:spacing w:after="0"/>
              <w:rPr>
                <w:sz w:val="19"/>
                <w:szCs w:val="19"/>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51,344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Refer to "Note 6: Debt" for details regarding our secured credit facilities, including the refinancing of the 2015 credit facility.</w:t>
      </w:r>
    </w:p>
    <w:p>
      <w:pPr>
        <w:ind w:left="340" w:hanging="332"/>
        <w:spacing w:after="0" w:line="182" w:lineRule="auto"/>
        <w:tabs>
          <w:tab w:leader="none" w:pos="34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Short-term borrowings are included in other current liabilities on the Consolidated Balance Sheets.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ectPr>
          <w:pgSz w:w="11900" w:h="16838" w:orient="portrait"/>
          <w:cols w:equalWidth="0" w:num="1">
            <w:col w:w="11420"/>
          </w:cols>
          <w:pgMar w:left="240" w:top="125" w:right="239" w:bottom="406"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5" w:right="239" w:bottom="406"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Matters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recognized and charged to operating expense when we determine that a loss is probable and the amount can be reasonably estimated. Additionally, we disclose contingencies for which a material loss is reasonably possible, but not probable.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20" w:type="dxa"/>
            <w:vAlign w:val="bottom"/>
            <w:gridSpan w:val="6"/>
          </w:tcPr>
          <w:p>
            <w:pPr>
              <w:jc w:val="center"/>
              <w:ind w:right="239"/>
              <w:spacing w:after="0"/>
              <w:rPr>
                <w:sz w:val="20"/>
                <w:szCs w:val="20"/>
                <w:color w:val="auto"/>
              </w:rPr>
            </w:pPr>
            <w:r>
              <w:rPr>
                <w:rFonts w:ascii="Arial" w:cs="Arial" w:eastAsia="Arial" w:hAnsi="Arial"/>
                <w:sz w:val="16"/>
                <w:szCs w:val="16"/>
                <w:b w:val="1"/>
                <w:bCs w:val="1"/>
                <w:color w:val="auto"/>
                <w:w w:val="91"/>
              </w:rPr>
              <w:t>Year Ended December 31,</w:t>
            </w:r>
          </w:p>
        </w:tc>
        <w:tc>
          <w:tcPr>
            <w:tcW w:w="122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52"/>
        </w:trPr>
        <w:tc>
          <w:tcPr>
            <w:tcW w:w="6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 thousands)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
        </w:trPr>
        <w:tc>
          <w:tcPr>
            <w:tcW w:w="6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34,862</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54,512</w:t>
            </w: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Assumed liabilities from acquisition</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12,946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New product warranties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7,987</w:t>
            </w: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Other adjustments and expirations, net</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22,741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5,933</w:t>
            </w:r>
          </w:p>
        </w:tc>
      </w:tr>
      <w:tr>
        <w:trPr>
          <w:trHeight w:val="33"/>
        </w:trPr>
        <w:tc>
          <w:tcPr>
            <w:tcW w:w="6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Claims activity</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(12,753)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(24,364)</w:t>
            </w: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(1,125)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(766)</w:t>
            </w:r>
          </w:p>
        </w:tc>
      </w:tr>
      <w:tr>
        <w:trPr>
          <w:trHeight w:val="33"/>
        </w:trPr>
        <w:tc>
          <w:tcPr>
            <w:tcW w:w="65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60,443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43,302</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Less: current portion of warranty</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47,205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21,150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24,874</w:t>
            </w:r>
          </w:p>
        </w:tc>
      </w:tr>
      <w:tr>
        <w:trPr>
          <w:trHeight w:val="33"/>
        </w:trPr>
        <w:tc>
          <w:tcPr>
            <w:tcW w:w="65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Long-term warranty</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13,238</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13,712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18,428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insurance and supplier recoveries, and other changes and adjustments to warranties. Warranty expense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warranty expense (benefit)</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26,513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13,920</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Warranty expense increased during the year ended December 31, 2018 compared with the same period in 2017. This increase is primarily driven by a warranty reserve of $11.4 million for replacement of certain gas meters in our Device Solutions segment in 2018, as well as an insurance recovery of $8.0 million received in 2017, which was associated with product replacement costs originally recognized in 2015.</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self-insured for a substantial portion of the cost of our U.S. employee group health insurance. We purchase insurance from a third-party,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Plan costs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39"/>
        </w:trPr>
        <w:tc>
          <w:tcPr>
            <w:tcW w:w="6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costs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41,543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30,521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27,276</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IBNR accrual, which is included in wages and benefits payable,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At December 31,</w:t>
            </w:r>
          </w:p>
        </w:tc>
        <w:tc>
          <w:tcPr>
            <w:tcW w:w="108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79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39"/>
        </w:trPr>
        <w:tc>
          <w:tcPr>
            <w:tcW w:w="7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080" w:type="dxa"/>
            <w:vAlign w:val="bottom"/>
          </w:tcPr>
          <w:p>
            <w:pPr>
              <w:spacing w:after="0"/>
              <w:rPr>
                <w:sz w:val="24"/>
                <w:szCs w:val="24"/>
                <w:color w:val="auto"/>
              </w:rPr>
            </w:pPr>
          </w:p>
        </w:tc>
      </w:tr>
      <w:tr>
        <w:trPr>
          <w:trHeight w:val="33"/>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IBNR accrual</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3,643</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2,664</w:t>
            </w:r>
          </w:p>
        </w:tc>
      </w:tr>
      <w:tr>
        <w:trPr>
          <w:trHeight w:val="33"/>
        </w:trPr>
        <w:tc>
          <w:tcPr>
            <w:tcW w:w="79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Projects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February 22, 2018, our Board of Directors approved a restructuring plan (2018 Projects) to continue our efforts to optimize our global supply chain and manufacturing operations, research and development, and sales and marketing organizations. We expect to substantially complete the plan by the end of 2020. Many of the affected employees are represented by unions or works councils, which require consultation, and potential restructuring projects may be subject to regulatory approval, both of which could impact the timing of charges, total expected charges, cost recognized, and planned savings in certain jurisdictions.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total expected restructuring costs, the restructuring costs and the remaining expected restructuring costs related to the 2018 Projects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Costs Recognized During</w:t>
            </w:r>
          </w:p>
        </w:tc>
        <w:tc>
          <w:tcPr>
            <w:tcW w:w="2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Expected Remaining Costs</w:t>
            </w:r>
          </w:p>
        </w:tc>
      </w:tr>
      <w:tr>
        <w:trPr>
          <w:trHeight w:val="203"/>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Total Expected Costs at</w:t>
            </w:r>
          </w:p>
        </w:tc>
        <w:tc>
          <w:tcPr>
            <w:tcW w:w="2060" w:type="dxa"/>
            <w:vAlign w:val="bottom"/>
            <w:gridSpan w:val="3"/>
          </w:tcPr>
          <w:p>
            <w:pPr>
              <w:ind w:left="80"/>
              <w:spacing w:after="0"/>
              <w:rPr>
                <w:sz w:val="20"/>
                <w:szCs w:val="20"/>
                <w:color w:val="auto"/>
              </w:rPr>
            </w:pPr>
            <w:r>
              <w:rPr>
                <w:rFonts w:ascii="Arial" w:cs="Arial" w:eastAsia="Arial" w:hAnsi="Arial"/>
                <w:sz w:val="16"/>
                <w:szCs w:val="16"/>
                <w:b w:val="1"/>
                <w:bCs w:val="1"/>
                <w:color w:val="auto"/>
                <w:w w:val="98"/>
              </w:rPr>
              <w:t>Costs Recognized in Prior</w:t>
            </w:r>
          </w:p>
        </w:tc>
        <w:tc>
          <w:tcPr>
            <w:tcW w:w="100" w:type="dxa"/>
            <w:vAlign w:val="bottom"/>
          </w:tcPr>
          <w:p>
            <w:pPr>
              <w:spacing w:after="0"/>
              <w:rPr>
                <w:sz w:val="17"/>
                <w:szCs w:val="17"/>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the Year Ended December</w:t>
            </w:r>
          </w:p>
        </w:tc>
        <w:tc>
          <w:tcPr>
            <w:tcW w:w="220" w:type="dxa"/>
            <w:vAlign w:val="bottom"/>
          </w:tcPr>
          <w:p>
            <w:pPr>
              <w:spacing w:after="0"/>
              <w:rPr>
                <w:sz w:val="17"/>
                <w:szCs w:val="17"/>
                <w:color w:val="auto"/>
              </w:rPr>
            </w:pPr>
          </w:p>
        </w:tc>
        <w:tc>
          <w:tcPr>
            <w:tcW w:w="182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to be Recognized at</w:t>
            </w:r>
          </w:p>
        </w:tc>
      </w:tr>
      <w:tr>
        <w:trPr>
          <w:trHeight w:val="210"/>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December 31, 2018</w:t>
            </w:r>
          </w:p>
        </w:tc>
        <w:tc>
          <w:tcPr>
            <w:tcW w:w="420" w:type="dxa"/>
            <w:vAlign w:val="bottom"/>
          </w:tcPr>
          <w:p>
            <w:pPr>
              <w:spacing w:after="0"/>
              <w:rPr>
                <w:sz w:val="18"/>
                <w:szCs w:val="18"/>
                <w:color w:val="auto"/>
              </w:rPr>
            </w:pPr>
          </w:p>
        </w:tc>
        <w:tc>
          <w:tcPr>
            <w:tcW w:w="1640" w:type="dxa"/>
            <w:vAlign w:val="bottom"/>
            <w:gridSpan w:val="2"/>
          </w:tcPr>
          <w:p>
            <w:pPr>
              <w:ind w:left="300"/>
              <w:spacing w:after="0"/>
              <w:rPr>
                <w:sz w:val="20"/>
                <w:szCs w:val="20"/>
                <w:color w:val="auto"/>
              </w:rPr>
            </w:pPr>
            <w:r>
              <w:rPr>
                <w:rFonts w:ascii="Arial" w:cs="Arial" w:eastAsia="Arial" w:hAnsi="Arial"/>
                <w:sz w:val="16"/>
                <w:szCs w:val="16"/>
                <w:b w:val="1"/>
                <w:bCs w:val="1"/>
                <w:color w:val="auto"/>
              </w:rPr>
              <w:t>Periods</w:t>
            </w:r>
          </w:p>
        </w:tc>
        <w:tc>
          <w:tcPr>
            <w:tcW w:w="100" w:type="dxa"/>
            <w:vAlign w:val="bottom"/>
          </w:tcPr>
          <w:p>
            <w:pPr>
              <w:spacing w:after="0"/>
              <w:rPr>
                <w:sz w:val="18"/>
                <w:szCs w:val="18"/>
                <w:color w:val="auto"/>
              </w:rPr>
            </w:pPr>
          </w:p>
        </w:tc>
        <w:tc>
          <w:tcPr>
            <w:tcW w:w="194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31, 2018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December 31, 2018</w:t>
            </w:r>
          </w:p>
        </w:tc>
      </w:tr>
      <w:tr>
        <w:trPr>
          <w:trHeight w:val="33"/>
        </w:trPr>
        <w:tc>
          <w:tcPr>
            <w:tcW w:w="2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352"/>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80" w:type="dxa"/>
            <w:vAlign w:val="bottom"/>
            <w:gridSpan w:val="5"/>
          </w:tcPr>
          <w:p>
            <w:pPr>
              <w:ind w:left="11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3"/>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73,778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73,778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rPr>
              <w:t>Asset impairments &amp; net gain on sale or</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06"/>
        </w:trPr>
        <w:tc>
          <w:tcPr>
            <w:tcW w:w="2980" w:type="dxa"/>
            <w:vAlign w:val="bottom"/>
          </w:tcPr>
          <w:p>
            <w:pPr>
              <w:ind w:left="40"/>
              <w:spacing w:after="0"/>
              <w:rPr>
                <w:sz w:val="20"/>
                <w:szCs w:val="20"/>
                <w:color w:val="auto"/>
              </w:rPr>
            </w:pPr>
            <w:r>
              <w:rPr>
                <w:rFonts w:ascii="Arial" w:cs="Arial" w:eastAsia="Arial" w:hAnsi="Arial"/>
                <w:sz w:val="16"/>
                <w:szCs w:val="16"/>
                <w:color w:val="auto"/>
              </w:rPr>
              <w:t>disposal</w:t>
            </w:r>
          </w:p>
        </w:tc>
        <w:tc>
          <w:tcPr>
            <w:tcW w:w="160" w:type="dxa"/>
            <w:vAlign w:val="bottom"/>
          </w:tcPr>
          <w:p>
            <w:pPr>
              <w:spacing w:after="0"/>
              <w:rPr>
                <w:sz w:val="17"/>
                <w:szCs w:val="17"/>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gridSpan w:val="2"/>
          </w:tcPr>
          <w:p>
            <w:pPr>
              <w:ind w:left="1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24,818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20,590</w:t>
            </w:r>
          </w:p>
        </w:tc>
      </w:tr>
      <w:tr>
        <w:trPr>
          <w:trHeight w:val="257"/>
        </w:trPr>
        <w:tc>
          <w:tcPr>
            <w:tcW w:w="2980" w:type="dxa"/>
            <w:vAlign w:val="bottom"/>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98,713</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gridSpan w:val="2"/>
          </w:tcPr>
          <w:p>
            <w:pPr>
              <w:ind w:left="12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78,123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20,590</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2016 Projects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September 1, 2016, we announced projects (2016 Projects) to restructure various company activities in order to improve operational efficiencies, reduce expenses and improve competitiveness. We expect to close or consolidate several facilities and reduce our global workforce as a result of the restructuring. The 2016 Projects were initiated during the third quarter of 2016 and were substantially complete as of December 31, 2018.</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2016 Projects are as follows: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Costs Recognized During</w:t>
            </w:r>
          </w:p>
        </w:tc>
        <w:tc>
          <w:tcPr>
            <w:tcW w:w="2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Expected Remaining Costs</w:t>
            </w:r>
          </w:p>
        </w:tc>
      </w:tr>
      <w:tr>
        <w:trPr>
          <w:trHeight w:val="203"/>
        </w:trPr>
        <w:tc>
          <w:tcPr>
            <w:tcW w:w="2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Total Expected Costs at</w:t>
            </w:r>
          </w:p>
        </w:tc>
        <w:tc>
          <w:tcPr>
            <w:tcW w:w="120" w:type="dxa"/>
            <w:vAlign w:val="bottom"/>
          </w:tcPr>
          <w:p>
            <w:pPr>
              <w:spacing w:after="0"/>
              <w:rPr>
                <w:sz w:val="17"/>
                <w:szCs w:val="17"/>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7"/>
                <w:szCs w:val="17"/>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the Year Ended</w:t>
            </w:r>
          </w:p>
        </w:tc>
        <w:tc>
          <w:tcPr>
            <w:tcW w:w="240" w:type="dxa"/>
            <w:vAlign w:val="bottom"/>
          </w:tcPr>
          <w:p>
            <w:pPr>
              <w:spacing w:after="0"/>
              <w:rPr>
                <w:sz w:val="17"/>
                <w:szCs w:val="17"/>
                <w:color w:val="auto"/>
              </w:rPr>
            </w:pPr>
          </w:p>
        </w:tc>
        <w:tc>
          <w:tcPr>
            <w:tcW w:w="180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to be Recognized at</w:t>
            </w:r>
          </w:p>
        </w:tc>
      </w:tr>
      <w:tr>
        <w:trPr>
          <w:trHeight w:val="210"/>
        </w:trPr>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December 31, 2018</w:t>
            </w:r>
          </w:p>
        </w:tc>
        <w:tc>
          <w:tcPr>
            <w:tcW w:w="1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Periods</w:t>
            </w:r>
          </w:p>
        </w:tc>
        <w:tc>
          <w:tcPr>
            <w:tcW w:w="1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 2018</w:t>
            </w:r>
          </w:p>
        </w:tc>
        <w:tc>
          <w:tcPr>
            <w:tcW w:w="240" w:type="dxa"/>
            <w:vAlign w:val="bottom"/>
          </w:tcPr>
          <w:p>
            <w:pPr>
              <w:spacing w:after="0"/>
              <w:rPr>
                <w:sz w:val="18"/>
                <w:szCs w:val="18"/>
                <w:color w:val="auto"/>
              </w:rPr>
            </w:pPr>
          </w:p>
        </w:tc>
        <w:tc>
          <w:tcPr>
            <w:tcW w:w="1800" w:type="dxa"/>
            <w:vAlign w:val="bottom"/>
          </w:tcPr>
          <w:p>
            <w:pPr>
              <w:jc w:val="center"/>
              <w:ind w:right="159"/>
              <w:spacing w:after="0"/>
              <w:rPr>
                <w:sz w:val="20"/>
                <w:szCs w:val="20"/>
                <w:color w:val="auto"/>
              </w:rPr>
            </w:pPr>
            <w:r>
              <w:rPr>
                <w:rFonts w:ascii="Arial" w:cs="Arial" w:eastAsia="Arial" w:hAnsi="Arial"/>
                <w:sz w:val="16"/>
                <w:szCs w:val="16"/>
                <w:b w:val="1"/>
                <w:bCs w:val="1"/>
                <w:color w:val="auto"/>
                <w:w w:val="91"/>
              </w:rPr>
              <w:t>December 31, 2018</w:t>
            </w:r>
          </w:p>
        </w:tc>
      </w:tr>
      <w:tr>
        <w:trPr>
          <w:trHeight w:val="33"/>
        </w:trPr>
        <w:tc>
          <w:tcPr>
            <w:tcW w:w="2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352"/>
        </w:trPr>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gridSpan w:val="5"/>
          </w:tcPr>
          <w:p>
            <w:pPr>
              <w:ind w:left="146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3"/>
        </w:trPr>
        <w:tc>
          <w:tcPr>
            <w:tcW w:w="2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35,845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2840" w:type="dxa"/>
            <w:vAlign w:val="bottom"/>
          </w:tcPr>
          <w:p>
            <w:pPr>
              <w:ind w:left="20"/>
              <w:spacing w:after="0"/>
              <w:rPr>
                <w:sz w:val="20"/>
                <w:szCs w:val="20"/>
                <w:color w:val="auto"/>
              </w:rPr>
            </w:pPr>
            <w:r>
              <w:rPr>
                <w:rFonts w:ascii="Arial" w:cs="Arial" w:eastAsia="Arial" w:hAnsi="Arial"/>
                <w:sz w:val="16"/>
                <w:szCs w:val="16"/>
                <w:color w:val="auto"/>
                <w:w w:val="99"/>
              </w:rPr>
              <w:t>Asset impairments &amp; net loss on sale or</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06"/>
        </w:trPr>
        <w:tc>
          <w:tcPr>
            <w:tcW w:w="2840" w:type="dxa"/>
            <w:vAlign w:val="bottom"/>
          </w:tcPr>
          <w:p>
            <w:pPr>
              <w:ind w:left="180"/>
              <w:spacing w:after="0"/>
              <w:rPr>
                <w:sz w:val="20"/>
                <w:szCs w:val="20"/>
                <w:color w:val="auto"/>
              </w:rPr>
            </w:pPr>
            <w:r>
              <w:rPr>
                <w:rFonts w:ascii="Arial" w:cs="Arial" w:eastAsia="Arial" w:hAnsi="Arial"/>
                <w:sz w:val="16"/>
                <w:szCs w:val="16"/>
                <w:color w:val="auto"/>
              </w:rPr>
              <w:t>disposal</w:t>
            </w:r>
          </w:p>
        </w:tc>
        <w:tc>
          <w:tcPr>
            <w:tcW w:w="160" w:type="dxa"/>
            <w:vAlign w:val="bottom"/>
          </w:tcPr>
          <w:p>
            <w:pPr>
              <w:spacing w:after="0"/>
              <w:rPr>
                <w:sz w:val="17"/>
                <w:szCs w:val="17"/>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5,664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4,922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2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w:t>
            </w:r>
          </w:p>
        </w:tc>
      </w:tr>
      <w:tr>
        <w:trPr>
          <w:trHeight w:val="244"/>
        </w:trPr>
        <w:tc>
          <w:tcPr>
            <w:tcW w:w="2840" w:type="dxa"/>
            <w:vAlign w:val="bottom"/>
          </w:tcPr>
          <w:p>
            <w:pPr>
              <w:ind w:left="5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54,422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54,212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1,150</w:t>
            </w:r>
          </w:p>
        </w:tc>
      </w:tr>
      <w:tr>
        <w:trPr>
          <w:trHeight w:val="20"/>
        </w:trPr>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within the restructuring related balance sheet accounts for the 2018 and 2016 Projects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Accrued Employee</w:t>
            </w:r>
          </w:p>
        </w:tc>
        <w:tc>
          <w:tcPr>
            <w:tcW w:w="120" w:type="dxa"/>
            <w:vAlign w:val="bottom"/>
          </w:tcPr>
          <w:p>
            <w:pPr>
              <w:spacing w:after="0"/>
              <w:rPr>
                <w:sz w:val="17"/>
                <w:szCs w:val="17"/>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Asset Impairments &amp; Net</w:t>
            </w: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Severance</w:t>
            </w:r>
          </w:p>
        </w:tc>
        <w:tc>
          <w:tcPr>
            <w:tcW w:w="12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Gain on Sale or Disposal</w:t>
            </w: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 Accrued Costs</w:t>
            </w:r>
          </w:p>
        </w:tc>
        <w:tc>
          <w:tcPr>
            <w:tcW w:w="480" w:type="dxa"/>
            <w:vAlign w:val="bottom"/>
          </w:tcPr>
          <w:p>
            <w:pPr>
              <w:spacing w:after="0"/>
              <w:rPr>
                <w:sz w:val="18"/>
                <w:szCs w:val="18"/>
                <w:color w:val="auto"/>
              </w:rPr>
            </w:pPr>
          </w:p>
        </w:tc>
        <w:tc>
          <w:tcPr>
            <w:tcW w:w="1560" w:type="dxa"/>
            <w:vAlign w:val="bottom"/>
          </w:tcPr>
          <w:p>
            <w:pPr>
              <w:jc w:val="right"/>
              <w:ind w:right="759"/>
              <w:spacing w:after="0"/>
              <w:rPr>
                <w:sz w:val="20"/>
                <w:szCs w:val="20"/>
                <w:color w:val="auto"/>
              </w:rPr>
            </w:pPr>
            <w:r>
              <w:rPr>
                <w:rFonts w:ascii="Arial" w:cs="Arial" w:eastAsia="Arial" w:hAnsi="Arial"/>
                <w:sz w:val="16"/>
                <w:szCs w:val="16"/>
                <w:b w:val="1"/>
                <w:bCs w:val="1"/>
                <w:color w:val="auto"/>
              </w:rPr>
              <w:t>Total</w:t>
            </w:r>
          </w:p>
        </w:tc>
      </w:tr>
      <w:tr>
        <w:trPr>
          <w:trHeight w:val="33"/>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52"/>
        </w:trPr>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80" w:type="dxa"/>
            <w:vAlign w:val="bottom"/>
            <w:gridSpan w:val="5"/>
          </w:tcPr>
          <w:p>
            <w:pPr>
              <w:ind w:left="1480"/>
              <w:spacing w:after="0"/>
              <w:rPr>
                <w:sz w:val="20"/>
                <w:szCs w:val="20"/>
                <w:color w:val="auto"/>
              </w:rPr>
            </w:pPr>
            <w:r>
              <w:rPr>
                <w:rFonts w:ascii="Arial" w:cs="Arial" w:eastAsia="Arial" w:hAnsi="Arial"/>
                <w:sz w:val="16"/>
                <w:szCs w:val="16"/>
                <w:b w:val="1"/>
                <w:bCs w:val="1"/>
                <w:color w:val="auto"/>
              </w:rPr>
              <w:t>(in thousands)</w:t>
            </w: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 2018</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40,125</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Costs charged to expense</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69,768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6,556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77,183</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(payments) receipts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(34,462)</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Net assets disposed and impaired</w:t>
            </w:r>
          </w:p>
        </w:tc>
        <w:tc>
          <w:tcPr>
            <w:tcW w:w="220" w:type="dxa"/>
            <w:vAlign w:val="bottom"/>
          </w:tcPr>
          <w:p>
            <w:pPr>
              <w:spacing w:after="0"/>
              <w:rPr>
                <w:sz w:val="20"/>
                <w:szCs w:val="20"/>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(901)</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Effect of change in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(6,377)</w:t>
            </w:r>
          </w:p>
        </w:tc>
      </w:tr>
      <w:tr>
        <w:trPr>
          <w:trHeight w:val="244"/>
        </w:trPr>
        <w:tc>
          <w:tcPr>
            <w:tcW w:w="3100" w:type="dxa"/>
            <w:vAlign w:val="bottom"/>
          </w:tcPr>
          <w:p>
            <w:pPr>
              <w:ind w:left="40"/>
              <w:spacing w:after="0"/>
              <w:rPr>
                <w:sz w:val="20"/>
                <w:szCs w:val="20"/>
                <w:color w:val="auto"/>
              </w:rPr>
            </w:pPr>
            <w:r>
              <w:rPr>
                <w:rFonts w:ascii="Arial" w:cs="Arial" w:eastAsia="Arial" w:hAnsi="Arial"/>
                <w:sz w:val="16"/>
                <w:szCs w:val="16"/>
                <w:color w:val="auto"/>
              </w:rPr>
              <w:t>Ending balance, December 31, 2018</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72,152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3,416</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75,568</w:t>
            </w: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restructuring costs include expenses for employee relocation, professional fees associated with employee severance, and costs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current portion of restructuring liabilities were $36.0 million and $32.5 million as of December 31, 2018 and 2017, respectively. The current portion of restructuring liabilities are classified within other current liabilities on the Consolidated Balance Sheets. The long-term portion of restructuring liabilities balances were $39.6 million and $7.6 million as of December 31, 2018 and 2017, respectively. The long-term portion of restructuring liabilities are classified within other long-term obligations on the Consolidated Balance Sheets, and include severance accruals and facility exit costs.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Following our operational reorganization, effective October 1, 2018, we no longer allocate restructuring costs to our operating segments. All such costs are recognized within the Corporate unallocated reporting segment.</w:t>
      </w:r>
    </w:p>
    <w:p>
      <w:pPr>
        <w:spacing w:after="0" w:line="1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our Board of Directors prior to any payment to holders of common stock. There was no preferred stock issued or outstanding at December 31, 2018, 2017, and 2016.</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AOCI, net of tax,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Foreign Currency</w:t>
            </w:r>
          </w:p>
        </w:tc>
        <w:tc>
          <w:tcPr>
            <w:tcW w:w="140" w:type="dxa"/>
            <w:vAlign w:val="bottom"/>
          </w:tcPr>
          <w:p>
            <w:pPr>
              <w:spacing w:after="0"/>
              <w:rPr>
                <w:sz w:val="17"/>
                <w:szCs w:val="17"/>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Net Unrealized Gain</w:t>
            </w:r>
          </w:p>
        </w:tc>
        <w:tc>
          <w:tcPr>
            <w:tcW w:w="12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Net Unrealized Gain</w:t>
            </w:r>
          </w:p>
        </w:tc>
        <w:tc>
          <w:tcPr>
            <w:tcW w:w="200" w:type="dxa"/>
            <w:vAlign w:val="bottom"/>
          </w:tcPr>
          <w:p>
            <w:pPr>
              <w:spacing w:after="0"/>
              <w:rPr>
                <w:sz w:val="17"/>
                <w:szCs w:val="17"/>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Pension Benefit</w:t>
            </w:r>
          </w:p>
        </w:tc>
        <w:tc>
          <w:tcPr>
            <w:tcW w:w="120" w:type="dxa"/>
            <w:vAlign w:val="bottom"/>
          </w:tcPr>
          <w:p>
            <w:pPr>
              <w:spacing w:after="0"/>
              <w:rPr>
                <w:sz w:val="17"/>
                <w:szCs w:val="17"/>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Accumulated Other</w:t>
            </w:r>
          </w:p>
        </w:tc>
      </w:tr>
      <w:tr>
        <w:trPr>
          <w:trHeight w:val="203"/>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(Loss) on Derivative</w:t>
            </w:r>
          </w:p>
        </w:tc>
        <w:tc>
          <w:tcPr>
            <w:tcW w:w="182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(Loss) on Nonderivative</w:t>
            </w:r>
          </w:p>
        </w:tc>
        <w:tc>
          <w:tcPr>
            <w:tcW w:w="200" w:type="dxa"/>
            <w:vAlign w:val="bottom"/>
          </w:tcPr>
          <w:p>
            <w:pPr>
              <w:spacing w:after="0"/>
              <w:rPr>
                <w:sz w:val="17"/>
                <w:szCs w:val="17"/>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Obligation</w:t>
            </w:r>
          </w:p>
        </w:tc>
        <w:tc>
          <w:tcPr>
            <w:tcW w:w="168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Comprehensive Income</w:t>
            </w:r>
          </w:p>
        </w:tc>
      </w:tr>
      <w:tr>
        <w:trPr>
          <w:trHeight w:val="210"/>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Instruments</w:t>
            </w:r>
          </w:p>
        </w:tc>
        <w:tc>
          <w:tcPr>
            <w:tcW w:w="2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Pr>
          <w:p>
            <w:pPr>
              <w:spacing w:after="0"/>
              <w:rPr>
                <w:sz w:val="18"/>
                <w:szCs w:val="18"/>
                <w:color w:val="auto"/>
              </w:rPr>
            </w:pPr>
          </w:p>
        </w:tc>
        <w:tc>
          <w:tcPr>
            <w:tcW w:w="1560" w:type="dxa"/>
            <w:vAlign w:val="bottom"/>
          </w:tcPr>
          <w:p>
            <w:pPr>
              <w:jc w:val="right"/>
              <w:ind w:right="559"/>
              <w:spacing w:after="0"/>
              <w:rPr>
                <w:sz w:val="20"/>
                <w:szCs w:val="20"/>
                <w:color w:val="auto"/>
              </w:rPr>
            </w:pPr>
            <w:r>
              <w:rPr>
                <w:rFonts w:ascii="Arial" w:cs="Arial" w:eastAsia="Arial" w:hAnsi="Arial"/>
                <w:sz w:val="16"/>
                <w:szCs w:val="16"/>
                <w:b w:val="1"/>
                <w:bCs w:val="1"/>
                <w:color w:val="auto"/>
              </w:rPr>
              <w:t>(Loss)</w:t>
            </w:r>
          </w:p>
        </w:tc>
      </w:tr>
      <w:tr>
        <w:trPr>
          <w:trHeight w:val="33"/>
        </w:trPr>
        <w:tc>
          <w:tcPr>
            <w:tcW w:w="2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52"/>
        </w:trPr>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ind w:left="20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(200,607)</w:t>
            </w:r>
          </w:p>
        </w:tc>
      </w:tr>
      <w:tr>
        <w:trPr>
          <w:trHeight w:val="237"/>
        </w:trPr>
        <w:tc>
          <w:tcPr>
            <w:tcW w:w="242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(23,570)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(6,191)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(30,848)</w:t>
            </w:r>
          </w:p>
        </w:tc>
      </w:tr>
      <w:tr>
        <w:trPr>
          <w:trHeight w:val="33"/>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6"/>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2,128</w:t>
            </w:r>
          </w:p>
        </w:tc>
      </w:tr>
      <w:tr>
        <w:trPr>
          <w:trHeight w:val="200"/>
        </w:trPr>
        <w:tc>
          <w:tcPr>
            <w:tcW w:w="2420" w:type="dxa"/>
            <w:vAlign w:val="bottom"/>
          </w:tcPr>
          <w:p>
            <w:pPr>
              <w:ind w:left="40"/>
              <w:spacing w:after="0"/>
              <w:rPr>
                <w:sz w:val="20"/>
                <w:szCs w:val="20"/>
                <w:color w:val="auto"/>
              </w:rPr>
            </w:pPr>
            <w:r>
              <w:rPr>
                <w:rFonts w:ascii="Arial" w:cs="Arial" w:eastAsia="Arial" w:hAnsi="Arial"/>
                <w:sz w:val="16"/>
                <w:szCs w:val="16"/>
                <w:color w:val="auto"/>
                <w:w w:val="96"/>
              </w:rPr>
              <w:t>Total other comprehensive income</w:t>
            </w: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06"/>
        </w:trPr>
        <w:tc>
          <w:tcPr>
            <w:tcW w:w="2420" w:type="dxa"/>
            <w:vAlign w:val="bottom"/>
          </w:tcPr>
          <w:p>
            <w:pPr>
              <w:ind w:left="120"/>
              <w:spacing w:after="0"/>
              <w:rPr>
                <w:sz w:val="20"/>
                <w:szCs w:val="20"/>
                <w:color w:val="auto"/>
              </w:rPr>
            </w:pPr>
            <w:r>
              <w:rPr>
                <w:rFonts w:ascii="Arial" w:cs="Arial" w:eastAsia="Arial" w:hAnsi="Arial"/>
                <w:sz w:val="16"/>
                <w:szCs w:val="16"/>
                <w:color w:val="auto"/>
              </w:rPr>
              <w:t>(loss)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(24,977)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(28,720)</w:t>
            </w:r>
          </w:p>
        </w:tc>
      </w:tr>
      <w:tr>
        <w:trPr>
          <w:trHeight w:val="33"/>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(182,986)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(229,327)</w:t>
            </w:r>
          </w:p>
        </w:tc>
      </w:tr>
      <w:tr>
        <w:trPr>
          <w:trHeight w:val="217"/>
        </w:trPr>
        <w:tc>
          <w:tcPr>
            <w:tcW w:w="242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53,854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2,354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56,568</w:t>
            </w:r>
          </w:p>
        </w:tc>
      </w:tr>
      <w:tr>
        <w:trPr>
          <w:trHeight w:val="33"/>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6"/>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2,281</w:t>
            </w:r>
          </w:p>
        </w:tc>
      </w:tr>
      <w:tr>
        <w:trPr>
          <w:trHeight w:val="200"/>
        </w:trPr>
        <w:tc>
          <w:tcPr>
            <w:tcW w:w="2420" w:type="dxa"/>
            <w:vAlign w:val="bottom"/>
          </w:tcPr>
          <w:p>
            <w:pPr>
              <w:ind w:left="40"/>
              <w:spacing w:after="0"/>
              <w:rPr>
                <w:sz w:val="20"/>
                <w:szCs w:val="20"/>
                <w:color w:val="auto"/>
              </w:rPr>
            </w:pPr>
            <w:r>
              <w:rPr>
                <w:rFonts w:ascii="Arial" w:cs="Arial" w:eastAsia="Arial" w:hAnsi="Arial"/>
                <w:sz w:val="16"/>
                <w:szCs w:val="16"/>
                <w:color w:val="auto"/>
                <w:w w:val="96"/>
              </w:rPr>
              <w:t>Total other comprehensive income</w:t>
            </w: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06"/>
        </w:trPr>
        <w:tc>
          <w:tcPr>
            <w:tcW w:w="2420" w:type="dxa"/>
            <w:vAlign w:val="bottom"/>
          </w:tcPr>
          <w:p>
            <w:pPr>
              <w:ind w:left="120"/>
              <w:spacing w:after="0"/>
              <w:rPr>
                <w:sz w:val="20"/>
                <w:szCs w:val="20"/>
                <w:color w:val="auto"/>
              </w:rPr>
            </w:pPr>
            <w:r>
              <w:rPr>
                <w:rFonts w:ascii="Arial" w:cs="Arial" w:eastAsia="Arial" w:hAnsi="Arial"/>
                <w:sz w:val="16"/>
                <w:szCs w:val="16"/>
                <w:color w:val="auto"/>
              </w:rPr>
              <w:t>(loss)</w:t>
            </w:r>
          </w:p>
        </w:tc>
        <w:tc>
          <w:tcPr>
            <w:tcW w:w="16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54,338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923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3,588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58,849</w:t>
            </w:r>
          </w:p>
        </w:tc>
      </w:tr>
      <w:tr>
        <w:trPr>
          <w:trHeight w:val="33"/>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(128,648)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(170,478)</w:t>
            </w:r>
          </w:p>
        </w:tc>
      </w:tr>
      <w:tr>
        <w:trPr>
          <w:trHeight w:val="217"/>
        </w:trPr>
        <w:tc>
          <w:tcPr>
            <w:tcW w:w="242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(28,841)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(24,602)</w:t>
            </w:r>
          </w:p>
        </w:tc>
      </w:tr>
      <w:tr>
        <w:trPr>
          <w:trHeight w:val="33"/>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6"/>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(1,225)</w:t>
            </w:r>
          </w:p>
        </w:tc>
      </w:tr>
      <w:tr>
        <w:trPr>
          <w:trHeight w:val="200"/>
        </w:trPr>
        <w:tc>
          <w:tcPr>
            <w:tcW w:w="2420" w:type="dxa"/>
            <w:vAlign w:val="bottom"/>
          </w:tcPr>
          <w:p>
            <w:pPr>
              <w:ind w:left="40"/>
              <w:spacing w:after="0"/>
              <w:rPr>
                <w:sz w:val="20"/>
                <w:szCs w:val="20"/>
                <w:color w:val="auto"/>
              </w:rPr>
            </w:pPr>
            <w:r>
              <w:rPr>
                <w:rFonts w:ascii="Arial" w:cs="Arial" w:eastAsia="Arial" w:hAnsi="Arial"/>
                <w:sz w:val="16"/>
                <w:szCs w:val="16"/>
                <w:color w:val="auto"/>
                <w:w w:val="96"/>
              </w:rPr>
              <w:t>Total other comprehensive income</w:t>
            </w: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06"/>
        </w:trPr>
        <w:tc>
          <w:tcPr>
            <w:tcW w:w="2420" w:type="dxa"/>
            <w:vAlign w:val="bottom"/>
          </w:tcPr>
          <w:p>
            <w:pPr>
              <w:ind w:left="120"/>
              <w:spacing w:after="0"/>
              <w:rPr>
                <w:sz w:val="20"/>
                <w:szCs w:val="20"/>
                <w:color w:val="auto"/>
              </w:rPr>
            </w:pPr>
            <w:r>
              <w:rPr>
                <w:rFonts w:ascii="Arial" w:cs="Arial" w:eastAsia="Arial" w:hAnsi="Arial"/>
                <w:sz w:val="16"/>
                <w:szCs w:val="16"/>
                <w:color w:val="auto"/>
              </w:rPr>
              <w:t>(loss)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(28,841)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2,779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(25,827)</w:t>
            </w:r>
          </w:p>
        </w:tc>
      </w:tr>
      <w:tr>
        <w:trPr>
          <w:trHeight w:val="33"/>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December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(157,489)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(196,305)</w:t>
            </w:r>
          </w:p>
        </w:tc>
      </w:tr>
      <w:tr>
        <w:trPr>
          <w:trHeight w:val="20"/>
        </w:trPr>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before-tax, income tax (provision) benefit, and net-of-tax amounts related to each component of OCI during the reporting periods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(29,130)</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(23,280)</w:t>
            </w: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 reclassified into net income on disposal</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(1,407)</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8"/>
              </w:rPr>
              <w:t>Net unrealized gain (loss) on derivative instruments designated as cash flow hedges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(1,768)</w:t>
            </w: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Net hedging (gain) loss reclassified to net income</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1,322</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gain (loss) on defined benefit plans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(6,256)</w:t>
            </w: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Net defined benefit plan loss reclassified to net income</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1,596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1,782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2,752</w:t>
            </w: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(24,790)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(28,637)</w:t>
            </w:r>
          </w:p>
        </w:tc>
      </w:tr>
      <w:tr>
        <w:trPr>
          <w:trHeight w:val="264"/>
        </w:trPr>
        <w:tc>
          <w:tcPr>
            <w:tcW w:w="606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8"/>
              </w:rPr>
              <w:t>Net unrealized gain (loss) on derivative instruments designated as cash flow hedges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w:t>
            </w: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gain (loss) on defined benefit plans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Net defined benefit plan loss reclassified to net income</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comprehensive income (loss) tax (provision) benefit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64"/>
        </w:trPr>
        <w:tc>
          <w:tcPr>
            <w:tcW w:w="606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Net-of-tax amount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(28,841)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53,854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(23,570)</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 reclassified into net income on disposal</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(1,407)</w:t>
            </w: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w w:val="98"/>
              </w:rPr>
              <w:t>Net unrealized gain (loss) on derivative instruments designated as cash flow hedges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(1,087)</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hedging (gain) loss reclassified into net income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w:t>
            </w: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Net unrealized gain (loss) on defined benefit plans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1,653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2,354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(6,191)</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defined benefit plan loss reclassified to net income</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2,723</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(25,827)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58,849</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(28,720)</w:t>
            </w: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Fair Values of Financial Instruments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values at December 31, 2018 and 2017 do not reflect subsequent changes in the economy, interest rates, tax rates, and other variables that may affect the determination of fair value.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5"/>
          </w:tcPr>
          <w:p>
            <w:pPr>
              <w:ind w:left="880"/>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Pr>
          <w:p>
            <w:pPr>
              <w:spacing w:after="0"/>
              <w:rPr>
                <w:sz w:val="18"/>
                <w:szCs w:val="18"/>
                <w:color w:val="auto"/>
              </w:rPr>
            </w:pPr>
          </w:p>
        </w:tc>
        <w:tc>
          <w:tcPr>
            <w:tcW w:w="310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4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Arial" w:cs="Arial" w:eastAsia="Arial" w:hAnsi="Arial"/>
                <w:sz w:val="16"/>
                <w:szCs w:val="16"/>
                <w:b w:val="1"/>
                <w:bCs w:val="1"/>
                <w:color w:val="auto"/>
              </w:rPr>
              <w:t>Carrying Amount</w:t>
            </w: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Carrying Amount</w:t>
            </w:r>
          </w:p>
        </w:tc>
        <w:tc>
          <w:tcPr>
            <w:tcW w:w="260" w:type="dxa"/>
            <w:vAlign w:val="bottom"/>
          </w:tcPr>
          <w:p>
            <w:pPr>
              <w:spacing w:after="0"/>
              <w:rPr>
                <w:sz w:val="20"/>
                <w:szCs w:val="20"/>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4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gridSpan w:val="5"/>
          </w:tcPr>
          <w:p>
            <w:pPr>
              <w:ind w:left="88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4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120,221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120,221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176,274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176,274</w:t>
            </w:r>
          </w:p>
        </w:tc>
      </w:tr>
      <w:tr>
        <w:trPr>
          <w:trHeight w:val="237"/>
        </w:trPr>
        <w:tc>
          <w:tcPr>
            <w:tcW w:w="466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2,107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311,061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311,061</w:t>
            </w: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exchange forwards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37"/>
        </w:trPr>
        <w:tc>
          <w:tcPr>
            <w:tcW w:w="4660" w:type="dxa"/>
            <w:vAlign w:val="bottom"/>
          </w:tcPr>
          <w:p>
            <w:pPr>
              <w:ind w:left="36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2,612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2,612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2,370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2,370</w:t>
            </w: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rate caps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r>
      <w:tr>
        <w:trPr>
          <w:trHeight w:val="237"/>
        </w:trPr>
        <w:tc>
          <w:tcPr>
            <w:tcW w:w="4660" w:type="dxa"/>
            <w:vAlign w:val="bottom"/>
          </w:tcPr>
          <w:p>
            <w:pPr>
              <w:ind w:left="360"/>
              <w:spacing w:after="0"/>
              <w:rPr>
                <w:sz w:val="20"/>
                <w:szCs w:val="20"/>
                <w:color w:val="auto"/>
              </w:rPr>
            </w:pPr>
            <w:r>
              <w:rPr>
                <w:rFonts w:ascii="Arial" w:cs="Arial" w:eastAsia="Arial" w:hAnsi="Arial"/>
                <w:sz w:val="16"/>
                <w:szCs w:val="16"/>
                <w:color w:val="auto"/>
              </w:rPr>
              <w:t>Cross currency swaps</w:t>
            </w:r>
          </w:p>
        </w:tc>
        <w:tc>
          <w:tcPr>
            <w:tcW w:w="1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2,970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2,970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4"/>
        </w:trPr>
        <w:tc>
          <w:tcPr>
            <w:tcW w:w="4660" w:type="dxa"/>
            <w:vAlign w:val="bottom"/>
          </w:tcPr>
          <w:p>
            <w:pPr>
              <w:ind w:left="380"/>
              <w:spacing w:after="0"/>
              <w:rPr>
                <w:sz w:val="20"/>
                <w:szCs w:val="20"/>
                <w:color w:val="auto"/>
              </w:rPr>
            </w:pPr>
            <w:r>
              <w:rPr>
                <w:rFonts w:ascii="Arial" w:cs="Arial" w:eastAsia="Arial" w:hAnsi="Arial"/>
                <w:sz w:val="16"/>
                <w:szCs w:val="16"/>
                <w:color w:val="auto"/>
              </w:rPr>
              <w:t>Credit facility</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6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USD denominated term loan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637,813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630,971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192,295</w:t>
            </w:r>
          </w:p>
        </w:tc>
      </w:tr>
      <w:tr>
        <w:trPr>
          <w:trHeight w:val="224"/>
        </w:trPr>
        <w:tc>
          <w:tcPr>
            <w:tcW w:w="4660" w:type="dxa"/>
            <w:vAlign w:val="bottom"/>
          </w:tcPr>
          <w:p>
            <w:pPr>
              <w:ind w:left="620"/>
              <w:spacing w:after="0"/>
              <w:rPr>
                <w:sz w:val="20"/>
                <w:szCs w:val="20"/>
                <w:color w:val="auto"/>
              </w:rPr>
            </w:pPr>
            <w:r>
              <w:rPr>
                <w:rFonts w:ascii="Arial" w:cs="Arial" w:eastAsia="Arial" w:hAnsi="Arial"/>
                <w:sz w:val="16"/>
                <w:szCs w:val="16"/>
                <w:color w:val="auto"/>
              </w:rPr>
              <w:t>Multicurrency revolving line of credit</w:t>
            </w:r>
          </w:p>
        </w:tc>
        <w:tc>
          <w:tcPr>
            <w:tcW w:w="14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125,414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124,100</w:t>
            </w:r>
          </w:p>
        </w:tc>
      </w:tr>
      <w:tr>
        <w:trPr>
          <w:trHeight w:val="47"/>
        </w:trPr>
        <w:tc>
          <w:tcPr>
            <w:tcW w:w="4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Senior notes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301,125</w:t>
            </w:r>
          </w:p>
        </w:tc>
      </w:tr>
      <w:tr>
        <w:trPr>
          <w:trHeight w:val="224"/>
        </w:trPr>
        <w:tc>
          <w:tcPr>
            <w:tcW w:w="466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14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289</w:t>
            </w: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cash equivalents, and restricted cash: </w:t>
      </w:r>
      <w:r>
        <w:rPr>
          <w:rFonts w:ascii="Arial" w:cs="Arial" w:eastAsia="Arial" w:hAnsi="Arial"/>
          <w:sz w:val="18"/>
          <w:szCs w:val="18"/>
          <w:color w:val="auto"/>
        </w:rPr>
        <w:t>Due to the liquid nature of these instruments, the carrying value approximates fair value (Level 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Credit Facility - term loan and multicurrency revolving line of credit: </w:t>
      </w:r>
      <w:r>
        <w:rPr>
          <w:rFonts w:ascii="Arial" w:cs="Arial" w:eastAsia="Arial" w:hAnsi="Arial"/>
          <w:sz w:val="17"/>
          <w:szCs w:val="17"/>
          <w:color w:val="auto"/>
        </w:rPr>
        <w:t>The term loan and revolver are not traded publicly. The fair values,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based upon a hypothetical market participant, are calculated using a discounted cash flow model with Level 2 inputs, including estimates of incremental borrowing rates for debt with similar terms, maturities, and credit profiles. Refer to "Note 6: Debt" for a further discussion of our debt.</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Derivative Financial Instruments" for a description of our methods and assumptions in determining the fair value of our derivatives,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were determined using Level 2 inputs.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The Notes are not registered securities nor listed on any securities exchange, but may be actively traded by qualified institutional buyers.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is estimated using Level 1 inputs, as it is based on quoted prices for these instruments in active markets.</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September 30, 2018, we operated under the Itron brand worldwide and managed and reported under four operating segments: Electricity, Gas, Water, and Networks. Our Water operating segment included our global water, and heat and allocation solutions. Networks became a new operating segment with the acquisition of SSNI in January 2018. Our sales and marketing function was managed under each operating segment. Our research and development, service delivery, and manufacturing operations were managed on a worldwide basis to promote a global perspective in our operations and processes and yet still maintained alignment with the operating segments.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October 1, 2018, we reorganized our operational reporting segmentation from Electricity, Gas, Water, and Networks to Device Solutions, Networked Solutions, and Outcomes. Prior period segment results have been recast to conform to the new segment structure. As part of our reorganization, we actively integrated our recent acquisitions and are making investment decisions and implementing an organizational structure that aligns with these new segments. In conjunction with the rollout of our new operating segments, we unified our go-to-market strategy with a single, global, sales force that sells the full portfolio of Itron solutions, products and services. We continue to manage our product development, service delivery, supply chain, and manufacturing operations on a worldwide basis to promote global, integrated oversight of our operations and to ensure consistency and interoperability between our operating segments.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this reorganization, we will continue to operate under the Itron brand worldwide and will manage and report under the three operating segments: Device Solutions, Networked Solutions, and Outcomes.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income tax provision are neither allocated to the segments, nor are they included in the measure of segment profit or loss. In addition, we allocate only certain production assets and intangible assets to our operating segments. We do not manage the performance of the segments on a balance sheet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175" w:lineRule="exact"/>
        <w:rPr>
          <w:sz w:val="20"/>
          <w:szCs w:val="20"/>
          <w:color w:val="auto"/>
        </w:rPr>
      </w:pPr>
    </w:p>
    <w:p>
      <w:pPr>
        <w:ind w:left="40"/>
        <w:spacing w:after="0"/>
        <w:tabs>
          <w:tab w:leader="none" w:pos="1140" w:val="left"/>
        </w:tabs>
        <w:rPr>
          <w:sz w:val="20"/>
          <w:szCs w:val="20"/>
          <w:color w:val="auto"/>
        </w:rPr>
      </w:pPr>
      <w:r>
        <w:rPr>
          <w:rFonts w:ascii="Arial" w:cs="Arial" w:eastAsia="Arial" w:hAnsi="Arial"/>
          <w:sz w:val="17"/>
          <w:szCs w:val="17"/>
          <w:i w:val="1"/>
          <w:iCs w:val="1"/>
          <w:color w:val="auto"/>
        </w:rPr>
        <w:t>Device</w:t>
      </w:r>
      <w:r>
        <w:rPr>
          <w:sz w:val="20"/>
          <w:szCs w:val="20"/>
          <w:color w:val="auto"/>
        </w:rPr>
        <w:tab/>
      </w:r>
      <w:r>
        <w:rPr>
          <w:rFonts w:ascii="Arial" w:cs="Arial" w:eastAsia="Arial" w:hAnsi="Arial"/>
          <w:sz w:val="17"/>
          <w:szCs w:val="17"/>
          <w:color w:val="auto"/>
        </w:rPr>
        <w:t>Device Solutions - includes hardware products used for measurement, control, or sensing that do not have communications capability</w:t>
      </w:r>
    </w:p>
    <w:p>
      <w:pPr>
        <w:spacing w:after="0" w:line="35" w:lineRule="exact"/>
        <w:rPr>
          <w:sz w:val="20"/>
          <w:szCs w:val="20"/>
          <w:color w:val="auto"/>
        </w:rPr>
      </w:pPr>
    </w:p>
    <w:p>
      <w:pPr>
        <w:jc w:val="both"/>
        <w:ind w:left="1160" w:right="220" w:hanging="1119"/>
        <w:spacing w:after="0" w:line="253" w:lineRule="auto"/>
        <w:tabs>
          <w:tab w:leader="none" w:pos="1140" w:val="left"/>
        </w:tabs>
        <w:rPr>
          <w:sz w:val="20"/>
          <w:szCs w:val="20"/>
          <w:color w:val="auto"/>
        </w:rPr>
      </w:pPr>
      <w:r>
        <w:rPr>
          <w:rFonts w:ascii="Arial" w:cs="Arial" w:eastAsia="Arial" w:hAnsi="Arial"/>
          <w:sz w:val="18"/>
          <w:szCs w:val="18"/>
          <w:i w:val="1"/>
          <w:iCs w:val="1"/>
          <w:color w:val="auto"/>
        </w:rPr>
        <w:t>Solutions</w:t>
      </w:r>
      <w:r>
        <w:rPr>
          <w:sz w:val="20"/>
          <w:szCs w:val="20"/>
          <w:color w:val="auto"/>
        </w:rPr>
        <w:tab/>
      </w:r>
      <w:r>
        <w:rPr>
          <w:rFonts w:ascii="Arial" w:cs="Arial" w:eastAsia="Arial" w:hAnsi="Arial"/>
          <w:sz w:val="18"/>
          <w:szCs w:val="18"/>
          <w:color w:val="auto"/>
        </w:rPr>
        <w:t>embedded for use with our broader Itron systems, i.e., products where Itron is not offering the complete "end-to-end" solution, but only the hardware elements. Examples of the Device Solutions portfolio include basic meters that are shipped without Itron communications, such as our standard gas meters, electricity IEC meters, and water meters, in addition to our heat and allocation products; communicating meters that are not a part of an Itron solution such as the Linky meter; and the implementation and installation of non-communicating devices, such as gas regulators.</w:t>
      </w:r>
    </w:p>
    <w:p>
      <w:pPr>
        <w:spacing w:after="0" w:line="191" w:lineRule="exact"/>
        <w:rPr>
          <w:sz w:val="20"/>
          <w:szCs w:val="20"/>
          <w:color w:val="auto"/>
        </w:rPr>
      </w:pPr>
    </w:p>
    <w:p>
      <w:pPr>
        <w:ind w:left="40"/>
        <w:spacing w:after="0"/>
        <w:tabs>
          <w:tab w:leader="none" w:pos="1140" w:val="left"/>
        </w:tabs>
        <w:rPr>
          <w:sz w:val="20"/>
          <w:szCs w:val="20"/>
          <w:color w:val="auto"/>
        </w:rPr>
      </w:pPr>
      <w:r>
        <w:rPr>
          <w:rFonts w:ascii="Arial" w:cs="Arial" w:eastAsia="Arial" w:hAnsi="Arial"/>
          <w:sz w:val="17"/>
          <w:szCs w:val="17"/>
          <w:i w:val="1"/>
          <w:iCs w:val="1"/>
          <w:color w:val="auto"/>
        </w:rPr>
        <w:t>Networked</w:t>
      </w:r>
      <w:r>
        <w:rPr>
          <w:sz w:val="20"/>
          <w:szCs w:val="20"/>
          <w:color w:val="auto"/>
        </w:rPr>
        <w:tab/>
      </w:r>
      <w:r>
        <w:rPr>
          <w:rFonts w:ascii="Arial" w:cs="Arial" w:eastAsia="Arial" w:hAnsi="Arial"/>
          <w:sz w:val="17"/>
          <w:szCs w:val="17"/>
          <w:color w:val="auto"/>
        </w:rPr>
        <w:t>Networked Solutions - includes a combination of communicating devices (smart meters, modules, endpoints, and sensors), network</w:t>
      </w:r>
    </w:p>
    <w:p>
      <w:pPr>
        <w:spacing w:after="0" w:line="35" w:lineRule="exact"/>
        <w:rPr>
          <w:sz w:val="20"/>
          <w:szCs w:val="20"/>
          <w:color w:val="auto"/>
        </w:rPr>
      </w:pPr>
    </w:p>
    <w:p>
      <w:pPr>
        <w:jc w:val="both"/>
        <w:ind w:left="1160" w:right="240" w:hanging="1119"/>
        <w:spacing w:after="0" w:line="287" w:lineRule="auto"/>
        <w:tabs>
          <w:tab w:leader="none" w:pos="1140" w:val="left"/>
        </w:tabs>
        <w:rPr>
          <w:sz w:val="20"/>
          <w:szCs w:val="20"/>
          <w:color w:val="auto"/>
        </w:rPr>
      </w:pPr>
      <w:r>
        <w:rPr>
          <w:rFonts w:ascii="Arial" w:cs="Arial" w:eastAsia="Arial" w:hAnsi="Arial"/>
          <w:sz w:val="16"/>
          <w:szCs w:val="16"/>
          <w:i w:val="1"/>
          <w:iCs w:val="1"/>
          <w:color w:val="auto"/>
        </w:rPr>
        <w:t>Solutions</w:t>
      </w:r>
      <w:r>
        <w:rPr>
          <w:sz w:val="20"/>
          <w:szCs w:val="20"/>
          <w:color w:val="auto"/>
        </w:rPr>
        <w:tab/>
      </w:r>
      <w:r>
        <w:rPr>
          <w:rFonts w:ascii="Arial" w:cs="Arial" w:eastAsia="Arial" w:hAnsi="Arial"/>
          <w:sz w:val="16"/>
          <w:szCs w:val="16"/>
          <w:color w:val="auto"/>
        </w:rPr>
        <w:t>infrastructure, and associated application software designed and sold as a complete solution for acquiring and transporting robust application-specific data. Networked Solutions combines, into one operating segment, the majority of the assets from the recently acquired SSNI organization with our legacy Itron networking products and software and the implementation and installation of communicating devices into one segment. This includes: 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 and management software applications. Solutions supported by this segment include automated meter reading (AMR), advanced metering infrastructure (AMI), smart grid and distribution automation (DA), and smart street lighting and smart city solutions.</w:t>
      </w:r>
    </w:p>
    <w:p>
      <w:pPr>
        <w:spacing w:after="0" w:line="170" w:lineRule="exact"/>
        <w:rPr>
          <w:sz w:val="20"/>
          <w:szCs w:val="20"/>
          <w:color w:val="auto"/>
        </w:rPr>
      </w:pPr>
    </w:p>
    <w:p>
      <w:pPr>
        <w:jc w:val="both"/>
        <w:ind w:left="1160" w:right="220" w:hanging="1119"/>
        <w:spacing w:after="0" w:line="270" w:lineRule="auto"/>
        <w:tabs>
          <w:tab w:leader="none" w:pos="1140" w:val="left"/>
        </w:tabs>
        <w:rPr>
          <w:sz w:val="20"/>
          <w:szCs w:val="20"/>
          <w:color w:val="auto"/>
        </w:rPr>
      </w:pPr>
      <w:r>
        <w:rPr>
          <w:rFonts w:ascii="Arial" w:cs="Arial" w:eastAsia="Arial" w:hAnsi="Arial"/>
          <w:sz w:val="17"/>
          <w:szCs w:val="17"/>
          <w:i w:val="1"/>
          <w:iCs w:val="1"/>
          <w:color w:val="auto"/>
        </w:rPr>
        <w:t>Outcomes</w:t>
      </w:r>
      <w:r>
        <w:rPr>
          <w:sz w:val="20"/>
          <w:szCs w:val="20"/>
          <w:color w:val="auto"/>
        </w:rPr>
        <w:tab/>
      </w:r>
      <w:r>
        <w:rPr>
          <w:rFonts w:ascii="Arial" w:cs="Arial" w:eastAsia="Arial" w:hAnsi="Arial"/>
          <w:sz w:val="17"/>
          <w:szCs w:val="17"/>
          <w:color w:val="auto"/>
        </w:rPr>
        <w:t>Outcomes - includes our value-added, enhanced software and services operating segment in which we manage, organize, analyze, and interpret data to 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of these offerings include our meter data management and analytics offerings; our managed service solutions including network-as-a-service and platform-as-a-service, forecasting software and services; and any consulting-based engagement. Within the Outcomes segment, we also identify new business models, including performance-based contracting, to drive broader portfolio offerings across utilities and cities.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segments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Product revenues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Device Solutions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916,809</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866,028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894,583</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Networked Solutions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1,133,919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881,042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882,097</w:t>
            </w: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Outcomes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44,730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66,855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53,390</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2,095,458</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1,813,925</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1,830,070</w:t>
            </w:r>
          </w:p>
        </w:tc>
      </w:tr>
      <w:tr>
        <w:trPr>
          <w:trHeight w:val="73"/>
        </w:trPr>
        <w:tc>
          <w:tcPr>
            <w:tcW w:w="606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60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Service revenues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Device Solutions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16,556</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18,938</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Networked Solutions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90,225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66,342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57,584</w:t>
            </w: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Outcomes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173,878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121,062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106,594</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280,659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204,272</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183,116</w:t>
            </w:r>
          </w:p>
        </w:tc>
      </w:tr>
      <w:tr>
        <w:trPr>
          <w:trHeight w:val="73"/>
        </w:trPr>
        <w:tc>
          <w:tcPr>
            <w:tcW w:w="606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60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Device Solutions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933,365</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882,896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913,521</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Networked Solutions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1,224,144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947,384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939,681</w:t>
            </w: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Outcomes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218,608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187,917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159,984</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2,376,117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2,018,197</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2,013,186</w:t>
            </w:r>
          </w:p>
        </w:tc>
      </w:tr>
      <w:tr>
        <w:trPr>
          <w:trHeight w:val="73"/>
        </w:trPr>
        <w:tc>
          <w:tcPr>
            <w:tcW w:w="606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60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Gross profit</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Device Solutions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187,254</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216,631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232,896</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Networked Solutions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482,471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412,375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378,382</w:t>
            </w: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Outcomes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60,594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47,745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51,254</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730,319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676,751</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662,532</w:t>
            </w:r>
          </w:p>
        </w:tc>
      </w:tr>
      <w:tr>
        <w:trPr>
          <w:trHeight w:val="73"/>
        </w:trPr>
        <w:tc>
          <w:tcPr>
            <w:tcW w:w="606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60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Device Solutions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130,988</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159,641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178,161</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Networked Solutions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360,779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322,367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291,235</w:t>
            </w: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Outcomes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16,239</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Corporate unallocated</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(558,093)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(332,046)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(384,642)</w:t>
            </w:r>
          </w:p>
        </w:tc>
      </w:tr>
      <w:tr>
        <w:trPr>
          <w:trHeight w:val="3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(49,692)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154,877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100,993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(59,459)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(20,302)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(16,366)</w:t>
            </w:r>
          </w:p>
        </w:tc>
      </w:tr>
      <w:tr>
        <w:trPr>
          <w:trHeight w:val="3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(109,151)</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134,575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84,627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year ended December 31, 2017, we recognized an insurance recovery associated with warranty expenses previously recognized as a result of our 2015 product replacement notification. As a result, gross profit increased $8.0 million for the year ended December 31, 2017. After adjusting for the tax impact, the recovery resulted in an increase of $0.13 and $0.12 for basic and diluted EPS, respectively,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no single customer represents more than 10% of total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1,442,792</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1,137,508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1,126,787</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Europe, Middle East, and Africa (EMEA)</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733,732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672,942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698,106</w:t>
            </w: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199,593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207,747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188,293</w:t>
            </w:r>
          </w:p>
        </w:tc>
      </w:tr>
      <w:tr>
        <w:trPr>
          <w:trHeight w:val="244"/>
        </w:trPr>
        <w:tc>
          <w:tcPr>
            <w:tcW w:w="606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2,376,117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2,018,197</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2,013,186</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Regional revenues as reported are based on the location of the selling entity.</w:t>
      </w:r>
    </w:p>
    <w:p>
      <w:pPr>
        <w:sectPr>
          <w:pgSz w:w="11900" w:h="16838" w:orient="portrait"/>
          <w:cols w:equalWidth="0" w:num="1">
            <w:col w:w="11420"/>
          </w:cols>
          <w:pgMar w:left="240" w:top="125" w:right="239" w:bottom="109"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5" w:right="239" w:bottom="109"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by geographic area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At December 31,</w:t>
            </w:r>
          </w:p>
        </w:tc>
        <w:tc>
          <w:tcPr>
            <w:tcW w:w="108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52"/>
        </w:trPr>
        <w:tc>
          <w:tcPr>
            <w:tcW w:w="7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24"/>
                <w:szCs w:val="24"/>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93,034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67,764</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Outside United States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133,517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133,004</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226,551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200,768</w:t>
            </w: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is allocated to the operating segments based upon each segments use of the assets. All amortization expense is included in Corporate unallocated. Depreciation and amortization expense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Device Solutions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25,022</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25,158</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Networked Solutions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12,671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7,758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9,137</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Outcomes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Corporate unallocated</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78,232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25,874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30,982</w:t>
            </w: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122,497</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63,215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68,318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Business Combinations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Silver Spring Networks, Inc.</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January 5, 2018, we completed the acquisition of SSNI by purchasing 100% of SSNI's outstanding stock. The acquisition was financed through incremental borrowings and cash on hand. Refer to "Note 6: Debt" for further discussion of our debt.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SSNI provided smart network and data platform solutions for electricity, gas, water and smart cities including advanced metering, distribution automation, demand-side management, and street lights. Solutions include one or several of the following: communications modules, access points, relays and bridges; network operating software, grid management, security and grid analytics managed services and SaaS; installation; implementation; and professional services including consulting and analysis. Upon acquisition, SSNI changed its name to Itron Networked Solutions, Inc. (INS), and initially operated separately as our Networks operating segment. Subsequent to the October 1, 2018 reorganization, the prior Networks operating segment was integrated into the new Networked Solutions and Outcomes operating segments.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of SSNI was $809.2 million, which is net of $97.8 million of acquired cash and cash equivalents. Of the total consideration $802.5 million was paid in cash. The remaining $6.7 million relates to the fair value of pre-acquisition service for replacement awards of unvested SSNI options and restricted stock unit awards with an Itron equivalent award. We allocated the purchase price to the assets acquired and liabilities assumed based on estimated fair value assessments.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our allocation of purchase price:</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b w:val="1"/>
                <w:bCs w:val="1"/>
                <w:color w:val="auto"/>
              </w:rPr>
              <w:t>Fair Value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2"/>
              </w:rPr>
              <w:t>Weighted Average Useful Life</w:t>
            </w:r>
          </w:p>
        </w:tc>
      </w:tr>
      <w:tr>
        <w:trPr>
          <w:trHeight w:val="33"/>
        </w:trPr>
        <w:tc>
          <w:tcPr>
            <w:tcW w:w="67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17"/>
        </w:trPr>
        <w:tc>
          <w:tcPr>
            <w:tcW w:w="67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33"/>
        </w:trPr>
        <w:tc>
          <w:tcPr>
            <w:tcW w:w="6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640" w:type="dxa"/>
            <w:vAlign w:val="bottom"/>
            <w:tcBorders>
              <w:bottom w:val="single" w:sz="8" w:color="CCEEFF"/>
            </w:tcBorders>
            <w:shd w:val="clear" w:color="auto" w:fill="CCEEFF"/>
          </w:tcPr>
          <w:p>
            <w:pPr>
              <w:jc w:val="right"/>
              <w:ind w:right="14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86,701</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6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27,670</w:t>
            </w:r>
          </w:p>
        </w:tc>
        <w:tc>
          <w:tcPr>
            <w:tcW w:w="23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6</w:t>
            </w:r>
          </w:p>
        </w:tc>
      </w:tr>
      <w:tr>
        <w:trPr>
          <w:trHeight w:val="33"/>
        </w:trPr>
        <w:tc>
          <w:tcPr>
            <w:tcW w:w="6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3,866</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97"/>
        </w:trPr>
        <w:tc>
          <w:tcPr>
            <w:tcW w:w="6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Identifiable intangible assets</w:t>
            </w:r>
          </w:p>
        </w:tc>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37"/>
        </w:trPr>
        <w:tc>
          <w:tcPr>
            <w:tcW w:w="6700" w:type="dxa"/>
            <w:vAlign w:val="bottom"/>
          </w:tcPr>
          <w:p>
            <w:pPr>
              <w:ind w:left="60"/>
              <w:spacing w:after="0"/>
              <w:rPr>
                <w:sz w:val="20"/>
                <w:szCs w:val="20"/>
                <w:color w:val="auto"/>
              </w:rPr>
            </w:pPr>
            <w:r>
              <w:rPr>
                <w:rFonts w:ascii="Arial" w:cs="Arial" w:eastAsia="Arial" w:hAnsi="Arial"/>
                <w:sz w:val="16"/>
                <w:szCs w:val="16"/>
                <w:color w:val="auto"/>
              </w:rPr>
              <w:t>Core-developed technology</w:t>
            </w:r>
          </w:p>
        </w:tc>
        <w:tc>
          <w:tcPr>
            <w:tcW w:w="16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81,900</w:t>
            </w:r>
          </w:p>
        </w:tc>
        <w:tc>
          <w:tcPr>
            <w:tcW w:w="23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5</w:t>
            </w:r>
          </w:p>
        </w:tc>
      </w:tr>
      <w:tr>
        <w:trPr>
          <w:trHeight w:val="33"/>
        </w:trPr>
        <w:tc>
          <w:tcPr>
            <w:tcW w:w="6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Customer contracts and relationships</w:t>
            </w:r>
          </w:p>
        </w:tc>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6"/>
              </w:rPr>
              <w:t>134,000</w:t>
            </w:r>
          </w:p>
        </w:tc>
        <w:tc>
          <w:tcPr>
            <w:tcW w:w="23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10</w:t>
            </w:r>
          </w:p>
        </w:tc>
      </w:tr>
      <w:tr>
        <w:trPr>
          <w:trHeight w:val="237"/>
        </w:trPr>
        <w:tc>
          <w:tcPr>
            <w:tcW w:w="6700" w:type="dxa"/>
            <w:vAlign w:val="bottom"/>
          </w:tcPr>
          <w:p>
            <w:pPr>
              <w:ind w:left="60"/>
              <w:spacing w:after="0"/>
              <w:rPr>
                <w:sz w:val="20"/>
                <w:szCs w:val="20"/>
                <w:color w:val="auto"/>
              </w:rPr>
            </w:pPr>
            <w:r>
              <w:rPr>
                <w:rFonts w:ascii="Arial" w:cs="Arial" w:eastAsia="Arial" w:hAnsi="Arial"/>
                <w:sz w:val="16"/>
                <w:szCs w:val="16"/>
                <w:color w:val="auto"/>
              </w:rPr>
              <w:t>Trademark and trade names</w:t>
            </w:r>
          </w:p>
        </w:tc>
        <w:tc>
          <w:tcPr>
            <w:tcW w:w="16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10,800</w:t>
            </w:r>
          </w:p>
        </w:tc>
        <w:tc>
          <w:tcPr>
            <w:tcW w:w="23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3</w:t>
            </w:r>
          </w:p>
        </w:tc>
      </w:tr>
      <w:tr>
        <w:trPr>
          <w:trHeight w:val="33"/>
        </w:trPr>
        <w:tc>
          <w:tcPr>
            <w:tcW w:w="67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30"/>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identified intangible assets subject to amortization</w:t>
            </w:r>
          </w:p>
        </w:tc>
        <w:tc>
          <w:tcPr>
            <w:tcW w:w="16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6"/>
              </w:rPr>
              <w:t>226,700</w:t>
            </w:r>
          </w:p>
        </w:tc>
        <w:tc>
          <w:tcPr>
            <w:tcW w:w="23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8</w:t>
            </w:r>
          </w:p>
        </w:tc>
      </w:tr>
      <w:tr>
        <w:trPr>
          <w:trHeight w:val="237"/>
        </w:trPr>
        <w:tc>
          <w:tcPr>
            <w:tcW w:w="6700" w:type="dxa"/>
            <w:vAlign w:val="bottom"/>
          </w:tcPr>
          <w:p>
            <w:pPr>
              <w:ind w:left="20"/>
              <w:spacing w:after="0"/>
              <w:rPr>
                <w:sz w:val="20"/>
                <w:szCs w:val="20"/>
                <w:color w:val="auto"/>
              </w:rPr>
            </w:pPr>
            <w:r>
              <w:rPr>
                <w:rFonts w:ascii="Arial" w:cs="Arial" w:eastAsia="Arial" w:hAnsi="Arial"/>
                <w:sz w:val="16"/>
                <w:szCs w:val="16"/>
                <w:color w:val="auto"/>
              </w:rPr>
              <w:t>In-process research and development (IPR&amp;D)</w:t>
            </w:r>
          </w:p>
        </w:tc>
        <w:tc>
          <w:tcPr>
            <w:tcW w:w="16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14,400</w:t>
            </w: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67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3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identified intangible assets</w:t>
            </w:r>
          </w:p>
        </w:tc>
        <w:tc>
          <w:tcPr>
            <w:tcW w:w="16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6"/>
              </w:rPr>
              <w:t>241,100</w:t>
            </w:r>
          </w:p>
        </w:tc>
        <w:tc>
          <w:tcPr>
            <w:tcW w:w="10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r>
      <w:tr>
        <w:trPr>
          <w:trHeight w:val="297"/>
        </w:trPr>
        <w:tc>
          <w:tcPr>
            <w:tcW w:w="6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6"/>
              </w:rPr>
              <w:t>575,750</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(99,406)</w:t>
            </w: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6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contracts and relationships</w:t>
            </w:r>
          </w:p>
        </w:tc>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(23,900)</w:t>
            </w:r>
          </w:p>
        </w:tc>
        <w:tc>
          <w:tcPr>
            <w:tcW w:w="23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5</w:t>
            </w:r>
          </w:p>
        </w:tc>
      </w:tr>
      <w:tr>
        <w:trPr>
          <w:trHeight w:val="237"/>
        </w:trPr>
        <w:tc>
          <w:tcPr>
            <w:tcW w:w="670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6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(2,565)</w:t>
            </w: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67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assets acquired</w:t>
            </w:r>
          </w:p>
        </w:tc>
        <w:tc>
          <w:tcPr>
            <w:tcW w:w="1640" w:type="dxa"/>
            <w:vAlign w:val="bottom"/>
            <w:tcBorders>
              <w:bottom w:val="single" w:sz="8" w:color="auto"/>
            </w:tcBorders>
            <w:shd w:val="clear" w:color="auto" w:fill="CCEEFF"/>
          </w:tcPr>
          <w:p>
            <w:pPr>
              <w:jc w:val="right"/>
              <w:ind w:right="14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6"/>
              </w:rPr>
              <w:t>809,216</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0"/>
        </w:trPr>
        <w:tc>
          <w:tcPr>
            <w:tcW w:w="67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for the identified trademarks and core-developed technology intangible assets were estimated using the relief from royalty method, which values the assets by estimating the savings achieved by ownership of trademark or technology when compared with the cost of licensing it from an independent owner.</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fair value of customer contracts and relationship were estimated using the income approach. Under the income approach, the fair value reflects the present value of the projected cash flows that are expected to be generated. The fair value of IPR&amp;D was valued utilizing the replacement cost method, which measures the value of an asset based on the cost to replace the existing asset.</w:t>
      </w:r>
    </w:p>
    <w:p>
      <w:pPr>
        <w:jc w:val="both"/>
        <w:spacing w:after="0" w:line="253" w:lineRule="auto"/>
        <w:rPr>
          <w:sz w:val="20"/>
          <w:szCs w:val="20"/>
          <w:color w:val="auto"/>
        </w:rPr>
      </w:pPr>
      <w:r>
        <w:rPr>
          <w:rFonts w:ascii="Arial" w:cs="Arial" w:eastAsia="Arial" w:hAnsi="Arial"/>
          <w:sz w:val="18"/>
          <w:szCs w:val="18"/>
          <w:color w:val="auto"/>
        </w:rPr>
        <w:t>We estimated it would take approximately one year to complete the in-process technology. A profit mark-up was used to account for the return that a third-party developer would require on development efforts for the asset based on expected earnings before interest and taxes, and a return of ten percent was used based on the risk of the asset relative to the overall business. IPR&amp;D will be amortized using the straight-line method after the technology is fully developed and is considered a product offering. Incremental costs to be incurred for these projects will be recognized as product development expense as incurred within the Consolidated Statements of Operations.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Core-developed technology represents the fair values of SSNI products that have reached technological feasibility and were part of SSNI's product offerings at the date of the acquisition. Customer contracts and relationships represent the fair value of the relationships developed with its customers, including the backlog. The core-developed technology, trademarks, and customer contracts and relationships intangible assets valued using the income approach will be amortized using the estimated discounted cash flows assumed in the valuation models.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Goodwill of $575.8 million arising from the acquisition consists largely of the synergies expected from combining the operations of Itron and SSNI, as well as certain intangible assets that do not qualify for separate recognition. All of the goodwill balance was assigned to the prior Networks reporting unit and operating segment. Refer to "Note 5: Goodwill". We will not be able to deduct any of the goodwill balance for income tax purposes.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part of the business combination, we have incurred $15.6 million of acquisition related expenses for the year ended December 31, 2018, which includes such activities as success fees, certain consulting and advisory costs, and incremental legal and accounting costs. In addition, for the year ended December 31, 2018, we recognized $76.3 million of integration costs, which are expenses related to integrating SSNI into Itron, and includes expenses such as accounting and process integration and the related consulting fees, severance, site closure costs, system integration, and travel associated with knowledge transfers as we consolidate redundant positions. All acquisition and integration related expenses are included within sales, general and administrative expenses in the Consolidated Statements of 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revenues and net loss from SSNI operations that are included in our Consolidated Statements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January 5, 2018 -</w:t>
            </w:r>
          </w:p>
        </w:tc>
      </w:tr>
      <w:tr>
        <w:trPr>
          <w:trHeight w:val="210"/>
        </w:trPr>
        <w:tc>
          <w:tcPr>
            <w:tcW w:w="9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December 31, 2018</w:t>
            </w:r>
          </w:p>
        </w:tc>
      </w:tr>
      <w:tr>
        <w:trPr>
          <w:trHeight w:val="33"/>
        </w:trPr>
        <w:tc>
          <w:tcPr>
            <w:tcW w:w="9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7"/>
        </w:trPr>
        <w:tc>
          <w:tcPr>
            <w:tcW w:w="9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ind w:right="339"/>
              <w:spacing w:after="0"/>
              <w:rPr>
                <w:sz w:val="20"/>
                <w:szCs w:val="20"/>
                <w:color w:val="auto"/>
              </w:rPr>
            </w:pPr>
            <w:r>
              <w:rPr>
                <w:rFonts w:ascii="Arial" w:cs="Arial" w:eastAsia="Arial" w:hAnsi="Arial"/>
                <w:sz w:val="16"/>
                <w:szCs w:val="16"/>
                <w:b w:val="1"/>
                <w:bCs w:val="1"/>
                <w:color w:val="auto"/>
                <w:w w:val="99"/>
              </w:rPr>
              <w:t>(in thousands)</w:t>
            </w:r>
          </w:p>
        </w:tc>
      </w:tr>
      <w:tr>
        <w:trPr>
          <w:trHeight w:val="33"/>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352,996</w:t>
            </w: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(54,409)</w:t>
            </w:r>
          </w:p>
        </w:tc>
      </w:tr>
    </w:tbl>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supplemental pro forma results (unaudited) are based on the individual historical results of Itron and SSNI, with adjustments to give effect to the combined operations as if the acquisition had been consummated on January 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52"/>
        </w:trPr>
        <w:tc>
          <w:tcPr>
            <w:tcW w:w="7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 in thousands)</w:t>
            </w:r>
          </w:p>
        </w:tc>
        <w:tc>
          <w:tcPr>
            <w:tcW w:w="1160" w:type="dxa"/>
            <w:vAlign w:val="bottom"/>
          </w:tcPr>
          <w:p>
            <w:pPr>
              <w:spacing w:after="0"/>
              <w:rPr>
                <w:sz w:val="24"/>
                <w:szCs w:val="24"/>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2,376,117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2,591,211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(84,602)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27,289</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nonrecurring adjustments reflected in the proforma schedule above are considered material and include the following:</w:t>
      </w:r>
    </w:p>
    <w:p>
      <w:pPr>
        <w:spacing w:after="0" w:line="6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Elimination of transaction costs incurred by SSNI and Itron prior to the acquisition completion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Reclassification of certain expenses incurred after the acquisition to the appropriate periods assuming the acquisition closed on January 1, 2017</w:t>
      </w:r>
    </w:p>
    <w:p>
      <w:pPr>
        <w:spacing w:after="0" w:line="2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supplemental pro forma results are intended for information purposes only and do not purport to represent what the combined companies' results of operations would actually have been had the transaction in fact occurred at an earlier date or project the results for any future date or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significant net changes in the contract assets and the contract liabilities balances during the period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9"/>
              <w:spacing w:after="0"/>
              <w:rPr>
                <w:sz w:val="20"/>
                <w:szCs w:val="20"/>
                <w:color w:val="auto"/>
              </w:rPr>
            </w:pPr>
            <w:r>
              <w:rPr>
                <w:rFonts w:ascii="Arial" w:cs="Arial" w:eastAsia="Arial" w:hAnsi="Arial"/>
                <w:sz w:val="16"/>
                <w:szCs w:val="16"/>
                <w:b w:val="1"/>
                <w:bCs w:val="1"/>
                <w:color w:val="auto"/>
                <w:w w:val="95"/>
              </w:rPr>
              <w:t>2018</w:t>
            </w:r>
          </w:p>
        </w:tc>
      </w:tr>
      <w:tr>
        <w:trPr>
          <w:trHeight w:val="249"/>
        </w:trPr>
        <w:tc>
          <w:tcPr>
            <w:tcW w:w="97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Net contract liabilities,</w:t>
            </w:r>
          </w:p>
        </w:tc>
      </w:tr>
      <w:tr>
        <w:trPr>
          <w:trHeight w:val="210"/>
        </w:trPr>
        <w:tc>
          <w:tcPr>
            <w:tcW w:w="9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9"/>
              <w:spacing w:after="0"/>
              <w:rPr>
                <w:sz w:val="20"/>
                <w:szCs w:val="20"/>
                <w:color w:val="auto"/>
              </w:rPr>
            </w:pPr>
            <w:r>
              <w:rPr>
                <w:rFonts w:ascii="Arial" w:cs="Arial" w:eastAsia="Arial" w:hAnsi="Arial"/>
                <w:sz w:val="16"/>
                <w:szCs w:val="16"/>
                <w:b w:val="1"/>
                <w:bCs w:val="1"/>
                <w:color w:val="auto"/>
                <w:w w:val="84"/>
              </w:rPr>
              <w:t>less contract assets</w:t>
            </w:r>
          </w:p>
        </w:tc>
      </w:tr>
      <w:tr>
        <w:trPr>
          <w:trHeight w:val="33"/>
        </w:trPr>
        <w:tc>
          <w:tcPr>
            <w:tcW w:w="9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7"/>
        </w:trPr>
        <w:tc>
          <w:tcPr>
            <w:tcW w:w="9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59,808</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Changes due to business combination</w:t>
            </w:r>
          </w:p>
        </w:tc>
        <w:tc>
          <w:tcPr>
            <w:tcW w:w="16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36,936</w:t>
            </w:r>
          </w:p>
        </w:tc>
      </w:tr>
      <w:tr>
        <w:trPr>
          <w:trHeight w:val="33"/>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 recognized from beginning contract liability</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(32,821)</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Increases due to amounts collected or due</w:t>
            </w:r>
          </w:p>
        </w:tc>
        <w:tc>
          <w:tcPr>
            <w:tcW w:w="16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282,016</w:t>
            </w:r>
          </w:p>
        </w:tc>
      </w:tr>
      <w:tr>
        <w:trPr>
          <w:trHeight w:val="33"/>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 recognized from current period increases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(241,510)</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(2,299)</w:t>
            </w:r>
          </w:p>
        </w:tc>
      </w:tr>
      <w:tr>
        <w:trPr>
          <w:trHeight w:val="33"/>
        </w:trPr>
        <w:tc>
          <w:tcPr>
            <w:tcW w:w="9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December 31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102,130</w:t>
            </w:r>
          </w:p>
        </w:tc>
      </w:tr>
      <w:tr>
        <w:trPr>
          <w:trHeight w:val="20"/>
        </w:trPr>
        <w:tc>
          <w:tcPr>
            <w:tcW w:w="9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1, 2018, total contract assets were $11.3 million and total contract liabilities were $71.1 million. On December 31, 2018, total contract assets were $34.3 million and total contract liabilities were $136.5 million. The contract assets primarily relate to contracts that include a retention clause and allocations related to contracts with multiple performance obligations. The contract liabilities primarily relate to deferred revenue, such as extended warranty and maintenance cost, and allocations related to contracts with multiple performance obligations. During the three months ended December 31, 2018, revenue recognized of $1.1 million was related to amounts that was included as a contract liability at January 1, 2018.</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Total transaction price allocated to remaining performance obligations represent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transaction price allocated to remaining performance obligations related to contracts is approximately $1.2 billion for the next twelve months and approximately $885 million for periods longer than 12 months. The total remaining performance obligations is comprised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 revenue is recognized over the warranty period, and hardware, which is recognized as units are delivered. The estimate of when remaining performance obligations will be recognized requires significant judgment.</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to obtain a contract and cost to fulfill a contract with a customer</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 to obtain a contract and costs to fulfill a contract were capitalized and amortized using a systematic rational approached to align with the transfer of control of underlying contracts with customers. While amounts were capitalized, amounts are not material for disclosure.</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 to "Note 16: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as presented.</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Impacts on financial statements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modified retrospective transition method, we are required to provide additional disclosures during 2018 of the amount by which each financial statement line item is affected in the current reporting period, as compared with the guidance that was in effect before the change, and an explanation of the reasons for significant changes, if any. The cumulative impact of adoption of ASC 606 and ASC 340-40 on our Consolidated Balance Sheets was a net decrease to accumulated deficit of $10.9 million as of January 1, 2018.</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 of ASC 606 and Subtopic ASC 340-40 on our Consolidated Statements of Operations for the year ended December 31, 2018 was total revenue would have been $25.9 million lower under ASC 605. The difference in total revenue reflects the timing of revenue recognition due to the treatment of software license revenue under ASC 606 and other performance obligations that were satisfied but the right to consideration is conditional. The impact of the adoption was not material to the other lines in the Consolidated Statements of Operations.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effects of ASC 606 and Subtopic ASC 340-40 on our Consolidated Balance Sheets as of December 31, 2018 were an impact to other current assets, unearned revenue, and accumulated deficit. Under ASC 605 other current assets would have been lower by $21.0 million. The difference in other current assets reflects the timing of satisfying performance obligations prior to invoicing, but the right to consideration is conditional. Total unearned revenue would have been higher by $22.2 million, of which, $8.9 million would have been classified as current. The difference in unearned revenue reflects the timing of revenue recognition related to certain of our customer contracts. The cumulative impact of ASC 606 as of December 31, 2018 was a net decrease to our accumulated deficit of $36.7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Quarterly Results (Unaudited)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First Quarter</w:t>
            </w:r>
          </w:p>
        </w:tc>
        <w:tc>
          <w:tcPr>
            <w:tcW w:w="12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Second Quarter</w:t>
            </w: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Third Quarter</w:t>
            </w:r>
          </w:p>
        </w:tc>
        <w:tc>
          <w:tcPr>
            <w:tcW w:w="10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Fourth Quarter</w:t>
            </w:r>
          </w:p>
        </w:tc>
        <w:tc>
          <w:tcPr>
            <w:tcW w:w="220" w:type="dxa"/>
            <w:vAlign w:val="bottom"/>
          </w:tcPr>
          <w:p>
            <w:pPr>
              <w:spacing w:after="0"/>
              <w:rPr>
                <w:sz w:val="18"/>
                <w:szCs w:val="18"/>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 Year</w:t>
            </w:r>
          </w:p>
        </w:tc>
      </w:tr>
      <w:tr>
        <w:trPr>
          <w:trHeight w:val="33"/>
        </w:trPr>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52"/>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8"/>
          </w:tcPr>
          <w:p>
            <w:pPr>
              <w:ind w:left="760"/>
              <w:spacing w:after="0"/>
              <w:rPr>
                <w:sz w:val="20"/>
                <w:szCs w:val="20"/>
                <w:color w:val="auto"/>
              </w:rPr>
            </w:pPr>
            <w:r>
              <w:rPr>
                <w:rFonts w:ascii="Arial" w:cs="Arial" w:eastAsia="Arial" w:hAnsi="Arial"/>
                <w:sz w:val="16"/>
                <w:szCs w:val="16"/>
                <w:b w:val="1"/>
                <w:bCs w:val="1"/>
                <w:color w:val="auto"/>
              </w:rPr>
              <w:t>(in thousands, except per share data)</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2"/>
        </w:trPr>
        <w:tc>
          <w:tcPr>
            <w:tcW w:w="4120" w:type="dxa"/>
            <w:vAlign w:val="bottom"/>
          </w:tcPr>
          <w:p>
            <w:pPr>
              <w:ind w:left="180"/>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2"/>
        </w:trPr>
        <w:tc>
          <w:tcPr>
            <w:tcW w:w="4120" w:type="dxa"/>
            <w:vAlign w:val="bottom"/>
          </w:tcPr>
          <w:p>
            <w:pPr>
              <w:ind w:left="40"/>
              <w:spacing w:after="0"/>
              <w:rPr>
                <w:sz w:val="20"/>
                <w:szCs w:val="20"/>
                <w:color w:val="auto"/>
              </w:rPr>
            </w:pPr>
            <w:r>
              <w:rPr>
                <w:rFonts w:ascii="Arial" w:cs="Arial" w:eastAsia="Arial" w:hAnsi="Arial"/>
                <w:sz w:val="16"/>
                <w:szCs w:val="16"/>
                <w:i w:val="1"/>
                <w:iCs w:val="1"/>
                <w:color w:val="auto"/>
              </w:rPr>
              <w:t>Statement of operations data:</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7"/>
        </w:trPr>
        <w:tc>
          <w:tcPr>
            <w:tcW w:w="4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607,221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585,890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595,962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587,044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2,376,117</w:t>
            </w: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179,855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176,577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197,097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176,790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730,319</w:t>
            </w:r>
          </w:p>
        </w:tc>
      </w:tr>
      <w:tr>
        <w:trPr>
          <w:trHeight w:val="33"/>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(loss) attributable to Itron, Inc.</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(145,666)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(99,250)</w:t>
            </w:r>
          </w:p>
        </w:tc>
      </w:tr>
      <w:tr>
        <w:trPr>
          <w:trHeight w:val="243"/>
        </w:trPr>
        <w:tc>
          <w:tcPr>
            <w:tcW w:w="4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4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Earnings (loss) per common share - Basic</w:t>
            </w:r>
            <w:r>
              <w:rPr>
                <w:rFonts w:ascii="Arial" w:cs="Arial" w:eastAsia="Arial" w:hAnsi="Arial"/>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0.07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98"/>
        </w:trPr>
        <w:tc>
          <w:tcPr>
            <w:tcW w:w="4120" w:type="dxa"/>
            <w:vAlign w:val="bottom"/>
          </w:tcPr>
          <w:p>
            <w:pPr>
              <w:ind w:left="380"/>
              <w:spacing w:after="0"/>
              <w:rPr>
                <w:sz w:val="20"/>
                <w:szCs w:val="20"/>
                <w:color w:val="auto"/>
              </w:rPr>
            </w:pPr>
            <w:r>
              <w:rPr>
                <w:rFonts w:ascii="Arial" w:cs="Arial" w:eastAsia="Arial" w:hAnsi="Arial"/>
                <w:sz w:val="16"/>
                <w:szCs w:val="16"/>
                <w:color w:val="auto"/>
              </w:rPr>
              <w:t>Earnings (loss) per common share - Diluted</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(2.53)</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First Quarter</w:t>
            </w:r>
          </w:p>
        </w:tc>
        <w:tc>
          <w:tcPr>
            <w:tcW w:w="12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Second Quarter</w:t>
            </w: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Third Quarter</w:t>
            </w:r>
          </w:p>
        </w:tc>
        <w:tc>
          <w:tcPr>
            <w:tcW w:w="10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Fourth Quarter</w:t>
            </w:r>
          </w:p>
        </w:tc>
        <w:tc>
          <w:tcPr>
            <w:tcW w:w="220" w:type="dxa"/>
            <w:vAlign w:val="bottom"/>
          </w:tcPr>
          <w:p>
            <w:pPr>
              <w:spacing w:after="0"/>
              <w:rPr>
                <w:sz w:val="18"/>
                <w:szCs w:val="18"/>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 Year</w:t>
            </w:r>
          </w:p>
        </w:tc>
      </w:tr>
      <w:tr>
        <w:trPr>
          <w:trHeight w:val="33"/>
        </w:trPr>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52"/>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8"/>
          </w:tcPr>
          <w:p>
            <w:pPr>
              <w:ind w:left="760"/>
              <w:spacing w:after="0"/>
              <w:rPr>
                <w:sz w:val="20"/>
                <w:szCs w:val="20"/>
                <w:color w:val="auto"/>
              </w:rPr>
            </w:pPr>
            <w:r>
              <w:rPr>
                <w:rFonts w:ascii="Arial" w:cs="Arial" w:eastAsia="Arial" w:hAnsi="Arial"/>
                <w:sz w:val="16"/>
                <w:szCs w:val="16"/>
                <w:b w:val="1"/>
                <w:bCs w:val="1"/>
                <w:color w:val="auto"/>
              </w:rPr>
              <w:t>(in thousands, except per share data)</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2"/>
        </w:trPr>
        <w:tc>
          <w:tcPr>
            <w:tcW w:w="4120" w:type="dxa"/>
            <w:vAlign w:val="bottom"/>
          </w:tcPr>
          <w:p>
            <w:pPr>
              <w:ind w:left="180"/>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2"/>
        </w:trPr>
        <w:tc>
          <w:tcPr>
            <w:tcW w:w="4120" w:type="dxa"/>
            <w:vAlign w:val="bottom"/>
          </w:tcPr>
          <w:p>
            <w:pPr>
              <w:ind w:left="40"/>
              <w:spacing w:after="0"/>
              <w:rPr>
                <w:sz w:val="20"/>
                <w:szCs w:val="20"/>
                <w:color w:val="auto"/>
              </w:rPr>
            </w:pPr>
            <w:r>
              <w:rPr>
                <w:rFonts w:ascii="Arial" w:cs="Arial" w:eastAsia="Arial" w:hAnsi="Arial"/>
                <w:sz w:val="16"/>
                <w:szCs w:val="16"/>
                <w:i w:val="1"/>
                <w:iCs w:val="1"/>
                <w:color w:val="auto"/>
              </w:rPr>
              <w:t>Statement of operations data:</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7"/>
        </w:trPr>
        <w:tc>
          <w:tcPr>
            <w:tcW w:w="4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477,592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503,082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486,747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550,776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2,018,197</w:t>
            </w: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157,637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178,277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165,755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175,082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676,751</w:t>
            </w:r>
          </w:p>
        </w:tc>
      </w:tr>
      <w:tr>
        <w:trPr>
          <w:trHeight w:val="33"/>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attributable to Itron, Inc.</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57,298</w:t>
            </w:r>
          </w:p>
        </w:tc>
      </w:tr>
      <w:tr>
        <w:trPr>
          <w:trHeight w:val="243"/>
        </w:trPr>
        <w:tc>
          <w:tcPr>
            <w:tcW w:w="4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4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Earnings per common share - Basic</w:t>
            </w:r>
            <w:r>
              <w:rPr>
                <w:rFonts w:ascii="Arial" w:cs="Arial" w:eastAsia="Arial" w:hAnsi="Arial"/>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r>
      <w:tr>
        <w:trPr>
          <w:trHeight w:val="298"/>
        </w:trPr>
        <w:tc>
          <w:tcPr>
            <w:tcW w:w="4120" w:type="dxa"/>
            <w:vAlign w:val="bottom"/>
          </w:tcPr>
          <w:p>
            <w:pPr>
              <w:ind w:left="380"/>
              <w:spacing w:after="0"/>
              <w:rPr>
                <w:sz w:val="20"/>
                <w:szCs w:val="20"/>
                <w:color w:val="auto"/>
              </w:rPr>
            </w:pPr>
            <w:r>
              <w:rPr>
                <w:rFonts w:ascii="Arial" w:cs="Arial" w:eastAsia="Arial" w:hAnsi="Arial"/>
                <w:sz w:val="16"/>
                <w:szCs w:val="16"/>
                <w:color w:val="auto"/>
              </w:rPr>
              <w:t>Earnings per common share - Diluted</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1.45</w:t>
            </w:r>
          </w:p>
        </w:tc>
      </w:tr>
    </w:tbl>
    <w:p>
      <w:pPr>
        <w:spacing w:after="0" w:line="124" w:lineRule="exact"/>
        <w:rPr>
          <w:sz w:val="20"/>
          <w:szCs w:val="20"/>
          <w:color w:val="auto"/>
        </w:rPr>
      </w:pPr>
    </w:p>
    <w:p>
      <w:pPr>
        <w:ind w:left="340" w:right="20" w:hanging="332"/>
        <w:spacing w:after="0" w:line="217" w:lineRule="auto"/>
        <w:tabs>
          <w:tab w:leader="none" w:pos="34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The sum of the quarterly EPS data presented in the table may not equal the annual results due to rounding and the impact of dilutive securities on the annual versus the quarterly EPS calculations.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disagreements with our independent accountants on accounting and financial disclosure matters within the three year period ended December 31, 2018, or in any period subsequent to such date, through the date of this report.</w:t>
      </w:r>
    </w:p>
    <w:p>
      <w:pPr>
        <w:spacing w:after="0" w:line="32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December 31, 2018,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issued by the Committee of Sponsoring Organizations of the Treadway Commission (2013 Framework). Based on our evaluation under the 2013</w:t>
      </w:r>
      <w:r>
        <w:rPr>
          <w:rFonts w:ascii="Arial" w:cs="Arial" w:eastAsia="Arial" w:hAnsi="Arial"/>
          <w:sz w:val="17"/>
          <w:szCs w:val="17"/>
          <w:i w:val="1"/>
          <w:iCs w:val="1"/>
          <w:color w:val="auto"/>
        </w:rPr>
        <w:t xml:space="preserve"> </w:t>
      </w:r>
      <w:r>
        <w:rPr>
          <w:rFonts w:ascii="Arial" w:cs="Arial" w:eastAsia="Arial" w:hAnsi="Arial"/>
          <w:sz w:val="17"/>
          <w:szCs w:val="17"/>
          <w:color w:val="auto"/>
        </w:rPr>
        <w:t>Framework, management concluded that our internal control over financial reporting was effective as of December 31, 2018.</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5, 2018, we completed the acquisition of Silver Spring Networks, Inc. (SSNI). For further discussion of the SSNI acquisition, refer to Item 8: "Financial Statements and Supplementary Data, Note 17: Business Combinations". The Securities and Exchange Commission permits companies to exclude acquisitions from their assessment of internal control over financial reporting during the first year of an acquisition, and our management has elected to exclude SSNI from our assessment as of December 31, 2018, except for goodwill, intangible assets, and controls implemented in 2018 to remediate a material weakness in revenue recognition reported by SSNI prior to our acquisition. SSNI contributed 9% and 15% of our consolidated total assets (excluding goodwill and intangible assets) and revenues as of and for the year ended December 31, 2018, respectively.</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2018 has been audited by Deloitte &amp; Touche LLP, an independent registered public accounting firm, as stated in their report that is included in this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ordinary course of business, we review our system of internal control over financial reporting and make changes to our applications and processes to improve such controls and increase efficiency, while ensuring that we maintain an effective internal control environment. Changes may include such activities as implementing new, more efficient applications and automating manual processes. We are currently upgrading our global enterprise resource software applications at certain of our locations outside of the United States as well as locations acquired through acquisitions. We will continue to upgrade our financial applications in stages, and we believe the related changes to processes and internal controls will allow us to be more efficient and further enhance our internal control over financial reporting.</w:t>
      </w:r>
    </w:p>
    <w:p>
      <w:pPr>
        <w:spacing w:after="0" w:line="13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As described in Item 8; "Financial Statements and Supplementary Data, Note 1: Summary of Significant Accounting Policies", we adopted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effective January 1, 2019. As we complete the adoption and implementation of this new leasing standard during the first quarter of 2019, we have modified certain internal controls over financial reporting to address risks associated with the required lease accounting and disclosure requirements. This includes enhancing controls to address risks associated with calculating the right-of-use asset and corresponding lease liability for each lease and with the implementation of a new computer system to track our leasing portfolio, process accounting transactions,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and report on activity and balances. Additional controls will be implemented as deemed necessary for ongoing lease accounting under ASU 2016-02.</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for these changes, there have been no other changes in our internal control over financial reporting during the three months ended December 31, 2018 that materially affected, or are reasonably likely to materially affect, internal control over financial reporting.</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5240"/>
        <w:spacing w:after="0" w:line="39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Itron, Inc. </w:t>
      </w:r>
      <w:r>
        <w:rPr>
          <w:rFonts w:ascii="Arial" w:cs="Arial" w:eastAsia="Arial" w:hAnsi="Arial"/>
          <w:sz w:val="18"/>
          <w:szCs w:val="18"/>
          <w:b w:val="1"/>
          <w:bCs w:val="1"/>
          <w:color w:val="auto"/>
        </w:rPr>
        <w:t>Opinion on Internal Control over Financial Reporting</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Itron, Inc. and subsidiaries (the “Company”)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consolidated financial statements as of and for the year ended December 31, 2018, of the Company and our report dated February 28, 2019, expressed an unqualified opinion on those financial statements and included an explanatory paragraph relating to the Company’s adoption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As described in </w:t>
      </w: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management excluded from its assessment the internal control over financial reporting at Silver Spring Networks, Inc. (SSNI)</w:t>
      </w:r>
      <w:r>
        <w:rPr>
          <w:rFonts w:ascii="Arial" w:cs="Arial" w:eastAsia="Arial" w:hAnsi="Arial"/>
          <w:sz w:val="17"/>
          <w:szCs w:val="17"/>
          <w:i w:val="1"/>
          <w:iCs w:val="1"/>
          <w:color w:val="auto"/>
        </w:rPr>
        <w:t>,</w:t>
      </w:r>
      <w:r>
        <w:rPr>
          <w:rFonts w:ascii="Arial" w:cs="Arial" w:eastAsia="Arial" w:hAnsi="Arial"/>
          <w:sz w:val="17"/>
          <w:szCs w:val="17"/>
          <w:color w:val="auto"/>
        </w:rPr>
        <w:t xml:space="preserve"> except for goodwill, intangible assets and controls implemented in 2018 to remediate a material weakness in revenue recognition reported by SSNI prior to its acquisition. SSNI was acquired on January 5, 2018 and its financial statements, excluding goodwill and intangible assets, constitute 9% and 15% of consolidated total assets and revenues, respectively, as of and for the year ended December 31, 2018. Accordingly, our audit did not include the internal control over financial reporting at SSNI, except for goodwill, intangible assets, and controls implemented in 2018 to remediate a material weakness in revenue recognition reported by SSNI prior to its acquisition.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No information was required to be disclosed in a report on Form 8-K during the fourth quarter of 2018 that was not reported.</w:t>
      </w:r>
    </w:p>
    <w:p>
      <w:pPr>
        <w:spacing w:after="0" w:line="27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219"/>
          </w:cols>
          <w:pgMar w:left="240" w:top="125" w:right="1440"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section entitled "Proposal 1 – Election of Directors" appearing in our Proxy Statement for the Annual Meeting of Shareholders to be held on May 9, 2019 (the 2019 Proxy Statement) sets forth certain information with regard to our directors as required by Item 401 of Regulation S-K and is incorporated herein by reference.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information with respect to persons who are or may be deemed to be executive officers of Itron, Inc. as required by Item 401 of Regulation S-K is set forth under the caption "Executive Officers" in Part I of this Annual Report.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"Section 16(a) Beneficial Ownership Reporting Compliance" appearing in the 2019 Proxy Statement sets forth certain information as required by Item 405 of Regulation S-K and is incorporated herein by reference.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section entitled "Corporate Governance" appearing in the 2019 Proxy Statement sets forth certain information with respect to the Registrant's code of conduct and ethics as required by Item 406 of Regulation S-K and is incorporated herein by reference. Our code of conduct and ethics can be accessed on our website, at </w:t>
      </w:r>
      <w:r>
        <w:rPr>
          <w:rFonts w:ascii="Arial" w:cs="Arial" w:eastAsia="Arial" w:hAnsi="Arial"/>
          <w:sz w:val="18"/>
          <w:szCs w:val="18"/>
          <w:u w:val="single" w:color="auto"/>
          <w:color w:val="auto"/>
        </w:rPr>
        <w:t>www.itron.com</w:t>
      </w:r>
      <w:r>
        <w:rPr>
          <w:rFonts w:ascii="Arial" w:cs="Arial" w:eastAsia="Arial" w:hAnsi="Arial"/>
          <w:sz w:val="18"/>
          <w:szCs w:val="18"/>
          <w:color w:val="auto"/>
        </w:rPr>
        <w:t xml:space="preserve"> under the Investors section.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to the procedures by which security holders may recommend nominees to Itron's board of directors during 2019, as set forth by Item 407(c)(3) of Regulation S-K.</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section entitled "Corporate Governance" appearing in the 2019 Proxy Statement sets forth certain information regarding the Audit/Finance Committee, including the members of the Committee and the Audit/Finance Committee financial experts, as set forth by Item 407(d)(4) and (d)(5) of Regulation S-K and is incorporated herein by reference.</w:t>
      </w:r>
    </w:p>
    <w:p>
      <w:pPr>
        <w:spacing w:after="0" w:line="17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sections entitled "Compensation of Directors" and "Executive Compensation" appearing in the 2019 Proxy Statement set forth certain information with respect to the compensation of directors and management of Itron as required by Item 402 of Regulation S-K and are incorporated herein by reference.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2019 Proxy Statement sets forth certain information regarding members of the Compensation Committee required by Item 407(e)(4) of Regulation S-K and is incorporated herein by reference.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 entitled "Compensation Committee Report" appearing in the 2019 Proxy Statement sets forth certain information required by Item 407(e)(5) of Regulation S-K and is incorporated herein by reference.</w:t>
      </w:r>
    </w:p>
    <w:p>
      <w:pPr>
        <w:spacing w:after="0" w:line="166" w:lineRule="exact"/>
        <w:rPr>
          <w:sz w:val="20"/>
          <w:szCs w:val="20"/>
          <w:color w:val="auto"/>
        </w:rPr>
      </w:pPr>
    </w:p>
    <w:p>
      <w:pPr>
        <w:jc w:val="both"/>
        <w:ind w:left="1060" w:hanging="1052"/>
        <w:spacing w:after="0" w:line="282" w:lineRule="auto"/>
        <w:tabs>
          <w:tab w:leader="none" w:pos="104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 entitled "Equity Compensation Plan Information" appearing in the 2019 Proxy Statement sets forth certain information required by Item 201(d) of Regulation S-K and is incorporated herein by reference.</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section entitled "Security Ownership of Certain Beneficial Owners and Management" appearing in the 2019 Proxy Statement sets forth certain information with respect to the ownership of our common stock as required by Item 403 of Regulation S-K and is incorporated herein by reference.</w:t>
      </w:r>
    </w:p>
    <w:p>
      <w:pPr>
        <w:spacing w:after="0" w:line="19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 entitled "Corporate Governance" appearing in the 2019 Proxy Statement sets forth certain information required by Item 404 of Regulation S-K and is incorporated herein by reference.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2019 Proxy Statement sets forth certain information with respect to director independence as required by Item 407(a) of Regulation S-K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section entitled "Independent Registered Public Accounting Firm's Audit Fees and Services" appearing in the 2019 Proxy Statement sets forth certain information with respect to the principal accounting fees and services and the Audit/Finance Committee's policy on pre-approval of audit and permissible non-audit services performed by our independent auditors as required by Item 9(e) of Schedule 14A and is incorporated herein by reference.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15:</w:t>
        <w:tab/>
        <w:t>EXHIBITS, FINANCIAL STATEMENT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are submitted in Item 8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 Financial Statement Schedule: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schedules have been omitted because of the absence of conditions under which they are required or because the required information is included in the consolidated financial statements or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740" w:type="dxa"/>
            <w:vAlign w:val="bottom"/>
            <w:gridSpan w:val="16"/>
          </w:tcPr>
          <w:p>
            <w:pPr>
              <w:ind w:left="40"/>
              <w:spacing w:after="0"/>
              <w:rPr>
                <w:sz w:val="20"/>
                <w:szCs w:val="20"/>
                <w:color w:val="auto"/>
              </w:rPr>
            </w:pPr>
            <w:r>
              <w:rPr>
                <w:rFonts w:ascii="Arial" w:cs="Arial" w:eastAsia="Arial" w:hAnsi="Arial"/>
                <w:sz w:val="14"/>
                <w:szCs w:val="14"/>
                <w:b w:val="1"/>
                <w:bCs w:val="1"/>
                <w:color w:val="auto"/>
              </w:rPr>
              <w:t>Description of Exhibits</w:t>
            </w:r>
          </w:p>
        </w:tc>
      </w:tr>
      <w:tr>
        <w:trPr>
          <w:trHeight w:val="432"/>
        </w:trPr>
        <w:tc>
          <w:tcPr>
            <w:tcW w:w="1260" w:type="dxa"/>
            <w:vAlign w:val="bottom"/>
            <w:tcBorders>
              <w:top w:val="single" w:sz="8" w:color="auto"/>
            </w:tcBorders>
          </w:tcPr>
          <w:p>
            <w:pPr>
              <w:jc w:val="right"/>
              <w:ind w:right="43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60" w:type="dxa"/>
            <w:vAlign w:val="bottom"/>
            <w:tcBorders>
              <w:top w:val="single" w:sz="8" w:color="auto"/>
            </w:tcBorders>
            <w:gridSpan w:val="21"/>
          </w:tcPr>
          <w:p>
            <w:pPr>
              <w:spacing w:after="0"/>
              <w:rPr>
                <w:rFonts w:ascii="Arial" w:cs="Arial" w:eastAsia="Arial" w:hAnsi="Arial"/>
                <w:sz w:val="18"/>
                <w:szCs w:val="18"/>
                <w:color w:val="0000FF"/>
                <w:w w:val="94"/>
              </w:rPr>
            </w:pPr>
            <w:hyperlink r:id="rId50">
              <w:r>
                <w:rPr>
                  <w:rFonts w:ascii="Arial" w:cs="Arial" w:eastAsia="Arial" w:hAnsi="Arial"/>
                  <w:sz w:val="18"/>
                  <w:szCs w:val="18"/>
                  <w:color w:val="0000FF"/>
                  <w:w w:val="94"/>
                </w:rPr>
                <w:t>Agreement and Plan of Merger, dated September 17, 2017, by and among Itron, Inc., Ivory Merger Sub, Inc., and Silver Spring, Inc.</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(Filed as Exhibit 2.1 to Itron Inc.'s Current Report on Form 8-K, filed on September 18, 2017)</w:t>
              </w:r>
            </w:hyperlink>
          </w:p>
        </w:tc>
        <w:tc>
          <w:tcPr>
            <w:tcW w:w="440" w:type="dxa"/>
            <w:vAlign w:val="bottom"/>
            <w:gridSpan w:val="9"/>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1260" w:type="dxa"/>
            <w:vAlign w:val="bottom"/>
          </w:tcPr>
          <w:p>
            <w:pPr>
              <w:jc w:val="right"/>
              <w:ind w:right="43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1"/>
          </w:tcPr>
          <w:p>
            <w:pPr>
              <w:spacing w:after="0"/>
              <w:rPr>
                <w:rFonts w:ascii="Arial" w:cs="Arial" w:eastAsia="Arial" w:hAnsi="Arial"/>
                <w:sz w:val="18"/>
                <w:szCs w:val="18"/>
                <w:color w:val="0000FF"/>
                <w:w w:val="93"/>
              </w:rPr>
            </w:pPr>
            <w:hyperlink r:id="rId51">
              <w:r>
                <w:rPr>
                  <w:rFonts w:ascii="Arial" w:cs="Arial" w:eastAsia="Arial" w:hAnsi="Arial"/>
                  <w:sz w:val="18"/>
                  <w:szCs w:val="18"/>
                  <w:color w:val="0000FF"/>
                  <w:w w:val="93"/>
                </w:rPr>
                <w:t>Amended and Restated Articles of Incorporation of Itron, Inc. (Filed as Exhibit 3.1 to Itron, Inc.’s Annual Report on Form 10-K, filed on</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March 27, 2003)</w:t>
              </w:r>
            </w:hyperlink>
          </w:p>
        </w:tc>
        <w:tc>
          <w:tcPr>
            <w:tcW w:w="100" w:type="dxa"/>
            <w:vAlign w:val="bottom"/>
            <w:gridSpan w:val="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1260" w:type="dxa"/>
            <w:vAlign w:val="bottom"/>
          </w:tcPr>
          <w:p>
            <w:pPr>
              <w:jc w:val="right"/>
              <w:ind w:right="43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1"/>
          </w:tcPr>
          <w:p>
            <w:pPr>
              <w:spacing w:after="0"/>
              <w:rPr>
                <w:rFonts w:ascii="Arial" w:cs="Arial" w:eastAsia="Arial" w:hAnsi="Arial"/>
                <w:sz w:val="18"/>
                <w:szCs w:val="18"/>
                <w:color w:val="0000FF"/>
                <w:w w:val="94"/>
              </w:rPr>
            </w:pPr>
            <w:hyperlink r:id="rId52">
              <w:r>
                <w:rPr>
                  <w:rFonts w:ascii="Arial" w:cs="Arial" w:eastAsia="Arial" w:hAnsi="Arial"/>
                  <w:sz w:val="18"/>
                  <w:szCs w:val="18"/>
                  <w:color w:val="0000FF"/>
                  <w:w w:val="94"/>
                </w:rPr>
                <w:t>Amended and Restated Bylaws of Itron, Inc. (Filed as Exhibit 3.2 to Itron, Inc.'s Annual Report on Form 10-K, filed on June 30, 2016)</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1260" w:type="dxa"/>
            <w:vAlign w:val="bottom"/>
          </w:tcPr>
          <w:p>
            <w:pPr>
              <w:jc w:val="right"/>
              <w:ind w:right="43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20"/>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Security Agreement dated August 5, 2011 among Itron, Inc. and Wells Fargo Bank, National Association (Filed as Exhibit 4.2 to Form 8-</w:t>
              </w:r>
            </w:hyperlink>
          </w:p>
        </w:tc>
        <w:tc>
          <w:tcPr>
            <w:tcW w:w="6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K filed on August 8, 2011)</w:t>
              </w:r>
            </w:hyperlink>
          </w:p>
        </w:tc>
        <w:tc>
          <w:tcPr>
            <w:tcW w:w="8020" w:type="dxa"/>
            <w:vAlign w:val="bottom"/>
            <w:gridSpan w:val="19"/>
          </w:tcPr>
          <w:p>
            <w:pPr>
              <w:spacing w:after="0"/>
              <w:rPr>
                <w:sz w:val="17"/>
                <w:szCs w:val="17"/>
                <w:color w:val="auto"/>
              </w:rPr>
            </w:pPr>
          </w:p>
        </w:tc>
      </w:tr>
      <w:tr>
        <w:trPr>
          <w:trHeight w:val="480"/>
        </w:trPr>
        <w:tc>
          <w:tcPr>
            <w:tcW w:w="1260" w:type="dxa"/>
            <w:vAlign w:val="bottom"/>
          </w:tcPr>
          <w:p>
            <w:pPr>
              <w:jc w:val="right"/>
              <w:ind w:right="43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tcBorders>
              <w:bottom w:val="single" w:sz="8" w:color="0000FF"/>
            </w:tcBorders>
            <w:gridSpan w:val="14"/>
          </w:tcPr>
          <w:p>
            <w:pP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First Amendment to Security Agreement dated June 23, 2015 among Itron, Inc. and Wells Fargo Bank, National Association. (Filed as</w:t>
              </w:r>
            </w:hyperlink>
          </w:p>
        </w:tc>
        <w:tc>
          <w:tcPr>
            <w:tcW w:w="26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Exhibit 4.2 to Itron, Inc.’s Current Report on Form 8-K, filed on June 23, 2015)</w:t>
              </w:r>
            </w:hyperlink>
          </w:p>
        </w:tc>
        <w:tc>
          <w:tcPr>
            <w:tcW w:w="4220" w:type="dxa"/>
            <w:vAlign w:val="bottom"/>
            <w:gridSpan w:val="15"/>
          </w:tcPr>
          <w:p>
            <w:pPr>
              <w:spacing w:after="0"/>
              <w:rPr>
                <w:sz w:val="17"/>
                <w:szCs w:val="17"/>
                <w:color w:val="auto"/>
              </w:rPr>
            </w:pPr>
          </w:p>
        </w:tc>
      </w:tr>
      <w:tr>
        <w:trPr>
          <w:trHeight w:val="480"/>
        </w:trPr>
        <w:tc>
          <w:tcPr>
            <w:tcW w:w="1260" w:type="dxa"/>
            <w:vAlign w:val="bottom"/>
          </w:tcPr>
          <w:p>
            <w:pPr>
              <w:jc w:val="right"/>
              <w:ind w:right="43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tcBorders>
              <w:bottom w:val="single" w:sz="8" w:color="0000FF"/>
            </w:tcBorders>
            <w:gridSpan w:val="11"/>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Indenture, dated as of December 22, 2017 among Itron, Inc., the guarantors from time to time party thereto and U.S. Bank National</w:t>
              </w:r>
            </w:hyperlink>
          </w:p>
        </w:tc>
        <w:tc>
          <w:tcPr>
            <w:tcW w:w="50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Association, as trustee. (Filed as Exhibit 4.1 to Itron, Inc.'s Current Report on Form 8-K, filed on December 22, 2017)</w:t>
              </w:r>
            </w:hyperlink>
          </w:p>
        </w:tc>
        <w:tc>
          <w:tcPr>
            <w:tcW w:w="1460" w:type="dxa"/>
            <w:vAlign w:val="bottom"/>
            <w:gridSpan w:val="12"/>
          </w:tcPr>
          <w:p>
            <w:pPr>
              <w:spacing w:after="0"/>
              <w:rPr>
                <w:sz w:val="17"/>
                <w:szCs w:val="17"/>
                <w:color w:val="auto"/>
              </w:rPr>
            </w:pPr>
          </w:p>
        </w:tc>
      </w:tr>
      <w:tr>
        <w:trPr>
          <w:trHeight w:val="480"/>
        </w:trPr>
        <w:tc>
          <w:tcPr>
            <w:tcW w:w="1260" w:type="dxa"/>
            <w:vAlign w:val="bottom"/>
          </w:tcPr>
          <w:p>
            <w:pPr>
              <w:jc w:val="right"/>
              <w:ind w:right="43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89"/>
              </w:rPr>
            </w:pPr>
            <w:hyperlink r:id="rId56">
              <w:r>
                <w:rPr>
                  <w:rFonts w:ascii="Arial" w:cs="Arial" w:eastAsia="Arial" w:hAnsi="Arial"/>
                  <w:sz w:val="18"/>
                  <w:szCs w:val="18"/>
                  <w:color w:val="0000FF"/>
                  <w:w w:val="89"/>
                </w:rPr>
                <w:t>Second Amended and Restated Credit Agreement dated January 5, 2018 among Itron, Inc. and a syndicate of banks led by Wells Fargo</w:t>
              </w:r>
            </w:hyperlink>
          </w:p>
        </w:tc>
        <w:tc>
          <w:tcPr>
            <w:tcW w:w="22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Bank, National Association, JPMorgan Chase Bank, N.A., J.P. Morgan Europe Limited, J.P. Morgan Securities PLC, BNP Paribas, and</w:t>
              </w:r>
            </w:hyperlink>
          </w:p>
        </w:tc>
        <w:tc>
          <w:tcPr>
            <w:tcW w:w="24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0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Silicon Valley Bank (Filed as Exhibit 4.1 to Itron, Inc.'s Current Report on Form 8-K, filed on January 11, 2018)</w:t>
              </w:r>
            </w:hyperlink>
          </w:p>
        </w:tc>
        <w:tc>
          <w:tcPr>
            <w:tcW w:w="1860" w:type="dxa"/>
            <w:vAlign w:val="bottom"/>
            <w:gridSpan w:val="13"/>
          </w:tcPr>
          <w:p>
            <w:pPr>
              <w:spacing w:after="0"/>
              <w:rPr>
                <w:sz w:val="17"/>
                <w:szCs w:val="17"/>
                <w:color w:val="auto"/>
              </w:rPr>
            </w:pPr>
          </w:p>
        </w:tc>
      </w:tr>
      <w:tr>
        <w:trPr>
          <w:trHeight w:val="480"/>
        </w:trPr>
        <w:tc>
          <w:tcPr>
            <w:tcW w:w="1260" w:type="dxa"/>
            <w:vAlign w:val="bottom"/>
          </w:tcPr>
          <w:p>
            <w:pPr>
              <w:jc w:val="right"/>
              <w:ind w:right="33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1"/>
          </w:tcPr>
          <w:p>
            <w:pPr>
              <w:spacing w:after="0"/>
              <w:rPr>
                <w:rFonts w:ascii="Arial" w:cs="Arial" w:eastAsia="Arial" w:hAnsi="Arial"/>
                <w:sz w:val="18"/>
                <w:szCs w:val="18"/>
                <w:color w:val="0000FF"/>
                <w:w w:val="93"/>
              </w:rPr>
            </w:pPr>
            <w:hyperlink r:id="rId57">
              <w:r>
                <w:rPr>
                  <w:rFonts w:ascii="Arial" w:cs="Arial" w:eastAsia="Arial" w:hAnsi="Arial"/>
                  <w:sz w:val="18"/>
                  <w:szCs w:val="18"/>
                  <w:color w:val="0000FF"/>
                  <w:w w:val="93"/>
                </w:rPr>
                <w:t>Form of Amended and Restated Change in Control Severance Agreement for Executive Officers. (Filed as Exhibit 10.1 to Itron, Inc.’s</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Annual Report on Form 10-K, filed on February 22, 2013)</w:t>
              </w:r>
            </w:hyperlink>
          </w:p>
        </w:tc>
        <w:tc>
          <w:tcPr>
            <w:tcW w:w="5440" w:type="dxa"/>
            <w:vAlign w:val="bottom"/>
            <w:tcBorders>
              <w:top w:val="single" w:sz="8" w:color="0000FF"/>
            </w:tcBorders>
            <w:gridSpan w:val="8"/>
          </w:tcPr>
          <w:p>
            <w:pPr>
              <w:spacing w:after="0"/>
              <w:rPr>
                <w:sz w:val="17"/>
                <w:szCs w:val="17"/>
                <w:color w:val="auto"/>
              </w:rPr>
            </w:pPr>
          </w:p>
        </w:tc>
        <w:tc>
          <w:tcPr>
            <w:tcW w:w="300" w:type="dxa"/>
            <w:vAlign w:val="bottom"/>
            <w:gridSpan w:val="8"/>
          </w:tcPr>
          <w:p>
            <w:pPr>
              <w:spacing w:after="0"/>
              <w:rPr>
                <w:sz w:val="17"/>
                <w:szCs w:val="17"/>
                <w:color w:val="auto"/>
              </w:rPr>
            </w:pPr>
          </w:p>
        </w:tc>
      </w:tr>
      <w:tr>
        <w:trPr>
          <w:trHeight w:val="480"/>
        </w:trPr>
        <w:tc>
          <w:tcPr>
            <w:tcW w:w="1260" w:type="dxa"/>
            <w:vAlign w:val="bottom"/>
          </w:tcPr>
          <w:p>
            <w:pPr>
              <w:jc w:val="right"/>
              <w:ind w:right="331"/>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1"/>
          </w:tcPr>
          <w:p>
            <w:pPr>
              <w:spacing w:after="0"/>
              <w:rPr>
                <w:rFonts w:ascii="Arial" w:cs="Arial" w:eastAsia="Arial" w:hAnsi="Arial"/>
                <w:sz w:val="18"/>
                <w:szCs w:val="18"/>
                <w:color w:val="0000FF"/>
                <w:w w:val="92"/>
              </w:rPr>
            </w:pPr>
            <w:hyperlink w:anchor="page111">
              <w:r>
                <w:rPr>
                  <w:rFonts w:ascii="Arial" w:cs="Arial" w:eastAsia="Arial" w:hAnsi="Arial"/>
                  <w:sz w:val="18"/>
                  <w:szCs w:val="18"/>
                  <w:color w:val="0000FF"/>
                  <w:w w:val="92"/>
                </w:rPr>
                <w:t>Schedule of certain executive officers who are parties to Change in Control Severance Agreements with Itron, Inc. (filed with this report)</w:t>
              </w:r>
            </w:hyperlink>
          </w:p>
        </w:tc>
      </w:tr>
      <w:tr>
        <w:trPr>
          <w:trHeight w:val="480"/>
        </w:trPr>
        <w:tc>
          <w:tcPr>
            <w:tcW w:w="1260" w:type="dxa"/>
            <w:vAlign w:val="bottom"/>
          </w:tcPr>
          <w:p>
            <w:pPr>
              <w:jc w:val="right"/>
              <w:ind w:right="33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top w:val="single" w:sz="8" w:color="0000FF"/>
              <w:bottom w:val="single" w:sz="8" w:color="0000FF"/>
            </w:tcBorders>
            <w:gridSpan w:val="17"/>
          </w:tcPr>
          <w:p>
            <w:pPr>
              <w:spacing w:after="0"/>
              <w:rPr>
                <w:rFonts w:ascii="Arial" w:cs="Arial" w:eastAsia="Arial" w:hAnsi="Arial"/>
                <w:sz w:val="18"/>
                <w:szCs w:val="18"/>
                <w:color w:val="0000FF"/>
                <w:w w:val="92"/>
              </w:rPr>
            </w:pPr>
            <w:hyperlink r:id="rId58">
              <w:r>
                <w:rPr>
                  <w:rFonts w:ascii="Arial" w:cs="Arial" w:eastAsia="Arial" w:hAnsi="Arial"/>
                  <w:sz w:val="18"/>
                  <w:szCs w:val="18"/>
                  <w:color w:val="0000FF"/>
                  <w:w w:val="92"/>
                </w:rPr>
                <w:t>Form of Indemnification Agreements between Itron, Inc. and certain directors and officers. (Filed as Exhibit 10.9 to Itron, Inc.’s Annual</w:t>
              </w:r>
            </w:hyperlink>
          </w:p>
        </w:tc>
        <w:tc>
          <w:tcPr>
            <w:tcW w:w="80" w:type="dxa"/>
            <w:vAlign w:val="bottom"/>
            <w:tcBorders>
              <w:top w:val="single" w:sz="8" w:color="0000FF"/>
            </w:tcBorders>
            <w:gridSpan w:val="2"/>
          </w:tcPr>
          <w:p>
            <w:pPr>
              <w:spacing w:after="0"/>
              <w:rPr>
                <w:sz w:val="24"/>
                <w:szCs w:val="24"/>
                <w:color w:val="auto"/>
              </w:rPr>
            </w:pPr>
          </w:p>
        </w:tc>
        <w:tc>
          <w:tcPr>
            <w:tcW w:w="8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Report on Form 10-K, filed on March 30, 2000)</w:t>
              </w:r>
            </w:hyperlink>
          </w:p>
        </w:tc>
        <w:tc>
          <w:tcPr>
            <w:tcW w:w="6500" w:type="dxa"/>
            <w:vAlign w:val="bottom"/>
            <w:gridSpan w:val="17"/>
          </w:tcPr>
          <w:p>
            <w:pPr>
              <w:spacing w:after="0"/>
              <w:rPr>
                <w:sz w:val="17"/>
                <w:szCs w:val="17"/>
                <w:color w:val="auto"/>
              </w:rPr>
            </w:pPr>
          </w:p>
        </w:tc>
      </w:tr>
      <w:tr>
        <w:trPr>
          <w:trHeight w:val="480"/>
        </w:trPr>
        <w:tc>
          <w:tcPr>
            <w:tcW w:w="1260" w:type="dxa"/>
            <w:vAlign w:val="bottom"/>
          </w:tcPr>
          <w:p>
            <w:pPr>
              <w:jc w:val="right"/>
              <w:ind w:right="33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1"/>
          </w:tcPr>
          <w:p>
            <w:pPr>
              <w:spacing w:after="0"/>
              <w:rPr>
                <w:rFonts w:ascii="Arial" w:cs="Arial" w:eastAsia="Arial" w:hAnsi="Arial"/>
                <w:sz w:val="18"/>
                <w:szCs w:val="18"/>
                <w:color w:val="0000FF"/>
                <w:w w:val="98"/>
              </w:rPr>
            </w:pPr>
            <w:hyperlink w:anchor="page112">
              <w:r>
                <w:rPr>
                  <w:rFonts w:ascii="Arial" w:cs="Arial" w:eastAsia="Arial" w:hAnsi="Arial"/>
                  <w:sz w:val="18"/>
                  <w:szCs w:val="18"/>
                  <w:color w:val="0000FF"/>
                  <w:w w:val="98"/>
                </w:rPr>
                <w:t>Schedule of directors and executive officers who are parties to Indemnification Agreements with Itron, Inc. (filed with this report)</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6520" w:type="dxa"/>
            <w:vAlign w:val="bottom"/>
            <w:gridSpan w:val="7"/>
            <w:shd w:val="clear" w:color="auto" w:fill="0000FF"/>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1260" w:type="dxa"/>
            <w:vAlign w:val="bottom"/>
          </w:tcPr>
          <w:p>
            <w:pPr>
              <w:jc w:val="right"/>
              <w:ind w:right="33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20"/>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Amended and Restated 2010 Stock Incentive Plan. (Filed as Appendix A to Itron, Inc.’s Proxy Statement for the 2014 Annual Meeting of</w:t>
              </w:r>
            </w:hyperlink>
          </w:p>
        </w:tc>
        <w:tc>
          <w:tcPr>
            <w:tcW w:w="6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Shareholders, filed on March 13, 2014)</w:t>
              </w:r>
            </w:hyperlink>
          </w:p>
        </w:tc>
        <w:tc>
          <w:tcPr>
            <w:tcW w:w="7120" w:type="dxa"/>
            <w:vAlign w:val="bottom"/>
            <w:gridSpan w:val="18"/>
          </w:tcPr>
          <w:p>
            <w:pPr>
              <w:spacing w:after="0"/>
              <w:rPr>
                <w:sz w:val="17"/>
                <w:szCs w:val="17"/>
                <w:color w:val="auto"/>
              </w:rPr>
            </w:pPr>
          </w:p>
        </w:tc>
      </w:tr>
      <w:tr>
        <w:trPr>
          <w:trHeight w:val="736"/>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60" w:type="dxa"/>
            <w:vAlign w:val="bottom"/>
            <w:gridSpan w:val="7"/>
          </w:tcPr>
          <w:p>
            <w:pPr>
              <w:jc w:val="right"/>
              <w:ind w:right="1228"/>
              <w:spacing w:after="0"/>
              <w:rPr>
                <w:sz w:val="20"/>
                <w:szCs w:val="20"/>
                <w:color w:val="auto"/>
              </w:rPr>
            </w:pPr>
            <w:r>
              <w:rPr>
                <w:rFonts w:ascii="Arial" w:cs="Arial" w:eastAsia="Arial" w:hAnsi="Arial"/>
                <w:sz w:val="18"/>
                <w:szCs w:val="18"/>
                <w:color w:val="auto"/>
              </w:rPr>
              <w:t>103</w:t>
            </w: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40"/>
        <w:spacing w:after="0"/>
        <w:tabs>
          <w:tab w:leader="none" w:pos="568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3"/>
          <w:szCs w:val="13"/>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1420" w:right="360" w:hanging="978"/>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61">
        <w:r>
          <w:rPr>
            <w:rFonts w:ascii="Arial" w:cs="Arial" w:eastAsia="Arial" w:hAnsi="Arial"/>
            <w:sz w:val="18"/>
            <w:szCs w:val="18"/>
            <w:u w:val="single" w:color="auto"/>
            <w:color w:val="0000FF"/>
          </w:rPr>
          <w:t>Second Amended and Restated 2010 Stock Incentive Plan. (Filed as Appendix A to Itron, Inc.'s Proxy Statement for the 2017 Annual</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Meeting of Shareholders, filed on March 24, 2017)</w:t>
        </w:r>
      </w:hyperlink>
    </w:p>
    <w:p>
      <w:pPr>
        <w:spacing w:after="0" w:line="238" w:lineRule="exact"/>
        <w:rPr>
          <w:sz w:val="20"/>
          <w:szCs w:val="20"/>
          <w:color w:val="auto"/>
        </w:rPr>
      </w:pPr>
    </w:p>
    <w:p>
      <w:pPr>
        <w:ind w:left="1420" w:right="240" w:hanging="978"/>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62">
        <w:r>
          <w:rPr>
            <w:rFonts w:ascii="Arial" w:cs="Arial" w:eastAsia="Arial" w:hAnsi="Arial"/>
            <w:sz w:val="18"/>
            <w:szCs w:val="18"/>
            <w:u w:val="single" w:color="auto"/>
            <w:color w:val="0000FF"/>
          </w:rPr>
          <w:t>Rules of Itron Inc.'s Amended and Restated 2010 Stock Incentive Plan for the Grant of Restricted Stock Unit (RSU's) to Participants in</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France. (Filed as Exhibit 10.6 to Itron, Inc.'s Quarterly Report on Form 10-Q, filed on August 6, 2014)</w:t>
        </w:r>
      </w:hyperlink>
    </w:p>
    <w:p>
      <w:pPr>
        <w:spacing w:after="0" w:line="238" w:lineRule="exact"/>
        <w:rPr>
          <w:sz w:val="20"/>
          <w:szCs w:val="20"/>
          <w:color w:val="auto"/>
        </w:rPr>
      </w:pPr>
    </w:p>
    <w:p>
      <w:pPr>
        <w:ind w:left="1420" w:right="900" w:hanging="978"/>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63">
        <w:r>
          <w:rPr>
            <w:rFonts w:ascii="Arial" w:cs="Arial" w:eastAsia="Arial" w:hAnsi="Arial"/>
            <w:sz w:val="18"/>
            <w:szCs w:val="18"/>
            <w:u w:val="single" w:color="auto"/>
            <w:color w:val="0000FF"/>
          </w:rPr>
          <w:t>Executive Management Incentive Plan. (Filed as Appendix B to Itron, Inc.’s Proxy Statement for the 2010 Annual Meeting of</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Shareholders, filed on March 17, 2010)</w:t>
        </w:r>
      </w:hyperlink>
    </w:p>
    <w:p>
      <w:pPr>
        <w:spacing w:after="0" w:line="238" w:lineRule="exact"/>
        <w:rPr>
          <w:sz w:val="20"/>
          <w:szCs w:val="20"/>
          <w:color w:val="auto"/>
        </w:rPr>
      </w:pPr>
    </w:p>
    <w:p>
      <w:pPr>
        <w:ind w:left="1420" w:right="80" w:hanging="978"/>
        <w:spacing w:after="0" w:line="308" w:lineRule="auto"/>
        <w:tabs>
          <w:tab w:leader="none" w:pos="1400" w:val="left"/>
        </w:tabs>
        <w:rPr>
          <w:rFonts w:ascii="Arial" w:cs="Arial" w:eastAsia="Arial" w:hAnsi="Arial"/>
          <w:sz w:val="17"/>
          <w:szCs w:val="17"/>
          <w:u w:val="single" w:color="auto"/>
          <w:color w:val="0000FF"/>
        </w:rPr>
      </w:pPr>
      <w:r>
        <w:rPr>
          <w:rFonts w:ascii="Arial" w:cs="Arial" w:eastAsia="Arial" w:hAnsi="Arial"/>
          <w:sz w:val="18"/>
          <w:szCs w:val="18"/>
          <w:color w:val="auto"/>
        </w:rPr>
        <w:t>10.9*</w:t>
      </w:r>
      <w:r>
        <w:rPr>
          <w:sz w:val="20"/>
          <w:szCs w:val="20"/>
          <w:color w:val="auto"/>
        </w:rPr>
        <w:tab/>
      </w:r>
      <w:hyperlink r:id="rId64">
        <w:r>
          <w:rPr>
            <w:rFonts w:ascii="Arial" w:cs="Arial" w:eastAsia="Arial" w:hAnsi="Arial"/>
            <w:sz w:val="17"/>
            <w:szCs w:val="17"/>
            <w:u w:val="single" w:color="auto"/>
            <w:color w:val="0000FF"/>
          </w:rPr>
          <w:t>Terms of the Amended and Restated Equity Grant Program for Nonemployee Directors under the Itron, Inc. Amended and Restated 2000</w:t>
        </w:r>
      </w:hyperlink>
      <w:r>
        <w:rPr>
          <w:rFonts w:ascii="Arial" w:cs="Arial" w:eastAsia="Arial" w:hAnsi="Arial"/>
          <w:sz w:val="17"/>
          <w:szCs w:val="17"/>
          <w:u w:val="single" w:color="auto"/>
          <w:color w:val="0000FF"/>
        </w:rPr>
        <w:t xml:space="preserve"> </w:t>
      </w:r>
      <w:hyperlink r:id="rId64">
        <w:r>
          <w:rPr>
            <w:rFonts w:ascii="Arial" w:cs="Arial" w:eastAsia="Arial" w:hAnsi="Arial"/>
            <w:sz w:val="17"/>
            <w:szCs w:val="17"/>
            <w:u w:val="single" w:color="auto"/>
            <w:color w:val="0000FF"/>
          </w:rPr>
          <w:t>Stock Incentive Plan. (Filed as Exhibit 10.4 to Itron, Inc.’s Annual Report on Form 10-K, filed on February 26, 2008)</w:t>
        </w:r>
      </w:hyperlink>
    </w:p>
    <w:p>
      <w:pPr>
        <w:spacing w:after="0" w:line="214" w:lineRule="exact"/>
        <w:rPr>
          <w:sz w:val="20"/>
          <w:szCs w:val="20"/>
          <w:color w:val="auto"/>
        </w:rPr>
      </w:pPr>
    </w:p>
    <w:p>
      <w:pPr>
        <w:ind w:left="1420" w:right="160" w:hanging="1023"/>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65">
        <w:r>
          <w:rPr>
            <w:rFonts w:ascii="Arial" w:cs="Arial" w:eastAsia="Arial" w:hAnsi="Arial"/>
            <w:sz w:val="18"/>
            <w:szCs w:val="18"/>
            <w:u w:val="single" w:color="auto"/>
            <w:color w:val="0000FF"/>
          </w:rPr>
          <w:t>Form of Stock Option Grant Notice and Agreement for use in connection with both incentive and non-qualified stock options granted</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under Itron, Inc.'s Amended and Restated 2000 Stock Incentive Plan. (Filed as Exhibit 10.6 to Itron, Inc.’s Current Report on Form 8-K,</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filed on February 18, 2010)</w:t>
        </w:r>
      </w:hyperlink>
    </w:p>
    <w:p>
      <w:pPr>
        <w:spacing w:after="0" w:line="249" w:lineRule="exact"/>
        <w:rPr>
          <w:rFonts w:ascii="Arial" w:cs="Arial" w:eastAsia="Arial" w:hAnsi="Arial"/>
          <w:sz w:val="18"/>
          <w:szCs w:val="18"/>
          <w:u w:val="single" w:color="auto"/>
          <w:color w:val="0000FF"/>
        </w:rPr>
      </w:pPr>
    </w:p>
    <w:p>
      <w:pPr>
        <w:ind w:left="1420" w:right="40" w:hanging="1020"/>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66">
        <w:r>
          <w:rPr>
            <w:rFonts w:ascii="Arial" w:cs="Arial" w:eastAsia="Arial" w:hAnsi="Arial"/>
            <w:sz w:val="18"/>
            <w:szCs w:val="18"/>
            <w:u w:val="single" w:color="auto"/>
            <w:color w:val="0000FF"/>
          </w:rPr>
          <w:t>Form of RSU Award Notice and Agreement for U.S. Participants for use in connection with the Company’s Long-Term Performance Plan</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(LTPP) and issued under Itron, Inc.'s Amended and Restated 2000 Stock Incentive Plan. (Filed as Exhibit 10.1 to Itron, Inc.’s Current</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Report on Form 8-K, filed on February 18, 2010)</w:t>
        </w:r>
      </w:hyperlink>
    </w:p>
    <w:p>
      <w:pPr>
        <w:spacing w:after="0" w:line="249" w:lineRule="exact"/>
        <w:rPr>
          <w:rFonts w:ascii="Arial" w:cs="Arial" w:eastAsia="Arial" w:hAnsi="Arial"/>
          <w:sz w:val="18"/>
          <w:szCs w:val="18"/>
          <w:u w:val="single" w:color="auto"/>
          <w:color w:val="0000FF"/>
        </w:rPr>
      </w:pPr>
    </w:p>
    <w:p>
      <w:pPr>
        <w:ind w:left="1420" w:right="220" w:hanging="1023"/>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67">
        <w:r>
          <w:rPr>
            <w:rFonts w:ascii="Arial" w:cs="Arial" w:eastAsia="Arial" w:hAnsi="Arial"/>
            <w:sz w:val="18"/>
            <w:szCs w:val="18"/>
            <w:u w:val="single" w:color="auto"/>
            <w:color w:val="0000FF"/>
          </w:rPr>
          <w:t>Form of RSU Award Notice and Agreement for International Participants (excluding France) for use in connection with the Company’s</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LTPP and issued under Itron, Inc.'s Amended and Restated 2000 Stock Incentive Plan. (Filed as Exhibit 10.2 to Itron, Inc.’s Current</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Report on Form 8-K, filed on February 18, 2010)</w:t>
        </w:r>
      </w:hyperlink>
    </w:p>
    <w:p>
      <w:pPr>
        <w:spacing w:after="0" w:line="249" w:lineRule="exact"/>
        <w:rPr>
          <w:rFonts w:ascii="Arial" w:cs="Arial" w:eastAsia="Arial" w:hAnsi="Arial"/>
          <w:sz w:val="18"/>
          <w:szCs w:val="18"/>
          <w:u w:val="single" w:color="auto"/>
          <w:color w:val="0000FF"/>
        </w:rPr>
      </w:pPr>
    </w:p>
    <w:p>
      <w:pPr>
        <w:ind w:left="1420" w:hanging="1023"/>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68">
        <w:r>
          <w:rPr>
            <w:rFonts w:ascii="Arial" w:cs="Arial" w:eastAsia="Arial" w:hAnsi="Arial"/>
            <w:sz w:val="18"/>
            <w:szCs w:val="18"/>
            <w:u w:val="single" w:color="auto"/>
            <w:color w:val="0000FF"/>
          </w:rPr>
          <w:t>Form of RSU Award Notice and Agreement for Participants in France for use in connection with Itron, Inc.'s LTPP and issued under Itron,</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Inc.'s Amended and Restated 2000 Stock Incentive Plan. (Filed as Exhibit 10.3 to Itron, Inc.’s Current Report on Form 8-K, filed on</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February 18, 2010)</w:t>
        </w:r>
      </w:hyperlink>
    </w:p>
    <w:p>
      <w:pPr>
        <w:spacing w:after="0" w:line="249" w:lineRule="exact"/>
        <w:rPr>
          <w:rFonts w:ascii="Arial" w:cs="Arial" w:eastAsia="Arial" w:hAnsi="Arial"/>
          <w:sz w:val="18"/>
          <w:szCs w:val="18"/>
          <w:u w:val="single" w:color="auto"/>
          <w:color w:val="0000FF"/>
        </w:rPr>
      </w:pPr>
    </w:p>
    <w:p>
      <w:pPr>
        <w:ind w:left="1420" w:right="180" w:hanging="1023"/>
        <w:spacing w:after="0" w:line="342" w:lineRule="auto"/>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r:id="rId69">
        <w:r>
          <w:rPr>
            <w:rFonts w:ascii="Arial" w:cs="Arial" w:eastAsia="Arial" w:hAnsi="Arial"/>
            <w:sz w:val="16"/>
            <w:szCs w:val="16"/>
            <w:u w:val="single" w:color="auto"/>
            <w:color w:val="0000FF"/>
          </w:rPr>
          <w:t>Form of RSU Award Notice and Agreement for all Participants (excluding France) for use in connection with Itron, Inc.'s Amended and</w:t>
        </w:r>
      </w:hyperlink>
      <w:r>
        <w:rPr>
          <w:rFonts w:ascii="Arial" w:cs="Arial" w:eastAsia="Arial" w:hAnsi="Arial"/>
          <w:sz w:val="16"/>
          <w:szCs w:val="16"/>
          <w:u w:val="single" w:color="auto"/>
          <w:color w:val="0000FF"/>
        </w:rPr>
        <w:t xml:space="preserve"> </w:t>
      </w:r>
      <w:hyperlink r:id="rId69">
        <w:r>
          <w:rPr>
            <w:rFonts w:ascii="Arial" w:cs="Arial" w:eastAsia="Arial" w:hAnsi="Arial"/>
            <w:sz w:val="16"/>
            <w:szCs w:val="16"/>
            <w:u w:val="single" w:color="auto"/>
            <w:color w:val="0000FF"/>
          </w:rPr>
          <w:t>Restated 2000 Stock Incentive Plan. (Filed as Exhibit 10.4 to Itron, Inc.’s Current Report on Form 8-K, filed on February 18, 2010)</w:t>
        </w:r>
      </w:hyperlink>
    </w:p>
    <w:p>
      <w:pPr>
        <w:spacing w:after="0" w:line="191" w:lineRule="exact"/>
        <w:rPr>
          <w:sz w:val="20"/>
          <w:szCs w:val="20"/>
          <w:color w:val="auto"/>
        </w:rPr>
      </w:pPr>
    </w:p>
    <w:p>
      <w:pPr>
        <w:ind w:left="1420" w:right="20" w:hanging="1023"/>
        <w:spacing w:after="0" w:line="308" w:lineRule="auto"/>
        <w:tabs>
          <w:tab w:leader="none" w:pos="1400" w:val="left"/>
        </w:tabs>
        <w:rPr>
          <w:rFonts w:ascii="Arial" w:cs="Arial" w:eastAsia="Arial" w:hAnsi="Arial"/>
          <w:sz w:val="17"/>
          <w:szCs w:val="17"/>
          <w:u w:val="single" w:color="auto"/>
          <w:color w:val="0000FF"/>
        </w:rPr>
      </w:pPr>
      <w:r>
        <w:rPr>
          <w:rFonts w:ascii="Arial" w:cs="Arial" w:eastAsia="Arial" w:hAnsi="Arial"/>
          <w:sz w:val="18"/>
          <w:szCs w:val="18"/>
          <w:color w:val="auto"/>
        </w:rPr>
        <w:t>10.15*</w:t>
      </w:r>
      <w:r>
        <w:rPr>
          <w:sz w:val="20"/>
          <w:szCs w:val="20"/>
          <w:color w:val="auto"/>
        </w:rPr>
        <w:tab/>
      </w:r>
      <w:hyperlink r:id="rId70">
        <w:r>
          <w:rPr>
            <w:rFonts w:ascii="Arial" w:cs="Arial" w:eastAsia="Arial" w:hAnsi="Arial"/>
            <w:sz w:val="17"/>
            <w:szCs w:val="17"/>
            <w:u w:val="single" w:color="auto"/>
            <w:color w:val="0000FF"/>
          </w:rPr>
          <w:t>Form of RSU Award Notice and Agreement for Participants in France for use in connection with Itron, Inc.'s Amended and Restated 2000</w:t>
        </w:r>
      </w:hyperlink>
      <w:r>
        <w:rPr>
          <w:rFonts w:ascii="Arial" w:cs="Arial" w:eastAsia="Arial" w:hAnsi="Arial"/>
          <w:sz w:val="17"/>
          <w:szCs w:val="17"/>
          <w:u w:val="single" w:color="auto"/>
          <w:color w:val="0000FF"/>
        </w:rPr>
        <w:t xml:space="preserve"> </w:t>
      </w:r>
      <w:hyperlink r:id="rId70">
        <w:r>
          <w:rPr>
            <w:rFonts w:ascii="Arial" w:cs="Arial" w:eastAsia="Arial" w:hAnsi="Arial"/>
            <w:sz w:val="17"/>
            <w:szCs w:val="17"/>
            <w:u w:val="single" w:color="auto"/>
            <w:color w:val="0000FF"/>
          </w:rPr>
          <w:t>Stock Incentive Plan. (Filed as Exhibit 10.5 to Itron, Inc.’s Current Report on Form 8-K, filed on February 18, 2010)</w:t>
        </w:r>
      </w:hyperlink>
    </w:p>
    <w:p>
      <w:pPr>
        <w:spacing w:after="0" w:line="214" w:lineRule="exact"/>
        <w:rPr>
          <w:sz w:val="20"/>
          <w:szCs w:val="20"/>
          <w:color w:val="auto"/>
        </w:rPr>
      </w:pPr>
    </w:p>
    <w:p>
      <w:pPr>
        <w:ind w:left="1420" w:right="80" w:hanging="1023"/>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71">
        <w:r>
          <w:rPr>
            <w:rFonts w:ascii="Arial" w:cs="Arial" w:eastAsia="Arial" w:hAnsi="Arial"/>
            <w:sz w:val="18"/>
            <w:szCs w:val="18"/>
            <w:u w:val="single" w:color="auto"/>
            <w:color w:val="0000FF"/>
          </w:rPr>
          <w:t>Form of Long Term Performance RSU Award Notice and Agreement for U.S. Participants for use in connection with Itron, Inc.'s</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Amended and Restated 2010 Stock Incentive Plan. (Filed as Exhibit 10.4 to Itron, Inc.’s Quarterly Report on Form 10-Q, filed on August</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6, 2014)</w:t>
        </w:r>
      </w:hyperlink>
    </w:p>
    <w:p>
      <w:pPr>
        <w:spacing w:after="0" w:line="249" w:lineRule="exact"/>
        <w:rPr>
          <w:rFonts w:ascii="Arial" w:cs="Arial" w:eastAsia="Arial" w:hAnsi="Arial"/>
          <w:sz w:val="18"/>
          <w:szCs w:val="18"/>
          <w:u w:val="single" w:color="auto"/>
          <w:color w:val="0000FF"/>
        </w:rPr>
      </w:pPr>
    </w:p>
    <w:p>
      <w:pPr>
        <w:ind w:left="1420" w:right="160" w:hanging="1023"/>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72">
        <w:r>
          <w:rPr>
            <w:rFonts w:ascii="Arial" w:cs="Arial" w:eastAsia="Arial" w:hAnsi="Arial"/>
            <w:sz w:val="18"/>
            <w:szCs w:val="18"/>
            <w:u w:val="single" w:color="auto"/>
            <w:color w:val="0000FF"/>
          </w:rPr>
          <w:t>Form of Long Term Performance RSU Award Notice and Agreement for International Participants (excluding France) for use in</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connection with Itron, Inc.'s Amended and Restated 2010 Stock Incentive Plan. (Filed as Exhibit 10.19 to Itron, Inc.’s Annual Report on</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Form 10-K, filed on February 25, 2011)</w:t>
        </w:r>
      </w:hyperlink>
    </w:p>
    <w:p>
      <w:pPr>
        <w:spacing w:after="0" w:line="249" w:lineRule="exact"/>
        <w:rPr>
          <w:rFonts w:ascii="Arial" w:cs="Arial" w:eastAsia="Arial" w:hAnsi="Arial"/>
          <w:sz w:val="18"/>
          <w:szCs w:val="18"/>
          <w:u w:val="single" w:color="auto"/>
          <w:color w:val="0000FF"/>
        </w:rPr>
      </w:pPr>
    </w:p>
    <w:p>
      <w:pPr>
        <w:ind w:left="1420" w:right="80" w:hanging="1023"/>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73">
        <w:r>
          <w:rPr>
            <w:rFonts w:ascii="Arial" w:cs="Arial" w:eastAsia="Arial" w:hAnsi="Arial"/>
            <w:sz w:val="18"/>
            <w:szCs w:val="18"/>
            <w:u w:val="single" w:color="auto"/>
            <w:color w:val="0000FF"/>
          </w:rPr>
          <w:t>Form of Long Term Performance RSU Award Notice and Agreement for Participants in France for use in connection with Itron, Inc.'s</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Amended and Restated 2010 Stock Incentive Plan. (Filed as Exhibit 10.5 to Itron, Inc.’s Quarterly Report on Form 10-Q, filed on August</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6, 2014)</w:t>
        </w:r>
      </w:hyperlink>
    </w:p>
    <w:p>
      <w:pPr>
        <w:spacing w:after="0" w:line="249" w:lineRule="exact"/>
        <w:rPr>
          <w:rFonts w:ascii="Arial" w:cs="Arial" w:eastAsia="Arial" w:hAnsi="Arial"/>
          <w:sz w:val="18"/>
          <w:szCs w:val="18"/>
          <w:u w:val="single" w:color="auto"/>
          <w:color w:val="0000FF"/>
        </w:rPr>
      </w:pPr>
    </w:p>
    <w:p>
      <w:pPr>
        <w:ind w:left="1420" w:right="180" w:hanging="1023"/>
        <w:spacing w:after="0" w:line="342" w:lineRule="auto"/>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10.19*</w:t>
      </w:r>
      <w:r>
        <w:rPr>
          <w:sz w:val="20"/>
          <w:szCs w:val="20"/>
          <w:color w:val="auto"/>
        </w:rPr>
        <w:tab/>
      </w:r>
      <w:hyperlink r:id="rId74">
        <w:r>
          <w:rPr>
            <w:rFonts w:ascii="Arial" w:cs="Arial" w:eastAsia="Arial" w:hAnsi="Arial"/>
            <w:sz w:val="16"/>
            <w:szCs w:val="16"/>
            <w:u w:val="single" w:color="auto"/>
            <w:color w:val="0000FF"/>
          </w:rPr>
          <w:t>Form of RSU Award Notice and Agreement for all Participants (excluding France) for use in connection with Itron, Inc.'s Amended and</w:t>
        </w:r>
      </w:hyperlink>
      <w:r>
        <w:rPr>
          <w:rFonts w:ascii="Arial" w:cs="Arial" w:eastAsia="Arial" w:hAnsi="Arial"/>
          <w:sz w:val="16"/>
          <w:szCs w:val="16"/>
          <w:u w:val="single" w:color="auto"/>
          <w:color w:val="0000FF"/>
        </w:rPr>
        <w:t xml:space="preserve"> </w:t>
      </w:r>
      <w:hyperlink r:id="rId74">
        <w:r>
          <w:rPr>
            <w:rFonts w:ascii="Arial" w:cs="Arial" w:eastAsia="Arial" w:hAnsi="Arial"/>
            <w:sz w:val="16"/>
            <w:szCs w:val="16"/>
            <w:u w:val="single" w:color="auto"/>
            <w:color w:val="0000FF"/>
          </w:rPr>
          <w:t>Restated 2010 Stock Incentive Plan. (Filed as Exhibit 10.2 to Itron, Inc.’s Quarterly Report on Form 10-Q, filed on August 6, 2014)</w:t>
        </w:r>
      </w:hyperlink>
    </w:p>
    <w:p>
      <w:pPr>
        <w:spacing w:after="0" w:line="191" w:lineRule="exact"/>
        <w:rPr>
          <w:sz w:val="20"/>
          <w:szCs w:val="20"/>
          <w:color w:val="auto"/>
        </w:rPr>
      </w:pPr>
    </w:p>
    <w:p>
      <w:pPr>
        <w:ind w:left="1420" w:right="20" w:hanging="1023"/>
        <w:spacing w:after="0" w:line="308" w:lineRule="auto"/>
        <w:tabs>
          <w:tab w:leader="none" w:pos="1400" w:val="left"/>
        </w:tabs>
        <w:rPr>
          <w:rFonts w:ascii="Arial" w:cs="Arial" w:eastAsia="Arial" w:hAnsi="Arial"/>
          <w:sz w:val="17"/>
          <w:szCs w:val="17"/>
          <w:u w:val="single" w:color="auto"/>
          <w:color w:val="0000FF"/>
        </w:rPr>
      </w:pPr>
      <w:r>
        <w:rPr>
          <w:rFonts w:ascii="Arial" w:cs="Arial" w:eastAsia="Arial" w:hAnsi="Arial"/>
          <w:sz w:val="18"/>
          <w:szCs w:val="18"/>
          <w:color w:val="auto"/>
        </w:rPr>
        <w:t>10.20*</w:t>
      </w:r>
      <w:r>
        <w:rPr>
          <w:sz w:val="20"/>
          <w:szCs w:val="20"/>
          <w:color w:val="auto"/>
        </w:rPr>
        <w:tab/>
      </w:r>
      <w:hyperlink r:id="rId75">
        <w:r>
          <w:rPr>
            <w:rFonts w:ascii="Arial" w:cs="Arial" w:eastAsia="Arial" w:hAnsi="Arial"/>
            <w:sz w:val="17"/>
            <w:szCs w:val="17"/>
            <w:u w:val="single" w:color="auto"/>
            <w:color w:val="0000FF"/>
          </w:rPr>
          <w:t>Form of RSU Award Notice and Agreement for Participants in France for use in connection with Itron, Inc.'s Amended and Restated 2010</w:t>
        </w:r>
      </w:hyperlink>
      <w:r>
        <w:rPr>
          <w:rFonts w:ascii="Arial" w:cs="Arial" w:eastAsia="Arial" w:hAnsi="Arial"/>
          <w:sz w:val="17"/>
          <w:szCs w:val="17"/>
          <w:u w:val="single" w:color="auto"/>
          <w:color w:val="0000FF"/>
        </w:rPr>
        <w:t xml:space="preserve"> </w:t>
      </w:r>
      <w:hyperlink r:id="rId75">
        <w:r>
          <w:rPr>
            <w:rFonts w:ascii="Arial" w:cs="Arial" w:eastAsia="Arial" w:hAnsi="Arial"/>
            <w:sz w:val="17"/>
            <w:szCs w:val="17"/>
            <w:u w:val="single" w:color="auto"/>
            <w:color w:val="0000FF"/>
          </w:rPr>
          <w:t>Stock Incentive Plan. (Filed as Exhibit 10.3 to Itron, Inc.’s Quarterly Report on Form 10-Q, filed on August 6, 2014)</w:t>
        </w:r>
      </w:hyperlink>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380"/>
          </w:cols>
          <w:pgMar w:left="240" w:top="125" w:right="27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140"/>
        <w:spacing w:after="0"/>
        <w:tabs>
          <w:tab w:leader="none" w:pos="568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3"/>
          <w:szCs w:val="13"/>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38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10.21*</w:t>
      </w:r>
      <w:r>
        <w:rPr>
          <w:sz w:val="20"/>
          <w:szCs w:val="20"/>
          <w:color w:val="auto"/>
        </w:rPr>
        <w:tab/>
      </w:r>
      <w:hyperlink r:id="rId77">
        <w:r>
          <w:rPr>
            <w:rFonts w:ascii="Arial" w:cs="Arial" w:eastAsia="Arial" w:hAnsi="Arial"/>
            <w:sz w:val="16"/>
            <w:szCs w:val="16"/>
            <w:u w:val="single" w:color="auto"/>
            <w:color w:val="0000FF"/>
          </w:rPr>
          <w:t>Form of RSU Award Notice and Agreement for Non-employee Directors for use in connection with Itron, Inc.'s Amended and Restated</w:t>
        </w:r>
      </w:hyperlink>
    </w:p>
    <w:p>
      <w:pPr>
        <w:spacing w:after="0" w:line="23" w:lineRule="exact"/>
        <w:rPr>
          <w:sz w:val="20"/>
          <w:szCs w:val="20"/>
          <w:color w:val="auto"/>
        </w:rPr>
      </w:pPr>
    </w:p>
    <w:p>
      <w:pPr>
        <w:ind w:left="1420"/>
        <w:spacing w:after="0"/>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2010 Stock Incentive Plan. (Filed as Exhibit 10.3 to Itron, Inc.’s Quarterly Report on Form 10-Q, filed on May 3, 2013)</w:t>
        </w:r>
      </w:hyperlink>
    </w:p>
    <w:p>
      <w:pPr>
        <w:spacing w:after="0" w:line="278" w:lineRule="exact"/>
        <w:rPr>
          <w:sz w:val="20"/>
          <w:szCs w:val="20"/>
          <w:color w:val="auto"/>
        </w:rPr>
      </w:pPr>
    </w:p>
    <w:p>
      <w:pPr>
        <w:ind w:left="1420" w:hanging="1023"/>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78">
        <w:r>
          <w:rPr>
            <w:rFonts w:ascii="Arial" w:cs="Arial" w:eastAsia="Arial" w:hAnsi="Arial"/>
            <w:sz w:val="18"/>
            <w:szCs w:val="18"/>
            <w:u w:val="single" w:color="auto"/>
            <w:color w:val="0000FF"/>
          </w:rPr>
          <w:t>Form of Stock Option Grant Notice and Agreement for use in connection with both incentive and non-qualified stock options granted</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under Itron, Inc.'s Amended and Restated 2010 Stock Incentive Plan. (Filed as Exhibit 10.1 to Itron, Inc's Quarterly Report on Form 10-Q,</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filed on August 6, 2014)</w:t>
        </w:r>
      </w:hyperlink>
    </w:p>
    <w:p>
      <w:pPr>
        <w:spacing w:after="0" w:line="249" w:lineRule="exact"/>
        <w:rPr>
          <w:rFonts w:ascii="Arial" w:cs="Arial" w:eastAsia="Arial" w:hAnsi="Arial"/>
          <w:sz w:val="18"/>
          <w:szCs w:val="18"/>
          <w:u w:val="single" w:color="auto"/>
          <w:color w:val="0000FF"/>
        </w:rPr>
      </w:pPr>
    </w:p>
    <w:p>
      <w:pPr>
        <w:ind w:left="1420" w:right="20" w:hanging="1023"/>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79">
        <w:r>
          <w:rPr>
            <w:rFonts w:ascii="Arial" w:cs="Arial" w:eastAsia="Arial" w:hAnsi="Arial"/>
            <w:sz w:val="18"/>
            <w:szCs w:val="18"/>
            <w:u w:val="single" w:color="auto"/>
            <w:color w:val="0000FF"/>
          </w:rPr>
          <w:t>Amendment to the Executive Deferred Compensation Plan. (Filed as Exhibit 10.1 to Itron, Inc.’s Quarterly Report on Form 10-Q, filed on</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November 3, 2016)</w:t>
        </w:r>
      </w:hyperlink>
    </w:p>
    <w:p>
      <w:pPr>
        <w:spacing w:after="0" w:line="238" w:lineRule="exact"/>
        <w:rPr>
          <w:sz w:val="20"/>
          <w:szCs w:val="20"/>
          <w:color w:val="auto"/>
        </w:rPr>
      </w:pPr>
    </w:p>
    <w:p>
      <w:pPr>
        <w:ind w:left="1420" w:right="200" w:hanging="1023"/>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80">
        <w:r>
          <w:rPr>
            <w:rFonts w:ascii="Arial" w:cs="Arial" w:eastAsia="Arial" w:hAnsi="Arial"/>
            <w:sz w:val="18"/>
            <w:szCs w:val="18"/>
            <w:u w:val="single" w:color="auto"/>
            <w:color w:val="0000FF"/>
          </w:rPr>
          <w:t>Amended and Restated 2002 Employee Stock Purchase Plan. (Filed as Exhibit 10.20 to Itron, Inc.’s Annual Report on Form 10-K, filed</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on February 26, 2009)</w:t>
        </w:r>
      </w:hyperlink>
    </w:p>
    <w:p>
      <w:pPr>
        <w:spacing w:after="0" w:line="238" w:lineRule="exact"/>
        <w:rPr>
          <w:sz w:val="20"/>
          <w:szCs w:val="20"/>
          <w:color w:val="auto"/>
        </w:rPr>
      </w:pPr>
    </w:p>
    <w:p>
      <w:pPr>
        <w:ind w:left="1420" w:right="500" w:hanging="1023"/>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81">
        <w:r>
          <w:rPr>
            <w:rFonts w:ascii="Arial" w:cs="Arial" w:eastAsia="Arial" w:hAnsi="Arial"/>
            <w:sz w:val="18"/>
            <w:szCs w:val="18"/>
            <w:u w:val="single" w:color="auto"/>
            <w:color w:val="0000FF"/>
          </w:rPr>
          <w:t>Offer Letter, dated as of November 16, 2012, between Itron, Inc. and Philip C. Mezey. (Filed as Exhibit 10.1 to Itron, Inc.’s Current</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Report on Form 8-K, filed on November 19, 2012)</w:t>
        </w:r>
      </w:hyperlink>
    </w:p>
    <w:p>
      <w:pPr>
        <w:spacing w:after="0" w:line="238" w:lineRule="exact"/>
        <w:rPr>
          <w:sz w:val="20"/>
          <w:szCs w:val="20"/>
          <w:color w:val="auto"/>
        </w:rPr>
      </w:pPr>
    </w:p>
    <w:p>
      <w:pPr>
        <w:jc w:val="both"/>
        <w:ind w:left="1420" w:right="100" w:hanging="978"/>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82">
        <w:r>
          <w:rPr>
            <w:rFonts w:ascii="Arial" w:cs="Arial" w:eastAsia="Arial" w:hAnsi="Arial"/>
            <w:sz w:val="18"/>
            <w:szCs w:val="18"/>
            <w:u w:val="single" w:color="auto"/>
            <w:color w:val="0000FF"/>
          </w:rPr>
          <w:t>Cooperation Agreement by and among Itron, Inc., Coppersmith Capital Management LLC, Scopia Management, Inc. and certain of their</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specified affiliates, Jerome J. Lande and Peter Mainz, dated as of December 9, 2015. (Filed as Exhibit 10.1 to Itron, Inc.'s Current Report</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on Form 8-K, filed on December 11, 2015)</w:t>
        </w:r>
      </w:hyperlink>
    </w:p>
    <w:p>
      <w:pPr>
        <w:spacing w:after="0" w:line="249" w:lineRule="exact"/>
        <w:rPr>
          <w:rFonts w:ascii="Arial" w:cs="Arial" w:eastAsia="Arial" w:hAnsi="Arial"/>
          <w:sz w:val="18"/>
          <w:szCs w:val="18"/>
          <w:u w:val="single" w:color="auto"/>
          <w:color w:val="0000FF"/>
        </w:rPr>
      </w:pPr>
    </w:p>
    <w:p>
      <w:pPr>
        <w:jc w:val="both"/>
        <w:ind w:left="1420" w:right="100" w:hanging="978"/>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83">
        <w:r>
          <w:rPr>
            <w:rFonts w:ascii="Arial" w:cs="Arial" w:eastAsia="Arial" w:hAnsi="Arial"/>
            <w:sz w:val="18"/>
            <w:szCs w:val="18"/>
            <w:u w:val="single" w:color="auto"/>
            <w:color w:val="0000FF"/>
          </w:rPr>
          <w:t>Amendment to Cooperation Agreement by and among Itron, Inc., Coppersmith Capital Management LLC, Scopia Management, Inc. and</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certain of their specified affiliates, Jerome J. Lande and Peter Mainz. (Filed as Exhibit 10.2 to Itron, Inc.’s Quarterly Report on Form 10-</w:t>
        </w:r>
      </w:hyperlink>
      <w:hyperlink r:id="rId83">
        <w:r>
          <w:rPr>
            <w:rFonts w:ascii="Arial" w:cs="Arial" w:eastAsia="Arial" w:hAnsi="Arial"/>
            <w:sz w:val="18"/>
            <w:szCs w:val="18"/>
            <w:u w:val="single" w:color="auto"/>
            <w:color w:val="0000FF"/>
          </w:rPr>
          <w:t>Q, filed on November 3, 2016)</w:t>
        </w:r>
      </w:hyperlink>
    </w:p>
    <w:p>
      <w:pPr>
        <w:spacing w:after="0" w:line="249" w:lineRule="exact"/>
        <w:rPr>
          <w:rFonts w:ascii="Arial" w:cs="Arial" w:eastAsia="Arial" w:hAnsi="Arial"/>
          <w:sz w:val="18"/>
          <w:szCs w:val="18"/>
          <w:u w:val="single" w:color="auto"/>
          <w:color w:val="0000FF"/>
        </w:rPr>
      </w:pPr>
    </w:p>
    <w:p>
      <w:pPr>
        <w:jc w:val="both"/>
        <w:ind w:left="1420" w:right="40" w:hanging="978"/>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84">
        <w:r>
          <w:rPr>
            <w:rFonts w:ascii="Arial" w:cs="Arial" w:eastAsia="Arial" w:hAnsi="Arial"/>
            <w:sz w:val="18"/>
            <w:szCs w:val="18"/>
            <w:u w:val="single" w:color="auto"/>
            <w:color w:val="0000FF"/>
          </w:rPr>
          <w:t>First Amendment to Cooperation Agreement, dated November 1, 2017, by and among Itron, Inc., Scopia Management, Inc. and certain of</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their specified affiliates, Jerome J. Lande and certain other individuals. (Filed as Exhibit 10.1 to Itron, Inc.'s Current Report on Form 8-K,</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filed on November 2, 2017)</w:t>
        </w:r>
      </w:hyperlink>
    </w:p>
    <w:p>
      <w:pPr>
        <w:spacing w:after="0" w:line="249" w:lineRule="exact"/>
        <w:rPr>
          <w:rFonts w:ascii="Arial" w:cs="Arial" w:eastAsia="Arial" w:hAnsi="Arial"/>
          <w:sz w:val="18"/>
          <w:szCs w:val="18"/>
          <w:u w:val="single" w:color="auto"/>
          <w:color w:val="0000FF"/>
        </w:rPr>
      </w:pPr>
    </w:p>
    <w:p>
      <w:pPr>
        <w:ind w:left="1420" w:right="120" w:hanging="1023"/>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85">
        <w:r>
          <w:rPr>
            <w:rFonts w:ascii="Arial" w:cs="Arial" w:eastAsia="Arial" w:hAnsi="Arial"/>
            <w:sz w:val="18"/>
            <w:szCs w:val="18"/>
            <w:u w:val="single" w:color="auto"/>
            <w:color w:val="0000FF"/>
          </w:rPr>
          <w:t>Form of Stock Option Grant Notice and Agreement for use in connection with both incentive and non-qualified stock options granted</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under Itron, Inc.'s Amended and Restated 2010 Stock Incentive Plan. (Filed as Exhibit 10.1 to Itron, Inc.'s Quarterly Report on Form 10-</w:t>
        </w:r>
      </w:hyperlink>
      <w:hyperlink r:id="rId85">
        <w:r>
          <w:rPr>
            <w:rFonts w:ascii="Arial" w:cs="Arial" w:eastAsia="Arial" w:hAnsi="Arial"/>
            <w:sz w:val="18"/>
            <w:szCs w:val="18"/>
            <w:u w:val="single" w:color="auto"/>
            <w:color w:val="0000FF"/>
          </w:rPr>
          <w:t>Q, filed on May 4, 2017)</w:t>
        </w:r>
      </w:hyperlink>
    </w:p>
    <w:p>
      <w:pPr>
        <w:spacing w:after="0" w:line="249" w:lineRule="exact"/>
        <w:rPr>
          <w:rFonts w:ascii="Arial" w:cs="Arial" w:eastAsia="Arial" w:hAnsi="Arial"/>
          <w:sz w:val="18"/>
          <w:szCs w:val="18"/>
          <w:u w:val="single" w:color="auto"/>
          <w:color w:val="0000FF"/>
        </w:rPr>
      </w:pPr>
    </w:p>
    <w:p>
      <w:pPr>
        <w:ind w:left="1420" w:right="120" w:hanging="1023"/>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86">
        <w:r>
          <w:rPr>
            <w:rFonts w:ascii="Arial" w:cs="Arial" w:eastAsia="Arial" w:hAnsi="Arial"/>
            <w:sz w:val="18"/>
            <w:szCs w:val="18"/>
            <w:u w:val="single" w:color="auto"/>
            <w:color w:val="0000FF"/>
          </w:rPr>
          <w:t>Form of Long-Term Performance RSU Award Notice and Agreement for U.S. Participants for use in connection with Itron, Inc.'s</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Amended and Restated 2010 Stock Incentive Plan. (Filed as Exhibit 10.2 to Itron, Inc.'s Quarterly Report on Form 10-Q, filed on May 4,</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2017)</w:t>
        </w:r>
      </w:hyperlink>
    </w:p>
    <w:p>
      <w:pPr>
        <w:spacing w:after="0" w:line="249" w:lineRule="exact"/>
        <w:rPr>
          <w:rFonts w:ascii="Arial" w:cs="Arial" w:eastAsia="Arial" w:hAnsi="Arial"/>
          <w:sz w:val="18"/>
          <w:szCs w:val="18"/>
          <w:u w:val="single" w:color="auto"/>
          <w:color w:val="0000FF"/>
        </w:rPr>
      </w:pPr>
    </w:p>
    <w:p>
      <w:pPr>
        <w:ind w:left="1420" w:right="60" w:hanging="1023"/>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87">
        <w:r>
          <w:rPr>
            <w:rFonts w:ascii="Arial" w:cs="Arial" w:eastAsia="Arial" w:hAnsi="Arial"/>
            <w:sz w:val="18"/>
            <w:szCs w:val="18"/>
            <w:u w:val="single" w:color="auto"/>
            <w:color w:val="0000FF"/>
          </w:rPr>
          <w:t>Form of RSU Award Notice and Agreement for all Participants for use in connection with Itron, Inc.'s Amended and Restated 2010 Stock</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Incentive Plan. (Filed as Exhibit 10.3 to Itron, Inc.'s Quarterly Report on Form 10-Q, filed on May 4, 2017)</w:t>
        </w:r>
      </w:hyperlink>
    </w:p>
    <w:p>
      <w:pPr>
        <w:spacing w:after="0" w:line="238" w:lineRule="exact"/>
        <w:rPr>
          <w:sz w:val="20"/>
          <w:szCs w:val="20"/>
          <w:color w:val="auto"/>
        </w:rPr>
      </w:pPr>
    </w:p>
    <w:p>
      <w:pPr>
        <w:ind w:left="1420" w:right="360" w:hanging="1023"/>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hyperlink w:anchor="page113">
        <w:r>
          <w:rPr>
            <w:rFonts w:ascii="Arial" w:cs="Arial" w:eastAsia="Arial" w:hAnsi="Arial"/>
            <w:sz w:val="18"/>
            <w:szCs w:val="18"/>
            <w:u w:val="single" w:color="auto"/>
            <w:color w:val="0000FF"/>
          </w:rPr>
          <w:t>Form of Stock Option Grant Notice and Agreement for use in connection with both incentive and non-qualified stock options granted</w:t>
        </w:r>
      </w:hyperlink>
      <w:r>
        <w:rPr>
          <w:rFonts w:ascii="Arial" w:cs="Arial" w:eastAsia="Arial" w:hAnsi="Arial"/>
          <w:sz w:val="18"/>
          <w:szCs w:val="18"/>
          <w:u w:val="single" w:color="auto"/>
          <w:color w:val="0000FF"/>
        </w:rPr>
        <w:t xml:space="preserve"> </w:t>
      </w:r>
      <w:hyperlink w:anchor="page113">
        <w:r>
          <w:rPr>
            <w:rFonts w:ascii="Arial" w:cs="Arial" w:eastAsia="Arial" w:hAnsi="Arial"/>
            <w:sz w:val="18"/>
            <w:szCs w:val="18"/>
            <w:u w:val="single" w:color="auto"/>
            <w:color w:val="0000FF"/>
          </w:rPr>
          <w:t>under Itron, Inc.'s Amended and Restated 2010 Stock Incentive Plan. (filed with this report)</w:t>
        </w:r>
      </w:hyperlink>
    </w:p>
    <w:p>
      <w:pPr>
        <w:spacing w:after="0" w:line="238" w:lineRule="exact"/>
        <w:rPr>
          <w:sz w:val="20"/>
          <w:szCs w:val="20"/>
          <w:color w:val="auto"/>
        </w:rPr>
      </w:pPr>
    </w:p>
    <w:p>
      <w:pPr>
        <w:ind w:left="1420" w:right="660" w:hanging="1023"/>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ab/>
      </w:r>
      <w:hyperlink w:anchor="page126">
        <w:r>
          <w:rPr>
            <w:rFonts w:ascii="Arial" w:cs="Arial" w:eastAsia="Arial" w:hAnsi="Arial"/>
            <w:sz w:val="18"/>
            <w:szCs w:val="18"/>
            <w:u w:val="single" w:color="auto"/>
            <w:color w:val="0000FF"/>
          </w:rPr>
          <w:t>Form of Long-Term Performance RSU Award Notice and Agreement for U.S. Participants for use in connection with Itron, Inc.'s</w:t>
        </w:r>
      </w:hyperlink>
      <w:r>
        <w:rPr>
          <w:rFonts w:ascii="Arial" w:cs="Arial" w:eastAsia="Arial" w:hAnsi="Arial"/>
          <w:sz w:val="18"/>
          <w:szCs w:val="18"/>
          <w:u w:val="single" w:color="auto"/>
          <w:color w:val="0000FF"/>
        </w:rPr>
        <w:t xml:space="preserve"> </w:t>
      </w:r>
      <w:hyperlink w:anchor="page126">
        <w:r>
          <w:rPr>
            <w:rFonts w:ascii="Arial" w:cs="Arial" w:eastAsia="Arial" w:hAnsi="Arial"/>
            <w:sz w:val="18"/>
            <w:szCs w:val="18"/>
            <w:u w:val="single" w:color="auto"/>
            <w:color w:val="0000FF"/>
          </w:rPr>
          <w:t>Amended and Restated 2010 Stock Incentive Plan. (filed with this report)</w:t>
        </w:r>
      </w:hyperlink>
    </w:p>
    <w:p>
      <w:pPr>
        <w:spacing w:after="0" w:line="238" w:lineRule="exact"/>
        <w:rPr>
          <w:sz w:val="20"/>
          <w:szCs w:val="20"/>
          <w:color w:val="auto"/>
        </w:rPr>
      </w:pPr>
    </w:p>
    <w:p>
      <w:pPr>
        <w:ind w:left="1420" w:right="400" w:hanging="1023"/>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w:anchor="page146">
        <w:r>
          <w:rPr>
            <w:rFonts w:ascii="Arial" w:cs="Arial" w:eastAsia="Arial" w:hAnsi="Arial"/>
            <w:sz w:val="18"/>
            <w:szCs w:val="18"/>
            <w:u w:val="single" w:color="auto"/>
            <w:color w:val="0000FF"/>
          </w:rPr>
          <w:t>Form of RSU Award Notice for awards with 1 year vesting and Agreement for all Participants for use in connection with Itron, Inc.'s</w:t>
        </w:r>
      </w:hyperlink>
      <w:r>
        <w:rPr>
          <w:rFonts w:ascii="Arial" w:cs="Arial" w:eastAsia="Arial" w:hAnsi="Arial"/>
          <w:sz w:val="18"/>
          <w:szCs w:val="18"/>
          <w:u w:val="single" w:color="auto"/>
          <w:color w:val="0000FF"/>
        </w:rPr>
        <w:t xml:space="preserve"> </w:t>
      </w:r>
      <w:hyperlink w:anchor="page146">
        <w:r>
          <w:rPr>
            <w:rFonts w:ascii="Arial" w:cs="Arial" w:eastAsia="Arial" w:hAnsi="Arial"/>
            <w:sz w:val="18"/>
            <w:szCs w:val="18"/>
            <w:u w:val="single" w:color="auto"/>
            <w:color w:val="0000FF"/>
          </w:rPr>
          <w:t>Amended and Restated 2010 Stock Incentive Plan. (filed with this report)</w:t>
        </w:r>
      </w:hyperlink>
    </w:p>
    <w:p>
      <w:pPr>
        <w:spacing w:after="0" w:line="238" w:lineRule="exact"/>
        <w:rPr>
          <w:sz w:val="20"/>
          <w:szCs w:val="20"/>
          <w:color w:val="auto"/>
        </w:rPr>
      </w:pPr>
    </w:p>
    <w:p>
      <w:pPr>
        <w:ind w:left="1420" w:right="400" w:hanging="1023"/>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w:anchor="page162">
        <w:r>
          <w:rPr>
            <w:rFonts w:ascii="Arial" w:cs="Arial" w:eastAsia="Arial" w:hAnsi="Arial"/>
            <w:sz w:val="18"/>
            <w:szCs w:val="18"/>
            <w:u w:val="single" w:color="auto"/>
            <w:color w:val="0000FF"/>
          </w:rPr>
          <w:t>Form of RSU Award Notice for awards with 2 year vesting and Agreement for all Participants for use in connection with Itron, Inc.'s</w:t>
        </w:r>
      </w:hyperlink>
      <w:r>
        <w:rPr>
          <w:rFonts w:ascii="Arial" w:cs="Arial" w:eastAsia="Arial" w:hAnsi="Arial"/>
          <w:sz w:val="18"/>
          <w:szCs w:val="18"/>
          <w:u w:val="single" w:color="auto"/>
          <w:color w:val="0000FF"/>
        </w:rPr>
        <w:t xml:space="preserve"> </w:t>
      </w:r>
      <w:hyperlink w:anchor="page162">
        <w:r>
          <w:rPr>
            <w:rFonts w:ascii="Arial" w:cs="Arial" w:eastAsia="Arial" w:hAnsi="Arial"/>
            <w:sz w:val="18"/>
            <w:szCs w:val="18"/>
            <w:u w:val="single" w:color="auto"/>
            <w:color w:val="0000FF"/>
          </w:rPr>
          <w:t>Amended and Restated 2010 Stock Incentive Plan. (filed with this report)</w:t>
        </w:r>
      </w:hyperlink>
    </w:p>
    <w:p>
      <w:pPr>
        <w:spacing w:after="0" w:line="238" w:lineRule="exact"/>
        <w:rPr>
          <w:sz w:val="20"/>
          <w:szCs w:val="20"/>
          <w:color w:val="auto"/>
        </w:rPr>
      </w:pPr>
    </w:p>
    <w:p>
      <w:pPr>
        <w:ind w:left="1420" w:right="400" w:hanging="1023"/>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10.36*</w:t>
      </w:r>
      <w:r>
        <w:rPr>
          <w:sz w:val="20"/>
          <w:szCs w:val="20"/>
          <w:color w:val="auto"/>
        </w:rPr>
        <w:tab/>
      </w:r>
      <w:hyperlink w:anchor="page178">
        <w:r>
          <w:rPr>
            <w:rFonts w:ascii="Arial" w:cs="Arial" w:eastAsia="Arial" w:hAnsi="Arial"/>
            <w:sz w:val="18"/>
            <w:szCs w:val="18"/>
            <w:u w:val="single" w:color="auto"/>
            <w:color w:val="0000FF"/>
          </w:rPr>
          <w:t>Form of RSU Award Notice for awards with 3 year vesting and Agreement for all Participants for use in connection with Itron, Inc.'s</w:t>
        </w:r>
      </w:hyperlink>
      <w:r>
        <w:rPr>
          <w:rFonts w:ascii="Arial" w:cs="Arial" w:eastAsia="Arial" w:hAnsi="Arial"/>
          <w:sz w:val="18"/>
          <w:szCs w:val="18"/>
          <w:u w:val="single" w:color="auto"/>
          <w:color w:val="0000FF"/>
        </w:rPr>
        <w:t xml:space="preserve"> </w:t>
      </w:r>
      <w:hyperlink w:anchor="page178">
        <w:r>
          <w:rPr>
            <w:rFonts w:ascii="Arial" w:cs="Arial" w:eastAsia="Arial" w:hAnsi="Arial"/>
            <w:sz w:val="18"/>
            <w:szCs w:val="18"/>
            <w:u w:val="single" w:color="auto"/>
            <w:color w:val="0000FF"/>
          </w:rPr>
          <w:t>Amended and Restated 2010 Stock Incentive Plan. (filed with this report)</w:t>
        </w:r>
      </w:hyperlink>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380"/>
          </w:cols>
          <w:pgMar w:left="240" w:top="125" w:right="27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Exhibit Number</w:t>
            </w:r>
          </w:p>
        </w:tc>
        <w:tc>
          <w:tcPr>
            <w:tcW w:w="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6540" w:type="dxa"/>
            <w:vAlign w:val="bottom"/>
            <w:gridSpan w:val="4"/>
          </w:tcPr>
          <w:p>
            <w:pPr>
              <w:ind w:left="820"/>
              <w:spacing w:after="0"/>
              <w:rPr>
                <w:sz w:val="20"/>
                <w:szCs w:val="20"/>
                <w:color w:val="auto"/>
              </w:rPr>
            </w:pPr>
            <w:r>
              <w:rPr>
                <w:rFonts w:ascii="Arial" w:cs="Arial" w:eastAsia="Arial" w:hAnsi="Arial"/>
                <w:sz w:val="14"/>
                <w:szCs w:val="14"/>
                <w:b w:val="1"/>
                <w:bCs w:val="1"/>
                <w:color w:val="auto"/>
              </w:rPr>
              <w:t>Description of Exhibits</w:t>
            </w:r>
          </w:p>
        </w:tc>
      </w:tr>
      <w:tr>
        <w:trPr>
          <w:trHeight w:val="202"/>
        </w:trPr>
        <w:tc>
          <w:tcPr>
            <w:tcW w:w="126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00" w:type="dxa"/>
            <w:vAlign w:val="bottom"/>
            <w:tcBorders>
              <w:top w:val="single" w:sz="8" w:color="auto"/>
            </w:tcBorders>
            <w:gridSpan w:val="5"/>
          </w:tcPr>
          <w:p>
            <w:pPr>
              <w:spacing w:after="0" w:line="202" w:lineRule="exact"/>
              <w:rPr>
                <w:rFonts w:ascii="Arial" w:cs="Arial" w:eastAsia="Arial" w:hAnsi="Arial"/>
                <w:sz w:val="18"/>
                <w:szCs w:val="18"/>
                <w:color w:val="0000FF"/>
              </w:rPr>
            </w:pPr>
            <w:hyperlink w:anchor="page194">
              <w:r>
                <w:rPr>
                  <w:rFonts w:ascii="Arial" w:cs="Arial" w:eastAsia="Arial" w:hAnsi="Arial"/>
                  <w:sz w:val="18"/>
                  <w:szCs w:val="18"/>
                  <w:color w:val="0000FF"/>
                </w:rPr>
                <w:t>Subsidiaries of Itron, Inc. (filed with this report)</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5"/>
          </w:tcPr>
          <w:p>
            <w:pPr>
              <w:spacing w:after="0"/>
              <w:rPr>
                <w:rFonts w:ascii="Arial" w:cs="Arial" w:eastAsia="Arial" w:hAnsi="Arial"/>
                <w:sz w:val="18"/>
                <w:szCs w:val="18"/>
                <w:color w:val="0000FF"/>
              </w:rPr>
            </w:pPr>
            <w:hyperlink w:anchor="page196">
              <w:r>
                <w:rPr>
                  <w:rFonts w:ascii="Arial" w:cs="Arial" w:eastAsia="Arial" w:hAnsi="Arial"/>
                  <w:sz w:val="18"/>
                  <w:szCs w:val="18"/>
                  <w:color w:val="0000FF"/>
                </w:rPr>
                <w:t>Consent of Deloitte &amp; Touche LLP Independent Registered Public Accounting Firm. (filed with this report)</w:t>
              </w:r>
            </w:hyperlink>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740" w:type="dxa"/>
            <w:vAlign w:val="bottom"/>
            <w:tcBorders>
              <w:top w:val="single" w:sz="8" w:color="0000FF"/>
            </w:tcBorders>
            <w:gridSpan w:val="4"/>
          </w:tcPr>
          <w:p>
            <w:pPr>
              <w:spacing w:after="0"/>
              <w:rPr>
                <w:rFonts w:ascii="Arial" w:cs="Arial" w:eastAsia="Arial" w:hAnsi="Arial"/>
                <w:sz w:val="18"/>
                <w:szCs w:val="18"/>
                <w:color w:val="0000FF"/>
              </w:rPr>
            </w:pPr>
            <w:hyperlink w:anchor="page197">
              <w:r>
                <w:rPr>
                  <w:rFonts w:ascii="Arial" w:cs="Arial" w:eastAsia="Arial" w:hAnsi="Arial"/>
                  <w:sz w:val="18"/>
                  <w:szCs w:val="18"/>
                  <w:color w:val="0000FF"/>
                </w:rPr>
                <w:t>Certification Pursuant to Section 302 of the Sarbanes-Oxley Act of 2002. (filed with this report)</w:t>
              </w:r>
            </w:hyperlink>
          </w:p>
        </w:tc>
        <w:tc>
          <w:tcPr>
            <w:tcW w:w="226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0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5"/>
          </w:tcPr>
          <w:p>
            <w:pPr>
              <w:spacing w:after="0"/>
              <w:rPr>
                <w:rFonts w:ascii="Arial" w:cs="Arial" w:eastAsia="Arial" w:hAnsi="Arial"/>
                <w:sz w:val="18"/>
                <w:szCs w:val="18"/>
                <w:color w:val="0000FF"/>
              </w:rPr>
            </w:pPr>
            <w:hyperlink w:anchor="page198">
              <w:r>
                <w:rPr>
                  <w:rFonts w:ascii="Arial" w:cs="Arial" w:eastAsia="Arial" w:hAnsi="Arial"/>
                  <w:sz w:val="18"/>
                  <w:szCs w:val="18"/>
                  <w:color w:val="0000FF"/>
                </w:rPr>
                <w:t>Certification Pursuant to Section 302 of the Sarbanes-Oxley Act of 2002. (filed with this report)</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0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6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199">
              <w:r>
                <w:rPr>
                  <w:rFonts w:ascii="Arial" w:cs="Arial" w:eastAsia="Arial" w:hAnsi="Arial"/>
                  <w:sz w:val="18"/>
                  <w:szCs w:val="18"/>
                  <w:color w:val="0000FF"/>
                  <w:w w:val="91"/>
                </w:rPr>
                <w:t>Certification Pursuant to Section 906 of the Sarbanes-Oxley Act of 2002. (furnished with this report)</w:t>
              </w:r>
            </w:hyperlink>
          </w:p>
        </w:tc>
        <w:tc>
          <w:tcPr>
            <w:tcW w:w="2740" w:type="dxa"/>
            <w:vAlign w:val="bottom"/>
            <w:gridSpan w:val="2"/>
          </w:tcPr>
          <w:p>
            <w:pPr>
              <w:spacing w:after="0"/>
              <w:rPr>
                <w:sz w:val="24"/>
                <w:szCs w:val="24"/>
                <w:color w:val="auto"/>
              </w:rPr>
            </w:pPr>
          </w:p>
        </w:tc>
      </w:tr>
      <w:tr>
        <w:trPr>
          <w:trHeight w:val="520"/>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101.SCH</w:t>
            </w:r>
          </w:p>
        </w:tc>
        <w:tc>
          <w:tcPr>
            <w:tcW w:w="40" w:type="dxa"/>
            <w:vAlign w:val="bottom"/>
          </w:tcPr>
          <w:p>
            <w:pPr>
              <w:spacing w:after="0"/>
              <w:rPr>
                <w:sz w:val="24"/>
                <w:szCs w:val="24"/>
                <w:color w:val="auto"/>
              </w:rPr>
            </w:pPr>
          </w:p>
        </w:tc>
        <w:tc>
          <w:tcPr>
            <w:tcW w:w="10000" w:type="dxa"/>
            <w:vAlign w:val="bottom"/>
            <w:gridSpan w:val="5"/>
          </w:tcPr>
          <w:p>
            <w:pPr>
              <w:spacing w:after="0"/>
              <w:rPr>
                <w:sz w:val="20"/>
                <w:szCs w:val="20"/>
                <w:color w:val="auto"/>
              </w:rPr>
            </w:pPr>
            <w:r>
              <w:rPr>
                <w:rFonts w:ascii="Arial" w:cs="Arial" w:eastAsia="Arial" w:hAnsi="Arial"/>
                <w:sz w:val="18"/>
                <w:szCs w:val="18"/>
                <w:color w:val="auto"/>
                <w:w w:val="96"/>
              </w:rPr>
              <w:t>XBRL Taxonomy Extension Schema. (submitted electronically with this report in accordance with the provisions of Regulation S-T)</w:t>
            </w:r>
          </w:p>
        </w:tc>
      </w:tr>
      <w:tr>
        <w:trPr>
          <w:trHeight w:val="485"/>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101.CAL</w:t>
            </w:r>
          </w:p>
        </w:tc>
        <w:tc>
          <w:tcPr>
            <w:tcW w:w="40" w:type="dxa"/>
            <w:vAlign w:val="bottom"/>
          </w:tcPr>
          <w:p>
            <w:pPr>
              <w:spacing w:after="0"/>
              <w:rPr>
                <w:sz w:val="24"/>
                <w:szCs w:val="24"/>
                <w:color w:val="auto"/>
              </w:rPr>
            </w:pPr>
          </w:p>
        </w:tc>
        <w:tc>
          <w:tcPr>
            <w:tcW w:w="10000" w:type="dxa"/>
            <w:vAlign w:val="bottom"/>
            <w:gridSpan w:val="5"/>
          </w:tcPr>
          <w:p>
            <w:pPr>
              <w:spacing w:after="0"/>
              <w:rPr>
                <w:sz w:val="20"/>
                <w:szCs w:val="20"/>
                <w:color w:val="auto"/>
              </w:rPr>
            </w:pPr>
            <w:r>
              <w:rPr>
                <w:rFonts w:ascii="Arial" w:cs="Arial" w:eastAsia="Arial" w:hAnsi="Arial"/>
                <w:sz w:val="18"/>
                <w:szCs w:val="18"/>
                <w:color w:val="auto"/>
                <w:w w:val="99"/>
              </w:rPr>
              <w:t>XBRL Taxonomy Extension Calculation Linkbase. (submitted electronically with this report in accordance with the provisions of</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0" w:type="dxa"/>
            <w:vAlign w:val="bottom"/>
            <w:gridSpan w:val="5"/>
          </w:tcPr>
          <w:p>
            <w:pPr>
              <w:spacing w:after="0"/>
              <w:rPr>
                <w:sz w:val="20"/>
                <w:szCs w:val="20"/>
                <w:color w:val="auto"/>
              </w:rPr>
            </w:pPr>
            <w:r>
              <w:rPr>
                <w:rFonts w:ascii="Arial" w:cs="Arial" w:eastAsia="Arial" w:hAnsi="Arial"/>
                <w:sz w:val="18"/>
                <w:szCs w:val="18"/>
                <w:color w:val="auto"/>
              </w:rPr>
              <w:t>Regulation S-T)</w:t>
            </w:r>
          </w:p>
        </w:tc>
      </w:tr>
      <w:tr>
        <w:trPr>
          <w:trHeight w:val="485"/>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101.DEF</w:t>
            </w:r>
          </w:p>
        </w:tc>
        <w:tc>
          <w:tcPr>
            <w:tcW w:w="40" w:type="dxa"/>
            <w:vAlign w:val="bottom"/>
          </w:tcPr>
          <w:p>
            <w:pPr>
              <w:spacing w:after="0"/>
              <w:rPr>
                <w:sz w:val="24"/>
                <w:szCs w:val="24"/>
                <w:color w:val="auto"/>
              </w:rPr>
            </w:pPr>
          </w:p>
        </w:tc>
        <w:tc>
          <w:tcPr>
            <w:tcW w:w="100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(submitted electronically with this report in accordance with the provisions of</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0" w:type="dxa"/>
            <w:vAlign w:val="bottom"/>
            <w:gridSpan w:val="5"/>
          </w:tcPr>
          <w:p>
            <w:pPr>
              <w:spacing w:after="0"/>
              <w:rPr>
                <w:sz w:val="20"/>
                <w:szCs w:val="20"/>
                <w:color w:val="auto"/>
              </w:rPr>
            </w:pPr>
            <w:r>
              <w:rPr>
                <w:rFonts w:ascii="Arial" w:cs="Arial" w:eastAsia="Arial" w:hAnsi="Arial"/>
                <w:sz w:val="18"/>
                <w:szCs w:val="18"/>
                <w:color w:val="auto"/>
              </w:rPr>
              <w:t>Regulation S-T)</w:t>
            </w:r>
          </w:p>
        </w:tc>
      </w:tr>
      <w:tr>
        <w:trPr>
          <w:trHeight w:val="485"/>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101.LAB</w:t>
            </w:r>
          </w:p>
        </w:tc>
        <w:tc>
          <w:tcPr>
            <w:tcW w:w="40" w:type="dxa"/>
            <w:vAlign w:val="bottom"/>
          </w:tcPr>
          <w:p>
            <w:pPr>
              <w:spacing w:after="0"/>
              <w:rPr>
                <w:sz w:val="24"/>
                <w:szCs w:val="24"/>
                <w:color w:val="auto"/>
              </w:rPr>
            </w:pPr>
          </w:p>
        </w:tc>
        <w:tc>
          <w:tcPr>
            <w:tcW w:w="10000" w:type="dxa"/>
            <w:vAlign w:val="bottom"/>
            <w:gridSpan w:val="5"/>
          </w:tcPr>
          <w:p>
            <w:pPr>
              <w:spacing w:after="0"/>
              <w:rPr>
                <w:sz w:val="20"/>
                <w:szCs w:val="20"/>
                <w:color w:val="auto"/>
              </w:rPr>
            </w:pPr>
            <w:r>
              <w:rPr>
                <w:rFonts w:ascii="Arial" w:cs="Arial" w:eastAsia="Arial" w:hAnsi="Arial"/>
                <w:sz w:val="18"/>
                <w:szCs w:val="18"/>
                <w:color w:val="auto"/>
                <w:w w:val="92"/>
              </w:rPr>
              <w:t>XBRL Taxonomy Extension Label Linkbase. (submitted electronically with this report in accordance with the provisions of Regulation 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0" w:type="dxa"/>
            <w:vAlign w:val="bottom"/>
            <w:gridSpan w:val="5"/>
          </w:tcPr>
          <w:p>
            <w:pPr>
              <w:spacing w:after="0"/>
              <w:rPr>
                <w:sz w:val="20"/>
                <w:szCs w:val="20"/>
                <w:color w:val="auto"/>
              </w:rPr>
            </w:pPr>
            <w:r>
              <w:rPr>
                <w:rFonts w:ascii="Arial" w:cs="Arial" w:eastAsia="Arial" w:hAnsi="Arial"/>
                <w:sz w:val="18"/>
                <w:szCs w:val="18"/>
                <w:color w:val="auto"/>
              </w:rPr>
              <w:t>T)</w:t>
            </w:r>
          </w:p>
        </w:tc>
      </w:tr>
      <w:tr>
        <w:trPr>
          <w:trHeight w:val="485"/>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101.PRE</w:t>
            </w:r>
          </w:p>
        </w:tc>
        <w:tc>
          <w:tcPr>
            <w:tcW w:w="40" w:type="dxa"/>
            <w:vAlign w:val="bottom"/>
          </w:tcPr>
          <w:p>
            <w:pPr>
              <w:spacing w:after="0"/>
              <w:rPr>
                <w:sz w:val="24"/>
                <w:szCs w:val="24"/>
                <w:color w:val="auto"/>
              </w:rPr>
            </w:pPr>
          </w:p>
        </w:tc>
        <w:tc>
          <w:tcPr>
            <w:tcW w:w="10000" w:type="dxa"/>
            <w:vAlign w:val="bottom"/>
            <w:gridSpan w:val="5"/>
          </w:tcPr>
          <w:p>
            <w:pPr>
              <w:spacing w:after="0"/>
              <w:rPr>
                <w:sz w:val="20"/>
                <w:szCs w:val="20"/>
                <w:color w:val="auto"/>
              </w:rPr>
            </w:pPr>
            <w:r>
              <w:rPr>
                <w:rFonts w:ascii="Arial" w:cs="Arial" w:eastAsia="Arial" w:hAnsi="Arial"/>
                <w:sz w:val="18"/>
                <w:szCs w:val="18"/>
                <w:color w:val="auto"/>
                <w:w w:val="97"/>
              </w:rPr>
              <w:t>XBRL Taxonomy Extension Presentation Linkbase. (submitted electronically with this report in accordance with the provisions of</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0" w:type="dxa"/>
            <w:vAlign w:val="bottom"/>
            <w:gridSpan w:val="5"/>
          </w:tcPr>
          <w:p>
            <w:pPr>
              <w:spacing w:after="0"/>
              <w:rPr>
                <w:sz w:val="20"/>
                <w:szCs w:val="20"/>
                <w:color w:val="auto"/>
              </w:rPr>
            </w:pPr>
            <w:r>
              <w:rPr>
                <w:rFonts w:ascii="Arial" w:cs="Arial" w:eastAsia="Arial" w:hAnsi="Arial"/>
                <w:sz w:val="18"/>
                <w:szCs w:val="18"/>
                <w:color w:val="auto"/>
              </w:rPr>
              <w:t>Regulation S-T)</w:t>
            </w:r>
          </w:p>
        </w:tc>
      </w:tr>
    </w:tbl>
    <w:p>
      <w:pPr>
        <w:spacing w:after="0" w:line="269" w:lineRule="exact"/>
        <w:rPr>
          <w:sz w:val="20"/>
          <w:szCs w:val="20"/>
          <w:color w:val="auto"/>
        </w:rPr>
      </w:pPr>
    </w:p>
    <w:p>
      <w:pPr>
        <w:ind w:left="5580" w:right="5580" w:hanging="4989"/>
        <w:spacing w:after="0" w:line="648" w:lineRule="auto"/>
        <w:tabs>
          <w:tab w:leader="none" w:pos="1414" w:val="left"/>
        </w:tabs>
        <w:numPr>
          <w:ilvl w:val="0"/>
          <w:numId w:val="25"/>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 106</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Liberty Lake, State of Washington, on the 28th day of February, 2019.</w:t>
      </w:r>
    </w:p>
    <w:p>
      <w:pPr>
        <w:spacing w:after="0" w:line="9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ITRON, INC.</w:t>
      </w:r>
    </w:p>
    <w:p>
      <w:pPr>
        <w:spacing w:after="0" w:line="385" w:lineRule="exact"/>
        <w:rPr>
          <w:sz w:val="20"/>
          <w:szCs w:val="20"/>
          <w:color w:val="auto"/>
        </w:rPr>
      </w:pPr>
    </w:p>
    <w:p>
      <w:pPr>
        <w:ind w:left="394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27305</wp:posOffset>
            </wp:positionV>
            <wp:extent cx="45624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8">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46" w:lineRule="exact"/>
        <w:rPr>
          <w:sz w:val="20"/>
          <w:szCs w:val="20"/>
          <w:color w:val="auto"/>
        </w:rPr>
      </w:pPr>
    </w:p>
    <w:p>
      <w:pPr>
        <w:jc w:val="center"/>
        <w:ind w:left="4240"/>
        <w:spacing w:after="0"/>
        <w:rPr>
          <w:sz w:val="20"/>
          <w:szCs w:val="20"/>
          <w:color w:val="auto"/>
        </w:rPr>
      </w:pPr>
      <w:r>
        <w:rPr>
          <w:rFonts w:ascii="Arial" w:cs="Arial" w:eastAsia="Arial" w:hAnsi="Arial"/>
          <w:sz w:val="18"/>
          <w:szCs w:val="18"/>
          <w:b w:val="1"/>
          <w:bCs w:val="1"/>
          <w:color w:val="auto"/>
        </w:rPr>
        <w:t>Joan S. Hooper</w:t>
      </w:r>
    </w:p>
    <w:p>
      <w:pPr>
        <w:spacing w:after="0" w:line="63" w:lineRule="exact"/>
        <w:rPr>
          <w:sz w:val="20"/>
          <w:szCs w:val="20"/>
          <w:color w:val="auto"/>
        </w:rPr>
      </w:pPr>
    </w:p>
    <w:p>
      <w:pPr>
        <w:jc w:val="center"/>
        <w:ind w:left="424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28th day of February, 2019.</w:t>
      </w:r>
    </w:p>
    <w:p>
      <w:pPr>
        <w:sectPr>
          <w:pgSz w:w="11900" w:h="16838" w:orient="portrait"/>
          <w:cols w:equalWidth="0" w:num="1">
            <w:col w:w="11420"/>
          </w:cols>
          <w:pgMar w:left="240" w:top="125" w:right="239" w:bottom="1440" w:gutter="0" w:footer="0" w:header="0"/>
        </w:sect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80" w:type="dxa"/>
            <w:vAlign w:val="bottom"/>
          </w:tcPr>
          <w:p>
            <w:pPr>
              <w:spacing w:after="0"/>
              <w:rPr>
                <w:sz w:val="18"/>
                <w:szCs w:val="18"/>
                <w:color w:val="auto"/>
              </w:rPr>
            </w:pPr>
          </w:p>
        </w:tc>
        <w:tc>
          <w:tcPr>
            <w:tcW w:w="2520" w:type="dxa"/>
            <w:vAlign w:val="bottom"/>
          </w:tcPr>
          <w:p>
            <w:pPr>
              <w:jc w:val="center"/>
              <w:ind w:right="1386"/>
              <w:spacing w:after="0"/>
              <w:rPr>
                <w:sz w:val="20"/>
                <w:szCs w:val="20"/>
                <w:color w:val="auto"/>
              </w:rPr>
            </w:pPr>
            <w:r>
              <w:rPr>
                <w:rFonts w:ascii="Arial" w:cs="Arial" w:eastAsia="Arial" w:hAnsi="Arial"/>
                <w:sz w:val="16"/>
                <w:szCs w:val="16"/>
                <w:b w:val="1"/>
                <w:bCs w:val="1"/>
                <w:color w:val="auto"/>
                <w:w w:val="89"/>
              </w:rPr>
              <w:t>Signatures</w:t>
            </w:r>
          </w:p>
        </w:tc>
      </w:tr>
      <w:tr>
        <w:trPr>
          <w:trHeight w:val="33"/>
        </w:trPr>
        <w:tc>
          <w:tcPr>
            <w:tcW w:w="14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528"/>
        </w:trPr>
        <w:tc>
          <w:tcPr>
            <w:tcW w:w="148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/s/</w:t>
            </w:r>
          </w:p>
        </w:tc>
        <w:tc>
          <w:tcPr>
            <w:tcW w:w="25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PHILIP C. MEZEY</w:t>
            </w:r>
          </w:p>
        </w:tc>
      </w:tr>
      <w:tr>
        <w:trPr>
          <w:trHeight w:val="244"/>
        </w:trPr>
        <w:tc>
          <w:tcPr>
            <w:tcW w:w="1480" w:type="dxa"/>
            <w:vAlign w:val="bottom"/>
          </w:tcPr>
          <w:p>
            <w:pPr>
              <w:spacing w:after="0"/>
              <w:rPr>
                <w:sz w:val="21"/>
                <w:szCs w:val="21"/>
                <w:color w:val="auto"/>
              </w:rPr>
            </w:pPr>
          </w:p>
        </w:tc>
        <w:tc>
          <w:tcPr>
            <w:tcW w:w="2520" w:type="dxa"/>
            <w:vAlign w:val="bottom"/>
          </w:tcPr>
          <w:p>
            <w:pPr>
              <w:jc w:val="center"/>
              <w:ind w:right="1386"/>
              <w:spacing w:after="0"/>
              <w:rPr>
                <w:sz w:val="20"/>
                <w:szCs w:val="20"/>
                <w:color w:val="auto"/>
              </w:rPr>
            </w:pPr>
            <w:r>
              <w:rPr>
                <w:rFonts w:ascii="Arial" w:cs="Arial" w:eastAsia="Arial" w:hAnsi="Arial"/>
                <w:sz w:val="14"/>
                <w:szCs w:val="14"/>
                <w:b w:val="1"/>
                <w:bCs w:val="1"/>
                <w:color w:val="auto"/>
                <w:w w:val="96"/>
              </w:rPr>
              <w:t>Philip C. Mezey</w:t>
            </w:r>
          </w:p>
        </w:tc>
      </w:tr>
      <w:tr>
        <w:trPr>
          <w:trHeight w:val="465"/>
        </w:trPr>
        <w:tc>
          <w:tcPr>
            <w:tcW w:w="148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/s/</w:t>
            </w:r>
          </w:p>
        </w:tc>
        <w:tc>
          <w:tcPr>
            <w:tcW w:w="25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JOAN S. HOOPER</w:t>
            </w:r>
          </w:p>
        </w:tc>
      </w:tr>
      <w:tr>
        <w:trPr>
          <w:trHeight w:val="231"/>
        </w:trPr>
        <w:tc>
          <w:tcPr>
            <w:tcW w:w="1480" w:type="dxa"/>
            <w:vAlign w:val="bottom"/>
          </w:tcPr>
          <w:p>
            <w:pPr>
              <w:spacing w:after="0"/>
              <w:rPr>
                <w:sz w:val="20"/>
                <w:szCs w:val="20"/>
                <w:color w:val="auto"/>
              </w:rPr>
            </w:pPr>
          </w:p>
        </w:tc>
        <w:tc>
          <w:tcPr>
            <w:tcW w:w="2520" w:type="dxa"/>
            <w:vAlign w:val="bottom"/>
          </w:tcPr>
          <w:p>
            <w:pPr>
              <w:jc w:val="center"/>
              <w:ind w:right="1386"/>
              <w:spacing w:after="0"/>
              <w:rPr>
                <w:sz w:val="20"/>
                <w:szCs w:val="20"/>
                <w:color w:val="auto"/>
              </w:rPr>
            </w:pPr>
            <w:r>
              <w:rPr>
                <w:rFonts w:ascii="Arial" w:cs="Arial" w:eastAsia="Arial" w:hAnsi="Arial"/>
                <w:sz w:val="14"/>
                <w:szCs w:val="14"/>
                <w:b w:val="1"/>
                <w:bCs w:val="1"/>
                <w:color w:val="auto"/>
                <w:w w:val="91"/>
              </w:rPr>
              <w:t>Joan S. Hooper</w:t>
            </w:r>
          </w:p>
        </w:tc>
      </w:tr>
    </w:tbl>
    <w:p>
      <w:pPr>
        <w:spacing w:after="0" w:line="290" w:lineRule="exact"/>
        <w:rPr>
          <w:sz w:val="20"/>
          <w:szCs w:val="20"/>
          <w:color w:val="auto"/>
        </w:rPr>
      </w:pPr>
    </w:p>
    <w:p>
      <w:pPr>
        <w:jc w:val="center"/>
        <w:ind w:left="20"/>
        <w:spacing w:after="0"/>
        <w:tabs>
          <w:tab w:leader="none" w:pos="120" w:val="left"/>
        </w:tabs>
        <w:rPr>
          <w:sz w:val="20"/>
          <w:szCs w:val="20"/>
          <w:color w:val="auto"/>
        </w:rPr>
      </w:pPr>
      <w:r>
        <w:rPr>
          <w:rFonts w:ascii="Arial" w:cs="Arial" w:eastAsia="Arial" w:hAnsi="Arial"/>
          <w:sz w:val="14"/>
          <w:szCs w:val="14"/>
          <w:color w:val="auto"/>
        </w:rPr>
        <w:t>/s/</w:t>
        <w:tab/>
        <w:t>THOMAS S. GLANVILLE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5387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72"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Thomas S. Glanville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0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/s/</w:t>
            </w:r>
          </w:p>
        </w:tc>
        <w:tc>
          <w:tcPr>
            <w:tcW w:w="2600" w:type="dxa"/>
            <w:vAlign w:val="bottom"/>
            <w:tcBorders>
              <w:bottom w:val="single" w:sz="8" w:color="auto"/>
            </w:tcBorders>
          </w:tcPr>
          <w:p>
            <w:pPr>
              <w:jc w:val="center"/>
              <w:ind w:right="1048"/>
              <w:spacing w:after="0"/>
              <w:rPr>
                <w:sz w:val="20"/>
                <w:szCs w:val="20"/>
                <w:color w:val="auto"/>
              </w:rPr>
            </w:pPr>
            <w:r>
              <w:rPr>
                <w:rFonts w:ascii="Arial" w:cs="Arial" w:eastAsia="Arial" w:hAnsi="Arial"/>
                <w:sz w:val="14"/>
                <w:szCs w:val="14"/>
                <w:color w:val="auto"/>
                <w:w w:val="99"/>
              </w:rPr>
              <w:t>FRANK M. JAEHNERT</w:t>
            </w:r>
          </w:p>
        </w:tc>
      </w:tr>
      <w:tr>
        <w:trPr>
          <w:trHeight w:val="231"/>
        </w:trPr>
        <w:tc>
          <w:tcPr>
            <w:tcW w:w="1400" w:type="dxa"/>
            <w:vAlign w:val="bottom"/>
          </w:tcPr>
          <w:p>
            <w:pPr>
              <w:spacing w:after="0"/>
              <w:rPr>
                <w:sz w:val="20"/>
                <w:szCs w:val="20"/>
                <w:color w:val="auto"/>
              </w:rPr>
            </w:pPr>
          </w:p>
        </w:tc>
        <w:tc>
          <w:tcPr>
            <w:tcW w:w="2600" w:type="dxa"/>
            <w:vAlign w:val="bottom"/>
          </w:tcPr>
          <w:p>
            <w:pPr>
              <w:jc w:val="center"/>
              <w:ind w:right="1308"/>
              <w:spacing w:after="0"/>
              <w:rPr>
                <w:sz w:val="20"/>
                <w:szCs w:val="20"/>
                <w:color w:val="auto"/>
              </w:rPr>
            </w:pPr>
            <w:r>
              <w:rPr>
                <w:rFonts w:ascii="Arial" w:cs="Arial" w:eastAsia="Arial" w:hAnsi="Arial"/>
                <w:sz w:val="14"/>
                <w:szCs w:val="14"/>
                <w:b w:val="1"/>
                <w:bCs w:val="1"/>
                <w:color w:val="auto"/>
                <w:w w:val="98"/>
              </w:rPr>
              <w:t>Frank M. Jaehnert</w:t>
            </w:r>
          </w:p>
        </w:tc>
      </w:tr>
      <w:tr>
        <w:trPr>
          <w:trHeight w:val="459"/>
        </w:trPr>
        <w:tc>
          <w:tcPr>
            <w:tcW w:w="1400" w:type="dxa"/>
            <w:vAlign w:val="bottom"/>
          </w:tcPr>
          <w:p>
            <w:pPr>
              <w:ind w:left="1260"/>
              <w:spacing w:after="0"/>
              <w:rPr>
                <w:sz w:val="20"/>
                <w:szCs w:val="20"/>
                <w:color w:val="auto"/>
              </w:rPr>
            </w:pPr>
            <w:r>
              <w:rPr>
                <w:rFonts w:ascii="Arial" w:cs="Arial" w:eastAsia="Arial" w:hAnsi="Arial"/>
                <w:sz w:val="14"/>
                <w:szCs w:val="14"/>
                <w:color w:val="auto"/>
                <w:w w:val="80"/>
              </w:rPr>
              <w:t>/s/</w:t>
            </w:r>
          </w:p>
        </w:tc>
        <w:tc>
          <w:tcPr>
            <w:tcW w:w="2600" w:type="dxa"/>
            <w:vAlign w:val="bottom"/>
          </w:tcPr>
          <w:p>
            <w:pPr>
              <w:jc w:val="center"/>
              <w:ind w:right="1028"/>
              <w:spacing w:after="0"/>
              <w:rPr>
                <w:sz w:val="20"/>
                <w:szCs w:val="20"/>
                <w:color w:val="auto"/>
              </w:rPr>
            </w:pPr>
            <w:r>
              <w:rPr>
                <w:rFonts w:ascii="Arial" w:cs="Arial" w:eastAsia="Arial" w:hAnsi="Arial"/>
                <w:sz w:val="14"/>
                <w:szCs w:val="14"/>
                <w:color w:val="auto"/>
                <w:w w:val="98"/>
              </w:rPr>
              <w:t>JEROME J. LANDE</w:t>
            </w:r>
          </w:p>
        </w:tc>
      </w:tr>
      <w:tr>
        <w:trPr>
          <w:trHeight w:val="26"/>
        </w:trPr>
        <w:tc>
          <w:tcPr>
            <w:tcW w:w="14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25"/>
        </w:trPr>
        <w:tc>
          <w:tcPr>
            <w:tcW w:w="1400" w:type="dxa"/>
            <w:vAlign w:val="bottom"/>
          </w:tcPr>
          <w:p>
            <w:pPr>
              <w:spacing w:after="0"/>
              <w:rPr>
                <w:sz w:val="19"/>
                <w:szCs w:val="19"/>
                <w:color w:val="auto"/>
              </w:rPr>
            </w:pPr>
          </w:p>
        </w:tc>
        <w:tc>
          <w:tcPr>
            <w:tcW w:w="2600" w:type="dxa"/>
            <w:vAlign w:val="bottom"/>
          </w:tcPr>
          <w:p>
            <w:pPr>
              <w:jc w:val="center"/>
              <w:ind w:right="1308"/>
              <w:spacing w:after="0"/>
              <w:rPr>
                <w:sz w:val="20"/>
                <w:szCs w:val="20"/>
                <w:color w:val="auto"/>
              </w:rPr>
            </w:pPr>
            <w:r>
              <w:rPr>
                <w:rFonts w:ascii="Arial" w:cs="Arial" w:eastAsia="Arial" w:hAnsi="Arial"/>
                <w:sz w:val="14"/>
                <w:szCs w:val="14"/>
                <w:b w:val="1"/>
                <w:bCs w:val="1"/>
                <w:color w:val="auto"/>
                <w:w w:val="92"/>
              </w:rPr>
              <w:t>Jerome J. Lande</w:t>
            </w:r>
          </w:p>
        </w:tc>
      </w:tr>
      <w:tr>
        <w:trPr>
          <w:trHeight w:val="459"/>
        </w:trPr>
        <w:tc>
          <w:tcPr>
            <w:tcW w:w="1400" w:type="dxa"/>
            <w:vAlign w:val="bottom"/>
          </w:tcPr>
          <w:p>
            <w:pPr>
              <w:ind w:left="1140"/>
              <w:spacing w:after="0"/>
              <w:rPr>
                <w:sz w:val="20"/>
                <w:szCs w:val="20"/>
                <w:color w:val="auto"/>
              </w:rPr>
            </w:pPr>
            <w:r>
              <w:rPr>
                <w:rFonts w:ascii="Arial" w:cs="Arial" w:eastAsia="Arial" w:hAnsi="Arial"/>
                <w:sz w:val="14"/>
                <w:szCs w:val="14"/>
                <w:color w:val="auto"/>
              </w:rPr>
              <w:t>/s/</w:t>
            </w:r>
          </w:p>
        </w:tc>
        <w:tc>
          <w:tcPr>
            <w:tcW w:w="2600" w:type="dxa"/>
            <w:vAlign w:val="bottom"/>
          </w:tcPr>
          <w:p>
            <w:pPr>
              <w:jc w:val="center"/>
              <w:ind w:right="1048"/>
              <w:spacing w:after="0"/>
              <w:rPr>
                <w:sz w:val="20"/>
                <w:szCs w:val="20"/>
                <w:color w:val="auto"/>
              </w:rPr>
            </w:pPr>
            <w:r>
              <w:rPr>
                <w:rFonts w:ascii="Arial" w:cs="Arial" w:eastAsia="Arial" w:hAnsi="Arial"/>
                <w:sz w:val="14"/>
                <w:szCs w:val="14"/>
                <w:color w:val="auto"/>
              </w:rPr>
              <w:t>TIMOTHY M. LEYDEN</w:t>
            </w:r>
          </w:p>
        </w:tc>
      </w:tr>
      <w:tr>
        <w:trPr>
          <w:trHeight w:val="26"/>
        </w:trPr>
        <w:tc>
          <w:tcPr>
            <w:tcW w:w="4000" w:type="dxa"/>
            <w:vAlign w:val="bottom"/>
            <w:tcBorders>
              <w:bottom w:val="single" w:sz="8" w:color="auto"/>
            </w:tcBorders>
            <w:gridSpan w:val="2"/>
          </w:tcPr>
          <w:p>
            <w:pPr>
              <w:spacing w:after="0"/>
              <w:rPr>
                <w:sz w:val="2"/>
                <w:szCs w:val="2"/>
                <w:color w:val="auto"/>
              </w:rPr>
            </w:pPr>
          </w:p>
        </w:tc>
      </w:tr>
      <w:tr>
        <w:trPr>
          <w:trHeight w:val="225"/>
        </w:trPr>
        <w:tc>
          <w:tcPr>
            <w:tcW w:w="4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Timothy M. Leyden</w:t>
            </w:r>
          </w:p>
        </w:tc>
      </w:tr>
      <w:tr>
        <w:trPr>
          <w:trHeight w:val="479"/>
        </w:trPr>
        <w:tc>
          <w:tcPr>
            <w:tcW w:w="1400" w:type="dxa"/>
            <w:vAlign w:val="bottom"/>
            <w:tcBorders>
              <w:bottom w:val="single" w:sz="8" w:color="auto"/>
            </w:tcBorders>
          </w:tcPr>
          <w:p>
            <w:pPr>
              <w:ind w:left="1240"/>
              <w:spacing w:after="0"/>
              <w:rPr>
                <w:sz w:val="20"/>
                <w:szCs w:val="20"/>
                <w:color w:val="auto"/>
              </w:rPr>
            </w:pPr>
            <w:r>
              <w:rPr>
                <w:rFonts w:ascii="Arial" w:cs="Arial" w:eastAsia="Arial" w:hAnsi="Arial"/>
                <w:sz w:val="14"/>
                <w:szCs w:val="14"/>
                <w:color w:val="auto"/>
                <w:w w:val="94"/>
              </w:rPr>
              <w:t>/s/</w:t>
            </w:r>
          </w:p>
        </w:tc>
        <w:tc>
          <w:tcPr>
            <w:tcW w:w="2600" w:type="dxa"/>
            <w:vAlign w:val="bottom"/>
            <w:tcBorders>
              <w:bottom w:val="single" w:sz="8" w:color="auto"/>
            </w:tcBorders>
          </w:tcPr>
          <w:p>
            <w:pPr>
              <w:jc w:val="center"/>
              <w:ind w:right="1048"/>
              <w:spacing w:after="0"/>
              <w:rPr>
                <w:sz w:val="20"/>
                <w:szCs w:val="20"/>
                <w:color w:val="auto"/>
              </w:rPr>
            </w:pPr>
            <w:r>
              <w:rPr>
                <w:rFonts w:ascii="Arial" w:cs="Arial" w:eastAsia="Arial" w:hAnsi="Arial"/>
                <w:sz w:val="14"/>
                <w:szCs w:val="14"/>
                <w:color w:val="auto"/>
              </w:rPr>
              <w:t>DANIEL S. PELINO</w:t>
            </w:r>
          </w:p>
        </w:tc>
      </w:tr>
      <w:tr>
        <w:trPr>
          <w:trHeight w:val="231"/>
        </w:trPr>
        <w:tc>
          <w:tcPr>
            <w:tcW w:w="1400" w:type="dxa"/>
            <w:vAlign w:val="bottom"/>
          </w:tcPr>
          <w:p>
            <w:pPr>
              <w:spacing w:after="0"/>
              <w:rPr>
                <w:sz w:val="20"/>
                <w:szCs w:val="20"/>
                <w:color w:val="auto"/>
              </w:rPr>
            </w:pPr>
          </w:p>
        </w:tc>
        <w:tc>
          <w:tcPr>
            <w:tcW w:w="2600" w:type="dxa"/>
            <w:vAlign w:val="bottom"/>
          </w:tcPr>
          <w:p>
            <w:pPr>
              <w:jc w:val="center"/>
              <w:ind w:right="1308"/>
              <w:spacing w:after="0"/>
              <w:rPr>
                <w:sz w:val="20"/>
                <w:szCs w:val="20"/>
                <w:color w:val="auto"/>
              </w:rPr>
            </w:pPr>
            <w:r>
              <w:rPr>
                <w:rFonts w:ascii="Arial" w:cs="Arial" w:eastAsia="Arial" w:hAnsi="Arial"/>
                <w:sz w:val="14"/>
                <w:szCs w:val="14"/>
                <w:b w:val="1"/>
                <w:bCs w:val="1"/>
                <w:color w:val="auto"/>
                <w:w w:val="93"/>
              </w:rPr>
              <w:t>Daniel S. Pelino</w:t>
            </w:r>
          </w:p>
        </w:tc>
      </w:tr>
      <w:tr>
        <w:trPr>
          <w:trHeight w:val="479"/>
        </w:trPr>
        <w:tc>
          <w:tcPr>
            <w:tcW w:w="4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/s/  GARY E. PRUITT</w:t>
            </w:r>
          </w:p>
        </w:tc>
      </w:tr>
      <w:tr>
        <w:trPr>
          <w:trHeight w:val="231"/>
        </w:trPr>
        <w:tc>
          <w:tcPr>
            <w:tcW w:w="1400" w:type="dxa"/>
            <w:vAlign w:val="bottom"/>
          </w:tcPr>
          <w:p>
            <w:pPr>
              <w:spacing w:after="0"/>
              <w:rPr>
                <w:sz w:val="20"/>
                <w:szCs w:val="20"/>
                <w:color w:val="auto"/>
              </w:rPr>
            </w:pPr>
          </w:p>
        </w:tc>
        <w:tc>
          <w:tcPr>
            <w:tcW w:w="2600" w:type="dxa"/>
            <w:vAlign w:val="bottom"/>
          </w:tcPr>
          <w:p>
            <w:pPr>
              <w:jc w:val="center"/>
              <w:ind w:right="1308"/>
              <w:spacing w:after="0"/>
              <w:rPr>
                <w:sz w:val="20"/>
                <w:szCs w:val="20"/>
                <w:color w:val="auto"/>
              </w:rPr>
            </w:pPr>
            <w:r>
              <w:rPr>
                <w:rFonts w:ascii="Arial" w:cs="Arial" w:eastAsia="Arial" w:hAnsi="Arial"/>
                <w:sz w:val="14"/>
                <w:szCs w:val="14"/>
                <w:b w:val="1"/>
                <w:bCs w:val="1"/>
                <w:color w:val="auto"/>
              </w:rPr>
              <w:t>Gary E. Pruitt</w:t>
            </w:r>
          </w:p>
        </w:tc>
      </w:tr>
      <w:tr>
        <w:trPr>
          <w:trHeight w:val="479"/>
        </w:trPr>
        <w:tc>
          <w:tcPr>
            <w:tcW w:w="140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/s/</w:t>
            </w:r>
          </w:p>
        </w:tc>
        <w:tc>
          <w:tcPr>
            <w:tcW w:w="2600" w:type="dxa"/>
            <w:vAlign w:val="bottom"/>
            <w:tcBorders>
              <w:bottom w:val="single" w:sz="8" w:color="auto"/>
            </w:tcBorders>
          </w:tcPr>
          <w:p>
            <w:pPr>
              <w:jc w:val="center"/>
              <w:ind w:right="1028"/>
              <w:spacing w:after="0"/>
              <w:rPr>
                <w:sz w:val="20"/>
                <w:szCs w:val="20"/>
                <w:color w:val="auto"/>
              </w:rPr>
            </w:pPr>
            <w:r>
              <w:rPr>
                <w:rFonts w:ascii="Arial" w:cs="Arial" w:eastAsia="Arial" w:hAnsi="Arial"/>
                <w:sz w:val="14"/>
                <w:szCs w:val="14"/>
                <w:color w:val="auto"/>
              </w:rPr>
              <w:t>DIANA D. TREMBLAY</w:t>
            </w:r>
          </w:p>
        </w:tc>
      </w:tr>
      <w:tr>
        <w:trPr>
          <w:trHeight w:val="231"/>
        </w:trPr>
        <w:tc>
          <w:tcPr>
            <w:tcW w:w="1400" w:type="dxa"/>
            <w:vAlign w:val="bottom"/>
          </w:tcPr>
          <w:p>
            <w:pPr>
              <w:spacing w:after="0"/>
              <w:rPr>
                <w:sz w:val="20"/>
                <w:szCs w:val="20"/>
                <w:color w:val="auto"/>
              </w:rPr>
            </w:pPr>
          </w:p>
        </w:tc>
        <w:tc>
          <w:tcPr>
            <w:tcW w:w="2600" w:type="dxa"/>
            <w:vAlign w:val="bottom"/>
          </w:tcPr>
          <w:p>
            <w:pPr>
              <w:jc w:val="center"/>
              <w:ind w:right="1308"/>
              <w:spacing w:after="0"/>
              <w:rPr>
                <w:sz w:val="20"/>
                <w:szCs w:val="20"/>
                <w:color w:val="auto"/>
              </w:rPr>
            </w:pPr>
            <w:r>
              <w:rPr>
                <w:rFonts w:ascii="Arial" w:cs="Arial" w:eastAsia="Arial" w:hAnsi="Arial"/>
                <w:sz w:val="14"/>
                <w:szCs w:val="14"/>
                <w:b w:val="1"/>
                <w:bCs w:val="1"/>
                <w:color w:val="auto"/>
                <w:w w:val="96"/>
              </w:rPr>
              <w:t>Diana D. Tremblay</w:t>
            </w:r>
          </w:p>
        </w:tc>
      </w:tr>
      <w:tr>
        <w:trPr>
          <w:trHeight w:val="479"/>
        </w:trPr>
        <w:tc>
          <w:tcPr>
            <w:tcW w:w="140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/s/</w:t>
            </w:r>
          </w:p>
        </w:tc>
        <w:tc>
          <w:tcPr>
            <w:tcW w:w="2600" w:type="dxa"/>
            <w:vAlign w:val="bottom"/>
            <w:tcBorders>
              <w:bottom w:val="single" w:sz="8" w:color="auto"/>
            </w:tcBorders>
          </w:tcPr>
          <w:p>
            <w:pPr>
              <w:jc w:val="center"/>
              <w:ind w:right="1048"/>
              <w:spacing w:after="0"/>
              <w:rPr>
                <w:sz w:val="20"/>
                <w:szCs w:val="20"/>
                <w:color w:val="auto"/>
              </w:rPr>
            </w:pPr>
            <w:r>
              <w:rPr>
                <w:rFonts w:ascii="Arial" w:cs="Arial" w:eastAsia="Arial" w:hAnsi="Arial"/>
                <w:sz w:val="14"/>
                <w:szCs w:val="14"/>
                <w:color w:val="auto"/>
              </w:rPr>
              <w:t>LYNDA L. ZIEGLER</w:t>
            </w:r>
          </w:p>
        </w:tc>
      </w:tr>
      <w:tr>
        <w:trPr>
          <w:trHeight w:val="231"/>
        </w:trPr>
        <w:tc>
          <w:tcPr>
            <w:tcW w:w="1400" w:type="dxa"/>
            <w:vAlign w:val="bottom"/>
          </w:tcPr>
          <w:p>
            <w:pPr>
              <w:spacing w:after="0"/>
              <w:rPr>
                <w:sz w:val="20"/>
                <w:szCs w:val="20"/>
                <w:color w:val="auto"/>
              </w:rPr>
            </w:pPr>
          </w:p>
        </w:tc>
        <w:tc>
          <w:tcPr>
            <w:tcW w:w="2600" w:type="dxa"/>
            <w:vAlign w:val="bottom"/>
          </w:tcPr>
          <w:p>
            <w:pPr>
              <w:jc w:val="center"/>
              <w:ind w:right="1328"/>
              <w:spacing w:after="0"/>
              <w:rPr>
                <w:sz w:val="20"/>
                <w:szCs w:val="20"/>
                <w:color w:val="auto"/>
              </w:rPr>
            </w:pPr>
            <w:r>
              <w:rPr>
                <w:rFonts w:ascii="Arial" w:cs="Arial" w:eastAsia="Arial" w:hAnsi="Arial"/>
                <w:sz w:val="14"/>
                <w:szCs w:val="14"/>
                <w:b w:val="1"/>
                <w:bCs w:val="1"/>
                <w:color w:val="auto"/>
                <w:w w:val="96"/>
              </w:rPr>
              <w:t>Lynda L. Ziegler</w:t>
            </w:r>
          </w:p>
        </w:tc>
      </w:tr>
    </w:tbl>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37465</wp:posOffset>
            </wp:positionV>
            <wp:extent cx="45624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0">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Executive Officer (Principal Executive Officer), Director</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 and Chief Financial Officer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Chair of the Board</w:t>
      </w:r>
    </w:p>
    <w:p>
      <w:pPr>
        <w:spacing w:after="0" w:line="207" w:lineRule="exact"/>
        <w:rPr>
          <w:sz w:val="20"/>
          <w:szCs w:val="20"/>
          <w:color w:val="auto"/>
        </w:rPr>
      </w:pPr>
    </w:p>
    <w:p>
      <w:pPr>
        <w:sectPr>
          <w:pgSz w:w="11900" w:h="16838" w:orient="portrait"/>
          <w:cols w:equalWidth="0" w:num="2">
            <w:col w:w="4000" w:space="260"/>
            <w:col w:w="7160"/>
          </w:cols>
          <w:pgMar w:left="240" w:top="125" w:right="23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20"/>
          </w:cols>
          <w:pgMar w:left="240" w:top="125" w:right="239"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Michel C. Cadieux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J. Christensen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E. de Vere White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L. Deitrich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Dennis A. Faerber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Sarah E. Hlavinka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Joan S. Hooper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G. Hrivnak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E. McAtee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C. Mezey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Sharelynn F.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Simon W. Pontin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Aravind K. Yarlagadda</w:t>
      </w:r>
    </w:p>
    <w:p>
      <w:pPr>
        <w:sectPr>
          <w:pgSz w:w="11900" w:h="16838" w:orient="portrait"/>
          <w:cols w:equalWidth="0" w:num="1">
            <w:col w:w="11420"/>
          </w:cols>
          <w:pgMar w:left="2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Robert M. Burks,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Michel C. Cadieux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L. Deitrich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Deloris R. Duquette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H.A. Farrow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S. Glanville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Sarah E. Hlavinka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Joan S. Hooper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Jerome J. Lande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M. Leyden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E. McAtee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C. Mezey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Sharelynn F.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S. Pelino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Simon W. Pontin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 W. Porter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E. Pruitt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Diana D. Tremblay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Lynda L. Ziegler</w:t>
      </w:r>
    </w:p>
    <w:p>
      <w:pPr>
        <w:sectPr>
          <w:pgSz w:w="11900" w:h="16838" w:orient="portrait"/>
          <w:cols w:equalWidth="0" w:num="1">
            <w:col w:w="11420"/>
          </w:cols>
          <w:pgMar w:left="240" w:top="12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GRANT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Itron, Inc. (the "Company") hereby grants to Participant an option (the "Option") to purchase shares of the Company's common stock.</w:t>
      </w:r>
    </w:p>
    <w:p>
      <w:pPr>
        <w:sectPr>
          <w:pgSz w:w="11900" w:h="16838" w:orient="portrait"/>
          <w:cols w:equalWidth="0" w:num="1">
            <w:col w:w="11420"/>
          </w:cols>
          <w:pgMar w:left="240" w:top="121" w:right="239" w:bottom="1440" w:gutter="0" w:footer="0" w:header="0"/>
        </w:sectPr>
      </w:pPr>
    </w:p>
    <w:p>
      <w:pPr>
        <w:spacing w:after="0" w:line="35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Participant:</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Grant 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Number of Shares Subject to Option:</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Grant Price (per Share):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Option Expiration Date:</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Participant Name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Grant Date</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Number of Awards Granted</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Grant Price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Expiration Date</w:t>
      </w:r>
    </w:p>
    <w:p>
      <w:pPr>
        <w:spacing w:after="0" w:line="200" w:lineRule="exact"/>
        <w:rPr>
          <w:sz w:val="20"/>
          <w:szCs w:val="20"/>
          <w:color w:val="auto"/>
        </w:rPr>
      </w:pPr>
    </w:p>
    <w:p>
      <w:pPr>
        <w:sectPr>
          <w:pgSz w:w="11900" w:h="16838" w:orient="portrait"/>
          <w:cols w:equalWidth="0" w:num="2">
            <w:col w:w="4240" w:space="720"/>
            <w:col w:w="6460"/>
          </w:cols>
          <w:pgMar w:left="240" w:top="121" w:right="239" w:bottom="1440" w:gutter="0" w:footer="0" w:header="0"/>
          <w:type w:val="continuous"/>
        </w:sectPr>
      </w:pPr>
    </w:p>
    <w:p>
      <w:pPr>
        <w:spacing w:after="0" w:line="11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Type of Option:</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Grant Type</w:t>
      </w:r>
    </w:p>
    <w:p>
      <w:pPr>
        <w:spacing w:after="0" w:line="79" w:lineRule="exact"/>
        <w:rPr>
          <w:sz w:val="20"/>
          <w:szCs w:val="20"/>
          <w:color w:val="auto"/>
        </w:rPr>
      </w:pPr>
    </w:p>
    <w:p>
      <w:pPr>
        <w:sectPr>
          <w:pgSz w:w="11900" w:h="16838" w:orient="portrait"/>
          <w:cols w:equalWidth="0" w:num="2">
            <w:col w:w="4240" w:space="720"/>
            <w:col w:w="646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9"/>
          <w:szCs w:val="19"/>
          <w:b w:val="1"/>
          <w:bCs w:val="1"/>
          <w:color w:val="auto"/>
        </w:rPr>
        <w:t>Vesting and Exercisability Schedule:</w:t>
      </w:r>
    </w:p>
    <w:p>
      <w:pPr>
        <w:spacing w:after="0" w:line="20" w:lineRule="exact"/>
        <w:rPr>
          <w:sz w:val="20"/>
          <w:szCs w:val="20"/>
          <w:color w:val="auto"/>
        </w:rPr>
      </w:pPr>
      <w:r>
        <w:rPr>
          <w:sz w:val="20"/>
          <w:szCs w:val="20"/>
          <w:color w:val="auto"/>
        </w:rPr>
        <w:br w:type="column"/>
      </w:r>
    </w:p>
    <w:p>
      <w:pPr>
        <w:ind w:right="100"/>
        <w:spacing w:after="0" w:line="287" w:lineRule="auto"/>
        <w:rPr>
          <w:sz w:val="20"/>
          <w:szCs w:val="20"/>
          <w:color w:val="auto"/>
        </w:rPr>
      </w:pPr>
      <w:r>
        <w:rPr>
          <w:rFonts w:ascii="Arial" w:cs="Arial" w:eastAsia="Arial" w:hAnsi="Arial"/>
          <w:sz w:val="19"/>
          <w:szCs w:val="19"/>
          <w:color w:val="auto"/>
        </w:rPr>
        <w:t>33-1/3% of the Option will vest and become exercisable on the one-year anniversary of the Grant Date. An additional 33-1/3% of the Option will vest and become exercisable each year thereafter so that the entire Option will be fully vested and exercisable three years from the Grant Date.</w:t>
      </w:r>
    </w:p>
    <w:p>
      <w:pPr>
        <w:spacing w:after="0" w:line="200" w:lineRule="exact"/>
        <w:rPr>
          <w:sz w:val="20"/>
          <w:szCs w:val="20"/>
          <w:color w:val="auto"/>
        </w:rPr>
      </w:pPr>
    </w:p>
    <w:p>
      <w:pPr>
        <w:sectPr>
          <w:pgSz w:w="11900" w:h="16838" w:orient="portrait"/>
          <w:cols w:equalWidth="0" w:num="2">
            <w:col w:w="4240" w:space="720"/>
            <w:col w:w="6460"/>
          </w:cols>
          <w:pgMar w:left="240" w:top="121" w:right="2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Additional Terms: </w:t>
      </w:r>
      <w:r>
        <w:rPr>
          <w:rFonts w:ascii="Arial" w:cs="Arial" w:eastAsia="Arial" w:hAnsi="Arial"/>
          <w:sz w:val="22"/>
          <w:szCs w:val="22"/>
          <w:color w:val="auto"/>
        </w:rPr>
        <w:t>The Option is subject to all the terms and conditions set forth in this Stock Option Grant Notice (this "Grant</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the Stock Option Agreement (including Appendix A), and the Company's Amended and Restated 2010 Stock Incentive Plan (the "Plan"), which are incorporated into this Grant Notice in their entirety.</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EE2724"/>
        </w:rPr>
        <w:t>Participant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 accept the Option subject to the terms and conditions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stated herein.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FF0000"/>
        </w:rPr>
        <w:t>Electronic Signature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p>
    <w:p>
      <w:pPr>
        <w:spacing w:after="0" w:line="2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Stock Option Agreement (including Appendix A)</w:t>
      </w:r>
    </w:p>
    <w:p>
      <w:pPr>
        <w:spacing w:after="0" w:line="229" w:lineRule="exact"/>
        <w:rPr>
          <w:sz w:val="20"/>
          <w:szCs w:val="20"/>
          <w:color w:val="auto"/>
        </w:rPr>
      </w:pPr>
    </w:p>
    <w:p>
      <w:pPr>
        <w:ind w:left="4060"/>
        <w:spacing w:after="0"/>
        <w:rPr>
          <w:sz w:val="20"/>
          <w:szCs w:val="20"/>
          <w:color w:val="auto"/>
        </w:rPr>
      </w:pPr>
      <w:r>
        <w:rPr>
          <w:rFonts w:ascii="Arial" w:cs="Arial" w:eastAsia="Arial" w:hAnsi="Arial"/>
          <w:sz w:val="11"/>
          <w:szCs w:val="11"/>
          <w:i w:val="1"/>
          <w:iCs w:val="1"/>
          <w:color w:val="auto"/>
        </w:rPr>
        <w:t>1</w:t>
      </w:r>
    </w:p>
    <w:p>
      <w:pPr>
        <w:sectPr>
          <w:pgSz w:w="11900" w:h="16838" w:orient="portrait"/>
          <w:cols w:equalWidth="0" w:num="1">
            <w:col w:w="11420"/>
          </w:cols>
          <w:pgMar w:left="240" w:top="121" w:right="239" w:bottom="1440" w:gutter="0" w:footer="0" w:header="0"/>
          <w:type w:val="continuous"/>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10.32</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AGREEMENT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Pursuant to your Stock Option Grant Notice (the "Grant Notice") and this Stock Option Agreement, including Appendix A, Itron, Inc. (the "Company") has granted you an Option (the "Option") under its Amended and Restated 2010 Stock Incentive Plan (the "Plan") to purchase the number of shares of the Company's common stock (the "Shares") indicated in your Grant Notice at the price (the "Grant Price") indicated in your Grant Notice. Capitalized terms not expressly defined in this Stock Option Agreement or the Grant Notice have the same definitions as in the Plan. All references to this Stock Option Agreement include Attachment A which is made a part of this Stock Option Agreement for all purposes.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The details of the Option are as follows:</w:t>
      </w:r>
    </w:p>
    <w:p>
      <w:pPr>
        <w:spacing w:after="0" w:line="214" w:lineRule="exact"/>
        <w:rPr>
          <w:sz w:val="20"/>
          <w:szCs w:val="20"/>
          <w:color w:val="auto"/>
        </w:rPr>
      </w:pPr>
    </w:p>
    <w:p>
      <w:pPr>
        <w:ind w:right="20" w:firstLine="8"/>
        <w:spacing w:after="0" w:line="269" w:lineRule="auto"/>
        <w:tabs>
          <w:tab w:leader="none" w:pos="513"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Vesting and Exercisability</w:t>
      </w:r>
      <w:r>
        <w:rPr>
          <w:rFonts w:ascii="Arial" w:cs="Arial" w:eastAsia="Arial" w:hAnsi="Arial"/>
          <w:sz w:val="22"/>
          <w:szCs w:val="22"/>
          <w:color w:val="auto"/>
        </w:rPr>
        <w:t>. Subject to the limitations contained herein, the Option will vest and become exercisable as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in your Grant Notice.</w:t>
      </w:r>
    </w:p>
    <w:p>
      <w:pPr>
        <w:spacing w:after="0" w:line="162" w:lineRule="exact"/>
        <w:rPr>
          <w:rFonts w:ascii="Arial" w:cs="Arial" w:eastAsia="Arial" w:hAnsi="Arial"/>
          <w:sz w:val="22"/>
          <w:szCs w:val="22"/>
          <w:color w:val="auto"/>
        </w:rPr>
      </w:pPr>
    </w:p>
    <w:p>
      <w:pPr>
        <w:jc w:val="both"/>
        <w:ind w:firstLine="8"/>
        <w:spacing w:after="0" w:line="291" w:lineRule="auto"/>
        <w:tabs>
          <w:tab w:leader="none" w:pos="432" w:val="left"/>
        </w:tabs>
        <w:numPr>
          <w:ilvl w:val="0"/>
          <w:numId w:val="27"/>
        </w:numPr>
        <w:rPr>
          <w:rFonts w:ascii="Arial" w:cs="Arial" w:eastAsia="Arial" w:hAnsi="Arial"/>
          <w:sz w:val="19"/>
          <w:szCs w:val="19"/>
          <w:color w:val="auto"/>
        </w:rPr>
      </w:pPr>
      <w:r>
        <w:rPr>
          <w:rFonts w:ascii="Arial" w:cs="Arial" w:eastAsia="Arial" w:hAnsi="Arial"/>
          <w:sz w:val="19"/>
          <w:szCs w:val="19"/>
          <w:b w:val="1"/>
          <w:bCs w:val="1"/>
          <w:color w:val="auto"/>
        </w:rPr>
        <w:t>Securities Law Compliance</w:t>
      </w:r>
      <w:r>
        <w:rPr>
          <w:rFonts w:ascii="Arial" w:cs="Arial" w:eastAsia="Arial" w:hAnsi="Arial"/>
          <w:sz w:val="19"/>
          <w:szCs w:val="19"/>
          <w:color w:val="auto"/>
        </w:rPr>
        <w:t>. At the present time, the Company has an effective registration statement on file with the U.S.</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and Exchange Commission with respect to the Shares. The Company intends to maintain this registration but has no obligation to do so. In the event that such registration ceases to be effective, you will not be able to exercise the Option unless exemptions from registration under U.S. federal and state (and, where applicable, foreign) securities laws are available, which exemptions from registration are very limited and might be unavailable. The exercise of the Option must also comply with other applicable laws and regulations governing the Option, and you may not exercise the Option if the Company determines that such exercise would not be in material compliance with such laws and regulations. In addition, you agree not to sell any of the Shares received under this Option at a time when applicable laws or Company policies prohibit a sale.</w:t>
      </w:r>
    </w:p>
    <w:p>
      <w:pPr>
        <w:spacing w:after="0" w:line="149" w:lineRule="exact"/>
        <w:rPr>
          <w:rFonts w:ascii="Arial" w:cs="Arial" w:eastAsia="Arial" w:hAnsi="Arial"/>
          <w:sz w:val="19"/>
          <w:szCs w:val="19"/>
          <w:color w:val="auto"/>
        </w:rPr>
      </w:pPr>
    </w:p>
    <w:p>
      <w:pPr>
        <w:jc w:val="both"/>
        <w:ind w:firstLine="8"/>
        <w:spacing w:after="0" w:line="267" w:lineRule="auto"/>
        <w:tabs>
          <w:tab w:leader="none" w:pos="810" w:val="left"/>
        </w:tabs>
        <w:numPr>
          <w:ilvl w:val="0"/>
          <w:numId w:val="27"/>
        </w:numPr>
        <w:rPr>
          <w:rFonts w:ascii="Arial" w:cs="Arial" w:eastAsia="Arial" w:hAnsi="Arial"/>
          <w:sz w:val="21"/>
          <w:szCs w:val="21"/>
          <w:color w:val="auto"/>
        </w:rPr>
      </w:pPr>
      <w:r>
        <w:rPr>
          <w:rFonts w:ascii="Arial" w:cs="Arial" w:eastAsia="Arial" w:hAnsi="Arial"/>
          <w:sz w:val="21"/>
          <w:szCs w:val="21"/>
          <w:b w:val="1"/>
          <w:bCs w:val="1"/>
          <w:color w:val="auto"/>
        </w:rPr>
        <w:t>Type of Option</w:t>
      </w:r>
      <w:r>
        <w:rPr>
          <w:rFonts w:ascii="Arial" w:cs="Arial" w:eastAsia="Arial" w:hAnsi="Arial"/>
          <w:sz w:val="21"/>
          <w:szCs w:val="21"/>
          <w:color w:val="auto"/>
        </w:rPr>
        <w:t>. Your Grant Notice specifies the type of Option granted to you, which may be an Incentive Stock Option</w:t>
      </w:r>
      <w:r>
        <w:rPr>
          <w:rFonts w:ascii="Arial" w:cs="Arial" w:eastAsia="Arial" w:hAnsi="Arial"/>
          <w:sz w:val="21"/>
          <w:szCs w:val="21"/>
          <w:b w:val="1"/>
          <w:bCs w:val="1"/>
          <w:color w:val="auto"/>
        </w:rPr>
        <w:t xml:space="preserve"> </w:t>
      </w:r>
      <w:r>
        <w:rPr>
          <w:rFonts w:ascii="Arial" w:cs="Arial" w:eastAsia="Arial" w:hAnsi="Arial"/>
          <w:sz w:val="21"/>
          <w:szCs w:val="21"/>
          <w:color w:val="auto"/>
        </w:rPr>
        <w:t>or a Nonqualified Stock Option, or both. Of the total number of options granted to you, the number of Incentive Stock Options shall be determined in accordance with the limits set forth in the Internal Revenue Code (“Code”) and related regulations. Incentive Stock Options are governed by the Code and related regulations as described below:</w:t>
      </w:r>
    </w:p>
    <w:p>
      <w:pPr>
        <w:spacing w:after="0" w:line="174" w:lineRule="exact"/>
        <w:rPr>
          <w:sz w:val="20"/>
          <w:szCs w:val="20"/>
          <w:color w:val="auto"/>
        </w:rPr>
      </w:pPr>
    </w:p>
    <w:p>
      <w:pPr>
        <w:jc w:val="both"/>
        <w:ind w:left="1880" w:hanging="1215"/>
        <w:spacing w:after="0" w:line="253" w:lineRule="auto"/>
        <w:rPr>
          <w:sz w:val="20"/>
          <w:szCs w:val="20"/>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Incentive Stock Option Qualification.</w:t>
      </w:r>
      <w:r>
        <w:rPr>
          <w:rFonts w:ascii="Arial" w:cs="Arial" w:eastAsia="Arial" w:hAnsi="Arial"/>
          <w:sz w:val="22"/>
          <w:szCs w:val="22"/>
          <w:color w:val="auto"/>
        </w:rPr>
        <w:t xml:space="preserve"> If all or a portion of the Option is intended to qualify as an Incentive Stock Option under U.S. federal income tax law, the Company does not represent or guarantee that the Option qualifies as such.</w:t>
      </w:r>
    </w:p>
    <w:p>
      <w:pPr>
        <w:spacing w:after="0" w:line="186"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If the aggregate Fair Market Value (determined as of the Grant Date) of the Shares subject to the Option and all other Incentive Stock Options you hold that first become exercisable during any calendar year exceeds $100,000, any excess portion will be</w:t>
      </w:r>
    </w:p>
    <w:p>
      <w:pPr>
        <w:spacing w:after="0" w:line="198" w:lineRule="exact"/>
        <w:rPr>
          <w:sz w:val="20"/>
          <w:szCs w:val="20"/>
          <w:color w:val="auto"/>
        </w:rPr>
      </w:pPr>
    </w:p>
    <w:p>
      <w:pPr>
        <w:ind w:left="4060"/>
        <w:spacing w:after="0"/>
        <w:rPr>
          <w:sz w:val="20"/>
          <w:szCs w:val="20"/>
          <w:color w:val="auto"/>
        </w:rPr>
      </w:pPr>
      <w:r>
        <w:rPr>
          <w:rFonts w:ascii="Arial" w:cs="Arial" w:eastAsia="Arial" w:hAnsi="Arial"/>
          <w:sz w:val="11"/>
          <w:szCs w:val="11"/>
          <w:i w:val="1"/>
          <w:iCs w:val="1"/>
          <w:color w:val="auto"/>
        </w:rPr>
        <w:t>2</w:t>
      </w:r>
    </w:p>
    <w:p>
      <w:pPr>
        <w:sectPr>
          <w:pgSz w:w="11900" w:h="16838" w:orient="portrait"/>
          <w:cols w:equalWidth="0" w:num="1">
            <w:col w:w="11420"/>
          </w:cols>
          <w:pgMar w:left="240" w:top="12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treated as a Nonqualified Stock Option, unless the rules and regulations governing the $100,000 limit for Incentive Stock Options are amended. A portion of the Option may be treated as a Nonqualified Stock Option if certain events cause exercisability of the Option to accelerate.</w:t>
      </w:r>
    </w:p>
    <w:p>
      <w:pPr>
        <w:spacing w:after="0" w:line="186" w:lineRule="exact"/>
        <w:rPr>
          <w:sz w:val="20"/>
          <w:szCs w:val="20"/>
          <w:color w:val="auto"/>
        </w:rPr>
      </w:pPr>
    </w:p>
    <w:p>
      <w:pPr>
        <w:jc w:val="both"/>
        <w:ind w:left="1300" w:right="20" w:hanging="644"/>
        <w:spacing w:after="0" w:line="271" w:lineRule="auto"/>
        <w:tabs>
          <w:tab w:leader="none" w:pos="1300"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Notice of Disqualifying Disposition.</w:t>
      </w:r>
      <w:r>
        <w:rPr>
          <w:rFonts w:ascii="Arial" w:cs="Arial" w:eastAsia="Arial" w:hAnsi="Arial"/>
          <w:sz w:val="21"/>
          <w:szCs w:val="21"/>
          <w:color w:val="auto"/>
        </w:rPr>
        <w:t xml:space="preserve"> To obtain certain tax benefits afforded to Incentive Stock Options, you must hold the Shares issued upon the exercise of the Option for two years after the Grant Date and one year after the date of exercise. You may be subject to the alternative minimum tax at the time of exercise.</w:t>
      </w:r>
    </w:p>
    <w:p>
      <w:pPr>
        <w:spacing w:after="0" w:line="168"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b w:val="1"/>
          <w:bCs w:val="1"/>
          <w:i w:val="1"/>
          <w:iCs w:val="1"/>
          <w:color w:val="auto"/>
        </w:rPr>
        <w:t>By accepting the Incentive Stock Option, you agree to promptly notify the Company if you dispose of any of the Shares within one year from the date you exercise all or part of your Option, or within two years from the Grant Date.</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color w:val="auto"/>
        </w:rPr>
        <w:t>The Company is not providing any tax, legal or financial advice, nor is the Company making any recommendations regarding your participation in the Plan or your acquisition or sale of the Shares underlying the Option.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Option and the acquisition or disposition of any Shares to be issued pursuant to the exercise of the Option in light of your specific situation or had the opportunity to consult with such advisors but chose not to do so.</w:t>
      </w:r>
    </w:p>
    <w:p>
      <w:pPr>
        <w:spacing w:after="0" w:line="174" w:lineRule="exact"/>
        <w:rPr>
          <w:sz w:val="20"/>
          <w:szCs w:val="20"/>
          <w:color w:val="auto"/>
        </w:rPr>
      </w:pPr>
    </w:p>
    <w:p>
      <w:pPr>
        <w:ind w:firstLine="8"/>
        <w:spacing w:after="0" w:line="269" w:lineRule="auto"/>
        <w:tabs>
          <w:tab w:leader="none" w:pos="810" w:val="left"/>
        </w:tabs>
        <w:numPr>
          <w:ilvl w:val="0"/>
          <w:numId w:val="29"/>
        </w:numPr>
        <w:rPr>
          <w:rFonts w:ascii="Arial" w:cs="Arial" w:eastAsia="Arial" w:hAnsi="Arial"/>
          <w:sz w:val="22"/>
          <w:szCs w:val="22"/>
          <w:color w:val="auto"/>
        </w:rPr>
      </w:pPr>
      <w:r>
        <w:rPr>
          <w:rFonts w:ascii="Arial" w:cs="Arial" w:eastAsia="Arial" w:hAnsi="Arial"/>
          <w:sz w:val="22"/>
          <w:szCs w:val="22"/>
          <w:b w:val="1"/>
          <w:bCs w:val="1"/>
          <w:color w:val="auto"/>
        </w:rPr>
        <w:t>Method of Exercise</w:t>
      </w:r>
      <w:r>
        <w:rPr>
          <w:rFonts w:ascii="Arial" w:cs="Arial" w:eastAsia="Arial" w:hAnsi="Arial"/>
          <w:sz w:val="22"/>
          <w:szCs w:val="22"/>
          <w:color w:val="auto"/>
        </w:rPr>
        <w:t>. You may exercise the Option upon notice and payment of the Grant Price by any of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methods, unless disallowed by law:</w:t>
      </w:r>
    </w:p>
    <w:p>
      <w:pPr>
        <w:spacing w:after="0" w:line="168" w:lineRule="exact"/>
        <w:rPr>
          <w:rFonts w:ascii="Arial" w:cs="Arial" w:eastAsia="Arial" w:hAnsi="Arial"/>
          <w:sz w:val="22"/>
          <w:szCs w:val="22"/>
          <w:color w:val="auto"/>
        </w:rPr>
      </w:pPr>
    </w:p>
    <w:p>
      <w:pPr>
        <w:ind w:left="1120" w:hanging="464"/>
        <w:spacing w:after="0"/>
        <w:tabs>
          <w:tab w:leader="none" w:pos="1120" w:val="left"/>
        </w:tabs>
        <w:numPr>
          <w:ilvl w:val="1"/>
          <w:numId w:val="29"/>
        </w:numPr>
        <w:rPr>
          <w:rFonts w:ascii="Arial" w:cs="Arial" w:eastAsia="Arial" w:hAnsi="Arial"/>
          <w:sz w:val="22"/>
          <w:szCs w:val="22"/>
          <w:color w:val="auto"/>
        </w:rPr>
      </w:pPr>
      <w:r>
        <w:rPr>
          <w:rFonts w:ascii="Arial" w:cs="Arial" w:eastAsia="Arial" w:hAnsi="Arial"/>
          <w:sz w:val="22"/>
          <w:szCs w:val="22"/>
          <w:color w:val="auto"/>
        </w:rPr>
        <w:t>broker assisted exercise; or</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1"/>
          <w:numId w:val="29"/>
        </w:numPr>
        <w:rPr>
          <w:rFonts w:ascii="Arial" w:cs="Arial" w:eastAsia="Arial" w:hAnsi="Arial"/>
          <w:sz w:val="22"/>
          <w:szCs w:val="22"/>
          <w:color w:val="auto"/>
        </w:rPr>
      </w:pPr>
      <w:r>
        <w:rPr>
          <w:rFonts w:ascii="Arial" w:cs="Arial" w:eastAsia="Arial" w:hAnsi="Arial"/>
          <w:sz w:val="22"/>
          <w:szCs w:val="22"/>
          <w:color w:val="auto"/>
        </w:rPr>
        <w:t>Shares already owned by you.</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You may elect to receive the proceeds of the exercise in either cash or Shares; </w:t>
      </w:r>
      <w:r>
        <w:rPr>
          <w:rFonts w:ascii="Arial" w:cs="Arial" w:eastAsia="Arial" w:hAnsi="Arial"/>
          <w:sz w:val="22"/>
          <w:szCs w:val="22"/>
          <w:i w:val="1"/>
          <w:iCs w:val="1"/>
          <w:u w:val="single" w:color="auto"/>
          <w:color w:val="auto"/>
        </w:rPr>
        <w:t>provided, however</w:t>
      </w:r>
      <w:r>
        <w:rPr>
          <w:rFonts w:ascii="Arial" w:cs="Arial" w:eastAsia="Arial" w:hAnsi="Arial"/>
          <w:sz w:val="22"/>
          <w:szCs w:val="22"/>
          <w:color w:val="auto"/>
        </w:rPr>
        <w:t>, that if your Option is an Incentive Stock Option and you take the proceeds of its exercise in cash, you may not receive the benefit of the intended tax treatment of your Incentive Stock Option, as explained above in Section 3(b).</w:t>
      </w:r>
    </w:p>
    <w:p>
      <w:pPr>
        <w:spacing w:after="0" w:line="180" w:lineRule="exact"/>
        <w:rPr>
          <w:sz w:val="20"/>
          <w:szCs w:val="20"/>
          <w:color w:val="auto"/>
        </w:rPr>
      </w:pPr>
    </w:p>
    <w:p>
      <w:pPr>
        <w:ind w:firstLine="8"/>
        <w:spacing w:after="0" w:line="269" w:lineRule="auto"/>
        <w:tabs>
          <w:tab w:leader="none" w:pos="405"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Term of Option</w:t>
      </w:r>
      <w:r>
        <w:rPr>
          <w:rFonts w:ascii="Arial" w:cs="Arial" w:eastAsia="Arial" w:hAnsi="Arial"/>
          <w:sz w:val="22"/>
          <w:szCs w:val="22"/>
          <w:color w:val="auto"/>
        </w:rPr>
        <w:t>. This Option shall expire ten years from the Grant Date thereof, but shall be subject to earlier termination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68"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Unvested Options.</w:t>
      </w:r>
      <w:r>
        <w:rPr>
          <w:rFonts w:ascii="Arial" w:cs="Arial" w:eastAsia="Arial" w:hAnsi="Arial"/>
          <w:sz w:val="22"/>
          <w:szCs w:val="22"/>
          <w:color w:val="auto"/>
        </w:rPr>
        <w:t xml:space="preserve"> In the event you cease to be an employee of the Company or a Related Corporation for any reason other than Retirement, death or Disability or Change in Control, the unvested portion of the Option shall terminate immediately.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60"/>
        <w:spacing w:after="0"/>
        <w:rPr>
          <w:sz w:val="20"/>
          <w:szCs w:val="20"/>
          <w:color w:val="auto"/>
        </w:rPr>
      </w:pPr>
      <w:r>
        <w:rPr>
          <w:rFonts w:ascii="Arial" w:cs="Arial" w:eastAsia="Arial" w:hAnsi="Arial"/>
          <w:sz w:val="11"/>
          <w:szCs w:val="11"/>
          <w:i w:val="1"/>
          <w:iCs w:val="1"/>
          <w:color w:val="auto"/>
        </w:rPr>
        <w:t>3</w:t>
      </w:r>
    </w:p>
    <w:p>
      <w:pPr>
        <w:sectPr>
          <w:pgSz w:w="11900" w:h="16838" w:orient="portrait"/>
          <w:cols w:equalWidth="0" w:num="1">
            <w:col w:w="11420"/>
          </w:cols>
          <w:pgMar w:left="240" w:top="12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644" w:hanging="644"/>
        <w:spacing w:after="0" w:line="287" w:lineRule="auto"/>
        <w:tabs>
          <w:tab w:leader="none" w:pos="644"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Retirement.</w:t>
      </w:r>
      <w:r>
        <w:rPr>
          <w:rFonts w:ascii="Arial" w:cs="Arial" w:eastAsia="Arial" w:hAnsi="Arial"/>
          <w:sz w:val="19"/>
          <w:szCs w:val="19"/>
          <w:color w:val="auto"/>
        </w:rPr>
        <w:t xml:space="preserve"> In the event you cease to be an employee of the Company or a Related Corporation due to Retirement at least 18 months after the Grant Date but before the Option is fully vested, the unvested portion of the Option will continue to vest as provided for in the Grant Notice until the Option is fully vested, provided that if you breach any of the covenants set forth in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to this Stock Option Agreement after your Retirement, the unvested portion of the Option will terminate immediately. For the purposes of this Section 5, “Retirement” means your voluntary termination of employment after the date on which you have reached (i) the age of 55 and have a total of at least 10 years of continuous employment with the Company and/or a Related Corporation or (ii) the age of 60 and have a total of at least 5 years of continuous employment with the Company and/or a Related Corporation; provided however, in either case, you must provide advance written notice to the Company at least 90 days prior to the termination of your employment unless otherwise agreed to in writing by the Company. For the avoidance of doubt, if your employment terminates due to Retirement within 18 months after the Grant Date, any unvested portion of the Option will be automatically forfeited.</w:t>
      </w: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ind w:left="644" w:firstLine="5"/>
        <w:spacing w:after="0" w:line="287" w:lineRule="auto"/>
        <w:tabs>
          <w:tab w:leader="none" w:pos="1164" w:val="left"/>
        </w:tabs>
        <w:numPr>
          <w:ilvl w:val="1"/>
          <w:numId w:val="31"/>
        </w:numPr>
        <w:rPr>
          <w:rFonts w:ascii="Arial" w:cs="Arial" w:eastAsia="Arial" w:hAnsi="Arial"/>
          <w:sz w:val="21"/>
          <w:szCs w:val="21"/>
          <w:color w:val="auto"/>
        </w:rPr>
      </w:pPr>
      <w:r>
        <w:rPr>
          <w:rFonts w:ascii="Arial" w:cs="Arial" w:eastAsia="Arial" w:hAnsi="Arial"/>
          <w:sz w:val="21"/>
          <w:szCs w:val="21"/>
          <w:u w:val="single" w:color="auto"/>
          <w:color w:val="auto"/>
        </w:rPr>
        <w:t>Death or Disability.</w:t>
      </w:r>
      <w:r>
        <w:rPr>
          <w:rFonts w:ascii="Arial" w:cs="Arial" w:eastAsia="Arial" w:hAnsi="Arial"/>
          <w:sz w:val="21"/>
          <w:szCs w:val="21"/>
          <w:color w:val="auto"/>
        </w:rPr>
        <w:t xml:space="preserve"> In the event of your death or Disability while an employee of the Company or a Related Corporation, the unvested portion of the Option will immediately vest in full and become exercisable.</w:t>
      </w:r>
    </w:p>
    <w:p>
      <w:pPr>
        <w:spacing w:after="0" w:line="151" w:lineRule="exact"/>
        <w:rPr>
          <w:rFonts w:ascii="Arial" w:cs="Arial" w:eastAsia="Arial" w:hAnsi="Arial"/>
          <w:sz w:val="21"/>
          <w:szCs w:val="21"/>
          <w:color w:val="auto"/>
        </w:rPr>
      </w:pPr>
    </w:p>
    <w:p>
      <w:pPr>
        <w:jc w:val="both"/>
        <w:ind w:left="644" w:firstLine="5"/>
        <w:spacing w:after="0" w:line="250" w:lineRule="auto"/>
        <w:tabs>
          <w:tab w:leader="none" w:pos="1251"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In the event of a Change in Control Transaction, the Option will be subject to any change in control severance agreement or other agreement providing for change in control provisions between you and the Company (a “CIC Agreement”). If you are not party to a CIC Agreement, the provisions of this Section 5(a)(iii) shall apply.</w:t>
      </w:r>
    </w:p>
    <w:p>
      <w:pPr>
        <w:spacing w:after="0" w:line="200" w:lineRule="exact"/>
        <w:rPr>
          <w:rFonts w:ascii="Arial" w:cs="Arial" w:eastAsia="Arial" w:hAnsi="Arial"/>
          <w:sz w:val="22"/>
          <w:szCs w:val="22"/>
          <w:color w:val="auto"/>
        </w:rPr>
      </w:pPr>
    </w:p>
    <w:p>
      <w:pPr>
        <w:spacing w:after="0" w:line="245" w:lineRule="exact"/>
        <w:rPr>
          <w:rFonts w:ascii="Arial" w:cs="Arial" w:eastAsia="Arial" w:hAnsi="Arial"/>
          <w:sz w:val="22"/>
          <w:szCs w:val="22"/>
          <w:color w:val="auto"/>
        </w:rPr>
      </w:pPr>
    </w:p>
    <w:p>
      <w:pPr>
        <w:ind w:left="1304" w:right="300" w:hanging="7"/>
        <w:spacing w:after="0" w:line="297" w:lineRule="auto"/>
        <w:tabs>
          <w:tab w:leader="none" w:pos="2252" w:val="left"/>
        </w:tabs>
        <w:numPr>
          <w:ilvl w:val="2"/>
          <w:numId w:val="31"/>
        </w:numPr>
        <w:rPr>
          <w:rFonts w:ascii="Arial" w:cs="Arial" w:eastAsia="Arial" w:hAnsi="Arial"/>
          <w:sz w:val="19"/>
          <w:szCs w:val="19"/>
          <w:color w:val="auto"/>
        </w:rPr>
      </w:pPr>
      <w:r>
        <w:rPr>
          <w:rFonts w:ascii="Arial" w:cs="Arial" w:eastAsia="Arial" w:hAnsi="Arial"/>
          <w:sz w:val="19"/>
          <w:szCs w:val="19"/>
          <w:color w:val="auto"/>
        </w:rPr>
        <w:t>In the event of a Change in Control Transaction in which (i) your Option is not assumed, substituted for, or converted into an award of the acquiring or surviving corporation (or a publicly-traded parent thereof) in a manner which prevents dilution of your rights under the Option or (ii) the acquiring or surviving corporation (or parent thereof) is not publicly-traded, any unvested portion of the Option shall become immediately and fully vested and exercisable as of the date of the Change in Control Transaction.</w:t>
      </w:r>
    </w:p>
    <w:p>
      <w:pPr>
        <w:spacing w:after="0" w:line="147" w:lineRule="exact"/>
        <w:rPr>
          <w:rFonts w:ascii="Arial" w:cs="Arial" w:eastAsia="Arial" w:hAnsi="Arial"/>
          <w:sz w:val="19"/>
          <w:szCs w:val="19"/>
          <w:color w:val="auto"/>
        </w:rPr>
      </w:pPr>
    </w:p>
    <w:p>
      <w:pPr>
        <w:ind w:left="1304" w:right="60" w:hanging="7"/>
        <w:spacing w:after="0" w:line="300" w:lineRule="auto"/>
        <w:tabs>
          <w:tab w:leader="none" w:pos="1772" w:val="left"/>
        </w:tabs>
        <w:numPr>
          <w:ilvl w:val="2"/>
          <w:numId w:val="31"/>
        </w:numPr>
        <w:rPr>
          <w:rFonts w:ascii="Arial" w:cs="Arial" w:eastAsia="Arial" w:hAnsi="Arial"/>
          <w:sz w:val="19"/>
          <w:szCs w:val="19"/>
          <w:color w:val="auto"/>
        </w:rPr>
      </w:pPr>
      <w:r>
        <w:rPr>
          <w:rFonts w:ascii="Arial" w:cs="Arial" w:eastAsia="Arial" w:hAnsi="Arial"/>
          <w:sz w:val="19"/>
          <w:szCs w:val="19"/>
          <w:color w:val="auto"/>
        </w:rPr>
        <w:t>In the event of a Change in Control Transaction in which your Option is assumed, substituted for, or converted into an award of the acquiring or surviving public corporation (or a publicly-traded parent thereof) and your employment is terminated within twenty-four (24) months following such Change in Control Transaction, other than (1) by the Company for Cause, (2) by reason of Retirement, death or Disability (which shall be governed by Section 5(a)(i) or (ii) as applicable), or (3) by</w:t>
      </w:r>
    </w:p>
    <w:p>
      <w:pPr>
        <w:spacing w:after="0" w:line="375" w:lineRule="exact"/>
        <w:rPr>
          <w:sz w:val="20"/>
          <w:szCs w:val="20"/>
          <w:color w:val="auto"/>
        </w:rPr>
      </w:pPr>
    </w:p>
    <w:p>
      <w:pPr>
        <w:ind w:left="3404"/>
        <w:spacing w:after="0"/>
        <w:rPr>
          <w:sz w:val="20"/>
          <w:szCs w:val="20"/>
          <w:color w:val="auto"/>
        </w:rPr>
      </w:pPr>
      <w:r>
        <w:rPr>
          <w:rFonts w:ascii="Arial" w:cs="Arial" w:eastAsia="Arial" w:hAnsi="Arial"/>
          <w:sz w:val="11"/>
          <w:szCs w:val="11"/>
          <w:i w:val="1"/>
          <w:iCs w:val="1"/>
          <w:color w:val="auto"/>
        </w:rPr>
        <w:t>4</w:t>
      </w:r>
    </w:p>
    <w:p>
      <w:pPr>
        <w:sectPr>
          <w:pgSz w:w="11900" w:h="16838" w:orient="portrait"/>
          <w:cols w:equalWidth="0" w:num="1">
            <w:col w:w="10764"/>
          </w:cols>
          <w:pgMar w:left="896" w:top="12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10.32</w:t>
      </w:r>
    </w:p>
    <w:p>
      <w:pPr>
        <w:spacing w:after="0" w:line="200" w:lineRule="exact"/>
        <w:rPr>
          <w:sz w:val="20"/>
          <w:szCs w:val="20"/>
          <w:color w:val="auto"/>
        </w:rPr>
      </w:pPr>
    </w:p>
    <w:p>
      <w:pPr>
        <w:spacing w:after="0" w:line="319" w:lineRule="exact"/>
        <w:rPr>
          <w:sz w:val="20"/>
          <w:szCs w:val="20"/>
          <w:color w:val="auto"/>
        </w:rPr>
      </w:pPr>
    </w:p>
    <w:p>
      <w:pPr>
        <w:ind w:left="760" w:right="180"/>
        <w:spacing w:after="0" w:line="263" w:lineRule="auto"/>
        <w:rPr>
          <w:sz w:val="20"/>
          <w:szCs w:val="20"/>
          <w:color w:val="auto"/>
        </w:rPr>
      </w:pPr>
      <w:r>
        <w:rPr>
          <w:rFonts w:ascii="Arial" w:cs="Arial" w:eastAsia="Arial" w:hAnsi="Arial"/>
          <w:sz w:val="22"/>
          <w:szCs w:val="22"/>
          <w:color w:val="auto"/>
        </w:rPr>
        <w:t>you without Good Reason, any unvested portion of your Option shall become immediately and fully vested and exercisable as of the date of your termination of employment.</w:t>
      </w:r>
    </w:p>
    <w:p>
      <w:pPr>
        <w:spacing w:after="0" w:line="175" w:lineRule="exact"/>
        <w:rPr>
          <w:sz w:val="20"/>
          <w:szCs w:val="20"/>
          <w:color w:val="auto"/>
        </w:rPr>
      </w:pPr>
    </w:p>
    <w:p>
      <w:pPr>
        <w:ind w:left="760" w:right="200" w:hanging="7"/>
        <w:spacing w:after="0" w:line="276" w:lineRule="auto"/>
        <w:tabs>
          <w:tab w:leader="none" w:pos="1228" w:val="left"/>
        </w:tabs>
        <w:numPr>
          <w:ilvl w:val="0"/>
          <w:numId w:val="32"/>
        </w:numPr>
        <w:rPr>
          <w:rFonts w:ascii="Arial" w:cs="Arial" w:eastAsia="Arial" w:hAnsi="Arial"/>
          <w:sz w:val="22"/>
          <w:szCs w:val="22"/>
          <w:color w:val="auto"/>
        </w:rPr>
      </w:pPr>
      <w:r>
        <w:rPr>
          <w:rFonts w:ascii="Arial" w:cs="Arial" w:eastAsia="Arial" w:hAnsi="Arial"/>
          <w:sz w:val="22"/>
          <w:szCs w:val="22"/>
          <w:color w:val="auto"/>
        </w:rPr>
        <w:t>Definitions - For purposes of this Agreement, the following capitalized terms shall have the meanings set forth below:</w:t>
      </w:r>
    </w:p>
    <w:p>
      <w:pPr>
        <w:spacing w:after="0" w:line="160" w:lineRule="exact"/>
        <w:rPr>
          <w:rFonts w:ascii="Arial" w:cs="Arial" w:eastAsia="Arial" w:hAnsi="Arial"/>
          <w:sz w:val="22"/>
          <w:szCs w:val="22"/>
          <w:color w:val="auto"/>
        </w:rPr>
      </w:pPr>
    </w:p>
    <w:p>
      <w:pPr>
        <w:ind w:left="2040" w:right="100" w:hanging="639"/>
        <w:spacing w:after="0" w:line="250" w:lineRule="auto"/>
        <w:tabs>
          <w:tab w:leader="none" w:pos="2040" w:val="left"/>
        </w:tabs>
        <w:numPr>
          <w:ilvl w:val="1"/>
          <w:numId w:val="32"/>
        </w:numPr>
        <w:rPr>
          <w:rFonts w:ascii="Arial" w:cs="Arial" w:eastAsia="Arial" w:hAnsi="Arial"/>
          <w:sz w:val="22"/>
          <w:szCs w:val="22"/>
          <w:color w:val="auto"/>
        </w:rPr>
      </w:pPr>
      <w:r>
        <w:rPr>
          <w:rFonts w:ascii="Arial" w:cs="Arial" w:eastAsia="Arial" w:hAnsi="Arial"/>
          <w:sz w:val="22"/>
          <w:szCs w:val="22"/>
          <w:color w:val="auto"/>
        </w:rPr>
        <w:t>“Base Salary” shall mean your annual base salary immediately prior to a Change in Control Transaction, as such salary may be increased from time to time (in which case such increased amount shall be the Base Salary for purposes hereof), but without giving effect to any reduction thereto.</w:t>
      </w:r>
    </w:p>
    <w:p>
      <w:pPr>
        <w:spacing w:after="0" w:line="188" w:lineRule="exact"/>
        <w:rPr>
          <w:rFonts w:ascii="Arial" w:cs="Arial" w:eastAsia="Arial" w:hAnsi="Arial"/>
          <w:sz w:val="22"/>
          <w:szCs w:val="22"/>
          <w:color w:val="auto"/>
        </w:rPr>
      </w:pPr>
    </w:p>
    <w:p>
      <w:pPr>
        <w:ind w:left="2040" w:hanging="639"/>
        <w:spacing w:after="0" w:line="219" w:lineRule="exact"/>
        <w:tabs>
          <w:tab w:leader="none" w:pos="2040" w:val="left"/>
        </w:tabs>
        <w:numPr>
          <w:ilvl w:val="1"/>
          <w:numId w:val="32"/>
        </w:numPr>
        <w:rPr>
          <w:rFonts w:ascii="Arial" w:cs="Arial" w:eastAsia="Arial" w:hAnsi="Arial"/>
          <w:sz w:val="19"/>
          <w:szCs w:val="19"/>
          <w:color w:val="auto"/>
        </w:rPr>
      </w:pPr>
      <w:r>
        <w:rPr>
          <w:rFonts w:ascii="Arial" w:cs="Arial" w:eastAsia="Arial" w:hAnsi="Arial"/>
          <w:sz w:val="19"/>
          <w:szCs w:val="19"/>
          <w:color w:val="auto"/>
        </w:rPr>
        <w:t>“Beneficial Owner” shall have the meaning set forth in Rule 13d</w:t>
      </w:r>
      <w:r>
        <w:rPr>
          <w:rFonts w:ascii="MS PGothic" w:cs="MS PGothic" w:eastAsia="MS PGothic" w:hAnsi="MS PGothic"/>
          <w:sz w:val="19"/>
          <w:szCs w:val="19"/>
          <w:color w:val="auto"/>
        </w:rPr>
        <w:t>‑</w:t>
      </w:r>
      <w:r>
        <w:rPr>
          <w:rFonts w:ascii="Arial" w:cs="Arial" w:eastAsia="Arial" w:hAnsi="Arial"/>
          <w:sz w:val="19"/>
          <w:szCs w:val="19"/>
          <w:color w:val="auto"/>
        </w:rPr>
        <w:t>3 under the Exchange Act.</w:t>
      </w:r>
    </w:p>
    <w:p>
      <w:pPr>
        <w:spacing w:after="0" w:line="254" w:lineRule="exact"/>
        <w:rPr>
          <w:rFonts w:ascii="Arial" w:cs="Arial" w:eastAsia="Arial" w:hAnsi="Arial"/>
          <w:sz w:val="19"/>
          <w:szCs w:val="19"/>
          <w:color w:val="auto"/>
        </w:rPr>
      </w:pPr>
    </w:p>
    <w:p>
      <w:pPr>
        <w:ind w:left="2040" w:hanging="639"/>
        <w:spacing w:after="0" w:line="257" w:lineRule="auto"/>
        <w:tabs>
          <w:tab w:leader="none" w:pos="2040" w:val="left"/>
        </w:tabs>
        <w:numPr>
          <w:ilvl w:val="1"/>
          <w:numId w:val="3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Cause</w:t>
      </w:r>
      <w:r>
        <w:rPr>
          <w:rFonts w:ascii="Arial" w:cs="Arial" w:eastAsia="Arial" w:hAnsi="Arial"/>
          <w:sz w:val="21"/>
          <w:szCs w:val="21"/>
          <w:color w:val="auto"/>
        </w:rPr>
        <w:t>” for termination of your employment by the Company or your employer, if different (the “</w:t>
      </w:r>
      <w:r>
        <w:rPr>
          <w:rFonts w:ascii="Arial" w:cs="Arial" w:eastAsia="Arial" w:hAnsi="Arial"/>
          <w:sz w:val="21"/>
          <w:szCs w:val="21"/>
          <w:b w:val="1"/>
          <w:bCs w:val="1"/>
          <w:i w:val="1"/>
          <w:iCs w:val="1"/>
          <w:color w:val="auto"/>
        </w:rPr>
        <w:t>Employer</w:t>
      </w:r>
      <w:r>
        <w:rPr>
          <w:rFonts w:ascii="Arial" w:cs="Arial" w:eastAsia="Arial" w:hAnsi="Arial"/>
          <w:sz w:val="21"/>
          <w:szCs w:val="21"/>
          <w:color w:val="auto"/>
        </w:rPr>
        <w:t>”) shall mean (i) your willful and continued failure (other than any such failure resulting from (A) your incapacity due to physical or mental illness, (B) any such actual or anticipated failure after the issuance by you of a notice of termination in a form prescribed by the Company for Good Reason or (C) the Employer’s active or passive obstruction of the performance of your duties and responsibilities) to perform substantially the duties and responsibilities of your position with the Employer after a written demand for substantial performance is delivered to you by the Employer, which demand specifically identifies the manner in which the Employer believes that you have not substantially performed such duties or responsibilities; (ii) your conviction by a court of competent jurisdiction for felony criminal conduct (or the equivalent under applicable local law); or (iii) your willful engaging in fraud or dishonesty which is injurious to the Company and/or the Employer or its reputation, monetarily or otherwise. No act, or failure to act, on your part shall be deemed “willful” unless committed, or omitted by you in bad faith and without reasonable belief that your act or failure to act was in, or not opposed to, the best interest of the Company and/or the Employer.</w:t>
      </w:r>
    </w:p>
    <w:p>
      <w:pPr>
        <w:spacing w:after="0" w:line="184" w:lineRule="exact"/>
        <w:rPr>
          <w:rFonts w:ascii="Arial" w:cs="Arial" w:eastAsia="Arial" w:hAnsi="Arial"/>
          <w:sz w:val="21"/>
          <w:szCs w:val="21"/>
          <w:color w:val="auto"/>
        </w:rPr>
      </w:pPr>
    </w:p>
    <w:p>
      <w:pPr>
        <w:jc w:val="both"/>
        <w:ind w:left="2040" w:right="680" w:hanging="639"/>
        <w:spacing w:after="0" w:line="343" w:lineRule="auto"/>
        <w:tabs>
          <w:tab w:leader="none" w:pos="2040" w:val="left"/>
        </w:tabs>
        <w:numPr>
          <w:ilvl w:val="1"/>
          <w:numId w:val="32"/>
        </w:numPr>
        <w:rPr>
          <w:rFonts w:ascii="Arial" w:cs="Arial" w:eastAsia="Arial" w:hAnsi="Arial"/>
          <w:sz w:val="19"/>
          <w:szCs w:val="19"/>
          <w:color w:val="auto"/>
        </w:rPr>
      </w:pPr>
      <w:r>
        <w:rPr>
          <w:rFonts w:ascii="Arial" w:cs="Arial" w:eastAsia="Arial" w:hAnsi="Arial"/>
          <w:sz w:val="19"/>
          <w:szCs w:val="19"/>
          <w:color w:val="auto"/>
        </w:rPr>
        <w:t>“Good Reason” for termination of your employment by you shall mean the occurrence (without your express written consent) after any Change in Control Transaction of any</w:t>
      </w:r>
    </w:p>
    <w:p>
      <w:pPr>
        <w:spacing w:after="0" w:line="333" w:lineRule="exact"/>
        <w:rPr>
          <w:sz w:val="20"/>
          <w:szCs w:val="20"/>
          <w:color w:val="auto"/>
        </w:rPr>
      </w:pPr>
    </w:p>
    <w:p>
      <w:pPr>
        <w:ind w:left="2860"/>
        <w:spacing w:after="0"/>
        <w:rPr>
          <w:sz w:val="20"/>
          <w:szCs w:val="20"/>
          <w:color w:val="auto"/>
        </w:rPr>
      </w:pPr>
      <w:r>
        <w:rPr>
          <w:rFonts w:ascii="Arial" w:cs="Arial" w:eastAsia="Arial" w:hAnsi="Arial"/>
          <w:sz w:val="11"/>
          <w:szCs w:val="11"/>
          <w:i w:val="1"/>
          <w:iCs w:val="1"/>
          <w:color w:val="auto"/>
        </w:rPr>
        <w:t>5</w:t>
      </w:r>
    </w:p>
    <w:p>
      <w:pPr>
        <w:sectPr>
          <w:pgSz w:w="11900" w:h="16838" w:orient="portrait"/>
          <w:cols w:equalWidth="0" w:num="1">
            <w:col w:w="10220"/>
          </w:cols>
          <w:pgMar w:left="1440" w:top="12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10.32</w:t>
      </w:r>
    </w:p>
    <w:p>
      <w:pPr>
        <w:spacing w:after="0" w:line="200" w:lineRule="exact"/>
        <w:rPr>
          <w:sz w:val="20"/>
          <w:szCs w:val="20"/>
          <w:color w:val="auto"/>
        </w:rPr>
      </w:pPr>
    </w:p>
    <w:p>
      <w:pPr>
        <w:spacing w:after="0" w:line="319" w:lineRule="exact"/>
        <w:rPr>
          <w:sz w:val="20"/>
          <w:szCs w:val="20"/>
          <w:color w:val="auto"/>
        </w:rPr>
      </w:pPr>
    </w:p>
    <w:p>
      <w:pPr>
        <w:ind w:left="2040" w:right="20"/>
        <w:spacing w:after="0" w:line="284" w:lineRule="auto"/>
        <w:rPr>
          <w:sz w:val="20"/>
          <w:szCs w:val="20"/>
          <w:color w:val="auto"/>
        </w:rPr>
      </w:pPr>
      <w:r>
        <w:rPr>
          <w:rFonts w:ascii="Arial" w:cs="Arial" w:eastAsia="Arial" w:hAnsi="Arial"/>
          <w:sz w:val="19"/>
          <w:szCs w:val="19"/>
          <w:color w:val="auto"/>
        </w:rPr>
        <w:t>one of the following acts by the Company or the Employer, or failures by the Company or the Employer to act, unless, in the case of any act or failure to act described in subsection (i), (ii), (iii), (iv) or (v) below, such act or failure to act is corrected prior to the date of your termination specified in a notice of termination in a form prescribed by the Company given in respect thereof: (i) an adverse change in your status or position(s) with the Employer as in effect immediately prior to the Change in Control Transaction, including, without limitation, any adverse change in your status or position as a result of a diminution of your duties or responsibilities (other than, if applicable, any such change directly and solely attributable to the fact that the Company is no longer publicly owned) or the assignment to you of any duties or responsibilities which are inconsistent with such status or position(s), or any removal of you from, or any failure to reappoint or reelect you to, such position(s); (ii) a reduction in your Base Salary; (iii) a reduction in your annual bonus opportunity or long term incentive opportunity, as compared to the year immediately preceding the year in which the Change in Control Transaction occurs; (iv) the failure to continue to provide welfare, pension and fringe benefits which are in each case, in the aggregate, substantially similar to those provided to you immediately prior to Change in Control Transaction; or (v) the Employer requiring you to be based at an office that is greater than 50 miles from where your office is located immediately prior to the Change in Control Transaction except for required travel on the Employer’s business to an extent substantially consistent with the business travel obligations which you undertook on behalf of the Employer prior to the Change in Control Transaction. Notwithstanding the foregoing, the events described in clauses (ii), (iii) or (iv) above shall not constitute Good Reason hereunder to the extent they are as a result of across-the-board reductions of the applicable compensation element following the Change in Control Transaction which are equally applicable to all similarly situated employees of the surviving corporation and its affiliates. Your right to terminate your employment for Good Reason shall not be affected by your incapacity due to physical or mental illness. In order for Good Reason to exist hereunder, you must provide notice to the Company of the existence of the condition or circumstance described above within 90 days of the initial existence of the condition or</w:t>
      </w:r>
    </w:p>
    <w:p>
      <w:pPr>
        <w:spacing w:after="0" w:line="389" w:lineRule="exact"/>
        <w:rPr>
          <w:sz w:val="20"/>
          <w:szCs w:val="20"/>
          <w:color w:val="auto"/>
        </w:rPr>
      </w:pPr>
    </w:p>
    <w:p>
      <w:pPr>
        <w:ind w:left="2860"/>
        <w:spacing w:after="0"/>
        <w:rPr>
          <w:sz w:val="20"/>
          <w:szCs w:val="20"/>
          <w:color w:val="auto"/>
        </w:rPr>
      </w:pPr>
      <w:r>
        <w:rPr>
          <w:rFonts w:ascii="Arial" w:cs="Arial" w:eastAsia="Arial" w:hAnsi="Arial"/>
          <w:sz w:val="11"/>
          <w:szCs w:val="11"/>
          <w:i w:val="1"/>
          <w:iCs w:val="1"/>
          <w:color w:val="auto"/>
        </w:rPr>
        <w:t>6</w:t>
      </w:r>
    </w:p>
    <w:p>
      <w:pPr>
        <w:sectPr>
          <w:pgSz w:w="11900" w:h="16838" w:orient="portrait"/>
          <w:cols w:equalWidth="0" w:num="1">
            <w:col w:w="10220"/>
          </w:cols>
          <w:pgMar w:left="14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10.32</w:t>
      </w:r>
    </w:p>
    <w:p>
      <w:pPr>
        <w:spacing w:after="0" w:line="200" w:lineRule="exact"/>
        <w:rPr>
          <w:sz w:val="20"/>
          <w:szCs w:val="20"/>
          <w:color w:val="auto"/>
        </w:rPr>
      </w:pPr>
    </w:p>
    <w:p>
      <w:pPr>
        <w:spacing w:after="0" w:line="319" w:lineRule="exact"/>
        <w:rPr>
          <w:sz w:val="20"/>
          <w:szCs w:val="20"/>
          <w:color w:val="auto"/>
        </w:rPr>
      </w:pPr>
    </w:p>
    <w:p>
      <w:pPr>
        <w:ind w:left="2584" w:right="300"/>
        <w:spacing w:after="0" w:line="248" w:lineRule="auto"/>
        <w:rPr>
          <w:sz w:val="20"/>
          <w:szCs w:val="20"/>
          <w:color w:val="auto"/>
        </w:rPr>
      </w:pPr>
      <w:r>
        <w:rPr>
          <w:rFonts w:ascii="Arial" w:cs="Arial" w:eastAsia="Arial" w:hAnsi="Arial"/>
          <w:sz w:val="22"/>
          <w:szCs w:val="22"/>
          <w:color w:val="auto"/>
        </w:rPr>
        <w:t>circumstance (or, if later, within 90 days of becoming aware of such condition or circumstance), and the Employer must have failed to cure such condition within 30 days of the receipt of such notice. Subject to the preceding sentence, your continued employment shall not constitute consent to, or a waiver of rights with respect to, any act or failure to act constituting Good Reason hereunder.</w:t>
      </w:r>
    </w:p>
    <w:p>
      <w:pPr>
        <w:spacing w:after="0" w:line="192" w:lineRule="exact"/>
        <w:rPr>
          <w:sz w:val="20"/>
          <w:szCs w:val="20"/>
          <w:color w:val="auto"/>
        </w:rPr>
      </w:pPr>
    </w:p>
    <w:p>
      <w:pPr>
        <w:ind w:left="2584" w:right="60" w:hanging="639"/>
        <w:spacing w:after="0" w:line="260" w:lineRule="auto"/>
        <w:tabs>
          <w:tab w:leader="none" w:pos="2584" w:val="left"/>
        </w:tabs>
        <w:numPr>
          <w:ilvl w:val="0"/>
          <w:numId w:val="33"/>
        </w:numPr>
        <w:rPr>
          <w:rFonts w:ascii="Arial" w:cs="Arial" w:eastAsia="Arial" w:hAnsi="Arial"/>
          <w:sz w:val="21"/>
          <w:szCs w:val="21"/>
          <w:color w:val="auto"/>
        </w:rPr>
      </w:pPr>
      <w:r>
        <w:rPr>
          <w:rFonts w:ascii="Arial" w:cs="Arial" w:eastAsia="Arial" w:hAnsi="Arial"/>
          <w:sz w:val="21"/>
          <w:szCs w:val="21"/>
          <w:color w:val="auto"/>
        </w:rPr>
        <w:t>“Person”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proportions as their ownership of stock of the Company.</w:t>
      </w:r>
    </w:p>
    <w:p>
      <w:pPr>
        <w:spacing w:after="0" w:line="397" w:lineRule="exact"/>
        <w:rPr>
          <w:sz w:val="20"/>
          <w:szCs w:val="20"/>
          <w:color w:val="auto"/>
        </w:rPr>
      </w:pPr>
    </w:p>
    <w:p>
      <w:pPr>
        <w:ind w:left="464" w:hanging="464"/>
        <w:spacing w:after="0"/>
        <w:tabs>
          <w:tab w:leader="none" w:pos="464"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Vested Options.</w:t>
      </w:r>
    </w:p>
    <w:p>
      <w:pPr>
        <w:spacing w:after="0" w:line="219" w:lineRule="exact"/>
        <w:rPr>
          <w:rFonts w:ascii="Arial" w:cs="Arial" w:eastAsia="Arial" w:hAnsi="Arial"/>
          <w:sz w:val="22"/>
          <w:szCs w:val="22"/>
          <w:color w:val="auto"/>
        </w:rPr>
      </w:pPr>
    </w:p>
    <w:p>
      <w:pPr>
        <w:jc w:val="both"/>
        <w:ind w:left="644" w:firstLine="5"/>
        <w:spacing w:after="0" w:line="265" w:lineRule="auto"/>
        <w:tabs>
          <w:tab w:leader="none" w:pos="1253" w:val="left"/>
        </w:tabs>
        <w:numPr>
          <w:ilvl w:val="1"/>
          <w:numId w:val="34"/>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xml:space="preserve"> In the event you cease to be an employee of the Company or a Related Corporation for any reason other than death, Disability, Retirement or Cause, the vested portion of the Option shall remain exercisable until the earlier of (A) 90 days after the date you cease to be an employee of the Company or a Related Corporation or (B) the date on which the Option expires by its terms.</w:t>
      </w:r>
    </w:p>
    <w:p>
      <w:pPr>
        <w:spacing w:after="0" w:line="175" w:lineRule="exact"/>
        <w:rPr>
          <w:rFonts w:ascii="Arial" w:cs="Arial" w:eastAsia="Arial" w:hAnsi="Arial"/>
          <w:sz w:val="21"/>
          <w:szCs w:val="21"/>
          <w:color w:val="auto"/>
        </w:rPr>
      </w:pPr>
    </w:p>
    <w:p>
      <w:pPr>
        <w:jc w:val="both"/>
        <w:ind w:left="644" w:firstLine="5"/>
        <w:spacing w:after="0" w:line="260" w:lineRule="auto"/>
        <w:tabs>
          <w:tab w:leader="none" w:pos="1218" w:val="left"/>
        </w:tabs>
        <w:numPr>
          <w:ilvl w:val="1"/>
          <w:numId w:val="34"/>
        </w:numPr>
        <w:rPr>
          <w:rFonts w:ascii="Arial" w:cs="Arial" w:eastAsia="Arial" w:hAnsi="Arial"/>
          <w:sz w:val="21"/>
          <w:szCs w:val="21"/>
          <w:color w:val="auto"/>
        </w:rPr>
      </w:pPr>
      <w:r>
        <w:rPr>
          <w:rFonts w:ascii="Arial" w:cs="Arial" w:eastAsia="Arial" w:hAnsi="Arial"/>
          <w:sz w:val="21"/>
          <w:szCs w:val="21"/>
          <w:u w:val="single" w:color="auto"/>
          <w:color w:val="auto"/>
        </w:rPr>
        <w:t>Death or Disability</w:t>
      </w:r>
      <w:r>
        <w:rPr>
          <w:rFonts w:ascii="Arial" w:cs="Arial" w:eastAsia="Arial" w:hAnsi="Arial"/>
          <w:sz w:val="21"/>
          <w:szCs w:val="21"/>
          <w:color w:val="auto"/>
        </w:rPr>
        <w:t>. In the event of your death or Disability while an employee of the Company or a Related Corporation, the vested portion of the Option (including any portion of the Option that vests in the event of your death or Disability while an employee of the Company or a Related Corporation, as described in Section 5(a) above) shall remain exercisable until the date on which the Option expires by its terms. Upon death, the vested and exercisable portion of the Option may be exercised by the personal representative of your estate, the person(s) to whom your rights under the Option have passed by will or the applicable laws of descent and distribution, or the beneficiary you have designated pursuant to the Plan.</w:t>
      </w:r>
    </w:p>
    <w:p>
      <w:pPr>
        <w:spacing w:after="0" w:line="181" w:lineRule="exact"/>
        <w:rPr>
          <w:rFonts w:ascii="Arial" w:cs="Arial" w:eastAsia="Arial" w:hAnsi="Arial"/>
          <w:sz w:val="21"/>
          <w:szCs w:val="21"/>
          <w:color w:val="auto"/>
        </w:rPr>
      </w:pPr>
    </w:p>
    <w:p>
      <w:pPr>
        <w:jc w:val="both"/>
        <w:ind w:left="644" w:firstLine="5"/>
        <w:spacing w:after="0" w:line="253" w:lineRule="auto"/>
        <w:tabs>
          <w:tab w:leader="none" w:pos="1305"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Retirement</w:t>
      </w:r>
      <w:r>
        <w:rPr>
          <w:rFonts w:ascii="Arial" w:cs="Arial" w:eastAsia="Arial" w:hAnsi="Arial"/>
          <w:sz w:val="22"/>
          <w:szCs w:val="22"/>
          <w:color w:val="auto"/>
        </w:rPr>
        <w:t>. In the event you cease to be an employee of the Company or a Related Corporation due to Retirement, the vested portion of the Option shall remain exercisable until the date on which the Option expires by its terms.</w:t>
      </w:r>
    </w:p>
    <w:p>
      <w:pPr>
        <w:spacing w:after="0" w:line="185" w:lineRule="exact"/>
        <w:rPr>
          <w:rFonts w:ascii="Arial" w:cs="Arial" w:eastAsia="Arial" w:hAnsi="Arial"/>
          <w:sz w:val="22"/>
          <w:szCs w:val="22"/>
          <w:color w:val="auto"/>
        </w:rPr>
      </w:pPr>
    </w:p>
    <w:p>
      <w:pPr>
        <w:jc w:val="both"/>
        <w:ind w:left="644" w:firstLine="5"/>
        <w:spacing w:after="0" w:line="312" w:lineRule="auto"/>
        <w:tabs>
          <w:tab w:leader="none" w:pos="1185"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xml:space="preserve"> The unvested and vested portion of the Option will be automatically forfeited at the time the Company first notifies you of your termination of employment for Cause, unless the Plan Administrator determines otherwise. If your employment relationship is suspended pending an investigation of whether you will</w:t>
      </w:r>
    </w:p>
    <w:p>
      <w:pPr>
        <w:spacing w:after="0" w:line="146" w:lineRule="exact"/>
        <w:rPr>
          <w:sz w:val="20"/>
          <w:szCs w:val="20"/>
          <w:color w:val="auto"/>
        </w:rPr>
      </w:pPr>
    </w:p>
    <w:p>
      <w:pPr>
        <w:ind w:left="3404"/>
        <w:spacing w:after="0"/>
        <w:rPr>
          <w:sz w:val="20"/>
          <w:szCs w:val="20"/>
          <w:color w:val="auto"/>
        </w:rPr>
      </w:pPr>
      <w:r>
        <w:rPr>
          <w:rFonts w:ascii="Arial" w:cs="Arial" w:eastAsia="Arial" w:hAnsi="Arial"/>
          <w:sz w:val="11"/>
          <w:szCs w:val="11"/>
          <w:i w:val="1"/>
          <w:iCs w:val="1"/>
          <w:color w:val="auto"/>
        </w:rPr>
        <w:t>7</w:t>
      </w:r>
    </w:p>
    <w:p>
      <w:pPr>
        <w:sectPr>
          <w:pgSz w:w="11900" w:h="16838" w:orient="portrait"/>
          <w:cols w:equalWidth="0" w:num="1">
            <w:col w:w="10764"/>
          </w:cols>
          <w:pgMar w:left="896" w:top="12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1300"/>
        <w:spacing w:after="0" w:line="271" w:lineRule="auto"/>
        <w:rPr>
          <w:sz w:val="20"/>
          <w:szCs w:val="20"/>
          <w:color w:val="auto"/>
        </w:rPr>
      </w:pPr>
      <w:r>
        <w:rPr>
          <w:rFonts w:ascii="Arial" w:cs="Arial" w:eastAsia="Arial" w:hAnsi="Arial"/>
          <w:sz w:val="21"/>
          <w:szCs w:val="21"/>
          <w:color w:val="auto"/>
        </w:rPr>
        <w:t>be terminated for Cause, all your rights under the Option likewise will be suspended during the period of investigation. If any facts that would constitute termination for Cause are discovered after your termination of employment, any Option you then hold may be immediately terminated by the Plan Administrator.</w:t>
      </w:r>
    </w:p>
    <w:p>
      <w:pPr>
        <w:spacing w:after="0" w:line="162"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Notwithstanding anything to the contrary contained herein, if your Option is an Incentive Stock Option and assuming it does not otherwise expire by its terms, </w:t>
      </w:r>
      <w:r>
        <w:rPr>
          <w:rFonts w:ascii="Arial" w:cs="Arial" w:eastAsia="Arial" w:hAnsi="Arial"/>
          <w:sz w:val="21"/>
          <w:szCs w:val="21"/>
          <w:b w:val="1"/>
          <w:bCs w:val="1"/>
          <w:u w:val="single" w:color="auto"/>
          <w:color w:val="auto"/>
        </w:rPr>
        <w:t>to qualify for the beneficial tax treatment afforded Incentive Stock Options,</w:t>
      </w:r>
      <w:r>
        <w:rPr>
          <w:rFonts w:ascii="Arial" w:cs="Arial" w:eastAsia="Arial" w:hAnsi="Arial"/>
          <w:sz w:val="21"/>
          <w:szCs w:val="21"/>
          <w:b w:val="1"/>
          <w:bCs w:val="1"/>
          <w:color w:val="auto"/>
        </w:rPr>
        <w:t xml:space="preserve"> your Option must be exercised within (i) three months after termination of employment for reasons other than death or Disability, and (ii) one year after termination of employment due to death or Disability.</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It is your responsibility to be aware of the date the Option terminates and/or the date that favorable tax treatment ends.</w:t>
      </w:r>
    </w:p>
    <w:p>
      <w:pPr>
        <w:spacing w:after="0" w:line="248" w:lineRule="exact"/>
        <w:rPr>
          <w:sz w:val="20"/>
          <w:szCs w:val="20"/>
          <w:color w:val="auto"/>
        </w:rPr>
      </w:pPr>
    </w:p>
    <w:p>
      <w:pPr>
        <w:jc w:val="both"/>
        <w:ind w:firstLine="8"/>
        <w:spacing w:after="0" w:line="247" w:lineRule="auto"/>
        <w:tabs>
          <w:tab w:leader="none" w:pos="454"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Limited Transferability</w:t>
      </w:r>
      <w:r>
        <w:rPr>
          <w:rFonts w:ascii="Arial" w:cs="Arial" w:eastAsia="Arial" w:hAnsi="Arial"/>
          <w:sz w:val="22"/>
          <w:szCs w:val="22"/>
          <w:color w:val="auto"/>
        </w:rPr>
        <w:t>. During your lifetime only you can exercise the Option. The Option shall not be sold, transferred,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encumbered, pledged or otherwise disposed of, whether voluntarily or by operation of law, other than pursuant to a beneficiary designation in accordance with the following sentence. You may, from time to time, name any beneficiary or beneficiaries (who may be named contingently or successively) to exercise the vested portion of the Option that was not exercised during your lifetime. Each such designation shall revoke all of your prior designations, shall be in a form prescribed by the Company, and will be effective only when completed in accordance with any instructions provided by the Company during your lifetime. In the absence of any such designation, the vested portion of the Option that has not been exercised during your lifetime shall be exercisable by your estate.</w:t>
      </w:r>
    </w:p>
    <w:p>
      <w:pPr>
        <w:spacing w:after="0" w:line="186" w:lineRule="exact"/>
        <w:rPr>
          <w:rFonts w:ascii="Arial" w:cs="Arial" w:eastAsia="Arial" w:hAnsi="Arial"/>
          <w:sz w:val="22"/>
          <w:szCs w:val="22"/>
          <w:color w:val="auto"/>
        </w:rPr>
      </w:pPr>
    </w:p>
    <w:p>
      <w:pPr>
        <w:ind w:left="380" w:hanging="372"/>
        <w:spacing w:after="0"/>
        <w:tabs>
          <w:tab w:leader="none" w:pos="380"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Withholding Taxes</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656"/>
        <w:spacing w:after="0" w:line="288" w:lineRule="auto"/>
        <w:tabs>
          <w:tab w:leader="none" w:pos="1189" w:val="left"/>
        </w:tabs>
        <w:numPr>
          <w:ilvl w:val="1"/>
          <w:numId w:val="35"/>
        </w:numPr>
        <w:rPr>
          <w:rFonts w:ascii="Arial" w:cs="Arial" w:eastAsia="Arial" w:hAnsi="Arial"/>
          <w:sz w:val="19"/>
          <w:szCs w:val="19"/>
          <w:color w:val="auto"/>
        </w:rPr>
      </w:pPr>
      <w:r>
        <w:rPr>
          <w:rFonts w:ascii="Arial" w:cs="Arial" w:eastAsia="Arial" w:hAnsi="Arial"/>
          <w:sz w:val="19"/>
          <w:szCs w:val="19"/>
          <w:color w:val="auto"/>
        </w:rPr>
        <w:t>Regardless of any action the Company (or your employer, if different) takes with respect to any and all income or withholding tax (including federal, state, local and non-U.S. tax), social insurance, payroll tax or other tax-related items related to your participation in the Plan and legally applicable to you ("Tax-Related Items"), you acknowledge that the ultimate liability for all Tax-Related Items is and remains your responsibility and may exceed the amount, if any, actually withheld by the Company. You further acknowledge that the Company (i) makes no representations or undertakings regarding the treatment of any Tax-Related Items in connection with any aspect of the Option, including the grant, vesting or exercise of the Option, the subsequent sale of Shares acquired pursuant to such exercise and the receipt of any dividends; and (ii) does not commit to and is under no obligation to structure the terms of the grant or any aspect of this Option to reduce or eliminate your liability for Tax-Related Items or achieve any particular tax result. Further, if you have become subject to tax in more than one jurisdiction between the Grant Date and the date of any taxable or tax withholding event, as applicable, you acknowledge that the Company may be required to withhold or account for Tax-Related Items in more than one jurisdiction.</w:t>
      </w:r>
    </w:p>
    <w:p>
      <w:pPr>
        <w:spacing w:after="0" w:line="154" w:lineRule="exact"/>
        <w:rPr>
          <w:rFonts w:ascii="Arial" w:cs="Arial" w:eastAsia="Arial" w:hAnsi="Arial"/>
          <w:sz w:val="19"/>
          <w:szCs w:val="19"/>
          <w:color w:val="auto"/>
        </w:rPr>
      </w:pPr>
    </w:p>
    <w:p>
      <w:pPr>
        <w:jc w:val="both"/>
        <w:ind w:firstLine="656"/>
        <w:spacing w:after="0" w:line="250" w:lineRule="auto"/>
        <w:tabs>
          <w:tab w:leader="none" w:pos="1188" w:val="left"/>
        </w:tabs>
        <w:numPr>
          <w:ilvl w:val="1"/>
          <w:numId w:val="35"/>
        </w:numPr>
        <w:rPr>
          <w:rFonts w:ascii="Arial" w:cs="Arial" w:eastAsia="Arial" w:hAnsi="Arial"/>
          <w:sz w:val="22"/>
          <w:szCs w:val="22"/>
          <w:color w:val="auto"/>
        </w:rPr>
      </w:pPr>
      <w:r>
        <w:rPr>
          <w:rFonts w:ascii="Arial" w:cs="Arial" w:eastAsia="Arial" w:hAnsi="Arial"/>
          <w:sz w:val="22"/>
          <w:szCs w:val="22"/>
          <w:color w:val="auto"/>
        </w:rPr>
        <w:t>Prior to any relevant taxable or tax withholding event, as applicable, you shall pay or make adequate arrangements satisfactory to the Company to satisfy all Tax-Related Items. In this regard, you authorize the Company or its agent, at the Company’s discretion, to satisfy the obligations with regard to all Tax-Related Items by one or a combination of the following methods:</w:t>
      </w:r>
    </w:p>
    <w:p>
      <w:pPr>
        <w:spacing w:after="0" w:line="200" w:lineRule="exact"/>
        <w:rPr>
          <w:sz w:val="20"/>
          <w:szCs w:val="20"/>
          <w:color w:val="auto"/>
        </w:rPr>
      </w:pPr>
    </w:p>
    <w:p>
      <w:pPr>
        <w:ind w:left="4060"/>
        <w:spacing w:after="0"/>
        <w:rPr>
          <w:sz w:val="20"/>
          <w:szCs w:val="20"/>
          <w:color w:val="auto"/>
        </w:rPr>
      </w:pPr>
      <w:r>
        <w:rPr>
          <w:rFonts w:ascii="Arial" w:cs="Arial" w:eastAsia="Arial" w:hAnsi="Arial"/>
          <w:sz w:val="11"/>
          <w:szCs w:val="11"/>
          <w:i w:val="1"/>
          <w:iCs w:val="1"/>
          <w:color w:val="auto"/>
        </w:rPr>
        <w:t>8</w:t>
      </w:r>
    </w:p>
    <w:p>
      <w:pPr>
        <w:sectPr>
          <w:pgSz w:w="11900" w:h="16838" w:orient="portrait"/>
          <w:cols w:equalWidth="0" w:num="1">
            <w:col w:w="11420"/>
          </w:cols>
          <w:pgMar w:left="240" w:top="12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firstLine="721"/>
        <w:spacing w:after="0" w:line="263" w:lineRule="auto"/>
        <w:tabs>
          <w:tab w:leader="none" w:pos="1516" w:val="left"/>
        </w:tabs>
        <w:numPr>
          <w:ilvl w:val="3"/>
          <w:numId w:val="36"/>
        </w:numPr>
        <w:rPr>
          <w:rFonts w:ascii="Arial" w:cs="Arial" w:eastAsia="Arial" w:hAnsi="Arial"/>
          <w:sz w:val="22"/>
          <w:szCs w:val="22"/>
          <w:color w:val="auto"/>
        </w:rPr>
      </w:pPr>
      <w:r>
        <w:rPr>
          <w:rFonts w:ascii="Arial" w:cs="Arial" w:eastAsia="Arial" w:hAnsi="Arial"/>
          <w:sz w:val="22"/>
          <w:szCs w:val="22"/>
          <w:color w:val="auto"/>
        </w:rPr>
        <w:t>withholding from wages or other cash compensation otherwise payable to you by the Company or your employer (if different), and/or</w:t>
      </w:r>
    </w:p>
    <w:p>
      <w:pPr>
        <w:spacing w:after="0" w:line="174" w:lineRule="exact"/>
        <w:rPr>
          <w:rFonts w:ascii="Arial" w:cs="Arial" w:eastAsia="Arial" w:hAnsi="Arial"/>
          <w:sz w:val="22"/>
          <w:szCs w:val="22"/>
          <w:color w:val="auto"/>
        </w:rPr>
      </w:pPr>
    </w:p>
    <w:p>
      <w:pPr>
        <w:ind w:left="340" w:right="20" w:firstLine="721"/>
        <w:spacing w:after="0" w:line="343" w:lineRule="auto"/>
        <w:tabs>
          <w:tab w:leader="none" w:pos="1678" w:val="left"/>
        </w:tabs>
        <w:numPr>
          <w:ilvl w:val="3"/>
          <w:numId w:val="36"/>
        </w:numPr>
        <w:rPr>
          <w:rFonts w:ascii="Arial" w:cs="Arial" w:eastAsia="Arial" w:hAnsi="Arial"/>
          <w:sz w:val="19"/>
          <w:szCs w:val="19"/>
          <w:color w:val="auto"/>
        </w:rPr>
      </w:pPr>
      <w:r>
        <w:rPr>
          <w:rFonts w:ascii="Arial" w:cs="Arial" w:eastAsia="Arial" w:hAnsi="Arial"/>
          <w:sz w:val="19"/>
          <w:szCs w:val="19"/>
          <w:color w:val="auto"/>
        </w:rPr>
        <w:t>withholding from the proceeds of the sale of Shares acquired upon exercise of the Option, either through a voluntary sale or through a mandatory sale arranged by the Company (on your behalf pursuant to this authorization); and/or</w:t>
      </w:r>
    </w:p>
    <w:p>
      <w:pPr>
        <w:spacing w:after="0" w:line="104" w:lineRule="exact"/>
        <w:rPr>
          <w:rFonts w:ascii="Arial" w:cs="Arial" w:eastAsia="Arial" w:hAnsi="Arial"/>
          <w:sz w:val="19"/>
          <w:szCs w:val="19"/>
          <w:color w:val="auto"/>
        </w:rPr>
      </w:pPr>
    </w:p>
    <w:p>
      <w:pPr>
        <w:jc w:val="both"/>
        <w:ind w:left="340" w:firstLine="721"/>
        <w:spacing w:after="0" w:line="286" w:lineRule="auto"/>
        <w:tabs>
          <w:tab w:leader="none" w:pos="1649" w:val="left"/>
        </w:tabs>
        <w:numPr>
          <w:ilvl w:val="3"/>
          <w:numId w:val="36"/>
        </w:numPr>
        <w:rPr>
          <w:rFonts w:ascii="Arial" w:cs="Arial" w:eastAsia="Arial" w:hAnsi="Arial"/>
          <w:sz w:val="19"/>
          <w:szCs w:val="19"/>
          <w:color w:val="auto"/>
        </w:rPr>
      </w:pPr>
      <w:r>
        <w:rPr>
          <w:rFonts w:ascii="Arial" w:cs="Arial" w:eastAsia="Arial" w:hAnsi="Arial"/>
          <w:sz w:val="19"/>
          <w:szCs w:val="19"/>
          <w:color w:val="auto"/>
        </w:rPr>
        <w:t>withholding in Shares to be issued upon exercise of the Option, provided, however, that if you are a Section 16 officer of the Company under the Exchange Act, then the Plan Administrator (as constituted to satisfy Rule 16b-3 of the Exchange Act) shall establish the method of withholding from the alternatives herein and, if the Plan Administrator does not exercise its discretion prior to the Tax-Related Items withholding event, then the method of withholding set forth in Section 7(b)</w:t>
      </w:r>
    </w:p>
    <w:p>
      <w:pPr>
        <w:spacing w:after="0" w:line="2" w:lineRule="exact"/>
        <w:rPr>
          <w:rFonts w:ascii="Arial" w:cs="Arial" w:eastAsia="Arial" w:hAnsi="Arial"/>
          <w:sz w:val="19"/>
          <w:szCs w:val="19"/>
          <w:color w:val="auto"/>
        </w:rPr>
      </w:pPr>
    </w:p>
    <w:p>
      <w:pPr>
        <w:ind w:left="720" w:hanging="388"/>
        <w:spacing w:after="0"/>
        <w:tabs>
          <w:tab w:leader="none" w:pos="720" w:val="left"/>
        </w:tabs>
        <w:numPr>
          <w:ilvl w:val="1"/>
          <w:numId w:val="37"/>
        </w:numPr>
        <w:rPr>
          <w:rFonts w:ascii="Arial" w:cs="Arial" w:eastAsia="Arial" w:hAnsi="Arial"/>
          <w:sz w:val="22"/>
          <w:szCs w:val="22"/>
          <w:color w:val="auto"/>
        </w:rPr>
      </w:pPr>
      <w:r>
        <w:rPr>
          <w:rFonts w:ascii="Arial" w:cs="Arial" w:eastAsia="Arial" w:hAnsi="Arial"/>
          <w:sz w:val="22"/>
          <w:szCs w:val="22"/>
          <w:color w:val="auto"/>
        </w:rPr>
        <w:t>shall apply.</w:t>
      </w:r>
    </w:p>
    <w:p>
      <w:pPr>
        <w:spacing w:after="0" w:line="201" w:lineRule="exact"/>
        <w:rPr>
          <w:rFonts w:ascii="Arial" w:cs="Arial" w:eastAsia="Arial" w:hAnsi="Arial"/>
          <w:sz w:val="22"/>
          <w:szCs w:val="22"/>
          <w:color w:val="auto"/>
        </w:rPr>
      </w:pPr>
    </w:p>
    <w:p>
      <w:pPr>
        <w:jc w:val="both"/>
        <w:ind w:firstLine="656"/>
        <w:spacing w:after="0" w:line="294" w:lineRule="auto"/>
        <w:tabs>
          <w:tab w:leader="none" w:pos="1150" w:val="left"/>
        </w:tabs>
        <w:numPr>
          <w:ilvl w:val="2"/>
          <w:numId w:val="37"/>
        </w:numPr>
        <w:rPr>
          <w:rFonts w:ascii="Arial" w:cs="Arial" w:eastAsia="Arial" w:hAnsi="Arial"/>
          <w:sz w:val="19"/>
          <w:szCs w:val="19"/>
          <w:color w:val="auto"/>
        </w:rPr>
      </w:pPr>
      <w:r>
        <w:rPr>
          <w:rFonts w:ascii="Arial" w:cs="Arial" w:eastAsia="Arial" w:hAnsi="Arial"/>
          <w:sz w:val="19"/>
          <w:szCs w:val="19"/>
          <w:color w:val="auto"/>
        </w:rPr>
        <w:t>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equivalent in Shares. If the obligation for Tax-Related Items is satisfied by withholding in Shares, for tax purposes, you will be deemed to have been issued the full number of Shares subject to the exercised portion of the Option, notwithstanding that a number of the Shares are held back solely for the purpose of paying the Tax-Related Items due as a result of any aspect of your participation in the Plan.</w:t>
      </w:r>
    </w:p>
    <w:p>
      <w:pPr>
        <w:spacing w:after="0" w:line="149" w:lineRule="exact"/>
        <w:rPr>
          <w:rFonts w:ascii="Arial" w:cs="Arial" w:eastAsia="Arial" w:hAnsi="Arial"/>
          <w:sz w:val="19"/>
          <w:szCs w:val="19"/>
          <w:color w:val="auto"/>
        </w:rPr>
      </w:pPr>
    </w:p>
    <w:p>
      <w:pPr>
        <w:ind w:firstLine="656"/>
        <w:spacing w:after="0" w:line="263" w:lineRule="auto"/>
        <w:tabs>
          <w:tab w:leader="none" w:pos="1229" w:val="left"/>
        </w:tabs>
        <w:numPr>
          <w:ilvl w:val="2"/>
          <w:numId w:val="37"/>
        </w:numPr>
        <w:rPr>
          <w:rFonts w:ascii="Arial" w:cs="Arial" w:eastAsia="Arial" w:hAnsi="Arial"/>
          <w:sz w:val="22"/>
          <w:szCs w:val="22"/>
          <w:color w:val="auto"/>
        </w:rPr>
      </w:pPr>
      <w:r>
        <w:rPr>
          <w:rFonts w:ascii="Arial" w:cs="Arial" w:eastAsia="Arial" w:hAnsi="Arial"/>
          <w:sz w:val="22"/>
          <w:szCs w:val="22"/>
          <w:color w:val="auto"/>
        </w:rPr>
        <w:t>The Company may refuse to honor the exercise and refuse to deliver the Shares if you fail to comply with your obligations in connection with the Tax-Related Items as described in this section.</w:t>
      </w:r>
    </w:p>
    <w:p>
      <w:pPr>
        <w:spacing w:after="0" w:line="168" w:lineRule="exact"/>
        <w:rPr>
          <w:rFonts w:ascii="Arial" w:cs="Arial" w:eastAsia="Arial" w:hAnsi="Arial"/>
          <w:sz w:val="22"/>
          <w:szCs w:val="22"/>
          <w:color w:val="auto"/>
        </w:rPr>
      </w:pPr>
    </w:p>
    <w:p>
      <w:pPr>
        <w:jc w:val="both"/>
        <w:ind w:firstLine="8"/>
        <w:spacing w:after="0" w:line="293" w:lineRule="auto"/>
        <w:tabs>
          <w:tab w:leader="none" w:pos="392"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The Company reserves the right, to the extent the Company deems necessary or advisable in its sole discretion,</w:t>
      </w:r>
      <w:r>
        <w:rPr>
          <w:rFonts w:ascii="Arial" w:cs="Arial" w:eastAsia="Arial" w:hAnsi="Arial"/>
          <w:sz w:val="19"/>
          <w:szCs w:val="19"/>
          <w:b w:val="1"/>
          <w:bCs w:val="1"/>
          <w:color w:val="auto"/>
        </w:rPr>
        <w:t xml:space="preserve"> </w:t>
      </w:r>
      <w:r>
        <w:rPr>
          <w:rFonts w:ascii="Arial" w:cs="Arial" w:eastAsia="Arial" w:hAnsi="Arial"/>
          <w:sz w:val="19"/>
          <w:szCs w:val="19"/>
          <w:color w:val="auto"/>
        </w:rPr>
        <w:t>to unilaterally amend or modify the Plan, this Stock Option Agreement or the Grant Notice or adopt other policies and procedures (including amendments, policies and procedures with retroactive effect), or take any other actions, as the Plan Administrator determines are necessary or appropriate to ensure that this Option qualifies for exemption from, or complies with the requirements of, Section 409A of the Code; provided, however, that the Company makes no representation that the Option will be exempt from or will comply with, Section 409A of the Code, and makes no undertaking to preclude Section 409A of the Code from applying to the Option or to ensure that it complies with Section 409A of the Code.</w:t>
      </w:r>
    </w:p>
    <w:p>
      <w:pPr>
        <w:spacing w:after="0" w:line="145" w:lineRule="exact"/>
        <w:rPr>
          <w:rFonts w:ascii="Arial" w:cs="Arial" w:eastAsia="Arial" w:hAnsi="Arial"/>
          <w:sz w:val="19"/>
          <w:szCs w:val="19"/>
          <w:color w:val="auto"/>
        </w:rPr>
      </w:pPr>
    </w:p>
    <w:p>
      <w:pPr>
        <w:jc w:val="both"/>
        <w:ind w:right="20" w:firstLine="8"/>
        <w:spacing w:after="0" w:line="256" w:lineRule="auto"/>
        <w:tabs>
          <w:tab w:leader="none" w:pos="405"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 xml:space="preserve">Option Not an Employment or Service Contract. </w:t>
      </w:r>
      <w:r>
        <w:rPr>
          <w:rFonts w:ascii="Arial" w:cs="Arial" w:eastAsia="Arial" w:hAnsi="Arial"/>
          <w:sz w:val="22"/>
          <w:szCs w:val="22"/>
          <w:color w:val="auto"/>
        </w:rPr>
        <w:t>Nothing in the Plan or any award under the Plan will be deemed to be an</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contract or limit in any way the right of the Company to terminate your employment at any time, with or without cause.</w:t>
      </w:r>
    </w:p>
    <w:p>
      <w:pPr>
        <w:spacing w:after="0" w:line="176" w:lineRule="exact"/>
        <w:rPr>
          <w:rFonts w:ascii="Arial" w:cs="Arial" w:eastAsia="Arial" w:hAnsi="Arial"/>
          <w:sz w:val="22"/>
          <w:szCs w:val="22"/>
          <w:color w:val="auto"/>
        </w:rPr>
      </w:pPr>
    </w:p>
    <w:p>
      <w:pPr>
        <w:ind w:firstLine="8"/>
        <w:spacing w:after="0" w:line="269" w:lineRule="auto"/>
        <w:tabs>
          <w:tab w:leader="none" w:pos="635"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This Stock Option Agreement will inure to the benefit of the successors and assigns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be binding upon you and your heirs, executors, administrators, successors and assigns.</w:t>
      </w:r>
    </w:p>
    <w:p>
      <w:pPr>
        <w:spacing w:after="0" w:line="180" w:lineRule="exact"/>
        <w:rPr>
          <w:sz w:val="20"/>
          <w:szCs w:val="20"/>
          <w:color w:val="auto"/>
        </w:rPr>
      </w:pPr>
    </w:p>
    <w:p>
      <w:pPr>
        <w:ind w:left="4060"/>
        <w:spacing w:after="0"/>
        <w:rPr>
          <w:sz w:val="20"/>
          <w:szCs w:val="20"/>
          <w:color w:val="auto"/>
        </w:rPr>
      </w:pPr>
      <w:r>
        <w:rPr>
          <w:rFonts w:ascii="Arial" w:cs="Arial" w:eastAsia="Arial" w:hAnsi="Arial"/>
          <w:sz w:val="11"/>
          <w:szCs w:val="11"/>
          <w:i w:val="1"/>
          <w:iCs w:val="1"/>
          <w:color w:val="auto"/>
        </w:rPr>
        <w:t>9</w:t>
      </w:r>
    </w:p>
    <w:p>
      <w:pPr>
        <w:sectPr>
          <w:pgSz w:w="11900" w:h="16838" w:orient="portrait"/>
          <w:cols w:equalWidth="0" w:num="1">
            <w:col w:w="11420"/>
          </w:cols>
          <w:pgMar w:left="240" w:top="12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8"/>
        <w:spacing w:after="0" w:line="304" w:lineRule="auto"/>
        <w:tabs>
          <w:tab w:leader="none" w:pos="559" w:val="left"/>
        </w:tabs>
        <w:numPr>
          <w:ilvl w:val="0"/>
          <w:numId w:val="39"/>
        </w:numPr>
        <w:rPr>
          <w:rFonts w:ascii="Arial" w:cs="Arial" w:eastAsia="Arial" w:hAnsi="Arial"/>
          <w:sz w:val="19"/>
          <w:szCs w:val="19"/>
          <w:color w:val="auto"/>
        </w:rPr>
      </w:pPr>
      <w:r>
        <w:rPr>
          <w:rFonts w:ascii="Arial" w:cs="Arial" w:eastAsia="Arial" w:hAnsi="Arial"/>
          <w:sz w:val="19"/>
          <w:szCs w:val="19"/>
          <w:b w:val="1"/>
          <w:bCs w:val="1"/>
          <w:color w:val="auto"/>
        </w:rPr>
        <w:t xml:space="preserve">Data Privacy. </w:t>
      </w:r>
      <w:r>
        <w:rPr>
          <w:rFonts w:ascii="Arial" w:cs="Arial" w:eastAsia="Arial" w:hAnsi="Arial"/>
          <w:sz w:val="19"/>
          <w:szCs w:val="19"/>
          <w:color w:val="auto"/>
        </w:rPr>
        <w:t>You hereby explicitly and unambiguously consent to the collection, use and transfer, in electronic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form, of your personal data as described in the Grant Notice by and among, as applicable, the Company and its Related Corporations and any stock plan service provider, including any designated broker, that may assist the Company with the Plan (presently or in the future) for the exclusive purpose of implementing, administering and managing your participation in the Plan.</w:t>
      </w:r>
    </w:p>
    <w:p>
      <w:pPr>
        <w:spacing w:after="0" w:line="135" w:lineRule="exact"/>
        <w:rPr>
          <w:rFonts w:ascii="Arial" w:cs="Arial" w:eastAsia="Arial" w:hAnsi="Arial"/>
          <w:sz w:val="19"/>
          <w:szCs w:val="19"/>
          <w:color w:val="auto"/>
        </w:rPr>
      </w:pPr>
    </w:p>
    <w:p>
      <w:pPr>
        <w:jc w:val="both"/>
        <w:ind w:firstLine="8"/>
        <w:spacing w:after="0" w:line="252" w:lineRule="auto"/>
        <w:tabs>
          <w:tab w:leader="none" w:pos="500"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 xml:space="preserve">Electronic Delivery and Participation. </w:t>
      </w:r>
      <w:r>
        <w:rPr>
          <w:rFonts w:ascii="Arial" w:cs="Arial" w:eastAsia="Arial" w:hAnsi="Arial"/>
          <w:sz w:val="22"/>
          <w:szCs w:val="22"/>
          <w:color w:val="auto"/>
        </w:rPr>
        <w:t>The Company may, in its sole discretion, decide to deliver any documents related to</w:t>
      </w:r>
      <w:r>
        <w:rPr>
          <w:rFonts w:ascii="Arial" w:cs="Arial" w:eastAsia="Arial" w:hAnsi="Arial"/>
          <w:sz w:val="22"/>
          <w:szCs w:val="22"/>
          <w:b w:val="1"/>
          <w:bCs w:val="1"/>
          <w:color w:val="auto"/>
        </w:rPr>
        <w:t xml:space="preserve"> </w:t>
      </w:r>
      <w:r>
        <w:rPr>
          <w:rFonts w:ascii="Arial" w:cs="Arial" w:eastAsia="Arial" w:hAnsi="Arial"/>
          <w:sz w:val="22"/>
          <w:szCs w:val="22"/>
          <w:color w:val="auto"/>
        </w:rPr>
        <w:t>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80" w:lineRule="exact"/>
        <w:rPr>
          <w:rFonts w:ascii="Arial" w:cs="Arial" w:eastAsia="Arial" w:hAnsi="Arial"/>
          <w:sz w:val="22"/>
          <w:szCs w:val="22"/>
          <w:color w:val="auto"/>
        </w:rPr>
      </w:pPr>
    </w:p>
    <w:p>
      <w:pPr>
        <w:jc w:val="both"/>
        <w:ind w:firstLine="8"/>
        <w:spacing w:after="0" w:line="256" w:lineRule="auto"/>
        <w:tabs>
          <w:tab w:leader="none" w:pos="554"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 xml:space="preserve">Imposition of Other Requirements. </w:t>
      </w:r>
      <w:r>
        <w:rPr>
          <w:rFonts w:ascii="Arial" w:cs="Arial" w:eastAsia="Arial" w:hAnsi="Arial"/>
          <w:sz w:val="22"/>
          <w:szCs w:val="22"/>
          <w:color w:val="auto"/>
        </w:rPr>
        <w:t>If you relocate to another country, any special terms and conditions applicable to stock</w:t>
      </w:r>
      <w:r>
        <w:rPr>
          <w:rFonts w:ascii="Arial" w:cs="Arial" w:eastAsia="Arial" w:hAnsi="Arial"/>
          <w:sz w:val="22"/>
          <w:szCs w:val="22"/>
          <w:b w:val="1"/>
          <w:bCs w:val="1"/>
          <w:color w:val="auto"/>
        </w:rPr>
        <w:t xml:space="preserve"> </w:t>
      </w:r>
      <w:r>
        <w:rPr>
          <w:rFonts w:ascii="Arial" w:cs="Arial" w:eastAsia="Arial" w:hAnsi="Arial"/>
          <w:sz w:val="22"/>
          <w:szCs w:val="22"/>
          <w:color w:val="auto"/>
        </w:rPr>
        <w:t>options granted in such country will apply to you, to the extent the Company determines that the application of such terms and conditions is necessary or advisable for legal or administrative reasons.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addition, the Company reserves the right to impose other requirements on the Option and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62" w:lineRule="exact"/>
        <w:rPr>
          <w:sz w:val="20"/>
          <w:szCs w:val="20"/>
          <w:color w:val="auto"/>
        </w:rPr>
      </w:pPr>
    </w:p>
    <w:p>
      <w:pPr>
        <w:jc w:val="both"/>
        <w:ind w:firstLine="8"/>
        <w:spacing w:after="0" w:line="262" w:lineRule="auto"/>
        <w:tabs>
          <w:tab w:leader="none" w:pos="486" w:val="left"/>
        </w:tabs>
        <w:numPr>
          <w:ilvl w:val="0"/>
          <w:numId w:val="40"/>
        </w:numPr>
        <w:rPr>
          <w:rFonts w:ascii="Arial" w:cs="Arial" w:eastAsia="Arial" w:hAnsi="Arial"/>
          <w:sz w:val="21"/>
          <w:szCs w:val="21"/>
          <w:color w:val="auto"/>
        </w:rPr>
      </w:pPr>
      <w:r>
        <w:rPr>
          <w:rFonts w:ascii="Arial" w:cs="Arial" w:eastAsia="Arial" w:hAnsi="Arial"/>
          <w:sz w:val="21"/>
          <w:szCs w:val="21"/>
          <w:b w:val="1"/>
          <w:bCs w:val="1"/>
          <w:color w:val="auto"/>
        </w:rPr>
        <w:t>Governing Law and Choice of Venue</w:t>
      </w:r>
      <w:r>
        <w:rPr>
          <w:rFonts w:ascii="Arial" w:cs="Arial" w:eastAsia="Arial" w:hAnsi="Arial"/>
          <w:sz w:val="21"/>
          <w:szCs w:val="21"/>
          <w:color w:val="auto"/>
        </w:rPr>
        <w:t>. The Option and the provisions of this Stock Option Agreement will be construed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administered in accordance with and governed by the laws of the State of Washington without giving effect to such state’s principles of conflict of laws. For the purposes of litigating any dispute that arises under this grant of this Stock Option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73" w:lineRule="exact"/>
        <w:rPr>
          <w:rFonts w:ascii="Arial" w:cs="Arial" w:eastAsia="Arial" w:hAnsi="Arial"/>
          <w:sz w:val="21"/>
          <w:szCs w:val="21"/>
          <w:color w:val="auto"/>
        </w:rPr>
      </w:pPr>
    </w:p>
    <w:p>
      <w:pPr>
        <w:jc w:val="both"/>
        <w:ind w:firstLine="8"/>
        <w:spacing w:after="0" w:line="256" w:lineRule="auto"/>
        <w:tabs>
          <w:tab w:leader="none" w:pos="500"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The provisions of this Stock Option Agreement are severable and if any one or more provisions are determined</w:t>
      </w:r>
      <w:r>
        <w:rPr>
          <w:rFonts w:ascii="Arial" w:cs="Arial" w:eastAsia="Arial" w:hAnsi="Arial"/>
          <w:sz w:val="22"/>
          <w:szCs w:val="22"/>
          <w:b w:val="1"/>
          <w:bCs w:val="1"/>
          <w:color w:val="auto"/>
        </w:rPr>
        <w:t xml:space="preserve"> </w:t>
      </w:r>
      <w:r>
        <w:rPr>
          <w:rFonts w:ascii="Arial" w:cs="Arial" w:eastAsia="Arial" w:hAnsi="Arial"/>
          <w:sz w:val="22"/>
          <w:szCs w:val="22"/>
          <w:color w:val="auto"/>
        </w:rPr>
        <w:t>to be illegal or otherwise unenforceable, in whole or in part, the remaining provisions shall nevertheless be binding and enforceable.</w:t>
      </w:r>
    </w:p>
    <w:p>
      <w:pPr>
        <w:spacing w:after="0" w:line="176" w:lineRule="exact"/>
        <w:rPr>
          <w:rFonts w:ascii="Arial" w:cs="Arial" w:eastAsia="Arial" w:hAnsi="Arial"/>
          <w:sz w:val="22"/>
          <w:szCs w:val="22"/>
          <w:color w:val="auto"/>
        </w:rPr>
      </w:pPr>
    </w:p>
    <w:p>
      <w:pPr>
        <w:ind w:left="500" w:hanging="492"/>
        <w:spacing w:after="0"/>
        <w:tabs>
          <w:tab w:leader="none" w:pos="500"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Notice</w:t>
      </w:r>
      <w:r>
        <w:rPr>
          <w:rFonts w:ascii="Arial" w:cs="Arial" w:eastAsia="Arial" w:hAnsi="Arial"/>
          <w:sz w:val="22"/>
          <w:szCs w:val="22"/>
          <w:color w:val="auto"/>
        </w:rPr>
        <w:t>. Any notice required or permitted hereunder shall be made in writing and sent to the following address:</w:t>
      </w:r>
    </w:p>
    <w:p>
      <w:pPr>
        <w:spacing w:after="0" w:line="28"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Itron, Inc.</w:t>
      </w:r>
    </w:p>
    <w:p>
      <w:pPr>
        <w:spacing w:after="0" w:line="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2111 N. Molter Road</w:t>
      </w:r>
    </w:p>
    <w:p>
      <w:pPr>
        <w:spacing w:after="0" w:line="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Liberty Lake, WA USA 99019</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60"/>
        <w:spacing w:after="0"/>
        <w:rPr>
          <w:sz w:val="20"/>
          <w:szCs w:val="20"/>
          <w:color w:val="auto"/>
        </w:rPr>
      </w:pPr>
      <w:r>
        <w:rPr>
          <w:rFonts w:ascii="Arial" w:cs="Arial" w:eastAsia="Arial" w:hAnsi="Arial"/>
          <w:sz w:val="11"/>
          <w:szCs w:val="11"/>
          <w:i w:val="1"/>
          <w:iCs w:val="1"/>
          <w:color w:val="auto"/>
        </w:rPr>
        <w:t>10</w:t>
      </w:r>
    </w:p>
    <w:p>
      <w:pPr>
        <w:sectPr>
          <w:pgSz w:w="11900" w:h="16838" w:orient="portrait"/>
          <w:cols w:equalWidth="0" w:num="1">
            <w:col w:w="11420"/>
          </w:cols>
          <w:pgMar w:left="2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Restrictive Covenants</w:t>
      </w:r>
    </w:p>
    <w:p>
      <w:pPr>
        <w:spacing w:after="0" w:line="241" w:lineRule="exact"/>
        <w:rPr>
          <w:sz w:val="20"/>
          <w:szCs w:val="20"/>
          <w:color w:val="auto"/>
        </w:rPr>
      </w:pPr>
    </w:p>
    <w:p>
      <w:pPr>
        <w:jc w:val="both"/>
        <w:ind w:firstLine="1305"/>
        <w:spacing w:after="0" w:line="328" w:lineRule="auto"/>
        <w:tabs>
          <w:tab w:leader="none" w:pos="1801" w:val="left"/>
        </w:tabs>
        <w:numPr>
          <w:ilvl w:val="0"/>
          <w:numId w:val="41"/>
        </w:numPr>
        <w:rPr>
          <w:rFonts w:ascii="Arial" w:cs="Arial" w:eastAsia="Arial" w:hAnsi="Arial"/>
          <w:sz w:val="19"/>
          <w:szCs w:val="19"/>
          <w:color w:val="auto"/>
        </w:rPr>
      </w:pPr>
      <w:r>
        <w:rPr>
          <w:rFonts w:ascii="Arial" w:cs="Arial" w:eastAsia="Arial" w:hAnsi="Arial"/>
          <w:sz w:val="19"/>
          <w:szCs w:val="19"/>
          <w:b w:val="1"/>
          <w:bCs w:val="1"/>
          <w:u w:val="single" w:color="auto"/>
          <w:color w:val="auto"/>
        </w:rPr>
        <w:t>Confidential Information</w:t>
      </w:r>
      <w:r>
        <w:rPr>
          <w:rFonts w:ascii="Arial" w:cs="Arial" w:eastAsia="Arial" w:hAnsi="Arial"/>
          <w:sz w:val="19"/>
          <w:szCs w:val="19"/>
          <w:color w:val="auto"/>
        </w:rPr>
        <w:t>. The person entering into the Agreement with the Company (the “</w:t>
      </w:r>
      <w:r>
        <w:rPr>
          <w:rFonts w:ascii="Arial" w:cs="Arial" w:eastAsia="Arial" w:hAnsi="Arial"/>
          <w:sz w:val="19"/>
          <w:szCs w:val="19"/>
          <w:b w:val="1"/>
          <w:bCs w:val="1"/>
          <w:color w:val="auto"/>
        </w:rPr>
        <w:t>Participant</w:t>
      </w:r>
      <w:r>
        <w:rPr>
          <w:rFonts w:ascii="Arial" w:cs="Arial" w:eastAsia="Arial" w:hAnsi="Arial"/>
          <w:sz w:val="19"/>
          <w:szCs w:val="19"/>
          <w:color w:val="auto"/>
        </w:rPr>
        <w:t>”) shall</w:t>
      </w:r>
      <w:r>
        <w:rPr>
          <w:rFonts w:ascii="Arial" w:cs="Arial" w:eastAsia="Arial" w:hAnsi="Arial"/>
          <w:sz w:val="19"/>
          <w:szCs w:val="19"/>
          <w:b w:val="1"/>
          <w:bCs w:val="1"/>
          <w:color w:val="auto"/>
        </w:rPr>
        <w:t xml:space="preserve"> </w:t>
      </w:r>
      <w:r>
        <w:rPr>
          <w:rFonts w:ascii="Arial" w:cs="Arial" w:eastAsia="Arial" w:hAnsi="Arial"/>
          <w:sz w:val="19"/>
          <w:szCs w:val="19"/>
          <w:color w:val="auto"/>
        </w:rPr>
        <w:t>hold in a fiduciary capacity for the benefit of the Company and its Subsidiaries (collectively, the “</w:t>
      </w:r>
      <w:r>
        <w:rPr>
          <w:rFonts w:ascii="Arial" w:cs="Arial" w:eastAsia="Arial" w:hAnsi="Arial"/>
          <w:sz w:val="19"/>
          <w:szCs w:val="19"/>
          <w:b w:val="1"/>
          <w:bCs w:val="1"/>
          <w:color w:val="auto"/>
        </w:rPr>
        <w:t>Affiliated Group</w:t>
      </w:r>
      <w:r>
        <w:rPr>
          <w:rFonts w:ascii="Arial" w:cs="Arial" w:eastAsia="Arial" w:hAnsi="Arial"/>
          <w:sz w:val="19"/>
          <w:szCs w:val="19"/>
          <w:color w:val="auto"/>
        </w:rPr>
        <w:t>”), all secret or confidential information, knowledge or data relating to the Affiliated Group and its businesses (including, without limitation, any proprietary and not publicly available information concerning any processes, methods, trade secrets, research or secret data, costs, names of users or purchasers of their respective products or services, business methods, operating procedures or programs or methods of promotion and sale) that the Participant obtains during the Participant’s employment that is not public knowledge (other than as a result of the Participant’s violation of this Section (a))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The Participant shall not communicate, divulge or disseminate Confidential Information at any time during or after the Participant’s employment, except with the prior written consent of the Company, or as otherwise required by law or legal process or as may be required in the course of the Participant performing his or her duties and responsibilities with the Affiliated Group; provided, however, that no Company policies or practices, including the sections addressing confidentiality obligations, is intended to or shall limit, prevent, impede or interfere in any way with an employee's right, without prior notice to the Company, to provide information to the government, participate in investigations, testify in proceedings regarding the Company's past or future conduct, or engage in any activities protected under whistle blower statutes. Pursuant to the Defend Trade Secrets Act of 2016, an employee shall not be held criminally, or civilly, liable under any Federal or State Trade secret law for the disclosure of a trade secret that is made in confidence either directly or indirectly to a Federal, State, or local government official, or an attorney, for the sole purpose of reporting, or investigating, a violation of law. Moreover, employees may disclose trade secrets in a complaint, or other document, filed in a lawsuit, or other proceeding, if such filing is made under seal. Finally, an employee who files a lawsuit alleging retaliation by the company for reporting a suspected violation of the law may disclose the trade secret to the attorney of the employee and use the trade secret in the court proceeding, if the employee: files any document containing the trade secret under seal and does not disclose the trade secret, except pursuant to court order. Upon his or her termination of employment for any reason, the Participant shall promptly return to the Company all records, files, memoranda, correspondence, notebooks, notes, reports, customer lists, drawings, plans, documents, and other documents and the like relating to the business of the Affiliated Group or containing any trade secrets relating to the Affiliated Group or that the Participant uses, prepares or comes into contact with during the course of the Participant’s employment with the Affiliated Group, and all keys, credit cards and passes, and such materials shall remain the sole property of the Affiliated Group. The Participant agrees to execute any standard-form confidentiality agreements with the Company that the Company in the future generally enters into with similarly situated employees.</w:t>
      </w:r>
    </w:p>
    <w:p>
      <w:pPr>
        <w:spacing w:after="0" w:line="174" w:lineRule="exact"/>
        <w:rPr>
          <w:sz w:val="20"/>
          <w:szCs w:val="20"/>
          <w:color w:val="auto"/>
        </w:rPr>
      </w:pPr>
    </w:p>
    <w:p>
      <w:pPr>
        <w:ind w:left="4060"/>
        <w:spacing w:after="0"/>
        <w:rPr>
          <w:sz w:val="20"/>
          <w:szCs w:val="20"/>
          <w:color w:val="auto"/>
        </w:rPr>
      </w:pPr>
      <w:r>
        <w:rPr>
          <w:rFonts w:ascii="Arial" w:cs="Arial" w:eastAsia="Arial" w:hAnsi="Arial"/>
          <w:sz w:val="11"/>
          <w:szCs w:val="11"/>
          <w:i w:val="1"/>
          <w:iCs w:val="1"/>
          <w:color w:val="auto"/>
        </w:rPr>
        <w:t>11</w:t>
      </w:r>
    </w:p>
    <w:p>
      <w:pPr>
        <w:sectPr>
          <w:pgSz w:w="11900" w:h="16838" w:orient="portrait"/>
          <w:cols w:equalWidth="0" w:num="1">
            <w:col w:w="11420"/>
          </w:cols>
          <w:pgMar w:left="240" w:top="12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1305"/>
        <w:spacing w:after="0" w:line="314" w:lineRule="auto"/>
        <w:tabs>
          <w:tab w:leader="none" w:pos="1603" w:val="left"/>
        </w:tabs>
        <w:numPr>
          <w:ilvl w:val="0"/>
          <w:numId w:val="42"/>
        </w:numPr>
        <w:rPr>
          <w:rFonts w:ascii="Arial" w:cs="Arial" w:eastAsia="Arial" w:hAnsi="Arial"/>
          <w:sz w:val="20"/>
          <w:szCs w:val="20"/>
          <w:color w:val="auto"/>
        </w:rPr>
      </w:pPr>
      <w:r>
        <w:rPr>
          <w:rFonts w:ascii="Arial" w:cs="Arial" w:eastAsia="Arial" w:hAnsi="Arial"/>
          <w:sz w:val="20"/>
          <w:szCs w:val="20"/>
          <w:b w:val="1"/>
          <w:bCs w:val="1"/>
          <w:u w:val="single" w:color="auto"/>
          <w:color w:val="auto"/>
        </w:rPr>
        <w:t>Non-Recruitment of Affiliated Group Employees</w:t>
      </w:r>
      <w:r>
        <w:rPr>
          <w:rFonts w:ascii="Arial" w:cs="Arial" w:eastAsia="Arial" w:hAnsi="Arial"/>
          <w:sz w:val="20"/>
          <w:szCs w:val="20"/>
          <w:color w:val="auto"/>
        </w:rPr>
        <w:t>. The Participant acknowledges that employees are a significant</w:t>
      </w:r>
      <w:r>
        <w:rPr>
          <w:rFonts w:ascii="Arial" w:cs="Arial" w:eastAsia="Arial" w:hAnsi="Arial"/>
          <w:sz w:val="20"/>
          <w:szCs w:val="20"/>
          <w:b w:val="1"/>
          <w:bCs w:val="1"/>
          <w:color w:val="auto"/>
        </w:rPr>
        <w:t xml:space="preserve"> </w:t>
      </w:r>
      <w:r>
        <w:rPr>
          <w:rFonts w:ascii="Arial" w:cs="Arial" w:eastAsia="Arial" w:hAnsi="Arial"/>
          <w:sz w:val="20"/>
          <w:szCs w:val="20"/>
          <w:color w:val="auto"/>
        </w:rPr>
        <w:t>part of the goodwill of the Affiliated Group, such as, without limitation, their relationships and contacts with customers and suppliers as well as the training and knowledge they receive from the Affiliated Group in the course of their employment. The Participant shall not, at any time during the Non-solicitation Period (as defined below), without the prior written consent of the Company, directly or indirectly, solicit, recruit, or employ (whether as an employee, officer, agent, consultant or independent contractor) any person who is or was at any time during the previous 12 months, an employee, representative, officer or director of any member of the Affiliated Group. Further, during the Non-solicitation Period, the Participant shall not take any action that could reasonably be expected to have the effect of directly encouraging or inducing any person to cease their relationship with any member of the Affiliated Group for any reason. A general employment advertisement by an entity of which the Participant is a part will not constitute solicitation or recruitment. The “</w:t>
      </w:r>
      <w:r>
        <w:rPr>
          <w:rFonts w:ascii="Arial" w:cs="Arial" w:eastAsia="Arial" w:hAnsi="Arial"/>
          <w:sz w:val="20"/>
          <w:szCs w:val="20"/>
          <w:b w:val="1"/>
          <w:bCs w:val="1"/>
          <w:color w:val="auto"/>
        </w:rPr>
        <w:t>Non-solicitation Period</w:t>
      </w:r>
      <w:r>
        <w:rPr>
          <w:rFonts w:ascii="Arial" w:cs="Arial" w:eastAsia="Arial" w:hAnsi="Arial"/>
          <w:sz w:val="20"/>
          <w:szCs w:val="20"/>
          <w:color w:val="auto"/>
        </w:rPr>
        <w:t>” shall mean the period from the Date of Grant through the first anniversary of the Participant’s termination of employment.</w:t>
      </w:r>
    </w:p>
    <w:p>
      <w:pPr>
        <w:spacing w:after="0" w:line="174" w:lineRule="exact"/>
        <w:rPr>
          <w:rFonts w:ascii="Arial" w:cs="Arial" w:eastAsia="Arial" w:hAnsi="Arial"/>
          <w:sz w:val="20"/>
          <w:szCs w:val="20"/>
          <w:color w:val="auto"/>
        </w:rPr>
      </w:pPr>
    </w:p>
    <w:p>
      <w:pPr>
        <w:jc w:val="both"/>
        <w:ind w:firstLine="1305"/>
        <w:spacing w:after="0" w:line="330" w:lineRule="auto"/>
        <w:tabs>
          <w:tab w:leader="none" w:pos="1619" w:val="left"/>
        </w:tabs>
        <w:numPr>
          <w:ilvl w:val="0"/>
          <w:numId w:val="42"/>
        </w:numPr>
        <w:rPr>
          <w:rFonts w:ascii="Arial" w:cs="Arial" w:eastAsia="Arial" w:hAnsi="Arial"/>
          <w:sz w:val="19"/>
          <w:szCs w:val="19"/>
          <w:color w:val="auto"/>
        </w:rPr>
      </w:pPr>
      <w:r>
        <w:rPr>
          <w:rFonts w:ascii="Arial" w:cs="Arial" w:eastAsia="Arial" w:hAnsi="Arial"/>
          <w:sz w:val="19"/>
          <w:szCs w:val="19"/>
          <w:b w:val="1"/>
          <w:bCs w:val="1"/>
          <w:u w:val="single" w:color="auto"/>
          <w:color w:val="auto"/>
        </w:rPr>
        <w:t>Non-Competition – Solicitation of Business</w:t>
      </w:r>
      <w:r>
        <w:rPr>
          <w:rFonts w:ascii="Arial" w:cs="Arial" w:eastAsia="Arial" w:hAnsi="Arial"/>
          <w:sz w:val="19"/>
          <w:szCs w:val="19"/>
          <w:color w:val="auto"/>
        </w:rPr>
        <w:t>. Participant recognizes and agrees that the Affiliated Group has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Confidential Information to Participant and has an interest in protecting this information from disclosure. Participant further understands that the goodwill of the Affiliated Group is an interest worthy of protection. For the protection of these and other interests, during the Non-competition Period (as defined below), the Participant shall not, either directly or indirectly, compete with the business of the Affiliated Group by (i) becoming 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 is not publicly traded) in any Competitive Business (as defined below), or (ii) soliciting, servicing, or accepting the business of (A) any active customer of any member of the Affiliated Group, or (B) any person or entity who is or was at any time during the previous twelve months a customer of any member of the Affiliated Group, provided that such business is competitive with any significant business of any member of the Affiliated Group. “</w:t>
      </w:r>
      <w:r>
        <w:rPr>
          <w:rFonts w:ascii="Arial" w:cs="Arial" w:eastAsia="Arial" w:hAnsi="Arial"/>
          <w:sz w:val="19"/>
          <w:szCs w:val="19"/>
          <w:b w:val="1"/>
          <w:bCs w:val="1"/>
          <w:color w:val="auto"/>
        </w:rPr>
        <w:t>Competitive Business</w:t>
      </w:r>
      <w:r>
        <w:rPr>
          <w:rFonts w:ascii="Arial" w:cs="Arial" w:eastAsia="Arial" w:hAnsi="Arial"/>
          <w:sz w:val="19"/>
          <w:szCs w:val="19"/>
          <w:color w:val="auto"/>
        </w:rPr>
        <w:t>” shall mean any person or entity (including any joint venture, partnership, firm, corporation, or limited liability company) that conducts a business that is competitive with any business of the Affiliated Group as of the date of termination (or any business that is being actively pursued as of the date of termination by the Affiliated Group). The Affiliated Group designs, manufactures, sells and licenses its products and technology worldwide. In addition, Competitive Businesses, as defined above, are not tied or limited to any specific geographic location. Accordingly, the scope of this Non-Competition provision is worldwide. The “</w:t>
      </w:r>
      <w:r>
        <w:rPr>
          <w:rFonts w:ascii="Arial" w:cs="Arial" w:eastAsia="Arial" w:hAnsi="Arial"/>
          <w:sz w:val="19"/>
          <w:szCs w:val="19"/>
          <w:b w:val="1"/>
          <w:bCs w:val="1"/>
          <w:color w:val="auto"/>
        </w:rPr>
        <w:t>Non-competition Period</w:t>
      </w:r>
      <w:r>
        <w:rPr>
          <w:rFonts w:ascii="Arial" w:cs="Arial" w:eastAsia="Arial" w:hAnsi="Arial"/>
          <w:sz w:val="19"/>
          <w:szCs w:val="19"/>
          <w:color w:val="auto"/>
        </w:rPr>
        <w:t>” shall mean the period from the Date of Grant through the first anniversary of the date of termination of the Participant’s employment.</w:t>
      </w:r>
    </w:p>
    <w:p>
      <w:pPr>
        <w:spacing w:after="0" w:line="163" w:lineRule="exact"/>
        <w:rPr>
          <w:rFonts w:ascii="Arial" w:cs="Arial" w:eastAsia="Arial" w:hAnsi="Arial"/>
          <w:sz w:val="19"/>
          <w:szCs w:val="19"/>
          <w:color w:val="auto"/>
        </w:rPr>
      </w:pPr>
    </w:p>
    <w:p>
      <w:pPr>
        <w:jc w:val="both"/>
        <w:ind w:firstLine="1305"/>
        <w:spacing w:after="0" w:line="309" w:lineRule="auto"/>
        <w:tabs>
          <w:tab w:leader="none" w:pos="1630" w:val="left"/>
        </w:tabs>
        <w:numPr>
          <w:ilvl w:val="0"/>
          <w:numId w:val="42"/>
        </w:numPr>
        <w:rPr>
          <w:rFonts w:ascii="Arial" w:cs="Arial" w:eastAsia="Arial" w:hAnsi="Arial"/>
          <w:sz w:val="21"/>
          <w:szCs w:val="21"/>
          <w:color w:val="auto"/>
        </w:rPr>
      </w:pPr>
      <w:r>
        <w:rPr>
          <w:rFonts w:ascii="Arial" w:cs="Arial" w:eastAsia="Arial" w:hAnsi="Arial"/>
          <w:sz w:val="21"/>
          <w:szCs w:val="21"/>
          <w:b w:val="1"/>
          <w:bCs w:val="1"/>
          <w:u w:val="single" w:color="auto"/>
          <w:color w:val="auto"/>
        </w:rPr>
        <w:t>Remedies</w:t>
      </w:r>
      <w:r>
        <w:rPr>
          <w:rFonts w:ascii="Arial" w:cs="Arial" w:eastAsia="Arial" w:hAnsi="Arial"/>
          <w:sz w:val="21"/>
          <w:szCs w:val="21"/>
          <w:color w:val="auto"/>
        </w:rPr>
        <w:t>. The Participant acknowledges and agrees that the terms of this Appendix A: (i) are reasonable in</w:t>
      </w:r>
      <w:r>
        <w:rPr>
          <w:rFonts w:ascii="Arial" w:cs="Arial" w:eastAsia="Arial" w:hAnsi="Arial"/>
          <w:sz w:val="21"/>
          <w:szCs w:val="21"/>
          <w:b w:val="1"/>
          <w:bCs w:val="1"/>
          <w:color w:val="auto"/>
        </w:rPr>
        <w:t xml:space="preserve"> </w:t>
      </w:r>
      <w:r>
        <w:rPr>
          <w:rFonts w:ascii="Arial" w:cs="Arial" w:eastAsia="Arial" w:hAnsi="Arial"/>
          <w:sz w:val="21"/>
          <w:szCs w:val="21"/>
          <w:color w:val="auto"/>
        </w:rPr>
        <w:t>geographic and temporal scope, (ii) are necessary to protect legitimate proprietary and business interests of the Affiliated Group in, inter alia, customer relationships and confidential</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1"/>
          <w:szCs w:val="11"/>
          <w:i w:val="1"/>
          <w:iCs w:val="1"/>
          <w:color w:val="auto"/>
        </w:rPr>
        <w:t>12</w:t>
      </w:r>
    </w:p>
    <w:p>
      <w:pPr>
        <w:sectPr>
          <w:pgSz w:w="11900" w:h="16838" w:orient="portrait"/>
          <w:cols w:equalWidth="0" w:num="1">
            <w:col w:w="11420"/>
          </w:cols>
          <w:pgMar w:left="240" w:top="121"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334" w:lineRule="auto"/>
        <w:rPr>
          <w:sz w:val="20"/>
          <w:szCs w:val="20"/>
          <w:color w:val="auto"/>
        </w:rPr>
      </w:pPr>
      <w:r>
        <w:rPr>
          <w:rFonts w:ascii="Arial" w:cs="Arial" w:eastAsia="Arial" w:hAnsi="Arial"/>
          <w:sz w:val="19"/>
          <w:szCs w:val="19"/>
          <w:color w:val="auto"/>
        </w:rPr>
        <w:t>information. The Participant further acknowledges and agrees that the Participant’s breach of the provisions of this Appendix A will cause the Affiliated Group irreparable harm, which cannot be adequately compensated by money damages. The Participant consents and agrees that the forfeiture provisions contained in the Agreement are reasonable remedies in the event the Participant commits any such breach. If any of the provisions of this Appendix A are determined to be wholly or partially unenforceable, the Participant hereby agrees that Appendix A or any provision hereof may be reformed so that it is enforceable to the maximum extent permitted by law. If any of the provisions of this Appendix A are determined to be wholly or partially unenforceable in any jurisdiction, such determination shall not be a bar to or in any way diminish the Affiliated Group’s right to enforce any such covenant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60"/>
        <w:spacing w:after="0"/>
        <w:rPr>
          <w:sz w:val="20"/>
          <w:szCs w:val="20"/>
          <w:color w:val="auto"/>
        </w:rPr>
      </w:pPr>
      <w:r>
        <w:rPr>
          <w:rFonts w:ascii="Arial" w:cs="Arial" w:eastAsia="Arial" w:hAnsi="Arial"/>
          <w:sz w:val="11"/>
          <w:szCs w:val="11"/>
          <w:i w:val="1"/>
          <w:iCs w:val="1"/>
          <w:color w:val="auto"/>
        </w:rPr>
        <w:t>13</w:t>
      </w:r>
    </w:p>
    <w:p>
      <w:pPr>
        <w:sectPr>
          <w:pgSz w:w="11900" w:h="16838" w:orient="portrait"/>
          <w:cols w:equalWidth="0" w:num="1">
            <w:col w:w="11420"/>
          </w:cols>
          <w:pgMar w:left="240" w:top="121"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LONG TERM PERFORMANCE</w:t>
      </w:r>
    </w:p>
    <w:p>
      <w:pPr>
        <w:spacing w:after="0" w:line="28"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RESTRICTED STOCK UNIT AWARD NOTICE</w:t>
      </w:r>
    </w:p>
    <w:p>
      <w:pPr>
        <w:spacing w:after="0" w:line="4"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FOR U.S. PARTICIPANTS</w:t>
      </w:r>
    </w:p>
    <w:p>
      <w:pPr>
        <w:spacing w:after="0" w:line="200" w:lineRule="exact"/>
        <w:rPr>
          <w:sz w:val="20"/>
          <w:szCs w:val="20"/>
          <w:color w:val="auto"/>
        </w:rPr>
      </w:pP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hereby grants to Participant a performance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The Award is subject to all the terms and conditions set forth in this Long Term Performance Restricted Stock Unit Award Notice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the Long Term Performance Restricted Stock Unit Award Agreement, including Appendices A and B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the Itron, Inc. Amended and Restated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all of which are incorporated into the Award Notice in their entirety.</w:t>
      </w:r>
    </w:p>
    <w:p>
      <w:pPr>
        <w:sectPr>
          <w:pgSz w:w="11900" w:h="16838" w:orient="portrait"/>
          <w:cols w:equalWidth="0" w:num="1">
            <w:col w:w="11420"/>
          </w:cols>
          <w:pgMar w:left="240" w:top="121" w:right="239" w:bottom="1440" w:gutter="0" w:footer="0" w:header="0"/>
        </w:sectPr>
      </w:pPr>
    </w:p>
    <w:p>
      <w:pPr>
        <w:spacing w:after="0" w:line="119"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Participant: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ind w:right="4500"/>
        <w:spacing w:after="0"/>
        <w:rPr>
          <w:sz w:val="20"/>
          <w:szCs w:val="20"/>
          <w:color w:val="auto"/>
        </w:rPr>
      </w:pPr>
      <w:r>
        <w:rPr>
          <w:rFonts w:ascii="Arial" w:cs="Arial" w:eastAsia="Arial" w:hAnsi="Arial"/>
          <w:sz w:val="19"/>
          <w:szCs w:val="19"/>
          <w:color w:val="FF0000"/>
        </w:rPr>
        <w:t>Participant Name</w:t>
      </w:r>
    </w:p>
    <w:p>
      <w:pPr>
        <w:spacing w:after="0" w:line="73" w:lineRule="exact"/>
        <w:rPr>
          <w:sz w:val="20"/>
          <w:szCs w:val="20"/>
          <w:color w:val="auto"/>
        </w:rPr>
      </w:pPr>
    </w:p>
    <w:p>
      <w:pPr>
        <w:sectPr>
          <w:pgSz w:w="11900" w:h="16838" w:orient="portrait"/>
          <w:cols w:equalWidth="0" w:num="2">
            <w:col w:w="4700" w:space="720"/>
            <w:col w:w="600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9"/>
          <w:szCs w:val="19"/>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FF0000"/>
        </w:rPr>
        <w:t>Grant Date</w:t>
      </w:r>
    </w:p>
    <w:p>
      <w:pPr>
        <w:spacing w:after="0" w:line="73" w:lineRule="exact"/>
        <w:rPr>
          <w:sz w:val="20"/>
          <w:szCs w:val="20"/>
          <w:color w:val="auto"/>
        </w:rPr>
      </w:pPr>
    </w:p>
    <w:p>
      <w:pPr>
        <w:sectPr>
          <w:pgSz w:w="11900" w:h="16838" w:orient="portrait"/>
          <w:cols w:equalWidth="0" w:num="2">
            <w:col w:w="4700" w:space="720"/>
            <w:col w:w="600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9"/>
          <w:szCs w:val="19"/>
          <w:b w:val="1"/>
          <w:bCs w:val="1"/>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January 1, 2018 to December 31, 2020</w:t>
      </w:r>
    </w:p>
    <w:p>
      <w:pPr>
        <w:spacing w:after="0" w:line="79" w:lineRule="exact"/>
        <w:rPr>
          <w:sz w:val="20"/>
          <w:szCs w:val="20"/>
          <w:color w:val="auto"/>
        </w:rPr>
      </w:pPr>
    </w:p>
    <w:p>
      <w:pPr>
        <w:sectPr>
          <w:pgSz w:w="11900" w:h="16838" w:orient="portrait"/>
          <w:cols w:equalWidth="0" w:num="2">
            <w:col w:w="4700" w:space="720"/>
            <w:col w:w="6000"/>
          </w:cols>
          <w:pgMar w:left="240" w:top="121" w:right="239" w:bottom="1440" w:gutter="0" w:footer="0" w:header="0"/>
          <w:type w:val="continuous"/>
        </w:sectPr>
      </w:pPr>
    </w:p>
    <w:p>
      <w:pPr>
        <w:ind w:left="54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Period</w:t>
      </w:r>
      <w:r>
        <w:rPr>
          <w:rFonts w:ascii="Arial" w:cs="Arial" w:eastAsia="Arial" w:hAnsi="Arial"/>
          <w:sz w:val="19"/>
          <w:szCs w:val="19"/>
          <w:color w:val="auto"/>
        </w:rPr>
        <w:t>”)</w:t>
      </w:r>
    </w:p>
    <w:p>
      <w:pPr>
        <w:sectPr>
          <w:pgSz w:w="11900" w:h="16838" w:orient="portrait"/>
          <w:cols w:equalWidth="0" w:num="1">
            <w:col w:w="11420"/>
          </w:cols>
          <w:pgMar w:left="240" w:top="121" w:right="239" w:bottom="1440" w:gutter="0" w:footer="0" w:header="0"/>
          <w:type w:val="continuous"/>
        </w:sectPr>
      </w:pPr>
    </w:p>
    <w:p>
      <w:pPr>
        <w:spacing w:after="0" w:line="343" w:lineRule="exact"/>
        <w:rPr>
          <w:sz w:val="20"/>
          <w:szCs w:val="20"/>
          <w:color w:val="auto"/>
        </w:rPr>
      </w:pPr>
    </w:p>
    <w:p>
      <w:pPr>
        <w:ind w:left="40"/>
        <w:spacing w:after="0" w:line="256" w:lineRule="auto"/>
        <w:rPr>
          <w:sz w:val="20"/>
          <w:szCs w:val="20"/>
          <w:color w:val="auto"/>
        </w:rPr>
      </w:pPr>
      <w:r>
        <w:rPr>
          <w:rFonts w:ascii="Arial" w:cs="Arial" w:eastAsia="Arial" w:hAnsi="Arial"/>
          <w:sz w:val="22"/>
          <w:szCs w:val="22"/>
          <w:b w:val="1"/>
          <w:bCs w:val="1"/>
          <w:color w:val="auto"/>
        </w:rPr>
        <w:t>Number of Long-Term Performance Restricted Stock Units (“PSUs”):</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The actual number of PSUs that vest shall be determined based on the attainment of the performance goals specified in Appendix A, as assessed by the Plan Administrator as soon as reasonably practicable after the end of the Performance Period.</w:t>
      </w:r>
    </w:p>
    <w:p>
      <w:pPr>
        <w:spacing w:after="0" w:line="200" w:lineRule="exact"/>
        <w:rPr>
          <w:sz w:val="20"/>
          <w:szCs w:val="20"/>
          <w:color w:val="auto"/>
        </w:rPr>
      </w:pPr>
    </w:p>
    <w:p>
      <w:pPr>
        <w:sectPr>
          <w:pgSz w:w="11900" w:h="16838" w:orient="portrait"/>
          <w:cols w:equalWidth="0" w:num="2">
            <w:col w:w="4960" w:space="460"/>
            <w:col w:w="6000"/>
          </w:cols>
          <w:pgMar w:left="240" w:top="121" w:right="239" w:bottom="1440" w:gutter="0" w:footer="0" w:header="0"/>
          <w:type w:val="continuous"/>
        </w:sectPr>
      </w:pPr>
    </w:p>
    <w:p>
      <w:pPr>
        <w:spacing w:after="0" w:line="82" w:lineRule="exact"/>
        <w:rPr>
          <w:sz w:val="20"/>
          <w:szCs w:val="20"/>
          <w:color w:val="auto"/>
        </w:rPr>
      </w:pPr>
    </w:p>
    <w:p>
      <w:pPr>
        <w:ind w:left="5420" w:right="160"/>
        <w:spacing w:after="0" w:line="251" w:lineRule="auto"/>
        <w:rPr>
          <w:sz w:val="20"/>
          <w:szCs w:val="20"/>
          <w:color w:val="auto"/>
        </w:rPr>
      </w:pPr>
      <w:r>
        <w:rPr>
          <w:rFonts w:ascii="Arial" w:cs="Arial" w:eastAsia="Arial" w:hAnsi="Arial"/>
          <w:sz w:val="22"/>
          <w:szCs w:val="22"/>
          <w:color w:val="auto"/>
        </w:rPr>
        <w:t xml:space="preserve">The aggregate target number of PSUs for the Performance Period is </w:t>
      </w:r>
      <w:r>
        <w:rPr>
          <w:rFonts w:ascii="Arial" w:cs="Arial" w:eastAsia="Arial" w:hAnsi="Arial"/>
          <w:sz w:val="22"/>
          <w:szCs w:val="22"/>
          <w:color w:val="FF0000"/>
        </w:rPr>
        <w:t xml:space="preserve">Number of Awards Granted </w:t>
      </w:r>
      <w:r>
        <w:rPr>
          <w:rFonts w:ascii="Arial" w:cs="Arial" w:eastAsia="Arial" w:hAnsi="Arial"/>
          <w:sz w:val="22"/>
          <w:szCs w:val="22"/>
          <w:color w:val="000000"/>
        </w:rPr>
        <w:t>(the “</w:t>
      </w:r>
      <w:r>
        <w:rPr>
          <w:rFonts w:ascii="Arial" w:cs="Arial" w:eastAsia="Arial" w:hAnsi="Arial"/>
          <w:sz w:val="22"/>
          <w:szCs w:val="22"/>
          <w:b w:val="1"/>
          <w:bCs w:val="1"/>
          <w:i w:val="1"/>
          <w:iCs w:val="1"/>
          <w:color w:val="000000"/>
        </w:rPr>
        <w:t>Target PSUs</w:t>
      </w:r>
      <w:r>
        <w:rPr>
          <w:rFonts w:ascii="Arial" w:cs="Arial" w:eastAsia="Arial" w:hAnsi="Arial"/>
          <w:sz w:val="22"/>
          <w:szCs w:val="22"/>
          <w:color w:val="000000"/>
        </w:rPr>
        <w:t>”).</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Additional Terms/Acknowledgement</w:t>
      </w:r>
      <w:r>
        <w:rPr>
          <w:rFonts w:ascii="Arial" w:cs="Arial" w:eastAsia="Arial" w:hAnsi="Arial"/>
          <w:sz w:val="22"/>
          <w:szCs w:val="22"/>
          <w:color w:val="auto"/>
        </w:rPr>
        <w:t>: This Award is subject to all the terms and conditions set forth in this Award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 which are attached to and incorporated into this Award Notice in their entirety.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FF0000"/>
        </w:rPr>
        <w:t>Participant Name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 accept this Award subject to the terms and conditions stated herein.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FF0000"/>
        </w:rPr>
        <w:t>Electronic Signature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420"/>
          </w:cols>
          <w:pgMar w:left="240" w:top="121" w:right="239"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LONG TERM PERFORMANCE</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4"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FOR U.S. PARTICIPANTS</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Pursuant to your Long Term Performance Restricted Stock Unit Award Notice (the “</w:t>
      </w:r>
      <w:r>
        <w:rPr>
          <w:rFonts w:ascii="Arial" w:cs="Arial" w:eastAsia="Arial" w:hAnsi="Arial"/>
          <w:sz w:val="22"/>
          <w:szCs w:val="22"/>
          <w:b w:val="1"/>
          <w:bCs w:val="1"/>
          <w:i w:val="1"/>
          <w:iCs w:val="1"/>
          <w:color w:val="auto"/>
        </w:rPr>
        <w:t>Award Notice</w:t>
      </w:r>
      <w:r>
        <w:rPr>
          <w:rFonts w:ascii="Arial" w:cs="Arial" w:eastAsia="Arial" w:hAnsi="Arial"/>
          <w:sz w:val="22"/>
          <w:szCs w:val="22"/>
          <w:color w:val="auto"/>
        </w:rPr>
        <w:t>”) and this Long Term Performance Restricted Stock Unit Award Agreement, including Appendices A and B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granted you a performance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under its Amended and Restated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Capitalized terms not expressly defined in this Agreement but defined in the Plan shall have the same definitions as in the Plan, as applicable.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the Award are as follows:</w:t>
      </w:r>
    </w:p>
    <w:p>
      <w:pPr>
        <w:spacing w:after="0" w:line="21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Number of Units Subject to Award</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This Award is a performance-based award, the vesting of which is based on the attainment of the performance goals set by the Plan Administrator at the beginning of the performance period set forth in the Award Notice ( the “</w:t>
      </w:r>
      <w:r>
        <w:rPr>
          <w:rFonts w:ascii="Arial" w:cs="Arial" w:eastAsia="Arial" w:hAnsi="Arial"/>
          <w:sz w:val="19"/>
          <w:szCs w:val="19"/>
          <w:b w:val="1"/>
          <w:bCs w:val="1"/>
          <w:i w:val="1"/>
          <w:iCs w:val="1"/>
          <w:color w:val="auto"/>
        </w:rPr>
        <w:t>Performance Period</w:t>
      </w:r>
      <w:r>
        <w:rPr>
          <w:rFonts w:ascii="Arial" w:cs="Arial" w:eastAsia="Arial" w:hAnsi="Arial"/>
          <w:sz w:val="19"/>
          <w:szCs w:val="19"/>
          <w:color w:val="auto"/>
        </w:rPr>
        <w:t>”) and at the beginning of each Annual EPS Performance Period (as defined in Appendix A). The performance goals are set forth in Appendix A (or will be communicated to you as described in Appendix A) and the aggregate target number of PSUs for the Performance Period (the “</w:t>
      </w:r>
      <w:r>
        <w:rPr>
          <w:rFonts w:ascii="Arial" w:cs="Arial" w:eastAsia="Arial" w:hAnsi="Arial"/>
          <w:sz w:val="19"/>
          <w:szCs w:val="19"/>
          <w:b w:val="1"/>
          <w:bCs w:val="1"/>
          <w:i w:val="1"/>
          <w:iCs w:val="1"/>
          <w:color w:val="auto"/>
        </w:rPr>
        <w:t>Target PSUs</w:t>
      </w:r>
      <w:r>
        <w:rPr>
          <w:rFonts w:ascii="Arial" w:cs="Arial" w:eastAsia="Arial" w:hAnsi="Arial"/>
          <w:sz w:val="19"/>
          <w:szCs w:val="19"/>
          <w:color w:val="auto"/>
        </w:rPr>
        <w:t>”) is set forth in the Award Notice and in Appendix A.</w:t>
      </w:r>
    </w:p>
    <w:p>
      <w:pPr>
        <w:spacing w:after="0" w:line="141"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18"/>
          <w:szCs w:val="18"/>
          <w:b w:val="1"/>
          <w:bCs w:val="1"/>
          <w:color w:val="auto"/>
        </w:rPr>
        <w:t>Vesting</w:t>
      </w:r>
    </w:p>
    <w:p>
      <w:pPr>
        <w:spacing w:after="0" w:line="22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Award will vest to the extent the performance goals set forth in Appendix A are attained for the Performance Period, as determined by the Plan Administrator. The Plan Administrator shall determine as soon as reasonably practicable, but in any event within sixty (60) days, after the end of the Performance Period, the attainment level of the performance goals. One share of Common Stock will be issuable for each PSU that vests. PSUs that have vested are referred to herein as “</w:t>
      </w:r>
      <w:r>
        <w:rPr>
          <w:rFonts w:ascii="Arial" w:cs="Arial" w:eastAsia="Arial" w:hAnsi="Arial"/>
          <w:sz w:val="19"/>
          <w:szCs w:val="19"/>
          <w:b w:val="1"/>
          <w:bCs w:val="1"/>
          <w:i w:val="1"/>
          <w:iCs w:val="1"/>
          <w:color w:val="auto"/>
        </w:rPr>
        <w:t>Vested PSUs</w:t>
      </w:r>
      <w:r>
        <w:rPr>
          <w:rFonts w:ascii="Arial" w:cs="Arial" w:eastAsia="Arial" w:hAnsi="Arial"/>
          <w:sz w:val="19"/>
          <w:szCs w:val="19"/>
          <w:color w:val="auto"/>
        </w:rPr>
        <w:t>.” PSUs that have not vested and remain subject to forfeiture are referred to herein as “</w:t>
      </w:r>
      <w:r>
        <w:rPr>
          <w:rFonts w:ascii="Arial" w:cs="Arial" w:eastAsia="Arial" w:hAnsi="Arial"/>
          <w:sz w:val="19"/>
          <w:szCs w:val="19"/>
          <w:b w:val="1"/>
          <w:bCs w:val="1"/>
          <w:i w:val="1"/>
          <w:iCs w:val="1"/>
          <w:color w:val="auto"/>
        </w:rPr>
        <w:t>Unvested PSUs</w:t>
      </w:r>
      <w:r>
        <w:rPr>
          <w:rFonts w:ascii="Arial" w:cs="Arial" w:eastAsia="Arial" w:hAnsi="Arial"/>
          <w:sz w:val="19"/>
          <w:szCs w:val="19"/>
          <w:color w:val="auto"/>
        </w:rPr>
        <w:t>.” The Unvested and Vested PSUs are collectively referred to herein as the “</w:t>
      </w:r>
      <w:r>
        <w:rPr>
          <w:rFonts w:ascii="Arial" w:cs="Arial" w:eastAsia="Arial" w:hAnsi="Arial"/>
          <w:sz w:val="19"/>
          <w:szCs w:val="19"/>
          <w:b w:val="1"/>
          <w:bCs w:val="1"/>
          <w:i w:val="1"/>
          <w:iCs w:val="1"/>
          <w:color w:val="auto"/>
        </w:rPr>
        <w:t>PSUs</w:t>
      </w:r>
      <w:r>
        <w:rPr>
          <w:rFonts w:ascii="Arial" w:cs="Arial" w:eastAsia="Arial" w:hAnsi="Arial"/>
          <w:sz w:val="19"/>
          <w:szCs w:val="19"/>
          <w:color w:val="auto"/>
        </w:rPr>
        <w:t>.” Except as provided in Section 3 below, the Award will terminate and the Unvested PSUs will be forfeited upon termination of your employment for any reason.</w:t>
      </w:r>
    </w:p>
    <w:p>
      <w:pPr>
        <w:spacing w:after="0" w:line="145" w:lineRule="exact"/>
        <w:rPr>
          <w:sz w:val="20"/>
          <w:szCs w:val="20"/>
          <w:color w:val="auto"/>
        </w:rPr>
      </w:pPr>
    </w:p>
    <w:p>
      <w:pPr>
        <w:ind w:left="660" w:right="5420" w:hanging="652"/>
        <w:spacing w:after="0" w:line="451" w:lineRule="auto"/>
        <w:tabs>
          <w:tab w:leader="none" w:pos="386"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 Change in Control Transaction 3.1 Retirement, Death and Disability</w:t>
      </w:r>
    </w:p>
    <w:p>
      <w:pPr>
        <w:jc w:val="both"/>
        <w:ind w:firstLine="1305"/>
        <w:spacing w:after="0" w:line="312" w:lineRule="auto"/>
        <w:tabs>
          <w:tab w:leader="none" w:pos="1801" w:val="left"/>
        </w:tabs>
        <w:numPr>
          <w:ilvl w:val="1"/>
          <w:numId w:val="43"/>
        </w:numPr>
        <w:rPr>
          <w:rFonts w:ascii="Arial" w:cs="Arial" w:eastAsia="Arial" w:hAnsi="Arial"/>
          <w:sz w:val="19"/>
          <w:szCs w:val="19"/>
          <w:color w:val="auto"/>
        </w:rPr>
      </w:pPr>
      <w:r>
        <w:rPr>
          <w:rFonts w:ascii="Arial" w:cs="Arial" w:eastAsia="Arial" w:hAnsi="Arial"/>
          <w:sz w:val="19"/>
          <w:szCs w:val="19"/>
          <w:color w:val="auto"/>
        </w:rPr>
        <w:t>If your employment terminates during the Performance Period but at least 18 months after the Grant Date by reason of Retirement, you will become eligible to receive that number of PSUs that vest based on the actual attainment of the performance goals as assessed after the end of the Performance Period and such PSUs shall be settled in accordance with Section 4</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420"/>
          </w:cols>
          <w:pgMar w:left="240" w:top="121"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10.33</w:t>
      </w:r>
    </w:p>
    <w:p>
      <w:pPr>
        <w:spacing w:after="0" w:line="398"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below, provided that if you breach any of the covenants set forth in Appendix B to this Agreement after your Retirement, the Unvested PSUs will be forfeited immediately. For purposes of this Agreement, “Retirement” means your voluntary termination of employment after the date on which you have reached (i) the age of 55 and have a total of at least 10 years of continuous employment with the Company and/or a Related Corporation or (ii) the age of 60 and have a total of at least 5 years of continuous employment with the Company and/or a Related Corporation; provided however, in either case, you must provide advance written notice to the Company at least 90 days prior to the termination of your employment unless otherwise agreed to in writing by the Company. For the avoidance of doubt, if your employment terminates due to Retirement within 18 months after the Grant Date, all Unvested PSUs will be automatically forfeited.</w:t>
      </w:r>
    </w:p>
    <w:p>
      <w:pPr>
        <w:spacing w:after="0" w:line="184" w:lineRule="exact"/>
        <w:rPr>
          <w:sz w:val="20"/>
          <w:szCs w:val="20"/>
          <w:color w:val="auto"/>
        </w:rPr>
      </w:pPr>
    </w:p>
    <w:p>
      <w:pPr>
        <w:jc w:val="both"/>
        <w:ind w:firstLine="1305"/>
        <w:spacing w:after="0" w:line="250" w:lineRule="auto"/>
        <w:tabs>
          <w:tab w:leader="none" w:pos="1901" w:val="left"/>
        </w:tabs>
        <w:numPr>
          <w:ilvl w:val="0"/>
          <w:numId w:val="44"/>
        </w:numPr>
        <w:rPr>
          <w:rFonts w:ascii="Arial" w:cs="Arial" w:eastAsia="Arial" w:hAnsi="Arial"/>
          <w:sz w:val="22"/>
          <w:szCs w:val="22"/>
          <w:color w:val="auto"/>
        </w:rPr>
      </w:pPr>
      <w:r>
        <w:rPr>
          <w:rFonts w:ascii="Arial" w:cs="Arial" w:eastAsia="Arial" w:hAnsi="Arial"/>
          <w:sz w:val="22"/>
          <w:szCs w:val="22"/>
          <w:color w:val="auto"/>
        </w:rPr>
        <w:t>If your employment terminates during the Performance Period by reason of death or Disability, you will become eligible to receive that number of PSUs that vest based on the actual attainment of the performance goals as assessed after the Performance Period ending in the year of death or Disability, and such PSUs shall be settled in accordance with Section 4 below.</w:t>
      </w:r>
    </w:p>
    <w:p>
      <w:pPr>
        <w:spacing w:after="0" w:line="18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Change in Control Transaction</w:t>
      </w:r>
    </w:p>
    <w:p>
      <w:pPr>
        <w:spacing w:after="0" w:line="226" w:lineRule="exact"/>
        <w:rPr>
          <w:sz w:val="20"/>
          <w:szCs w:val="20"/>
          <w:color w:val="auto"/>
        </w:rPr>
      </w:pPr>
    </w:p>
    <w:p>
      <w:pPr>
        <w:jc w:val="both"/>
        <w:ind w:firstLine="1305"/>
        <w:spacing w:after="0" w:line="253" w:lineRule="auto"/>
        <w:tabs>
          <w:tab w:leader="none" w:pos="1799" w:val="left"/>
        </w:tabs>
        <w:numPr>
          <w:ilvl w:val="1"/>
          <w:numId w:val="45"/>
        </w:numPr>
        <w:rPr>
          <w:rFonts w:ascii="Arial" w:cs="Arial" w:eastAsia="Arial" w:hAnsi="Arial"/>
          <w:sz w:val="22"/>
          <w:szCs w:val="22"/>
          <w:color w:val="auto"/>
        </w:rPr>
      </w:pPr>
      <w:r>
        <w:rPr>
          <w:rFonts w:ascii="Arial" w:cs="Arial" w:eastAsia="Arial" w:hAnsi="Arial"/>
          <w:sz w:val="22"/>
          <w:szCs w:val="22"/>
          <w:color w:val="auto"/>
        </w:rPr>
        <w:t>In the event of a Change in Control Transaction, the PSUs will be subject to any change in control severance agreement or other agreement providing for change in control provisions between you and the Company (a “</w:t>
      </w:r>
      <w:r>
        <w:rPr>
          <w:rFonts w:ascii="Arial" w:cs="Arial" w:eastAsia="Arial" w:hAnsi="Arial"/>
          <w:sz w:val="22"/>
          <w:szCs w:val="22"/>
          <w:b w:val="1"/>
          <w:bCs w:val="1"/>
          <w:i w:val="1"/>
          <w:iCs w:val="1"/>
          <w:color w:val="auto"/>
        </w:rPr>
        <w:t>CIC Agreement</w:t>
      </w:r>
      <w:r>
        <w:rPr>
          <w:rFonts w:ascii="Arial" w:cs="Arial" w:eastAsia="Arial" w:hAnsi="Arial"/>
          <w:sz w:val="22"/>
          <w:szCs w:val="22"/>
          <w:color w:val="auto"/>
        </w:rPr>
        <w:t>”). If you are not party to a CIC Agreement, the provisions of this Section 3.2 shall apply.</w:t>
      </w:r>
    </w:p>
    <w:p>
      <w:pPr>
        <w:spacing w:after="0" w:line="185" w:lineRule="exact"/>
        <w:rPr>
          <w:rFonts w:ascii="Arial" w:cs="Arial" w:eastAsia="Arial" w:hAnsi="Arial"/>
          <w:sz w:val="22"/>
          <w:szCs w:val="22"/>
          <w:color w:val="auto"/>
        </w:rPr>
      </w:pPr>
    </w:p>
    <w:p>
      <w:pPr>
        <w:jc w:val="both"/>
        <w:ind w:firstLine="1305"/>
        <w:spacing w:after="0" w:line="286" w:lineRule="auto"/>
        <w:tabs>
          <w:tab w:leader="none" w:pos="1809" w:val="left"/>
        </w:tabs>
        <w:numPr>
          <w:ilvl w:val="1"/>
          <w:numId w:val="45"/>
        </w:numPr>
        <w:rPr>
          <w:rFonts w:ascii="Arial" w:cs="Arial" w:eastAsia="Arial" w:hAnsi="Arial"/>
          <w:sz w:val="19"/>
          <w:szCs w:val="19"/>
          <w:color w:val="auto"/>
        </w:rPr>
      </w:pPr>
      <w:r>
        <w:rPr>
          <w:rFonts w:ascii="Arial" w:cs="Arial" w:eastAsia="Arial" w:hAnsi="Arial"/>
          <w:sz w:val="19"/>
          <w:szCs w:val="19"/>
          <w:color w:val="auto"/>
        </w:rPr>
        <w:t>In the event of a Change in Control Transaction in which (i) the Unvested PSUs are not assumed, substituted for, or converted into an award of the acquiring or surviving corporation (or a publicly-traded parent thereof) in a manner which prevents dilution of your rights under the Award or (ii) the acquiring or surviving corporation (or parent thereof) is not publicly-traded, the Unvested PSUs shall vest with respect to a number of PSUs equal to the greater of the (A) number of Target PSUs or</w:t>
      </w:r>
    </w:p>
    <w:p>
      <w:pPr>
        <w:spacing w:after="0" w:line="2" w:lineRule="exact"/>
        <w:rPr>
          <w:rFonts w:ascii="Arial" w:cs="Arial" w:eastAsia="Arial" w:hAnsi="Arial"/>
          <w:sz w:val="19"/>
          <w:szCs w:val="19"/>
          <w:color w:val="auto"/>
        </w:rPr>
      </w:pPr>
    </w:p>
    <w:p>
      <w:pPr>
        <w:jc w:val="both"/>
        <w:ind w:firstLine="8"/>
        <w:spacing w:after="0" w:line="245" w:lineRule="auto"/>
        <w:tabs>
          <w:tab w:leader="none" w:pos="348"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number of PSUs based on the actual level of performance attained for the year in which the Change in Control Transaction occurs (as determined by the Plan Administrator if the Plan Administrator concludes that such performance may be determined as of the date of the Change in Control Transaction).</w:t>
      </w:r>
    </w:p>
    <w:p>
      <w:pPr>
        <w:spacing w:after="0" w:line="193" w:lineRule="exact"/>
        <w:rPr>
          <w:rFonts w:ascii="Arial" w:cs="Arial" w:eastAsia="Arial" w:hAnsi="Arial"/>
          <w:sz w:val="22"/>
          <w:szCs w:val="22"/>
          <w:color w:val="auto"/>
        </w:rPr>
      </w:pPr>
    </w:p>
    <w:p>
      <w:pPr>
        <w:jc w:val="both"/>
        <w:ind w:firstLine="1305"/>
        <w:spacing w:after="0" w:line="259" w:lineRule="auto"/>
        <w:tabs>
          <w:tab w:leader="none" w:pos="1775" w:val="left"/>
        </w:tabs>
        <w:numPr>
          <w:ilvl w:val="1"/>
          <w:numId w:val="46"/>
        </w:numPr>
        <w:rPr>
          <w:rFonts w:ascii="Arial" w:cs="Arial" w:eastAsia="Arial" w:hAnsi="Arial"/>
          <w:sz w:val="21"/>
          <w:szCs w:val="21"/>
          <w:color w:val="auto"/>
        </w:rPr>
      </w:pPr>
      <w:r>
        <w:rPr>
          <w:rFonts w:ascii="Arial" w:cs="Arial" w:eastAsia="Arial" w:hAnsi="Arial"/>
          <w:sz w:val="21"/>
          <w:szCs w:val="21"/>
          <w:color w:val="auto"/>
        </w:rPr>
        <w:t>In the event of a Change in Control Transaction in which your Unvested PSUs are assumed, substituted for, or converted into an award of the acquiring or surviving public corporation (or a publicly-traded parent thereof) and your employment is terminated within twenty-four (24) months following such Change in Control Transaction and prior to settlement of the PSUs, other than (i) for Cause, (ii) by reason of Retirement, death or Disability (which shall be governed by Section 3.1), or (iii) by you without Good Reason, the Unvested PSUs shall vest with respect to a number of PSUs equal to the greater of the (A) Target Number of PSUs or (B) the number of PSUs based on the actual level of performance attained for the year in which your termination occurs (as determined by the Plan Administrator if the Plan Administrator concludes that such performance may be determined as of the date of your termination).</w:t>
      </w:r>
    </w:p>
    <w:p>
      <w:pPr>
        <w:spacing w:after="0" w:line="184" w:lineRule="exact"/>
        <w:rPr>
          <w:rFonts w:ascii="Arial" w:cs="Arial" w:eastAsia="Arial" w:hAnsi="Arial"/>
          <w:sz w:val="21"/>
          <w:szCs w:val="21"/>
          <w:color w:val="auto"/>
        </w:rPr>
      </w:pPr>
    </w:p>
    <w:p>
      <w:pPr>
        <w:ind w:left="1780" w:hanging="475"/>
        <w:spacing w:after="0"/>
        <w:tabs>
          <w:tab w:leader="none" w:pos="1780" w:val="left"/>
        </w:tabs>
        <w:numPr>
          <w:ilvl w:val="1"/>
          <w:numId w:val="46"/>
        </w:numPr>
        <w:rPr>
          <w:rFonts w:ascii="Arial" w:cs="Arial" w:eastAsia="Arial" w:hAnsi="Arial"/>
          <w:sz w:val="19"/>
          <w:szCs w:val="19"/>
          <w:color w:val="auto"/>
        </w:rPr>
      </w:pPr>
      <w:r>
        <w:rPr>
          <w:rFonts w:ascii="Arial" w:cs="Arial" w:eastAsia="Arial" w:hAnsi="Arial"/>
          <w:sz w:val="19"/>
          <w:szCs w:val="19"/>
          <w:color w:val="auto"/>
        </w:rPr>
        <w:t>Definitions - For purposes of this Agreement, the following capitalized terms shall have the meanings set forth</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420"/>
          </w:cols>
          <w:pgMar w:left="240" w:top="12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10.33</w:t>
      </w:r>
    </w:p>
    <w:p>
      <w:pPr>
        <w:spacing w:after="0" w:line="398" w:lineRule="exact"/>
        <w:rPr>
          <w:sz w:val="20"/>
          <w:szCs w:val="20"/>
          <w:color w:val="auto"/>
        </w:rPr>
      </w:pPr>
    </w:p>
    <w:p>
      <w:pPr>
        <w:jc w:val="both"/>
        <w:ind w:firstLine="1953"/>
        <w:spacing w:after="0" w:line="253" w:lineRule="auto"/>
        <w:tabs>
          <w:tab w:leader="none" w:pos="2594" w:val="left"/>
        </w:tabs>
        <w:numPr>
          <w:ilvl w:val="0"/>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Base Salary</w:t>
      </w:r>
      <w:r>
        <w:rPr>
          <w:rFonts w:ascii="Arial" w:cs="Arial" w:eastAsia="Arial" w:hAnsi="Arial"/>
          <w:sz w:val="22"/>
          <w:szCs w:val="22"/>
          <w:color w:val="auto"/>
        </w:rPr>
        <w:t>” shall mean your annual base salary immediately prior to a Change in Control Transaction, as such salary may be increased from time to time (in which case such increased amount shall be the Base Salary for purposes hereof), but without giving effect to any reduction thereto.</w:t>
      </w:r>
    </w:p>
    <w:p>
      <w:pPr>
        <w:spacing w:after="0" w:line="185" w:lineRule="exact"/>
        <w:rPr>
          <w:rFonts w:ascii="Arial" w:cs="Arial" w:eastAsia="Arial" w:hAnsi="Arial"/>
          <w:sz w:val="22"/>
          <w:szCs w:val="22"/>
          <w:color w:val="auto"/>
        </w:rPr>
      </w:pPr>
    </w:p>
    <w:p>
      <w:pPr>
        <w:ind w:left="2440" w:hanging="487"/>
        <w:spacing w:after="0" w:line="253" w:lineRule="exact"/>
        <w:tabs>
          <w:tab w:leader="none" w:pos="24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Beneficial Owner</w:t>
      </w:r>
      <w:r>
        <w:rPr>
          <w:rFonts w:ascii="Arial" w:cs="Arial" w:eastAsia="Arial" w:hAnsi="Arial"/>
          <w:sz w:val="22"/>
          <w:szCs w:val="22"/>
          <w:color w:val="auto"/>
        </w:rPr>
        <w:t>” shall have the meaning set forth in Rule 13d</w:t>
      </w:r>
      <w:r>
        <w:rPr>
          <w:rFonts w:ascii="MS PGothic" w:cs="MS PGothic" w:eastAsia="MS PGothic" w:hAnsi="MS PGothic"/>
          <w:sz w:val="22"/>
          <w:szCs w:val="22"/>
          <w:color w:val="auto"/>
        </w:rPr>
        <w:t>‑</w:t>
      </w:r>
      <w:r>
        <w:rPr>
          <w:rFonts w:ascii="Arial" w:cs="Arial" w:eastAsia="Arial" w:hAnsi="Arial"/>
          <w:sz w:val="22"/>
          <w:szCs w:val="22"/>
          <w:color w:val="auto"/>
        </w:rPr>
        <w:t>3 under the Exchange Act.</w:t>
      </w:r>
    </w:p>
    <w:p>
      <w:pPr>
        <w:spacing w:after="0" w:line="219" w:lineRule="exact"/>
        <w:rPr>
          <w:rFonts w:ascii="Arial" w:cs="Arial" w:eastAsia="Arial" w:hAnsi="Arial"/>
          <w:sz w:val="22"/>
          <w:szCs w:val="22"/>
          <w:color w:val="auto"/>
        </w:rPr>
      </w:pPr>
    </w:p>
    <w:p>
      <w:pPr>
        <w:jc w:val="both"/>
        <w:ind w:firstLine="1953"/>
        <w:spacing w:after="0" w:line="288" w:lineRule="auto"/>
        <w:tabs>
          <w:tab w:leader="none" w:pos="2606" w:val="left"/>
        </w:tabs>
        <w:numPr>
          <w:ilvl w:val="0"/>
          <w:numId w:val="4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for termination of your employment by the Company or your employer, if different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shall mean (A) your willful and continued failure (other than any such failure resulting from (1) your incapacity due to physical or mental illness, (2) any such actual or anticipated failure after the issuance of a notice of termination in a form prescribed by the Company by you for Good Reason or (3) the Employer's active or passive obstruction of the performance of your duties and responsibilities) to perform substantially the duties and responsibilities of your position with the Employer after a written demand for substantial performance is delivered to you by the Employer, which demand specifically identifies the manner in which the Employer believes that you have not substantially performed such duties or responsibilities; (B) your conviction by a court of competent jurisdiction for felony criminal conduct (or the equivalent under applicable local law); or (C) your willful engaging in fraud or dishonesty which is injurious to the Company and/or the Employer or its reputation, monetarily or otherwise. No act, or failure to act, on your part shall be deemed “willful” unless committed, or omitted by you in bad faith and without reasonable belief that your act or failure to act was in, or not opposed to, the best interest of the Company and/or the Employer.</w:t>
      </w:r>
    </w:p>
    <w:p>
      <w:pPr>
        <w:spacing w:after="0" w:line="154" w:lineRule="exact"/>
        <w:rPr>
          <w:rFonts w:ascii="Arial" w:cs="Arial" w:eastAsia="Arial" w:hAnsi="Arial"/>
          <w:sz w:val="19"/>
          <w:szCs w:val="19"/>
          <w:color w:val="auto"/>
        </w:rPr>
      </w:pPr>
    </w:p>
    <w:p>
      <w:pPr>
        <w:jc w:val="both"/>
        <w:ind w:firstLine="1953"/>
        <w:spacing w:after="0" w:line="248" w:lineRule="auto"/>
        <w:tabs>
          <w:tab w:leader="none" w:pos="2513" w:val="left"/>
        </w:tabs>
        <w:numPr>
          <w:ilvl w:val="0"/>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for termination of your employment by you shall mean the occurrence (without your express written consent) after any Change in Control Transaction of any one of the following acts by the Company or the Employer, or failures by the Company or the Employer to act, unless, in the case of any act or failure to act described in subsection (A), (B), (C), (D) or (E) below, such act or failure to act is corrected prior to the date of your termination specified in a notice of termination in a form prescribed by the Company given in respect thereof:</w:t>
      </w:r>
    </w:p>
    <w:p>
      <w:pPr>
        <w:spacing w:after="0" w:line="192" w:lineRule="exact"/>
        <w:rPr>
          <w:rFonts w:ascii="Arial" w:cs="Arial" w:eastAsia="Arial" w:hAnsi="Arial"/>
          <w:sz w:val="22"/>
          <w:szCs w:val="22"/>
          <w:color w:val="auto"/>
        </w:rPr>
      </w:pPr>
    </w:p>
    <w:p>
      <w:pPr>
        <w:ind w:right="20" w:firstLine="2601"/>
        <w:spacing w:after="0" w:line="297" w:lineRule="auto"/>
        <w:tabs>
          <w:tab w:leader="none" w:pos="3109" w:val="left"/>
        </w:tabs>
        <w:numPr>
          <w:ilvl w:val="1"/>
          <w:numId w:val="47"/>
        </w:numPr>
        <w:rPr>
          <w:rFonts w:ascii="Arial" w:cs="Arial" w:eastAsia="Arial" w:hAnsi="Arial"/>
          <w:sz w:val="19"/>
          <w:szCs w:val="19"/>
          <w:color w:val="auto"/>
        </w:rPr>
      </w:pPr>
      <w:r>
        <w:rPr>
          <w:rFonts w:ascii="Arial" w:cs="Arial" w:eastAsia="Arial" w:hAnsi="Arial"/>
          <w:sz w:val="19"/>
          <w:szCs w:val="19"/>
          <w:color w:val="auto"/>
        </w:rPr>
        <w:t>an adverse change in your status or position(s) with the Employer as in effect immediately prior to the Change in Control Transaction, including, without limitation, any adverse change in your status or position as a result of a diminution of your duties or responsibilities (other than, if applicable, any such change directly and solely attributable to the fact that the Company is no longer publicly owned) or the assignment to you of any duties or responsibilities which are inconsistent with such status or position(s), or any removal of you from, or any failure to reappoint or reelect you to, such position(s);</w:t>
      </w:r>
    </w:p>
    <w:p>
      <w:pPr>
        <w:spacing w:after="0" w:line="147" w:lineRule="exact"/>
        <w:rPr>
          <w:rFonts w:ascii="Arial" w:cs="Arial" w:eastAsia="Arial" w:hAnsi="Arial"/>
          <w:sz w:val="19"/>
          <w:szCs w:val="19"/>
          <w:color w:val="auto"/>
        </w:rPr>
      </w:pPr>
    </w:p>
    <w:p>
      <w:pPr>
        <w:ind w:left="3100" w:hanging="499"/>
        <w:spacing w:after="0"/>
        <w:tabs>
          <w:tab w:leader="none" w:pos="3100" w:val="left"/>
        </w:tabs>
        <w:numPr>
          <w:ilvl w:val="1"/>
          <w:numId w:val="47"/>
        </w:numPr>
        <w:rPr>
          <w:rFonts w:ascii="Arial" w:cs="Arial" w:eastAsia="Arial" w:hAnsi="Arial"/>
          <w:sz w:val="22"/>
          <w:szCs w:val="22"/>
          <w:color w:val="auto"/>
        </w:rPr>
      </w:pPr>
      <w:r>
        <w:rPr>
          <w:rFonts w:ascii="Arial" w:cs="Arial" w:eastAsia="Arial" w:hAnsi="Arial"/>
          <w:sz w:val="22"/>
          <w:szCs w:val="22"/>
          <w:color w:val="auto"/>
        </w:rPr>
        <w:t>a reduction in your Base Salary;</w:t>
      </w:r>
    </w:p>
    <w:p>
      <w:pPr>
        <w:spacing w:after="0" w:line="219" w:lineRule="exact"/>
        <w:rPr>
          <w:rFonts w:ascii="Arial" w:cs="Arial" w:eastAsia="Arial" w:hAnsi="Arial"/>
          <w:sz w:val="22"/>
          <w:szCs w:val="22"/>
          <w:color w:val="auto"/>
        </w:rPr>
      </w:pPr>
    </w:p>
    <w:p>
      <w:pPr>
        <w:ind w:firstLine="2601"/>
        <w:spacing w:after="0" w:line="263" w:lineRule="auto"/>
        <w:tabs>
          <w:tab w:leader="none" w:pos="3145" w:val="left"/>
        </w:tabs>
        <w:numPr>
          <w:ilvl w:val="1"/>
          <w:numId w:val="47"/>
        </w:numPr>
        <w:rPr>
          <w:rFonts w:ascii="Arial" w:cs="Arial" w:eastAsia="Arial" w:hAnsi="Arial"/>
          <w:sz w:val="22"/>
          <w:szCs w:val="22"/>
          <w:color w:val="auto"/>
        </w:rPr>
      </w:pPr>
      <w:r>
        <w:rPr>
          <w:rFonts w:ascii="Arial" w:cs="Arial" w:eastAsia="Arial" w:hAnsi="Arial"/>
          <w:sz w:val="22"/>
          <w:szCs w:val="22"/>
          <w:color w:val="auto"/>
        </w:rPr>
        <w:t>a reduction in your annual bonus opportunity or long term incentive opportunity, as compared to the year immediately preceding the year in which the Change in Control Transaction occurs;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ectPr>
          <w:pgSz w:w="11900" w:h="16838" w:orient="portrait"/>
          <w:cols w:equalWidth="0" w:num="1">
            <w:col w:w="11420"/>
          </w:cols>
          <w:pgMar w:left="240" w:top="12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10.33</w:t>
      </w:r>
    </w:p>
    <w:p>
      <w:pPr>
        <w:spacing w:after="0" w:line="398" w:lineRule="exact"/>
        <w:rPr>
          <w:sz w:val="20"/>
          <w:szCs w:val="20"/>
          <w:color w:val="auto"/>
        </w:rPr>
      </w:pPr>
    </w:p>
    <w:p>
      <w:pPr>
        <w:ind w:firstLine="2601"/>
        <w:spacing w:after="0" w:line="287" w:lineRule="auto"/>
        <w:tabs>
          <w:tab w:leader="none" w:pos="3114"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failure to continue to provide welfare, pension and fringe benefits which are in each case, in the aggregate, substantially similar to those provided to you immediately prior to Change in Control Transaction;</w:t>
      </w:r>
    </w:p>
    <w:p>
      <w:pPr>
        <w:spacing w:after="0" w:line="151" w:lineRule="exact"/>
        <w:rPr>
          <w:rFonts w:ascii="Arial" w:cs="Arial" w:eastAsia="Arial" w:hAnsi="Arial"/>
          <w:sz w:val="21"/>
          <w:szCs w:val="21"/>
          <w:color w:val="auto"/>
        </w:rPr>
      </w:pPr>
    </w:p>
    <w:p>
      <w:pPr>
        <w:jc w:val="both"/>
        <w:ind w:firstLine="2601"/>
        <w:spacing w:after="0" w:line="250" w:lineRule="auto"/>
        <w:tabs>
          <w:tab w:leader="none" w:pos="3157"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Employer requiring you to be based at an office that is greater than 50 miles from where your office is located immediately prior to the Change in Control Transaction except for required travel on the Employer's business to an extent substantially consistent with the business travel obligations which you undertook on behalf of the Employer prior to the Change in Control Transaction; or</w:t>
      </w:r>
    </w:p>
    <w:p>
      <w:pPr>
        <w:spacing w:after="0" w:line="188" w:lineRule="exact"/>
        <w:rPr>
          <w:sz w:val="20"/>
          <w:szCs w:val="20"/>
          <w:color w:val="auto"/>
        </w:rPr>
      </w:pPr>
    </w:p>
    <w:p>
      <w:pPr>
        <w:jc w:val="both"/>
        <w:ind w:firstLine="1945"/>
        <w:spacing w:after="0" w:line="289" w:lineRule="auto"/>
        <w:rPr>
          <w:sz w:val="20"/>
          <w:szCs w:val="20"/>
          <w:color w:val="auto"/>
        </w:rPr>
      </w:pPr>
      <w:r>
        <w:rPr>
          <w:rFonts w:ascii="Arial" w:cs="Arial" w:eastAsia="Arial" w:hAnsi="Arial"/>
          <w:sz w:val="19"/>
          <w:szCs w:val="19"/>
          <w:color w:val="auto"/>
        </w:rPr>
        <w:t>Notwithstanding the foregoing, the events described in clauses (B), (C) or (D) above shall not constitute Good Reason hereunder to the extent they are as a result of across-the-board reductions of the applicable compensation element following the Change in Control Transaction which are equally applicable to all similarly situated employees of the surviving corporation and its affiliates. Your right to terminate your employment for Good Reason shall not be affected by your incapacity due to physical or mental illness. In order for Good Reason to exist hereunder, you must provide notice to the Company of the existence of the condition or circumstance described above within 90 days of the initial existence of the condition or circumstance (or, if later, within 90 days of becoming aware of such condition or circumstance), and the Employer must have failed to cure such condition within 30 days of the receipt of such notice. Subject to the preceding sentence, your continued employment shall not constitute consent to, or a waiver of rights with respect to, any act or failure to act constituting Good Reason hereunder.</w:t>
      </w:r>
    </w:p>
    <w:p>
      <w:pPr>
        <w:spacing w:after="0" w:line="158" w:lineRule="exact"/>
        <w:rPr>
          <w:sz w:val="20"/>
          <w:szCs w:val="20"/>
          <w:color w:val="auto"/>
        </w:rPr>
      </w:pPr>
    </w:p>
    <w:p>
      <w:pPr>
        <w:jc w:val="both"/>
        <w:ind w:firstLine="1953"/>
        <w:spacing w:after="0" w:line="297" w:lineRule="auto"/>
        <w:tabs>
          <w:tab w:leader="none" w:pos="2413" w:val="left"/>
        </w:tabs>
        <w:numPr>
          <w:ilvl w:val="1"/>
          <w:numId w:val="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shall have the meaning given in Section 3(a)(9) of the Exchange Act, as modified and used in Sections 13(d) and 14(d) thereof, except that such term shall not include (A) the Company or any of its subsidiaries, (B) a trustee or other fiduciary holding securities under an employee benefit plan of the Company or any of its affiliates, (C) an underwriter temporarily holding securities pursuant to an offering of such securities or (D) a corporation owned, directly or indirectly, by the stockholders of the Company in substantially the same proportions as their ownership of stock of the Company.</w:t>
      </w:r>
    </w:p>
    <w:p>
      <w:pPr>
        <w:spacing w:after="0" w:line="141" w:lineRule="exact"/>
        <w:rPr>
          <w:rFonts w:ascii="Arial" w:cs="Arial" w:eastAsia="Arial" w:hAnsi="Arial"/>
          <w:sz w:val="19"/>
          <w:szCs w:val="19"/>
          <w:color w:val="auto"/>
        </w:rPr>
      </w:pPr>
    </w:p>
    <w:p>
      <w:pPr>
        <w:ind w:left="380" w:hanging="372"/>
        <w:spacing w:after="0"/>
        <w:tabs>
          <w:tab w:leader="none" w:pos="38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Vested Units.</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Vested PSUs shall be settled on the earliest to occur of (a) a date within 60 days following the end of the Performance Period, (b) a date within 30 days following the termination of your employment following a Change in Control Transaction pursuant to Section 3.2(c) above, or (c) the date of a Change in Control Transaction pursuant to Section 3.2(b) above that constitutes a “change in control event” within the meaning of U.S. Treasury Regulation Section 1.409A-3(i)(5).</w:t>
      </w:r>
    </w:p>
    <w:p>
      <w:pPr>
        <w:spacing w:after="0" w:line="17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9"/>
          <w:szCs w:val="19"/>
          <w:b w:val="1"/>
          <w:bCs w:val="1"/>
          <w:color w:val="auto"/>
        </w:rPr>
        <w:t>Securities Law Compliance</w:t>
      </w:r>
    </w:p>
    <w:p>
      <w:pPr>
        <w:spacing w:after="0" w:line="220"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color w:val="auto"/>
        </w:rPr>
        <w:t>You represent and warrant that you (a) have been furnished with a copy of the prospectus for the Plan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which you deem necessary to evaluate the merits and risks of receipt of the Award, (b) have had the opportunity to ask questions and receive answers concerning the information received about the Award and the Company, and (c) have been given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B-5</w:t>
      </w:r>
    </w:p>
    <w:p>
      <w:pPr>
        <w:sectPr>
          <w:pgSz w:w="11900" w:h="16838" w:orient="portrait"/>
          <w:cols w:equalWidth="0" w:num="1">
            <w:col w:w="11420"/>
          </w:cols>
          <w:pgMar w:left="240" w:top="12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10.33</w:t>
      </w:r>
    </w:p>
    <w:p>
      <w:pPr>
        <w:spacing w:after="0" w:line="39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opportunity to obtain any additional information you deem necessary to verify the accuracy of any information obtained concerning the Award and the Company.</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color w:val="auto"/>
        </w:rPr>
        <w:t>You hereby agree that you will in no event sell or distribute all or any part of the shares of Common Stock that you</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pursuant to settlement of this Award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unless (a) there is an effective registration statement under the U.S. Securities Act of 1933, as amended (the “</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and any applicable state and foreign securities laws covering any such transaction involving the Shares or (b) the Company receives an opinion of your legal counsel (concurred with by legal counsel for the Company) stating that such transaction is exempt from registration or the Company otherwise satisfies itself that such transaction is exempt from registration. You understand that the Company has no obligation to you to register the Shares with the U.S. Securities and Exchange Commission or any foreign securities regulator and has not represented to you that it will so register the Shares.</w:t>
      </w:r>
    </w:p>
    <w:p>
      <w:pPr>
        <w:spacing w:after="0" w:line="1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22"/>
          <w:szCs w:val="22"/>
          <w:color w:val="auto"/>
        </w:rPr>
        <w:t>You confirm that you have been advised, prior to your receipt of the Shares, that neither the offering of the Shares nor</w:t>
      </w:r>
      <w:r>
        <w:rPr>
          <w:rFonts w:ascii="Arial" w:cs="Arial" w:eastAsia="Arial" w:hAnsi="Arial"/>
          <w:sz w:val="22"/>
          <w:szCs w:val="22"/>
          <w:b w:val="1"/>
          <w:bCs w:val="1"/>
          <w:color w:val="auto"/>
        </w:rPr>
        <w:t xml:space="preserve"> </w:t>
      </w:r>
      <w:r>
        <w:rPr>
          <w:rFonts w:ascii="Arial" w:cs="Arial" w:eastAsia="Arial" w:hAnsi="Arial"/>
          <w:sz w:val="22"/>
          <w:szCs w:val="22"/>
          <w:color w:val="auto"/>
        </w:rPr>
        <w:t>any offering materials have been reviewed by any regulator under the Securities Act or any other applicable securities act (the “</w:t>
      </w:r>
      <w:r>
        <w:rPr>
          <w:rFonts w:ascii="Arial" w:cs="Arial" w:eastAsia="Arial" w:hAnsi="Arial"/>
          <w:sz w:val="22"/>
          <w:szCs w:val="22"/>
          <w:b w:val="1"/>
          <w:bCs w:val="1"/>
          <w:i w:val="1"/>
          <w:iCs w:val="1"/>
          <w:color w:val="auto"/>
        </w:rPr>
        <w:t>Acts</w:t>
      </w:r>
      <w:r>
        <w:rPr>
          <w:rFonts w:ascii="Arial" w:cs="Arial" w:eastAsia="Arial" w:hAnsi="Arial"/>
          <w:sz w:val="22"/>
          <w:szCs w:val="22"/>
          <w:color w:val="auto"/>
        </w:rPr>
        <w:t>”) and that the Shares cannot be resold unless they are registered under the Acts or unless an exemption from such registration is available.</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5.4 </w:t>
      </w:r>
      <w:r>
        <w:rPr>
          <w:rFonts w:ascii="Arial" w:cs="Arial" w:eastAsia="Arial" w:hAnsi="Arial"/>
          <w:sz w:val="22"/>
          <w:szCs w:val="22"/>
          <w:color w:val="auto"/>
        </w:rPr>
        <w:t>You hereby agree to indemnify the Company and hold it harmless from and against any loss, claim or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attorneys’ fees or legal expenses, incurred by the Company as a result of any breach by you of, or any inaccuracy in, any representation, warranty or statement made by you in this Agreement or the breach by you of any terms or conditions of this Agreement.</w:t>
      </w:r>
    </w:p>
    <w:p>
      <w:pPr>
        <w:spacing w:after="0" w:line="18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Transfer Restrictions</w:t>
      </w:r>
    </w:p>
    <w:p>
      <w:pPr>
        <w:spacing w:after="0" w:line="226"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PSUs shall not be sold, transferred, assigned, encumbered, pledged or otherwise disposed of, whether voluntarily or by operation of law, other than pursuant to a beneficiary designation in accordance with the following sentence. You may, from time to time, name any beneficiary or beneficiaries (who may be named contingently or successively) to whom any benefit under this Agreement is to be paid in case you do not receive any or all such benefit during your lifetime. Each such designation shall revoke all of your prior designations, shall be in a form prescribed by the Company, and will be effective only when completed in accordance with any instructions provided by the Company during your lifetime. In the absence of any such designation, benefits remaining unpaid to you during your lifetime shall be paid to your estate.</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No Rights as Shareholder</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You shall not have voting or other rights as a shareholder of the Company with respect to the PSUs.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B-6</w:t>
      </w:r>
    </w:p>
    <w:p>
      <w:pPr>
        <w:sectPr>
          <w:pgSz w:w="11900" w:h="16838" w:orient="portrait"/>
          <w:cols w:equalWidth="0" w:num="1">
            <w:col w:w="11420"/>
          </w:cols>
          <w:pgMar w:left="240" w:top="12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10.33</w:t>
      </w:r>
    </w:p>
    <w:p>
      <w:pPr>
        <w:spacing w:after="0" w:line="392"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Book Entry Registration of Shares</w:t>
      </w:r>
    </w:p>
    <w:p>
      <w:pPr>
        <w:spacing w:after="0" w:line="22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9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Responsibility for Taxes</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9"/>
          <w:szCs w:val="19"/>
          <w:color w:val="auto"/>
        </w:rPr>
        <w:t>Regardless of any action the Company or the Employer take with respect to any and all income tax, social 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payroll tax, fringe benefits tax, payment on account or other tax-related items related to your participation in the Plan and legally applicable to you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PSUs, the issuance of Shares upon settlement of the Vested PSUs, the subsequent sale of Shares acquired upon settlement of the Vested PSUs and the receipt of any dividends; and (b) do not commit to and are under no obligation to structure the terms of the grant or any aspect of the Award to reduce or eliminate your liability for Tax-Related Items or achieve any particular tax result. Further, if you have become subject to Tax-Related Items in more than one jurisdiction between the Grant Date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14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9.2 </w:t>
      </w:r>
      <w:r>
        <w:rPr>
          <w:rFonts w:ascii="Arial" w:cs="Arial" w:eastAsia="Arial" w:hAnsi="Arial"/>
          <w:sz w:val="22"/>
          <w:szCs w:val="22"/>
          <w:color w:val="auto"/>
        </w:rPr>
        <w:t>Prior to any relevant taxable or tax withholding event, as applicable, you will pay or make adequate arrangements</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satisfactory to the Company and or the Employer to satisfy all Tax-Related Items.</w:t>
      </w:r>
    </w:p>
    <w:p>
      <w:pPr>
        <w:spacing w:after="0" w:line="168" w:lineRule="exact"/>
        <w:rPr>
          <w:sz w:val="20"/>
          <w:szCs w:val="20"/>
          <w:color w:val="auto"/>
        </w:rPr>
      </w:pPr>
    </w:p>
    <w:p>
      <w:pPr>
        <w:ind w:firstLine="656"/>
        <w:spacing w:after="0" w:line="263" w:lineRule="auto"/>
        <w:tabs>
          <w:tab w:leader="none" w:pos="1117"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 this regard, you hereby irrevocably appoint Fidelity or any stock plan service provider or brokerage firm designated by the Company for such purpose (the “</w:t>
      </w:r>
      <w:r>
        <w:rPr>
          <w:rFonts w:ascii="Arial" w:cs="Arial" w:eastAsia="Arial" w:hAnsi="Arial"/>
          <w:sz w:val="22"/>
          <w:szCs w:val="22"/>
          <w:b w:val="1"/>
          <w:bCs w:val="1"/>
          <w:i w:val="1"/>
          <w:iCs w:val="1"/>
          <w:color w:val="auto"/>
        </w:rPr>
        <w:t>Agent</w:t>
      </w:r>
      <w:r>
        <w:rPr>
          <w:rFonts w:ascii="Arial" w:cs="Arial" w:eastAsia="Arial" w:hAnsi="Arial"/>
          <w:sz w:val="22"/>
          <w:szCs w:val="22"/>
          <w:color w:val="auto"/>
        </w:rPr>
        <w:t>”) as your Agent, and authorize the Agent, to:</w:t>
      </w:r>
    </w:p>
    <w:p>
      <w:pPr>
        <w:spacing w:after="0" w:line="174"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1"/>
          <w:numId w:val="51"/>
        </w:numPr>
        <w:rPr>
          <w:rFonts w:ascii="Arial" w:cs="Arial" w:eastAsia="Arial" w:hAnsi="Arial"/>
          <w:sz w:val="22"/>
          <w:szCs w:val="22"/>
          <w:color w:val="auto"/>
        </w:rPr>
      </w:pPr>
      <w:r>
        <w:rPr>
          <w:rFonts w:ascii="Arial" w:cs="Arial" w:eastAsia="Arial" w:hAnsi="Arial"/>
          <w:sz w:val="22"/>
          <w:szCs w:val="22"/>
          <w:color w:val="auto"/>
        </w:rPr>
        <w:t>Sell on the open market at the then prevailing market price(s), on your behalf, as soon as practicable on or after the settlement date for any Vested Unit, a number of Shares (rounded up to the next whole number) sufficient to generate proceeds to cover the Tax-Related Items and all applicable fees and commissions due to, or required to be collected by, the Agent;</w:t>
      </w:r>
    </w:p>
    <w:p>
      <w:pPr>
        <w:spacing w:after="0" w:line="188" w:lineRule="exact"/>
        <w:rPr>
          <w:rFonts w:ascii="Arial" w:cs="Arial" w:eastAsia="Arial" w:hAnsi="Arial"/>
          <w:sz w:val="22"/>
          <w:szCs w:val="22"/>
          <w:color w:val="auto"/>
        </w:rPr>
      </w:pPr>
    </w:p>
    <w:p>
      <w:pPr>
        <w:ind w:left="1960" w:hanging="655"/>
        <w:spacing w:after="0"/>
        <w:tabs>
          <w:tab w:leader="none" w:pos="1960" w:val="left"/>
        </w:tabs>
        <w:numPr>
          <w:ilvl w:val="1"/>
          <w:numId w:val="51"/>
        </w:numPr>
        <w:rPr>
          <w:rFonts w:ascii="Arial" w:cs="Arial" w:eastAsia="Arial" w:hAnsi="Arial"/>
          <w:sz w:val="22"/>
          <w:szCs w:val="22"/>
          <w:color w:val="auto"/>
        </w:rPr>
      </w:pPr>
      <w:r>
        <w:rPr>
          <w:rFonts w:ascii="Arial" w:cs="Arial" w:eastAsia="Arial" w:hAnsi="Arial"/>
          <w:sz w:val="22"/>
          <w:szCs w:val="22"/>
          <w:color w:val="auto"/>
        </w:rPr>
        <w:t>Remit directly to the Company the cash amount necessary to cover the Tax-Related Items;</w:t>
      </w:r>
    </w:p>
    <w:p>
      <w:pPr>
        <w:spacing w:after="0" w:line="219" w:lineRule="exact"/>
        <w:rPr>
          <w:rFonts w:ascii="Arial" w:cs="Arial" w:eastAsia="Arial" w:hAnsi="Arial"/>
          <w:sz w:val="22"/>
          <w:szCs w:val="22"/>
          <w:color w:val="auto"/>
        </w:rPr>
      </w:pPr>
    </w:p>
    <w:p>
      <w:pPr>
        <w:ind w:left="1960" w:right="20" w:hanging="655"/>
        <w:spacing w:after="0" w:line="287" w:lineRule="auto"/>
        <w:tabs>
          <w:tab w:leader="none" w:pos="1960" w:val="left"/>
        </w:tabs>
        <w:numPr>
          <w:ilvl w:val="1"/>
          <w:numId w:val="51"/>
        </w:numPr>
        <w:rPr>
          <w:rFonts w:ascii="Arial" w:cs="Arial" w:eastAsia="Arial" w:hAnsi="Arial"/>
          <w:sz w:val="21"/>
          <w:szCs w:val="21"/>
          <w:color w:val="auto"/>
        </w:rPr>
      </w:pPr>
      <w:r>
        <w:rPr>
          <w:rFonts w:ascii="Arial" w:cs="Arial" w:eastAsia="Arial" w:hAnsi="Arial"/>
          <w:sz w:val="21"/>
          <w:szCs w:val="21"/>
          <w:color w:val="auto"/>
        </w:rPr>
        <w:t>Retain the amount required to cover all applicable fees and commissions due to, or required to be collected by, the Agent, relating directly to the sale of Shares referred to in clause (i) above; and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B-7</w:t>
      </w:r>
    </w:p>
    <w:p>
      <w:pPr>
        <w:sectPr>
          <w:pgSz w:w="11900" w:h="16838" w:orient="portrait"/>
          <w:cols w:equalWidth="0" w:num="1">
            <w:col w:w="11420"/>
          </w:cols>
          <w:pgMar w:left="240" w:top="12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10.33</w:t>
      </w:r>
    </w:p>
    <w:p>
      <w:pPr>
        <w:spacing w:after="0" w:line="398" w:lineRule="exact"/>
        <w:rPr>
          <w:sz w:val="20"/>
          <w:szCs w:val="20"/>
          <w:color w:val="auto"/>
        </w:rPr>
      </w:pPr>
    </w:p>
    <w:p>
      <w:pPr>
        <w:ind w:left="1960" w:hanging="655"/>
        <w:spacing w:after="0"/>
        <w:tabs>
          <w:tab w:leader="none" w:pos="1960" w:val="left"/>
        </w:tabs>
        <w:numPr>
          <w:ilvl w:val="1"/>
          <w:numId w:val="52"/>
        </w:numPr>
        <w:rPr>
          <w:rFonts w:ascii="Arial" w:cs="Arial" w:eastAsia="Arial" w:hAnsi="Arial"/>
          <w:sz w:val="22"/>
          <w:szCs w:val="22"/>
          <w:color w:val="auto"/>
        </w:rPr>
      </w:pPr>
      <w:r>
        <w:rPr>
          <w:rFonts w:ascii="Arial" w:cs="Arial" w:eastAsia="Arial" w:hAnsi="Arial"/>
          <w:sz w:val="22"/>
          <w:szCs w:val="22"/>
          <w:color w:val="auto"/>
        </w:rPr>
        <w:t>Remit any remaining funds to you.</w:t>
      </w:r>
    </w:p>
    <w:p>
      <w:pPr>
        <w:spacing w:after="0" w:line="219" w:lineRule="exact"/>
        <w:rPr>
          <w:rFonts w:ascii="Arial" w:cs="Arial" w:eastAsia="Arial" w:hAnsi="Arial"/>
          <w:sz w:val="22"/>
          <w:szCs w:val="22"/>
          <w:color w:val="auto"/>
        </w:rPr>
      </w:pPr>
    </w:p>
    <w:p>
      <w:pPr>
        <w:jc w:val="both"/>
        <w:ind w:firstLine="656"/>
        <w:spacing w:after="0" w:line="248" w:lineRule="auto"/>
        <w:tabs>
          <w:tab w:leader="none" w:pos="1121" w:val="left"/>
        </w:tabs>
        <w:numPr>
          <w:ilvl w:val="0"/>
          <w:numId w:val="53"/>
        </w:numPr>
        <w:rPr>
          <w:rFonts w:ascii="Arial" w:cs="Arial" w:eastAsia="Arial" w:hAnsi="Arial"/>
          <w:sz w:val="22"/>
          <w:szCs w:val="22"/>
          <w:color w:val="auto"/>
        </w:rPr>
      </w:pPr>
      <w:r>
        <w:rPr>
          <w:rFonts w:ascii="Arial" w:cs="Arial" w:eastAsia="Arial" w:hAnsi="Arial"/>
          <w:sz w:val="22"/>
          <w:szCs w:val="22"/>
          <w:color w:val="auto"/>
        </w:rPr>
        <w:t>If the sale of Shares required by Section 9.2(a)(i) above is prohibited by a legal, contractual or regulatory restriction, is otherwise impossible as described in the 10b5-1 Plan set forth in Section 9.3 below, or if the obligation for withholding of Tax-Related Items arises at a time other than the settlement of the Vested PSUs, then in addition to the withholding mechanism described in Section 9.2(a), you authorize the Company and/or the Employer, at their discretion, to satisfy the obligations with regard to all Tax-Related Items by:</w:t>
      </w:r>
    </w:p>
    <w:p>
      <w:pPr>
        <w:spacing w:after="0" w:line="192" w:lineRule="exact"/>
        <w:rPr>
          <w:rFonts w:ascii="Arial" w:cs="Arial" w:eastAsia="Arial" w:hAnsi="Arial"/>
          <w:sz w:val="22"/>
          <w:szCs w:val="22"/>
          <w:color w:val="auto"/>
        </w:rPr>
      </w:pPr>
    </w:p>
    <w:p>
      <w:pPr>
        <w:ind w:left="1960" w:hanging="655"/>
        <w:spacing w:after="0"/>
        <w:tabs>
          <w:tab w:leader="none" w:pos="1960" w:val="left"/>
        </w:tabs>
        <w:numPr>
          <w:ilvl w:val="1"/>
          <w:numId w:val="53"/>
        </w:numPr>
        <w:rPr>
          <w:rFonts w:ascii="Arial" w:cs="Arial" w:eastAsia="Arial" w:hAnsi="Arial"/>
          <w:sz w:val="21"/>
          <w:szCs w:val="21"/>
          <w:color w:val="auto"/>
        </w:rPr>
      </w:pPr>
      <w:r>
        <w:rPr>
          <w:rFonts w:ascii="Arial" w:cs="Arial" w:eastAsia="Arial" w:hAnsi="Arial"/>
          <w:sz w:val="21"/>
          <w:szCs w:val="21"/>
          <w:color w:val="auto"/>
        </w:rPr>
        <w:t>requiring you to pay to the Company or the Employer any amount of the Tax-Related Items; and/or</w:t>
      </w:r>
    </w:p>
    <w:p>
      <w:pPr>
        <w:spacing w:after="0" w:line="231" w:lineRule="exact"/>
        <w:rPr>
          <w:rFonts w:ascii="Arial" w:cs="Arial" w:eastAsia="Arial" w:hAnsi="Arial"/>
          <w:sz w:val="21"/>
          <w:szCs w:val="21"/>
          <w:color w:val="auto"/>
        </w:rPr>
      </w:pPr>
    </w:p>
    <w:p>
      <w:pPr>
        <w:ind w:left="1960" w:hanging="655"/>
        <w:spacing w:after="0" w:line="263" w:lineRule="auto"/>
        <w:tabs>
          <w:tab w:leader="none" w:pos="1960" w:val="left"/>
        </w:tabs>
        <w:numPr>
          <w:ilvl w:val="1"/>
          <w:numId w:val="53"/>
        </w:numPr>
        <w:rPr>
          <w:rFonts w:ascii="Arial" w:cs="Arial" w:eastAsia="Arial" w:hAnsi="Arial"/>
          <w:sz w:val="22"/>
          <w:szCs w:val="22"/>
          <w:color w:val="auto"/>
        </w:rPr>
      </w:pPr>
      <w:r>
        <w:rPr>
          <w:rFonts w:ascii="Arial" w:cs="Arial" w:eastAsia="Arial" w:hAnsi="Arial"/>
          <w:sz w:val="22"/>
          <w:szCs w:val="22"/>
          <w:color w:val="auto"/>
        </w:rPr>
        <w:t>withholding any amount of the Tax-Related Items from your wages or other cash compensation paid to you by the Company and/or the Employer; and/or</w:t>
      </w:r>
    </w:p>
    <w:p>
      <w:pPr>
        <w:spacing w:after="0" w:line="174" w:lineRule="exact"/>
        <w:rPr>
          <w:rFonts w:ascii="Arial" w:cs="Arial" w:eastAsia="Arial" w:hAnsi="Arial"/>
          <w:sz w:val="22"/>
          <w:szCs w:val="22"/>
          <w:color w:val="auto"/>
        </w:rPr>
      </w:pPr>
    </w:p>
    <w:p>
      <w:pPr>
        <w:jc w:val="both"/>
        <w:ind w:left="1960" w:hanging="655"/>
        <w:spacing w:after="0" w:line="247" w:lineRule="auto"/>
        <w:tabs>
          <w:tab w:leader="none" w:pos="1960" w:val="left"/>
        </w:tabs>
        <w:numPr>
          <w:ilvl w:val="1"/>
          <w:numId w:val="53"/>
        </w:numPr>
        <w:rPr>
          <w:rFonts w:ascii="Arial" w:cs="Arial" w:eastAsia="Arial" w:hAnsi="Arial"/>
          <w:sz w:val="22"/>
          <w:szCs w:val="22"/>
          <w:color w:val="auto"/>
        </w:rPr>
      </w:pPr>
      <w:r>
        <w:rPr>
          <w:rFonts w:ascii="Arial" w:cs="Arial" w:eastAsia="Arial" w:hAnsi="Arial"/>
          <w:sz w:val="22"/>
          <w:szCs w:val="22"/>
          <w:color w:val="auto"/>
        </w:rPr>
        <w:t>withholding in Shares to be issued upon settlement of the Vested PSUs provided, however, that if you are a Section 16 officer of the Company under the Exchange Act, then the Plan Administrator (as constituted to satisfy Rule 16b-3 of the Exchange Act) shall establish any alternative method of withholding as may be required from the alternatives (i) – (iii) herein and, if the Plan Administrator does not exercise its discretion prior to the Tax-Related Items withholding event, then the method of withholding set forth in alternative (iii) shall apply.</w:t>
      </w:r>
    </w:p>
    <w:p>
      <w:pPr>
        <w:spacing w:after="0" w:line="193" w:lineRule="exact"/>
        <w:rPr>
          <w:rFonts w:ascii="Arial" w:cs="Arial" w:eastAsia="Arial" w:hAnsi="Arial"/>
          <w:sz w:val="22"/>
          <w:szCs w:val="22"/>
          <w:color w:val="auto"/>
        </w:rPr>
      </w:pPr>
    </w:p>
    <w:p>
      <w:pPr>
        <w:jc w:val="both"/>
        <w:ind w:firstLine="656"/>
        <w:spacing w:after="0" w:line="292" w:lineRule="auto"/>
        <w:tabs>
          <w:tab w:leader="none" w:pos="1150" w:val="left"/>
        </w:tabs>
        <w:numPr>
          <w:ilvl w:val="0"/>
          <w:numId w:val="53"/>
        </w:numPr>
        <w:rPr>
          <w:rFonts w:ascii="Arial" w:cs="Arial" w:eastAsia="Arial" w:hAnsi="Arial"/>
          <w:sz w:val="19"/>
          <w:szCs w:val="19"/>
          <w:color w:val="auto"/>
        </w:rPr>
      </w:pPr>
      <w:r>
        <w:rPr>
          <w:rFonts w:ascii="Arial" w:cs="Arial" w:eastAsia="Arial" w:hAnsi="Arial"/>
          <w:sz w:val="19"/>
          <w:szCs w:val="19"/>
          <w:color w:val="auto"/>
        </w:rPr>
        <w:t>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equivalent amount in Shares. If the obligation for Tax-Related Items is satisfied by withholding in Shares, for tax purposes, you will be deemed to have been issued the full number of Shares subject to the Vested PSUs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14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9.3 </w:t>
      </w:r>
      <w:r>
        <w:rPr>
          <w:rFonts w:ascii="Arial" w:cs="Arial" w:eastAsia="Arial" w:hAnsi="Arial"/>
          <w:sz w:val="19"/>
          <w:szCs w:val="19"/>
          <w:color w:val="auto"/>
        </w:rPr>
        <w:t>You acknowledge that the authorization and instruction to the Agent set forth in Section 9.2(a)(i) above to sell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to cover the Tax-Related Items is intended to comply with the requirements of Rule 10b5-1(c)(1)(i)(B) under the Exchange Act and to be interpreted to comply with the requirements of Rule 10b5-1(c) under the Exchange Act (regarding trading of the Company’s securities on the basis of material nonpublic information) (a “</w:t>
      </w:r>
      <w:r>
        <w:rPr>
          <w:rFonts w:ascii="Arial" w:cs="Arial" w:eastAsia="Arial" w:hAnsi="Arial"/>
          <w:sz w:val="19"/>
          <w:szCs w:val="19"/>
          <w:b w:val="1"/>
          <w:bCs w:val="1"/>
          <w:i w:val="1"/>
          <w:iCs w:val="1"/>
          <w:color w:val="auto"/>
        </w:rPr>
        <w:t>10b5-1 Plan</w:t>
      </w:r>
      <w:r>
        <w:rPr>
          <w:rFonts w:ascii="Arial" w:cs="Arial" w:eastAsia="Arial" w:hAnsi="Arial"/>
          <w:sz w:val="19"/>
          <w:szCs w:val="19"/>
          <w:color w:val="auto"/>
        </w:rPr>
        <w:t>”). This 10b5-1 Plan is being adopted to permit you to sell a number of Shares issued upon settlement of Vested PSUs sufficient to pay the Tax-Related Items.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You acknowledge that the broker is under no obligation to arrange for the sale of Shares at any particular price. You further acknowledge that you will be responsible for all brokerage fees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B-8</w:t>
      </w:r>
    </w:p>
    <w:p>
      <w:pPr>
        <w:sectPr>
          <w:pgSz w:w="11900" w:h="16838" w:orient="portrait"/>
          <w:cols w:equalWidth="0" w:num="1">
            <w:col w:w="11420"/>
          </w:cols>
          <w:pgMar w:left="240" w:top="12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10.33</w:t>
      </w:r>
    </w:p>
    <w:p>
      <w:pPr>
        <w:spacing w:after="0" w:line="39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and other costs of sale, and you agree to indemnify and hold the Company harmless from any losses, costs, damages, or expenses relating to any such sale. You acknowledge that it may not be possible to sell Shares during the term of this 10b5-1 Plan due to (a) a legal or contractual restriction applicable to you or to the broker, (b) a market disruption, (c) rules governing order execution priority on the Nasdaq or other exchange where the Shares may be traded, (d) a sale effected pursuant to this 10b5-1 Plan that fails to comply (or in the reasonable opinion of the Agent’s counsel is likely not to comply) with the Securities Act, or (e) if the Company determines that sales may not be effected under this 10b5-1 Plan. In the event of the Agent’s inability to sell Shares, you will continue to be responsible for the Tax-Related Items.</w:t>
      </w:r>
    </w:p>
    <w:p>
      <w:pPr>
        <w:spacing w:after="0" w:line="18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You hereby agree to execute and deliver to the Agent any other agreements or documents as the Agent reasonably deems necessary or appropriate to carry out the purposes and intent of the 10b5-1 Plan. You acknowledge that this 10b5-1 Plan is subject to the terms of any policy adopted now or hereafter by the Company governing the adoption of 10b5-1 plans. The Agent is a third party beneficiary of Section 9.2(a)(i) and this 10b5-1 Plan.</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Nature of Grant</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In accepting the grant, you acknowledge, understand and agree that:</w:t>
      </w:r>
    </w:p>
    <w:p>
      <w:pPr>
        <w:spacing w:after="0" w:line="220" w:lineRule="exact"/>
        <w:rPr>
          <w:sz w:val="20"/>
          <w:szCs w:val="20"/>
          <w:color w:val="auto"/>
        </w:rPr>
      </w:pPr>
    </w:p>
    <w:p>
      <w:pPr>
        <w:ind w:right="20" w:firstLine="656"/>
        <w:spacing w:after="0" w:line="263" w:lineRule="auto"/>
        <w:tabs>
          <w:tab w:leader="none" w:pos="1193"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146"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grant of the Award is voluntary and occasional and does not create any contractual or other right to receive future grants of performance restricted stock units, or benefits in lieu of performance restricted stock units, even if performance restricted stock units have been granted in the past;</w:t>
      </w:r>
    </w:p>
    <w:p>
      <w:pPr>
        <w:spacing w:after="0" w:line="185" w:lineRule="exact"/>
        <w:rPr>
          <w:rFonts w:ascii="Arial" w:cs="Arial" w:eastAsia="Arial" w:hAnsi="Arial"/>
          <w:sz w:val="22"/>
          <w:szCs w:val="22"/>
          <w:color w:val="auto"/>
        </w:rPr>
      </w:pPr>
    </w:p>
    <w:p>
      <w:pPr>
        <w:ind w:firstLine="656"/>
        <w:spacing w:after="0" w:line="263" w:lineRule="auto"/>
        <w:tabs>
          <w:tab w:leader="none" w:pos="1131" w:val="left"/>
        </w:tabs>
        <w:numPr>
          <w:ilvl w:val="0"/>
          <w:numId w:val="54"/>
        </w:numPr>
        <w:rPr>
          <w:rFonts w:ascii="Arial" w:cs="Arial" w:eastAsia="Arial" w:hAnsi="Arial"/>
          <w:sz w:val="22"/>
          <w:szCs w:val="22"/>
          <w:color w:val="auto"/>
        </w:rPr>
      </w:pPr>
      <w:r>
        <w:rPr>
          <w:rFonts w:ascii="Arial" w:cs="Arial" w:eastAsia="Arial" w:hAnsi="Arial"/>
          <w:sz w:val="22"/>
          <w:szCs w:val="22"/>
          <w:color w:val="auto"/>
        </w:rPr>
        <w:t>all decisions with respect to future grants of performance restricted stock units, if any, will be at the sole discretion of the Company;</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175"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grant of the Award and your participation in the Plan shall not create a right to employment or be interpreted as forming an employment or service contract with the Employer, the Company or any Related Corporation and shall not interfere with the ability of the Employer, the Company or any Related Corporation to terminate your employment or service relationship (if any);</w:t>
      </w:r>
    </w:p>
    <w:p>
      <w:pPr>
        <w:spacing w:after="0" w:line="188" w:lineRule="exact"/>
        <w:rPr>
          <w:rFonts w:ascii="Arial" w:cs="Arial" w:eastAsia="Arial" w:hAnsi="Arial"/>
          <w:sz w:val="22"/>
          <w:szCs w:val="22"/>
          <w:color w:val="auto"/>
        </w:rPr>
      </w:pPr>
    </w:p>
    <w:p>
      <w:pPr>
        <w:ind w:left="1120" w:hanging="464"/>
        <w:spacing w:after="0"/>
        <w:tabs>
          <w:tab w:leader="none" w:pos="11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you are voluntarily participating in the Plan;</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Award and the Shares subject to the Award are not intended to replace any pension rights or compensation;</w:t>
      </w:r>
    </w:p>
    <w:p>
      <w:pPr>
        <w:spacing w:after="0" w:line="254" w:lineRule="exact"/>
        <w:rPr>
          <w:rFonts w:ascii="Arial" w:cs="Arial" w:eastAsia="Arial" w:hAnsi="Arial"/>
          <w:sz w:val="19"/>
          <w:szCs w:val="19"/>
          <w:color w:val="auto"/>
        </w:rPr>
      </w:pPr>
    </w:p>
    <w:p>
      <w:pPr>
        <w:ind w:firstLine="656"/>
        <w:spacing w:after="0" w:line="263" w:lineRule="auto"/>
        <w:tabs>
          <w:tab w:leader="none" w:pos="1141"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Award and the Shares subject to the Award, and the income and value of same, are not part of normal or expected compensation for purposes of calculating any severance,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B-9</w:t>
      </w:r>
    </w:p>
    <w:p>
      <w:pPr>
        <w:sectPr>
          <w:pgSz w:w="11900" w:h="16838" w:orient="portrait"/>
          <w:cols w:equalWidth="0" w:num="1">
            <w:col w:w="11420"/>
          </w:cols>
          <w:pgMar w:left="240" w:top="12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10.33</w:t>
      </w:r>
    </w:p>
    <w:p>
      <w:pPr>
        <w:spacing w:after="0" w:line="39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resignation, termination, redundancy, dismissal, end of service payments, bonuses, long-service awards, pension or retirement or welfare benefits or similar payments;</w:t>
      </w:r>
    </w:p>
    <w:p>
      <w:pPr>
        <w:spacing w:after="0" w:line="175" w:lineRule="exact"/>
        <w:rPr>
          <w:sz w:val="20"/>
          <w:szCs w:val="20"/>
          <w:color w:val="auto"/>
        </w:rPr>
      </w:pPr>
    </w:p>
    <w:p>
      <w:pPr>
        <w:ind w:left="1120" w:hanging="464"/>
        <w:spacing w:after="0"/>
        <w:tabs>
          <w:tab w:leader="none" w:pos="1120" w:val="left"/>
        </w:tabs>
        <w:numPr>
          <w:ilvl w:val="1"/>
          <w:numId w:val="55"/>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indeterminable and cannot be predicted with certainty;</w:t>
      </w:r>
    </w:p>
    <w:p>
      <w:pPr>
        <w:spacing w:after="0" w:line="231" w:lineRule="exact"/>
        <w:rPr>
          <w:rFonts w:ascii="Arial" w:cs="Arial" w:eastAsia="Arial" w:hAnsi="Arial"/>
          <w:sz w:val="21"/>
          <w:szCs w:val="21"/>
          <w:color w:val="auto"/>
        </w:rPr>
      </w:pPr>
    </w:p>
    <w:p>
      <w:pPr>
        <w:jc w:val="both"/>
        <w:ind w:firstLine="656"/>
        <w:spacing w:after="0" w:line="250" w:lineRule="auto"/>
        <w:tabs>
          <w:tab w:leader="none" w:pos="1189" w:val="left"/>
        </w:tabs>
        <w:numPr>
          <w:ilvl w:val="1"/>
          <w:numId w:val="55"/>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resulting from your ceasing to provide employment or other services to the Company or the Employer (for any reason whatsoever, and whether or not later found to be invalid or in breach of employment laws in the jurisdiction where you are employed or the terms of your employment agreement, if any);</w:t>
      </w:r>
    </w:p>
    <w:p>
      <w:pPr>
        <w:spacing w:after="0" w:line="188" w:lineRule="exact"/>
        <w:rPr>
          <w:rFonts w:ascii="Arial" w:cs="Arial" w:eastAsia="Arial" w:hAnsi="Arial"/>
          <w:sz w:val="22"/>
          <w:szCs w:val="22"/>
          <w:color w:val="auto"/>
        </w:rPr>
      </w:pPr>
    </w:p>
    <w:p>
      <w:pPr>
        <w:jc w:val="both"/>
        <w:ind w:firstLine="656"/>
        <w:spacing w:after="0" w:line="288" w:lineRule="auto"/>
        <w:tabs>
          <w:tab w:leader="none" w:pos="1078" w:val="left"/>
        </w:tabs>
        <w:numPr>
          <w:ilvl w:val="1"/>
          <w:numId w:val="55"/>
        </w:numPr>
        <w:rPr>
          <w:rFonts w:ascii="Arial" w:cs="Arial" w:eastAsia="Arial" w:hAnsi="Arial"/>
          <w:sz w:val="19"/>
          <w:szCs w:val="19"/>
          <w:color w:val="auto"/>
        </w:rPr>
      </w:pPr>
      <w:r>
        <w:rPr>
          <w:rFonts w:ascii="Arial" w:cs="Arial" w:eastAsia="Arial" w:hAnsi="Arial"/>
          <w:sz w:val="19"/>
          <w:szCs w:val="19"/>
          <w:color w:val="auto"/>
        </w:rPr>
        <w:t>for purposes of the Award, your employment will be considered terminated as of the date you cease to actively provide services to the Company or a Related Corporation; further, in the event of termination of your employment or other services (for any reason whatsoever, whether or not later found to be invalid or in breach of employment laws in the jurisdiction where you are employed or the terms of your employment agreement, if any), unless otherwise provided in this Agreement or determined by the Company, your right to vest in the Award, if any, will terminate effective as of the date that you are no longer actively providing services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active service would not include any contractual notice period or any period of “garden leave” or similar period mandated under employment laws in the jurisdiction where you are employed or the terms of your employment agreement, if any); the Company’s Chief Executive Officer shall have the exclusive discretion to determine when you are no longer actively providing services for purposes of the Award (including whether or not you may still be considered to be providing services while on an approved leave of absence); and</w:t>
      </w:r>
    </w:p>
    <w:p>
      <w:pPr>
        <w:spacing w:after="0" w:line="160" w:lineRule="exact"/>
        <w:rPr>
          <w:rFonts w:ascii="Arial" w:cs="Arial" w:eastAsia="Arial" w:hAnsi="Arial"/>
          <w:sz w:val="19"/>
          <w:szCs w:val="19"/>
          <w:color w:val="auto"/>
        </w:rPr>
      </w:pPr>
    </w:p>
    <w:p>
      <w:pPr>
        <w:jc w:val="both"/>
        <w:ind w:firstLine="656"/>
        <w:spacing w:after="0" w:line="250" w:lineRule="auto"/>
        <w:tabs>
          <w:tab w:leader="none" w:pos="1175" w:val="left"/>
        </w:tabs>
        <w:numPr>
          <w:ilvl w:val="1"/>
          <w:numId w:val="55"/>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 of the Company.</w:t>
      </w:r>
    </w:p>
    <w:p>
      <w:pPr>
        <w:spacing w:after="0" w:line="182" w:lineRule="exact"/>
        <w:rPr>
          <w:rFonts w:ascii="Arial" w:cs="Arial" w:eastAsia="Arial" w:hAnsi="Arial"/>
          <w:sz w:val="22"/>
          <w:szCs w:val="22"/>
          <w:color w:val="auto"/>
        </w:rPr>
      </w:pPr>
    </w:p>
    <w:p>
      <w:pPr>
        <w:ind w:left="480" w:hanging="472"/>
        <w:spacing w:after="0"/>
        <w:tabs>
          <w:tab w:leader="none" w:pos="48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No Advice Regarding Grant</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150"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Data Privacy</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b w:val="1"/>
          <w:bCs w:val="1"/>
          <w:i w:val="1"/>
          <w:iCs w:val="1"/>
          <w:color w:val="auto"/>
        </w:rPr>
        <w:t>You hereby explicitly and unambiguously consent to the collection, use and transfer, in electronic or other form, of your personal data as described in this Agreement and any other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B-10</w:t>
      </w:r>
    </w:p>
    <w:p>
      <w:pPr>
        <w:sectPr>
          <w:pgSz w:w="11900" w:h="16838" w:orient="portrait"/>
          <w:cols w:equalWidth="0" w:num="1">
            <w:col w:w="11420"/>
          </w:cols>
          <w:pgMar w:left="240" w:top="12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10.33</w:t>
      </w:r>
    </w:p>
    <w:p>
      <w:pPr>
        <w:spacing w:after="0" w:line="39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Award materials by and among, as applicable, the Employer, the Company and its Related Corporations for the exclusive purpose of implementing, administering and managing your participation in the Plan.</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b w:val="1"/>
          <w:bCs w:val="1"/>
          <w:i w:val="1"/>
          <w:iCs w:val="1"/>
          <w:color w:val="auto"/>
        </w:rPr>
        <w:t>You understand that the Company and the Employer may hold and process certain personal information about you, including, but not limited to, your name, home address, email address and telephone number, date of birth, social insurance number, passport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14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your employment status or service and career with the Employer will not be affected; the only consequence of refusing or withdrawing your consent is that the Company would not be able to grant you the Award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b w:val="1"/>
          <w:bCs w:val="1"/>
          <w:i w:val="1"/>
          <w:iCs w:val="1"/>
          <w:color w:val="auto"/>
        </w:rPr>
        <w:t>Finally, upon request of the Company and/or the Employer, you agree to provide an executed data privacy consent form (or any other agreements or consents) that the Company and/or the Employer may deem necessary to obtain from you for the purpose of administering the Award in compliance with the data privacy laws in your country, either now or in the future. You understand and agree that you will not be able to accept the Award if you fail to provide such consent or agreement as requested by the Company and/or the Employer.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B-11</w:t>
      </w:r>
    </w:p>
    <w:p>
      <w:pPr>
        <w:sectPr>
          <w:pgSz w:w="11900" w:h="16838" w:orient="portrait"/>
          <w:cols w:equalWidth="0" w:num="1">
            <w:col w:w="11420"/>
          </w:cols>
          <w:pgMar w:left="240" w:top="121"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10.33</w:t>
      </w:r>
    </w:p>
    <w:p>
      <w:pPr>
        <w:spacing w:after="0" w:line="39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Electronic Delivery and Participation</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2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Language</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You acknowledge that you are sufficiently proficient in English to understand the terms and conditions of the Agreement. Furthermore, if you have received this Agreement or any other document related to the Plan translated into a language other than English and if the meaning of the translated version is different from the English version, the English version will control.</w:t>
      </w:r>
    </w:p>
    <w:p>
      <w:pPr>
        <w:spacing w:after="0" w:line="12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color w:val="auto"/>
        </w:rPr>
        <w:t>General Provisions</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15.1 Successors and Assigns</w:t>
      </w:r>
      <w:r>
        <w:rPr>
          <w:rFonts w:ascii="Arial" w:cs="Arial" w:eastAsia="Arial" w:hAnsi="Arial"/>
          <w:sz w:val="21"/>
          <w:szCs w:val="21"/>
          <w:color w:val="auto"/>
        </w:rPr>
        <w:t>. The provisions of this Agreement will inure to the benefit of the successors and assigns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and be binding upon you and your heirs, executors, administrators, successors and assigns.</w:t>
      </w:r>
    </w:p>
    <w:p>
      <w:pPr>
        <w:spacing w:after="0" w:line="14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b w:val="1"/>
          <w:bCs w:val="1"/>
          <w:color w:val="auto"/>
        </w:rPr>
        <w:t>Section 409A</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58" w:lineRule="auto"/>
        <w:tabs>
          <w:tab w:leader="none" w:pos="1784" w:val="left"/>
        </w:tabs>
        <w:numPr>
          <w:ilvl w:val="0"/>
          <w:numId w:val="58"/>
        </w:numPr>
        <w:rPr>
          <w:rFonts w:ascii="Arial" w:cs="Arial" w:eastAsia="Arial" w:hAnsi="Arial"/>
          <w:sz w:val="21"/>
          <w:szCs w:val="21"/>
          <w:color w:val="auto"/>
        </w:rPr>
      </w:pPr>
      <w:r>
        <w:rPr>
          <w:rFonts w:ascii="Arial" w:cs="Arial" w:eastAsia="Arial" w:hAnsi="Arial"/>
          <w:sz w:val="21"/>
          <w:szCs w:val="21"/>
          <w:color w:val="auto"/>
        </w:rPr>
        <w:t>For purposes of U.S. taxpayers, the PSUs and the settlement of the PSUs are intended to comply with Section 409A of the Code, and this Agreement will be interpreted, operated and administered in a manner that is consistent with this intent. In furtherance of this intent, the Plan Administrator may, at any time and without your consent, modify the terms of the Award as it determines appropriate to comply with the requirements of Section 409A of the Code and the related U.S. Department of Treasury guidance or to mitigate any additional tax, interest and/or penalties that may apply under Section 409A of the Code if compliance is not practicable. The Company makes no representation or covenant to ensure that the PSUs, settlement of the PSUs or other payment hereunder are compliant with Section 409A of the Code and neither the Company nor any of its affiliates shall under any circumstances have any liability to you or any other party if the settlement of the PSUs or other payment hereunder that is intended to be compliant with Section 409A of the Code is not compliant or for any action taken by the Plan Administrator with respect thereto.</w:t>
      </w:r>
    </w:p>
    <w:p>
      <w:pPr>
        <w:spacing w:after="0" w:line="186" w:lineRule="exact"/>
        <w:rPr>
          <w:rFonts w:ascii="Arial" w:cs="Arial" w:eastAsia="Arial" w:hAnsi="Arial"/>
          <w:sz w:val="21"/>
          <w:szCs w:val="21"/>
          <w:color w:val="auto"/>
        </w:rPr>
      </w:pPr>
    </w:p>
    <w:p>
      <w:pPr>
        <w:jc w:val="both"/>
        <w:ind w:firstLine="1305"/>
        <w:spacing w:after="0" w:line="290" w:lineRule="auto"/>
        <w:tabs>
          <w:tab w:leader="none" w:pos="1966" w:val="left"/>
        </w:tabs>
        <w:numPr>
          <w:ilvl w:val="0"/>
          <w:numId w:val="58"/>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any PSUs that become vested under this Agreement by reason of a termination of employment and that constitute an item of non-qualified deferred compensation subject to Section 409A of the Code shall not be settled unless you experience a “separation from service” within the meaning of Section 409A of the Code (a “</w:t>
      </w:r>
      <w:r>
        <w:rPr>
          <w:rFonts w:ascii="Arial" w:cs="Arial" w:eastAsia="Arial" w:hAnsi="Arial"/>
          <w:sz w:val="19"/>
          <w:szCs w:val="19"/>
          <w:b w:val="1"/>
          <w:bCs w:val="1"/>
          <w:i w:val="1"/>
          <w:iCs w:val="1"/>
          <w:color w:val="auto"/>
        </w:rPr>
        <w:t>Separation from Service</w:t>
      </w:r>
      <w:r>
        <w:rPr>
          <w:rFonts w:ascii="Arial" w:cs="Arial" w:eastAsia="Arial" w:hAnsi="Arial"/>
          <w:sz w:val="19"/>
          <w:szCs w:val="19"/>
          <w:color w:val="auto"/>
        </w:rPr>
        <w:t>”) and such PSUs shall be settled within 90 days of a Separation from Service; provided, however, that if you are a “specified employee” within the meaning of Section 409A of the Code as of the date of the Separation from Service (as determined according to the methodology established by the Company as in effect on the date of your termination of employment), such PSUs shall instead be settled on the first business day that is after the earlier of (i) the date that is six months following the date of the Separation from Service or (ii) the date 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B-12</w:t>
      </w:r>
    </w:p>
    <w:p>
      <w:pPr>
        <w:sectPr>
          <w:pgSz w:w="11900" w:h="16838" w:orient="portrait"/>
          <w:cols w:equalWidth="0" w:num="1">
            <w:col w:w="11420"/>
          </w:cols>
          <w:pgMar w:left="240" w:top="121"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10.33</w:t>
      </w:r>
    </w:p>
    <w:p>
      <w:pPr>
        <w:spacing w:after="0" w:line="39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your death, to the extent such delayed payment is otherwise required in order to avoid a prohibited distribution under Section 409A(a)(2) of the Code, or any successor provision thereto.</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15.3 Governing Law and Choice of Venue</w:t>
      </w:r>
      <w:r>
        <w:rPr>
          <w:rFonts w:ascii="Arial" w:cs="Arial" w:eastAsia="Arial" w:hAnsi="Arial"/>
          <w:sz w:val="21"/>
          <w:szCs w:val="21"/>
          <w:color w:val="auto"/>
        </w:rPr>
        <w:t>. The Award and the provisions of this Agreement will be construed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administered in accordance with and governed by the laws of 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74"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b w:val="1"/>
          <w:bCs w:val="1"/>
          <w:color w:val="auto"/>
        </w:rPr>
        <w:t>15.4 Severability</w:t>
      </w:r>
      <w:r>
        <w:rPr>
          <w:rFonts w:ascii="Arial" w:cs="Arial" w:eastAsia="Arial" w:hAnsi="Arial"/>
          <w:sz w:val="19"/>
          <w:szCs w:val="19"/>
          <w:color w:val="auto"/>
        </w:rPr>
        <w:t>. The provisions of this Agreement are severable and if any one or more provisions are determined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illegal or otherwise unenforceable, in whole or in part, the remaining provisions shall nevertheless be binding and enforceable.</w:t>
      </w:r>
    </w:p>
    <w:p>
      <w:pPr>
        <w:spacing w:after="0" w:line="92" w:lineRule="exact"/>
        <w:rPr>
          <w:sz w:val="20"/>
          <w:szCs w:val="20"/>
          <w:color w:val="auto"/>
        </w:rPr>
      </w:pPr>
    </w:p>
    <w:p>
      <w:pPr>
        <w:jc w:val="center"/>
        <w:ind w:right="-59"/>
        <w:spacing w:after="0"/>
        <w:tabs>
          <w:tab w:leader="none" w:pos="200" w:val="left"/>
        </w:tabs>
        <w:rPr>
          <w:sz w:val="20"/>
          <w:szCs w:val="20"/>
          <w:color w:val="auto"/>
        </w:rPr>
      </w:pPr>
      <w:r>
        <w:rPr>
          <w:rFonts w:ascii="Arial" w:cs="Arial" w:eastAsia="Arial" w:hAnsi="Arial"/>
          <w:sz w:val="22"/>
          <w:szCs w:val="22"/>
          <w:b w:val="1"/>
          <w:bCs w:val="1"/>
          <w:color w:val="auto"/>
        </w:rPr>
        <w:t>15.5</w:t>
      </w:r>
      <w:r>
        <w:rPr>
          <w:sz w:val="20"/>
          <w:szCs w:val="20"/>
          <w:color w:val="auto"/>
        </w:rPr>
        <w:tab/>
      </w:r>
      <w:r>
        <w:rPr>
          <w:rFonts w:ascii="Arial" w:cs="Arial" w:eastAsia="Arial" w:hAnsi="Arial"/>
          <w:sz w:val="19"/>
          <w:szCs w:val="19"/>
          <w:b w:val="1"/>
          <w:bCs w:val="1"/>
          <w:color w:val="auto"/>
        </w:rPr>
        <w:t>Notice</w:t>
      </w:r>
      <w:r>
        <w:rPr>
          <w:rFonts w:ascii="Arial" w:cs="Arial" w:eastAsia="Arial" w:hAnsi="Arial"/>
          <w:sz w:val="19"/>
          <w:szCs w:val="19"/>
          <w:color w:val="auto"/>
        </w:rPr>
        <w:t>. Any notice required or permitted hereunder shall be made in writing and sent to the following address:</w:t>
      </w:r>
    </w:p>
    <w:p>
      <w:pPr>
        <w:spacing w:after="0" w:line="226"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Itron, Inc.</w:t>
      </w:r>
    </w:p>
    <w:p>
      <w:pPr>
        <w:spacing w:after="0" w:line="22"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2111 N. Molter Road</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Liberty Lake, WA USA 99019</w:t>
      </w:r>
    </w:p>
    <w:p>
      <w:pPr>
        <w:spacing w:after="0" w:line="236"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Intentionally Omitted</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92" w:lineRule="exact"/>
        <w:rPr>
          <w:rFonts w:ascii="Arial" w:cs="Arial" w:eastAsia="Arial" w:hAnsi="Arial"/>
          <w:sz w:val="22"/>
          <w:szCs w:val="22"/>
          <w:b w:val="1"/>
          <w:bCs w:val="1"/>
          <w:color w:val="auto"/>
        </w:rPr>
      </w:pPr>
    </w:p>
    <w:p>
      <w:pPr>
        <w:ind w:left="500" w:hanging="492"/>
        <w:spacing w:after="0"/>
        <w:tabs>
          <w:tab w:leader="none" w:pos="50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Imposition of Other Requirements</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reserves the right to impose other requirements on your participation in the Plan, on the Award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2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b w:val="1"/>
          <w:bCs w:val="1"/>
          <w:color w:val="auto"/>
        </w:rPr>
        <w:t>Waiver</w:t>
      </w:r>
    </w:p>
    <w:p>
      <w:pPr>
        <w:spacing w:after="0" w:line="22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You acknowledge that a waiver by the Company of breach of any provision of this Agreement shall not operate or be construed as a waiver of any other provision of this Agreement, or of any subsequent breach by you or any other Participant.</w:t>
      </w:r>
    </w:p>
    <w:p>
      <w:pPr>
        <w:spacing w:after="0" w:line="9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9"/>
          <w:szCs w:val="19"/>
          <w:b w:val="1"/>
          <w:bCs w:val="1"/>
          <w:color w:val="auto"/>
        </w:rPr>
        <w:t>Repayment/Clawback/Recovery</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If Participant is subject to the Company’s Incentive Repayment Policy (the “</w:t>
      </w:r>
      <w:r>
        <w:rPr>
          <w:rFonts w:ascii="Arial" w:cs="Arial" w:eastAsia="Arial" w:hAnsi="Arial"/>
          <w:sz w:val="19"/>
          <w:szCs w:val="19"/>
          <w:b w:val="1"/>
          <w:bCs w:val="1"/>
          <w:i w:val="1"/>
          <w:iCs w:val="1"/>
          <w:color w:val="auto"/>
        </w:rPr>
        <w:t>Repayment Policy</w:t>
      </w:r>
      <w:r>
        <w:rPr>
          <w:rFonts w:ascii="Arial" w:cs="Arial" w:eastAsia="Arial" w:hAnsi="Arial"/>
          <w:sz w:val="19"/>
          <w:szCs w:val="19"/>
          <w:color w:val="auto"/>
        </w:rPr>
        <w:t>”) at any time between the Grant Date and the date the PSUs are settled, any Shares, payment or benefit made under the Award shall be subject to repayment in accordance with the provisions of the Repayment Policy. In addition, any Shares, payment or benefit made under the Award will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B-13</w:t>
      </w:r>
    </w:p>
    <w:p>
      <w:pPr>
        <w:sectPr>
          <w:pgSz w:w="11900" w:h="16838" w:orient="portrait"/>
          <w:cols w:equalWidth="0" w:num="1">
            <w:col w:w="11420"/>
          </w:cols>
          <w:pgMar w:left="240" w:top="12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10.33</w:t>
      </w:r>
    </w:p>
    <w:p>
      <w:pPr>
        <w:spacing w:after="0" w:line="39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B-14</w:t>
      </w:r>
    </w:p>
    <w:p>
      <w:pPr>
        <w:sectPr>
          <w:pgSz w:w="11900" w:h="16838" w:orient="portrait"/>
          <w:cols w:equalWidth="0" w:num="1">
            <w:col w:w="11420"/>
          </w:cols>
          <w:pgMar w:left="240" w:top="12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LONG TERM PERFORMANCE</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RESTRICTED STOCK UNIT AWARD NOTICE</w:t>
      </w: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Appendix A sets forth the performance goals for the performance restricted stock unit award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i w:val="1"/>
          <w:iCs w:val="1"/>
          <w:color w:val="auto"/>
        </w:rPr>
        <w:t>”</w:t>
      </w:r>
      <w:r>
        <w:rPr>
          <w:rFonts w:ascii="Arial" w:cs="Arial" w:eastAsia="Arial" w:hAnsi="Arial"/>
          <w:sz w:val="22"/>
          <w:szCs w:val="22"/>
          <w:color w:val="auto"/>
        </w:rPr>
        <w:t xml:space="preserve">) under the Itron, Inc. Amended and Restated 2010 Stock Incentive Plan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i w:val="1"/>
          <w:iCs w:val="1"/>
          <w:color w:val="auto"/>
        </w:rPr>
        <w:t>”</w:t>
      </w:r>
      <w:r>
        <w:rPr>
          <w:rFonts w:ascii="Arial" w:cs="Arial" w:eastAsia="Arial" w:hAnsi="Arial"/>
          <w:sz w:val="22"/>
          <w:szCs w:val="22"/>
          <w:color w:val="auto"/>
        </w:rPr>
        <w:t xml:space="preserve">) evidenced by the Long Term Performance Restricted Stock Unit Award Agreement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i w:val="1"/>
          <w:iCs w:val="1"/>
          <w:color w:val="auto"/>
        </w:rPr>
        <w:t>”</w:t>
      </w:r>
      <w:r>
        <w:rPr>
          <w:rFonts w:ascii="Arial" w:cs="Arial" w:eastAsia="Arial" w:hAnsi="Arial"/>
          <w:sz w:val="22"/>
          <w:szCs w:val="22"/>
          <w:color w:val="auto"/>
        </w:rPr>
        <w:t>) to which it is attached. Capitalized terms not expressly defined in this Appendix A but defined in the Plan or the Agreement shall have the same definitions as in the Plan and/or the Agreement, as applicable. Please refer to the schedule that is attached to Appendix A for supplemental information explaining the operation of the performance goals applicable to the Award.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The aggregate target number of PSUs for the Performance Period is: </w:t>
      </w:r>
      <w:r>
        <w:rPr>
          <w:rFonts w:ascii="Arial" w:cs="Arial" w:eastAsia="Arial" w:hAnsi="Arial"/>
          <w:sz w:val="19"/>
          <w:szCs w:val="19"/>
          <w:color w:val="FF0000"/>
        </w:rPr>
        <w:t>Number of Awards Granted</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Target PSUs</w:t>
      </w:r>
      <w:r>
        <w:rPr>
          <w:rFonts w:ascii="Arial" w:cs="Arial" w:eastAsia="Arial" w:hAnsi="Arial"/>
          <w:sz w:val="19"/>
          <w:szCs w:val="19"/>
          <w:color w:val="auto"/>
        </w:rPr>
        <w:t>”).</w:t>
      </w:r>
    </w:p>
    <w:p>
      <w:pPr>
        <w:spacing w:after="0" w:line="25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actual number of PSUs that shall vest is based on the level of attainment of a combination of the following two performance goals: non-GAAP Earnings Per Share (“</w:t>
      </w:r>
      <w:r>
        <w:rPr>
          <w:rFonts w:ascii="Arial" w:cs="Arial" w:eastAsia="Arial" w:hAnsi="Arial"/>
          <w:sz w:val="22"/>
          <w:szCs w:val="22"/>
          <w:b w:val="1"/>
          <w:bCs w:val="1"/>
          <w:i w:val="1"/>
          <w:iCs w:val="1"/>
          <w:color w:val="auto"/>
        </w:rPr>
        <w:t>EPS</w:t>
      </w:r>
      <w:r>
        <w:rPr>
          <w:rFonts w:ascii="Arial" w:cs="Arial" w:eastAsia="Arial" w:hAnsi="Arial"/>
          <w:sz w:val="22"/>
          <w:szCs w:val="22"/>
          <w:color w:val="auto"/>
        </w:rPr>
        <w:t>”) of the Company as calculated for purposes of the Company’s earnings release as described in the Company’s public filings and Total Shareholder Return (“</w:t>
      </w:r>
      <w:r>
        <w:rPr>
          <w:rFonts w:ascii="Arial" w:cs="Arial" w:eastAsia="Arial" w:hAnsi="Arial"/>
          <w:sz w:val="22"/>
          <w:szCs w:val="22"/>
          <w:b w:val="1"/>
          <w:bCs w:val="1"/>
          <w:i w:val="1"/>
          <w:iCs w:val="1"/>
          <w:color w:val="auto"/>
        </w:rPr>
        <w:t>TSR</w:t>
      </w:r>
      <w:r>
        <w:rPr>
          <w:rFonts w:ascii="Arial" w:cs="Arial" w:eastAsia="Arial" w:hAnsi="Arial"/>
          <w:sz w:val="22"/>
          <w:szCs w:val="22"/>
          <w:color w:val="auto"/>
        </w:rPr>
        <w:t>”) of the Company during the Performance Period as further described below.</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The total number of PSUs that is eligible to vest under this Award is between 0% - 200% of the Target PSUs based on attainment of the EPS performance goal and the TSR performance goal. The total number of PSUs that will actually vest will be equal to the sum of (i) the EPS-Based Vested PSUs, plus (ii) the product of (x) the TSR Performance Goal Multiplier, multiplied by</w:t>
      </w:r>
    </w:p>
    <w:p>
      <w:pPr>
        <w:spacing w:after="0" w:line="1" w:lineRule="exact"/>
        <w:rPr>
          <w:sz w:val="20"/>
          <w:szCs w:val="20"/>
          <w:color w:val="auto"/>
        </w:rPr>
      </w:pPr>
    </w:p>
    <w:p>
      <w:pPr>
        <w:ind w:left="660" w:right="3560" w:hanging="652"/>
        <w:spacing w:after="0" w:line="506" w:lineRule="auto"/>
        <w:tabs>
          <w:tab w:leader="none" w:pos="318"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EPS-Based Vested PSUs (as these terms are defined and further described below). Any PSUs that vest shall be settled in accordance with Section 4 of the Agreement.</w:t>
      </w:r>
    </w:p>
    <w:p>
      <w:pPr>
        <w:ind w:left="660"/>
        <w:spacing w:after="0"/>
        <w:rPr>
          <w:sz w:val="20"/>
          <w:szCs w:val="20"/>
          <w:color w:val="auto"/>
        </w:rPr>
      </w:pPr>
      <w:r>
        <w:rPr>
          <w:rFonts w:ascii="Arial" w:cs="Arial" w:eastAsia="Arial" w:hAnsi="Arial"/>
          <w:sz w:val="22"/>
          <w:szCs w:val="22"/>
          <w:b w:val="1"/>
          <w:bCs w:val="1"/>
          <w:u w:val="single" w:color="auto"/>
          <w:color w:val="auto"/>
        </w:rPr>
        <w:t>EPS Performance Goal</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 number of PSUs that is equal to between 0% - 160% of the Target PSUs is eligible to vest based on the attainment of EPS performance goals in accordance with the following terms: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An annual “</w:t>
      </w:r>
      <w:r>
        <w:rPr>
          <w:rFonts w:ascii="Arial" w:cs="Arial" w:eastAsia="Arial" w:hAnsi="Arial"/>
          <w:sz w:val="21"/>
          <w:szCs w:val="21"/>
          <w:b w:val="1"/>
          <w:bCs w:val="1"/>
          <w:i w:val="1"/>
          <w:iCs w:val="1"/>
          <w:color w:val="auto"/>
        </w:rPr>
        <w:t>EPS Performance Goal</w:t>
      </w:r>
      <w:r>
        <w:rPr>
          <w:rFonts w:ascii="Arial" w:cs="Arial" w:eastAsia="Arial" w:hAnsi="Arial"/>
          <w:sz w:val="21"/>
          <w:szCs w:val="21"/>
          <w:color w:val="auto"/>
        </w:rPr>
        <w:t>” (including “</w:t>
      </w:r>
      <w:r>
        <w:rPr>
          <w:rFonts w:ascii="Arial" w:cs="Arial" w:eastAsia="Arial" w:hAnsi="Arial"/>
          <w:sz w:val="21"/>
          <w:szCs w:val="21"/>
          <w:b w:val="1"/>
          <w:bCs w:val="1"/>
          <w:i w:val="1"/>
          <w:iCs w:val="1"/>
          <w:color w:val="auto"/>
        </w:rPr>
        <w:t>Threshold Goal</w:t>
      </w:r>
      <w:r>
        <w:rPr>
          <w:rFonts w:ascii="Arial" w:cs="Arial" w:eastAsia="Arial" w:hAnsi="Arial"/>
          <w:sz w:val="21"/>
          <w:szCs w:val="21"/>
          <w:color w:val="auto"/>
        </w:rPr>
        <w:t>” and “</w:t>
      </w:r>
      <w:r>
        <w:rPr>
          <w:rFonts w:ascii="Arial" w:cs="Arial" w:eastAsia="Arial" w:hAnsi="Arial"/>
          <w:sz w:val="21"/>
          <w:szCs w:val="21"/>
          <w:b w:val="1"/>
          <w:bCs w:val="1"/>
          <w:i w:val="1"/>
          <w:iCs w:val="1"/>
          <w:color w:val="auto"/>
        </w:rPr>
        <w:t>Maximum Goal</w:t>
      </w:r>
      <w:r>
        <w:rPr>
          <w:rFonts w:ascii="Arial" w:cs="Arial" w:eastAsia="Arial" w:hAnsi="Arial"/>
          <w:sz w:val="21"/>
          <w:szCs w:val="21"/>
          <w:color w:val="auto"/>
        </w:rPr>
        <w:t>”) shall be established at the beginning of each year for each of the calendar years contained in the Performance Periods (each, an “</w:t>
      </w:r>
      <w:r>
        <w:rPr>
          <w:rFonts w:ascii="Arial" w:cs="Arial" w:eastAsia="Arial" w:hAnsi="Arial"/>
          <w:sz w:val="21"/>
          <w:szCs w:val="21"/>
          <w:b w:val="1"/>
          <w:bCs w:val="1"/>
          <w:i w:val="1"/>
          <w:iCs w:val="1"/>
          <w:color w:val="auto"/>
        </w:rPr>
        <w:t>Annual EPS Performance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Period</w:t>
      </w:r>
      <w:r>
        <w:rPr>
          <w:rFonts w:ascii="Arial" w:cs="Arial" w:eastAsia="Arial" w:hAnsi="Arial"/>
          <w:sz w:val="21"/>
          <w:szCs w:val="21"/>
          <w:color w:val="auto"/>
        </w:rPr>
        <w:t>”). Immediately following the end of each Annual EPS Performance Period, the Plan Administrator shall assess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attainment level of the Company’s EPS against the annual EPS Performance Goal corresponding to the Annual EPS Performance Period and assign a percentage of attainment of between 0% - 160% (with</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B-15</w:t>
      </w:r>
    </w:p>
    <w:p>
      <w:pPr>
        <w:sectPr>
          <w:pgSz w:w="11900" w:h="16838" w:orient="portrait"/>
          <w:cols w:equalWidth="0" w:num="1">
            <w:col w:w="11420"/>
          </w:cols>
          <w:pgMar w:left="240" w:top="12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10.33</w:t>
      </w:r>
    </w:p>
    <w:p>
      <w:pPr>
        <w:spacing w:after="0" w:line="39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attainment between the Threshold Goal and Maximum Goal subject to interpolation). The number of PSUs that is eligible to vest at the end of the Performance Period based on the attainment of the EPS Performance Goal shall be equal to the product of (a) the average of the attainment level of the EPS Performance Goal for each of the Annual EPS Performance Periods contained in the Performance Period (expressed as a percentage), multiplied by (b) the portion of the Target PSUs for the Performance Period (the “</w:t>
      </w:r>
      <w:r>
        <w:rPr>
          <w:rFonts w:ascii="Arial" w:cs="Arial" w:eastAsia="Arial" w:hAnsi="Arial"/>
          <w:sz w:val="22"/>
          <w:szCs w:val="22"/>
          <w:b w:val="1"/>
          <w:bCs w:val="1"/>
          <w:i w:val="1"/>
          <w:iCs w:val="1"/>
          <w:color w:val="auto"/>
        </w:rPr>
        <w:t>EPS-Based Vested PSUs</w:t>
      </w:r>
      <w:r>
        <w:rPr>
          <w:rFonts w:ascii="Arial" w:cs="Arial" w:eastAsia="Arial" w:hAnsi="Arial"/>
          <w:sz w:val="22"/>
          <w:szCs w:val="22"/>
          <w:color w:val="auto"/>
        </w:rPr>
        <w: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 PSUs will become eligible for vesting if the Company’s EPS is below the Threshold Goal.</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TSR Performance Goal Multiplier</w:t>
      </w:r>
      <w:r>
        <w:rPr>
          <w:rFonts w:ascii="Arial" w:cs="Arial" w:eastAsia="Arial" w:hAnsi="Arial"/>
          <w:sz w:val="22"/>
          <w:szCs w:val="22"/>
          <w:b w:val="1"/>
          <w:bCs w:val="1"/>
          <w:color w:val="auto"/>
        </w:rPr>
        <w:t>:</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number of PSUs that is eligible to vest may be greater or less than the number of EPS-Based Vested PSUs depending on the level of attainment of Company TSR performance relative to the TSR attained by companies comprising the Russell 3000 Index (such increase or decrease to the number of PSUs eligible to vest, the “</w:t>
      </w:r>
      <w:r>
        <w:rPr>
          <w:rFonts w:ascii="Arial" w:cs="Arial" w:eastAsia="Arial" w:hAnsi="Arial"/>
          <w:sz w:val="21"/>
          <w:szCs w:val="21"/>
          <w:b w:val="1"/>
          <w:bCs w:val="1"/>
          <w:i w:val="1"/>
          <w:iCs w:val="1"/>
          <w:color w:val="auto"/>
        </w:rPr>
        <w:t>TSR Performance Goal Multiplier</w:t>
      </w:r>
      <w:r>
        <w:rPr>
          <w:rFonts w:ascii="Arial" w:cs="Arial" w:eastAsia="Arial" w:hAnsi="Arial"/>
          <w:sz w:val="21"/>
          <w:szCs w:val="21"/>
          <w:i w:val="1"/>
          <w:iCs w:val="1"/>
          <w:color w:val="auto"/>
        </w:rPr>
        <w:t>,</w:t>
      </w:r>
      <w:r>
        <w:rPr>
          <w:rFonts w:ascii="Arial" w:cs="Arial" w:eastAsia="Arial" w:hAnsi="Arial"/>
          <w:sz w:val="21"/>
          <w:szCs w:val="21"/>
          <w:color w:val="auto"/>
        </w:rPr>
        <w:t>” and the index, the “</w:t>
      </w:r>
      <w:r>
        <w:rPr>
          <w:rFonts w:ascii="Arial" w:cs="Arial" w:eastAsia="Arial" w:hAnsi="Arial"/>
          <w:sz w:val="21"/>
          <w:szCs w:val="21"/>
          <w:b w:val="1"/>
          <w:bCs w:val="1"/>
          <w:i w:val="1"/>
          <w:iCs w:val="1"/>
          <w:color w:val="auto"/>
        </w:rPr>
        <w:t>Peer Group TSR</w:t>
      </w:r>
      <w:r>
        <w:rPr>
          <w:rFonts w:ascii="Arial" w:cs="Arial" w:eastAsia="Arial" w:hAnsi="Arial"/>
          <w:sz w:val="21"/>
          <w:szCs w:val="21"/>
          <w:color w:val="auto"/>
        </w:rPr>
        <w:t>”). For purposes of calculating the Company’s TSR, the value of the Common Stock on the first day of the Performance Period shall be deemed to be the average of the closing price of the Common Stock for the 20 trading days ending on the first trading day of the Performance Period and the value of the Common Stock for the last day of the Performance Period shall be deemed to be the average of the closing price of the Common Stock for the 20 trading days ending on the last trading day of the Performance Period. The TSR Performance Goal Multiplier shall be between 0.75 and 1.25, as determined in accordance with the following schedule:</w:t>
      </w:r>
    </w:p>
    <w:p>
      <w:pPr>
        <w:spacing w:after="0" w:line="180" w:lineRule="exact"/>
        <w:rPr>
          <w:sz w:val="20"/>
          <w:szCs w:val="20"/>
          <w:color w:val="auto"/>
        </w:rPr>
      </w:pPr>
    </w:p>
    <w:p>
      <w:pPr>
        <w:ind w:left="1300" w:hanging="320"/>
        <w:spacing w:after="0" w:line="263" w:lineRule="auto"/>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If Company TSR is at or below the 25% percentile of the Peer Group TSR, the TSR Performance Goal Multiplier shall be equal to 0.75.</w:t>
      </w:r>
    </w:p>
    <w:p>
      <w:pPr>
        <w:spacing w:after="0" w:line="174" w:lineRule="exact"/>
        <w:rPr>
          <w:rFonts w:ascii="Arial" w:cs="Arial" w:eastAsia="Arial" w:hAnsi="Arial"/>
          <w:sz w:val="22"/>
          <w:szCs w:val="22"/>
          <w:color w:val="auto"/>
        </w:rPr>
      </w:pPr>
    </w:p>
    <w:p>
      <w:pPr>
        <w:ind w:left="1300" w:hanging="320"/>
        <w:spacing w:after="0" w:line="263" w:lineRule="auto"/>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If Company TSR is at the 50% percentile of the Peer Group TSR, the TSR Performance Goal Multiplier shall be equal to 1.</w:t>
      </w:r>
    </w:p>
    <w:p>
      <w:pPr>
        <w:spacing w:after="0" w:line="174" w:lineRule="exact"/>
        <w:rPr>
          <w:rFonts w:ascii="Arial" w:cs="Arial" w:eastAsia="Arial" w:hAnsi="Arial"/>
          <w:sz w:val="22"/>
          <w:szCs w:val="22"/>
          <w:color w:val="auto"/>
        </w:rPr>
      </w:pPr>
    </w:p>
    <w:p>
      <w:pPr>
        <w:ind w:left="1300" w:right="20" w:hanging="320"/>
        <w:spacing w:after="0" w:line="263" w:lineRule="auto"/>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If Company TSR is at or above the 75th percentile of the Peer Group TSR, the TSR Performance Goal Multiplier shall be equal to 1.25.</w:t>
      </w:r>
    </w:p>
    <w:p>
      <w:pPr>
        <w:spacing w:after="0" w:line="164" w:lineRule="exact"/>
        <w:rPr>
          <w:rFonts w:ascii="Arial" w:cs="Arial" w:eastAsia="Arial" w:hAnsi="Arial"/>
          <w:sz w:val="22"/>
          <w:szCs w:val="22"/>
          <w:color w:val="auto"/>
        </w:rPr>
      </w:pPr>
    </w:p>
    <w:p>
      <w:pPr>
        <w:ind w:left="1300" w:hanging="320"/>
        <w:spacing w:after="0" w:line="226" w:lineRule="auto"/>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If Company TSR is above the 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or below the 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of the Peer Group TSR, the attainment between the goals shall be subject to interpolation.</w:t>
      </w:r>
    </w:p>
    <w:p>
      <w:pPr>
        <w:spacing w:after="0" w:line="1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performance goals may be adjusted per the 2014 Long-Term Performance Plan Guidelines, as approved by the Plan Administrator, provided that the Plan Administrator may also adjust the performance goals in a manner that would result in a decrease to the number of PSUs that would otherwise become eligible for vesting.</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B-16</w:t>
      </w:r>
    </w:p>
    <w:p>
      <w:pPr>
        <w:sectPr>
          <w:pgSz w:w="11900" w:h="16838" w:orient="portrait"/>
          <w:cols w:equalWidth="0" w:num="1">
            <w:col w:w="11420"/>
          </w:cols>
          <w:pgMar w:left="240" w:top="12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10.33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SCHEDULE TO APPENDIX A</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2018 Long-Term Performance Plan Criteria:</w:t>
      </w:r>
    </w:p>
    <w:p>
      <w:pPr>
        <w:spacing w:after="0" w:line="220" w:lineRule="exact"/>
        <w:rPr>
          <w:sz w:val="20"/>
          <w:szCs w:val="20"/>
          <w:color w:val="auto"/>
        </w:rPr>
      </w:pPr>
    </w:p>
    <w:p>
      <w:pPr>
        <w:ind w:left="660" w:right="420" w:hanging="328"/>
        <w:spacing w:after="0" w:line="394" w:lineRule="auto"/>
        <w:tabs>
          <w:tab w:leader="none" w:pos="660" w:val="left"/>
        </w:tabs>
        <w:numPr>
          <w:ilvl w:val="0"/>
          <w:numId w:val="62"/>
        </w:numPr>
        <w:rPr>
          <w:rFonts w:ascii="Arial" w:cs="Arial" w:eastAsia="Arial" w:hAnsi="Arial"/>
          <w:sz w:val="19"/>
          <w:szCs w:val="19"/>
          <w:color w:val="auto"/>
        </w:rPr>
      </w:pPr>
      <w:r>
        <w:rPr>
          <w:rFonts w:ascii="Arial" w:cs="Arial" w:eastAsia="Arial" w:hAnsi="Arial"/>
          <w:sz w:val="19"/>
          <w:szCs w:val="19"/>
          <w:b w:val="1"/>
          <w:bCs w:val="1"/>
          <w:color w:val="auto"/>
        </w:rPr>
        <w:t>Metrics: Annual Non-GAAP Earnings Per Share (EPS) and a 3 year Total Shareholder Return (TSR) multiplier. Performance against EPS targets averaged over the 3 year term and the TSR modifier applied.</w:t>
      </w:r>
    </w:p>
    <w:p>
      <w:pPr>
        <w:spacing w:after="0" w:line="52" w:lineRule="exact"/>
        <w:rPr>
          <w:rFonts w:ascii="Arial" w:cs="Arial" w:eastAsia="Arial" w:hAnsi="Arial"/>
          <w:sz w:val="19"/>
          <w:szCs w:val="19"/>
          <w:color w:val="auto"/>
        </w:rPr>
      </w:pPr>
    </w:p>
    <w:p>
      <w:pPr>
        <w:ind w:left="660" w:hanging="328"/>
        <w:spacing w:after="0"/>
        <w:tabs>
          <w:tab w:leader="none" w:pos="660"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Award vesting: Immediate vest at end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EPS Metrics: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380" w:type="dxa"/>
            <w:vAlign w:val="bottom"/>
            <w:shd w:val="clear" w:color="auto" w:fill="661DE8"/>
          </w:tcPr>
          <w:p>
            <w:pPr>
              <w:ind w:left="40"/>
              <w:spacing w:after="0"/>
              <w:rPr>
                <w:sz w:val="20"/>
                <w:szCs w:val="20"/>
                <w:color w:val="auto"/>
              </w:rPr>
            </w:pPr>
            <w:r>
              <w:rPr>
                <w:rFonts w:ascii="Arial" w:cs="Arial" w:eastAsia="Arial" w:hAnsi="Arial"/>
                <w:sz w:val="18"/>
                <w:szCs w:val="18"/>
                <w:b w:val="1"/>
                <w:bCs w:val="1"/>
                <w:color w:val="FFFFFF"/>
              </w:rPr>
              <w:t>EPS Performance Metric - 3 Years</w:t>
            </w:r>
          </w:p>
        </w:tc>
        <w:tc>
          <w:tcPr>
            <w:tcW w:w="2200" w:type="dxa"/>
            <w:vAlign w:val="bottom"/>
            <w:shd w:val="clear" w:color="auto" w:fill="661DE8"/>
          </w:tcPr>
          <w:p>
            <w:pPr>
              <w:ind w:left="680"/>
              <w:spacing w:after="0"/>
              <w:rPr>
                <w:sz w:val="20"/>
                <w:szCs w:val="20"/>
                <w:color w:val="auto"/>
              </w:rPr>
            </w:pPr>
            <w:r>
              <w:rPr>
                <w:rFonts w:ascii="Arial" w:cs="Arial" w:eastAsia="Arial" w:hAnsi="Arial"/>
                <w:sz w:val="18"/>
                <w:szCs w:val="18"/>
                <w:b w:val="1"/>
                <w:bCs w:val="1"/>
                <w:color w:val="FFFFFF"/>
              </w:rPr>
              <w:t>Attainment %</w:t>
            </w:r>
          </w:p>
        </w:tc>
        <w:tc>
          <w:tcPr>
            <w:tcW w:w="1380" w:type="dxa"/>
            <w:vAlign w:val="bottom"/>
            <w:shd w:val="clear" w:color="auto" w:fill="661DE8"/>
          </w:tcPr>
          <w:p>
            <w:pPr>
              <w:jc w:val="center"/>
              <w:ind w:right="50"/>
              <w:spacing w:after="0"/>
              <w:rPr>
                <w:sz w:val="20"/>
                <w:szCs w:val="20"/>
                <w:color w:val="auto"/>
              </w:rPr>
            </w:pPr>
            <w:r>
              <w:rPr>
                <w:rFonts w:ascii="Arial" w:cs="Arial" w:eastAsia="Arial" w:hAnsi="Arial"/>
                <w:sz w:val="18"/>
                <w:szCs w:val="18"/>
                <w:b w:val="1"/>
                <w:bCs w:val="1"/>
                <w:color w:val="FFFFFF"/>
                <w:w w:val="89"/>
              </w:rPr>
              <w:t>2018</w:t>
            </w:r>
          </w:p>
        </w:tc>
        <w:tc>
          <w:tcPr>
            <w:tcW w:w="1480" w:type="dxa"/>
            <w:vAlign w:val="bottom"/>
            <w:shd w:val="clear" w:color="auto" w:fill="661DE8"/>
          </w:tcPr>
          <w:p>
            <w:pPr>
              <w:ind w:left="560"/>
              <w:spacing w:after="0"/>
              <w:rPr>
                <w:sz w:val="20"/>
                <w:szCs w:val="20"/>
                <w:color w:val="auto"/>
              </w:rPr>
            </w:pPr>
            <w:r>
              <w:rPr>
                <w:rFonts w:ascii="Arial" w:cs="Arial" w:eastAsia="Arial" w:hAnsi="Arial"/>
                <w:sz w:val="18"/>
                <w:szCs w:val="18"/>
                <w:b w:val="1"/>
                <w:bCs w:val="1"/>
                <w:color w:val="FFFFFF"/>
              </w:rPr>
              <w:t>2019</w:t>
            </w:r>
          </w:p>
        </w:tc>
        <w:tc>
          <w:tcPr>
            <w:tcW w:w="1460" w:type="dxa"/>
            <w:vAlign w:val="bottom"/>
            <w:shd w:val="clear" w:color="auto" w:fill="661DE8"/>
          </w:tcPr>
          <w:p>
            <w:pPr>
              <w:ind w:left="560"/>
              <w:spacing w:after="0"/>
              <w:rPr>
                <w:sz w:val="20"/>
                <w:szCs w:val="20"/>
                <w:color w:val="auto"/>
              </w:rPr>
            </w:pPr>
            <w:r>
              <w:rPr>
                <w:rFonts w:ascii="Arial" w:cs="Arial" w:eastAsia="Arial" w:hAnsi="Arial"/>
                <w:sz w:val="18"/>
                <w:szCs w:val="18"/>
                <w:b w:val="1"/>
                <w:bCs w:val="1"/>
                <w:color w:val="FFFFFF"/>
              </w:rPr>
              <w:t>2020</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Threshold</w:t>
            </w:r>
          </w:p>
        </w:tc>
        <w:tc>
          <w:tcPr>
            <w:tcW w:w="2200" w:type="dxa"/>
            <w:vAlign w:val="bottom"/>
          </w:tcPr>
          <w:p>
            <w:pPr>
              <w:jc w:val="center"/>
              <w:ind w:left="190"/>
              <w:spacing w:after="0"/>
              <w:rPr>
                <w:sz w:val="20"/>
                <w:szCs w:val="20"/>
                <w:color w:val="auto"/>
              </w:rPr>
            </w:pPr>
            <w:r>
              <w:rPr>
                <w:rFonts w:ascii="Arial" w:cs="Arial" w:eastAsia="Arial" w:hAnsi="Arial"/>
                <w:sz w:val="18"/>
                <w:szCs w:val="18"/>
                <w:color w:val="auto"/>
                <w:w w:val="88"/>
              </w:rPr>
              <w:t>50%</w:t>
            </w:r>
          </w:p>
        </w:tc>
        <w:tc>
          <w:tcPr>
            <w:tcW w:w="1380" w:type="dxa"/>
            <w:vAlign w:val="bottom"/>
          </w:tcPr>
          <w:p>
            <w:pPr>
              <w:jc w:val="center"/>
              <w:ind w:right="50"/>
              <w:spacing w:after="0"/>
              <w:rPr>
                <w:sz w:val="20"/>
                <w:szCs w:val="20"/>
                <w:color w:val="auto"/>
              </w:rPr>
            </w:pPr>
            <w:r>
              <w:rPr>
                <w:rFonts w:ascii="Arial" w:cs="Arial" w:eastAsia="Arial" w:hAnsi="Arial"/>
                <w:sz w:val="18"/>
                <w:szCs w:val="18"/>
                <w:color w:val="auto"/>
                <w:w w:val="88"/>
              </w:rPr>
              <w:t>$2.86</w:t>
            </w:r>
          </w:p>
        </w:tc>
        <w:tc>
          <w:tcPr>
            <w:tcW w:w="1480" w:type="dxa"/>
            <w:vAlign w:val="bottom"/>
          </w:tcPr>
          <w:p>
            <w:pPr>
              <w:ind w:left="560"/>
              <w:spacing w:after="0"/>
              <w:rPr>
                <w:sz w:val="20"/>
                <w:szCs w:val="20"/>
                <w:color w:val="auto"/>
              </w:rPr>
            </w:pPr>
            <w:r>
              <w:rPr>
                <w:rFonts w:ascii="Arial" w:cs="Arial" w:eastAsia="Arial" w:hAnsi="Arial"/>
                <w:sz w:val="18"/>
                <w:szCs w:val="18"/>
                <w:color w:val="auto"/>
              </w:rPr>
              <w:t>TBD</w:t>
            </w:r>
          </w:p>
        </w:tc>
        <w:tc>
          <w:tcPr>
            <w:tcW w:w="1460" w:type="dxa"/>
            <w:vAlign w:val="bottom"/>
          </w:tcPr>
          <w:p>
            <w:pPr>
              <w:ind w:left="560"/>
              <w:spacing w:after="0"/>
              <w:rPr>
                <w:sz w:val="20"/>
                <w:szCs w:val="20"/>
                <w:color w:val="auto"/>
              </w:rPr>
            </w:pPr>
            <w:r>
              <w:rPr>
                <w:rFonts w:ascii="Arial" w:cs="Arial" w:eastAsia="Arial" w:hAnsi="Arial"/>
                <w:sz w:val="18"/>
                <w:szCs w:val="18"/>
                <w:color w:val="auto"/>
              </w:rPr>
              <w:t>TBD</w:t>
            </w:r>
          </w:p>
        </w:tc>
      </w:tr>
      <w:tr>
        <w:trPr>
          <w:trHeight w:val="270"/>
        </w:trPr>
        <w:tc>
          <w:tcPr>
            <w:tcW w:w="3380" w:type="dxa"/>
            <w:vAlign w:val="bottom"/>
          </w:tcPr>
          <w:p>
            <w:pPr>
              <w:ind w:left="40"/>
              <w:spacing w:after="0"/>
              <w:rPr>
                <w:sz w:val="20"/>
                <w:szCs w:val="20"/>
                <w:color w:val="auto"/>
              </w:rPr>
            </w:pPr>
            <w:r>
              <w:rPr>
                <w:rFonts w:ascii="Arial" w:cs="Arial" w:eastAsia="Arial" w:hAnsi="Arial"/>
                <w:sz w:val="18"/>
                <w:szCs w:val="18"/>
                <w:color w:val="auto"/>
              </w:rPr>
              <w:t>Budget/Target</w:t>
            </w:r>
          </w:p>
        </w:tc>
        <w:tc>
          <w:tcPr>
            <w:tcW w:w="2200" w:type="dxa"/>
            <w:vAlign w:val="bottom"/>
          </w:tcPr>
          <w:p>
            <w:pPr>
              <w:jc w:val="center"/>
              <w:ind w:left="210"/>
              <w:spacing w:after="0"/>
              <w:rPr>
                <w:sz w:val="20"/>
                <w:szCs w:val="20"/>
                <w:color w:val="auto"/>
              </w:rPr>
            </w:pPr>
            <w:r>
              <w:rPr>
                <w:rFonts w:ascii="Arial" w:cs="Arial" w:eastAsia="Arial" w:hAnsi="Arial"/>
                <w:sz w:val="18"/>
                <w:szCs w:val="18"/>
                <w:color w:val="auto"/>
                <w:w w:val="91"/>
              </w:rPr>
              <w:t>100%</w:t>
            </w:r>
          </w:p>
        </w:tc>
        <w:tc>
          <w:tcPr>
            <w:tcW w:w="1380" w:type="dxa"/>
            <w:vAlign w:val="bottom"/>
          </w:tcPr>
          <w:p>
            <w:pPr>
              <w:jc w:val="center"/>
              <w:ind w:right="50"/>
              <w:spacing w:after="0"/>
              <w:rPr>
                <w:sz w:val="20"/>
                <w:szCs w:val="20"/>
                <w:color w:val="auto"/>
              </w:rPr>
            </w:pPr>
            <w:r>
              <w:rPr>
                <w:rFonts w:ascii="Arial" w:cs="Arial" w:eastAsia="Arial" w:hAnsi="Arial"/>
                <w:sz w:val="18"/>
                <w:szCs w:val="18"/>
                <w:color w:val="auto"/>
                <w:w w:val="88"/>
              </w:rPr>
              <w:t>$3.33</w:t>
            </w:r>
          </w:p>
        </w:tc>
        <w:tc>
          <w:tcPr>
            <w:tcW w:w="1480" w:type="dxa"/>
            <w:vAlign w:val="bottom"/>
          </w:tcPr>
          <w:p>
            <w:pPr>
              <w:ind w:left="560"/>
              <w:spacing w:after="0"/>
              <w:rPr>
                <w:sz w:val="20"/>
                <w:szCs w:val="20"/>
                <w:color w:val="auto"/>
              </w:rPr>
            </w:pPr>
            <w:r>
              <w:rPr>
                <w:rFonts w:ascii="Arial" w:cs="Arial" w:eastAsia="Arial" w:hAnsi="Arial"/>
                <w:sz w:val="18"/>
                <w:szCs w:val="18"/>
                <w:color w:val="auto"/>
              </w:rPr>
              <w:t>TBD</w:t>
            </w:r>
          </w:p>
        </w:tc>
        <w:tc>
          <w:tcPr>
            <w:tcW w:w="1460" w:type="dxa"/>
            <w:vAlign w:val="bottom"/>
          </w:tcPr>
          <w:p>
            <w:pPr>
              <w:ind w:left="560"/>
              <w:spacing w:after="0"/>
              <w:rPr>
                <w:sz w:val="20"/>
                <w:szCs w:val="20"/>
                <w:color w:val="auto"/>
              </w:rPr>
            </w:pPr>
            <w:r>
              <w:rPr>
                <w:rFonts w:ascii="Arial" w:cs="Arial" w:eastAsia="Arial" w:hAnsi="Arial"/>
                <w:sz w:val="18"/>
                <w:szCs w:val="18"/>
                <w:color w:val="auto"/>
              </w:rPr>
              <w:t>TBD</w:t>
            </w:r>
          </w:p>
        </w:tc>
      </w:tr>
      <w:tr>
        <w:trPr>
          <w:trHeight w:val="270"/>
        </w:trPr>
        <w:tc>
          <w:tcPr>
            <w:tcW w:w="3380" w:type="dxa"/>
            <w:vAlign w:val="bottom"/>
          </w:tcPr>
          <w:p>
            <w:pPr>
              <w:ind w:left="40"/>
              <w:spacing w:after="0"/>
              <w:rPr>
                <w:sz w:val="20"/>
                <w:szCs w:val="20"/>
                <w:color w:val="auto"/>
              </w:rPr>
            </w:pPr>
            <w:r>
              <w:rPr>
                <w:rFonts w:ascii="Arial" w:cs="Arial" w:eastAsia="Arial" w:hAnsi="Arial"/>
                <w:sz w:val="18"/>
                <w:szCs w:val="18"/>
                <w:color w:val="auto"/>
              </w:rPr>
              <w:t>Maximum</w:t>
            </w:r>
          </w:p>
        </w:tc>
        <w:tc>
          <w:tcPr>
            <w:tcW w:w="2200" w:type="dxa"/>
            <w:vAlign w:val="bottom"/>
          </w:tcPr>
          <w:p>
            <w:pPr>
              <w:jc w:val="center"/>
              <w:ind w:left="210"/>
              <w:spacing w:after="0"/>
              <w:rPr>
                <w:sz w:val="20"/>
                <w:szCs w:val="20"/>
                <w:color w:val="auto"/>
              </w:rPr>
            </w:pPr>
            <w:r>
              <w:rPr>
                <w:rFonts w:ascii="Arial" w:cs="Arial" w:eastAsia="Arial" w:hAnsi="Arial"/>
                <w:sz w:val="18"/>
                <w:szCs w:val="18"/>
                <w:color w:val="auto"/>
                <w:w w:val="91"/>
              </w:rPr>
              <w:t>160%</w:t>
            </w:r>
          </w:p>
        </w:tc>
        <w:tc>
          <w:tcPr>
            <w:tcW w:w="1380" w:type="dxa"/>
            <w:vAlign w:val="bottom"/>
          </w:tcPr>
          <w:p>
            <w:pPr>
              <w:jc w:val="center"/>
              <w:ind w:right="50"/>
              <w:spacing w:after="0"/>
              <w:rPr>
                <w:sz w:val="20"/>
                <w:szCs w:val="20"/>
                <w:color w:val="auto"/>
              </w:rPr>
            </w:pPr>
            <w:r>
              <w:rPr>
                <w:rFonts w:ascii="Arial" w:cs="Arial" w:eastAsia="Arial" w:hAnsi="Arial"/>
                <w:sz w:val="18"/>
                <w:szCs w:val="18"/>
                <w:color w:val="auto"/>
                <w:w w:val="88"/>
              </w:rPr>
              <w:t>$3.66</w:t>
            </w:r>
          </w:p>
        </w:tc>
        <w:tc>
          <w:tcPr>
            <w:tcW w:w="1480" w:type="dxa"/>
            <w:vAlign w:val="bottom"/>
          </w:tcPr>
          <w:p>
            <w:pPr>
              <w:ind w:left="560"/>
              <w:spacing w:after="0"/>
              <w:rPr>
                <w:sz w:val="20"/>
                <w:szCs w:val="20"/>
                <w:color w:val="auto"/>
              </w:rPr>
            </w:pPr>
            <w:r>
              <w:rPr>
                <w:rFonts w:ascii="Arial" w:cs="Arial" w:eastAsia="Arial" w:hAnsi="Arial"/>
                <w:sz w:val="18"/>
                <w:szCs w:val="18"/>
                <w:color w:val="auto"/>
              </w:rPr>
              <w:t>TBD</w:t>
            </w:r>
          </w:p>
        </w:tc>
        <w:tc>
          <w:tcPr>
            <w:tcW w:w="1460" w:type="dxa"/>
            <w:vAlign w:val="bottom"/>
          </w:tcPr>
          <w:p>
            <w:pPr>
              <w:ind w:left="560"/>
              <w:spacing w:after="0"/>
              <w:rPr>
                <w:sz w:val="20"/>
                <w:szCs w:val="20"/>
                <w:color w:val="auto"/>
              </w:rPr>
            </w:pPr>
            <w:r>
              <w:rPr>
                <w:rFonts w:ascii="Arial" w:cs="Arial" w:eastAsia="Arial" w:hAnsi="Arial"/>
                <w:sz w:val="18"/>
                <w:szCs w:val="18"/>
                <w:color w:val="auto"/>
              </w:rPr>
              <w:t>TBD</w:t>
            </w:r>
          </w:p>
        </w:tc>
      </w:tr>
    </w:tbl>
    <w:p>
      <w:pPr>
        <w:spacing w:after="0" w:line="235"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EPS threshold, target and maximum for the 2019 and 2020 time period will be established, reviewed and approved by the Board of Directors during the applicable fiscal year planning process.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Three Year EPS Multiplier:</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380" w:type="dxa"/>
            <w:vAlign w:val="bottom"/>
            <w:shd w:val="clear" w:color="auto" w:fill="661DE8"/>
          </w:tcPr>
          <w:p>
            <w:pPr>
              <w:ind w:left="1240"/>
              <w:spacing w:after="0"/>
              <w:rPr>
                <w:sz w:val="20"/>
                <w:szCs w:val="20"/>
                <w:color w:val="auto"/>
              </w:rPr>
            </w:pPr>
            <w:r>
              <w:rPr>
                <w:rFonts w:ascii="Arial" w:cs="Arial" w:eastAsia="Arial" w:hAnsi="Arial"/>
                <w:sz w:val="18"/>
                <w:szCs w:val="18"/>
                <w:b w:val="1"/>
                <w:bCs w:val="1"/>
                <w:color w:val="FFFFFF"/>
              </w:rPr>
              <w:t>Attainment Level</w:t>
            </w:r>
          </w:p>
        </w:tc>
        <w:tc>
          <w:tcPr>
            <w:tcW w:w="2200" w:type="dxa"/>
            <w:vAlign w:val="bottom"/>
            <w:shd w:val="clear" w:color="auto" w:fill="661DE8"/>
          </w:tcPr>
          <w:p>
            <w:pPr>
              <w:ind w:left="800"/>
              <w:spacing w:after="0"/>
              <w:rPr>
                <w:sz w:val="20"/>
                <w:szCs w:val="20"/>
                <w:color w:val="auto"/>
              </w:rPr>
            </w:pPr>
            <w:r>
              <w:rPr>
                <w:rFonts w:ascii="Arial" w:cs="Arial" w:eastAsia="Arial" w:hAnsi="Arial"/>
                <w:sz w:val="18"/>
                <w:szCs w:val="18"/>
                <w:b w:val="1"/>
                <w:bCs w:val="1"/>
                <w:color w:val="FFFFFF"/>
              </w:rPr>
              <w:t>Multiplier</w:t>
            </w:r>
          </w:p>
        </w:tc>
        <w:tc>
          <w:tcPr>
            <w:tcW w:w="5300" w:type="dxa"/>
            <w:vAlign w:val="bottom"/>
            <w:shd w:val="clear" w:color="auto" w:fill="661DE8"/>
          </w:tcPr>
          <w:p>
            <w:pPr>
              <w:jc w:val="center"/>
              <w:ind w:right="150"/>
              <w:spacing w:after="0"/>
              <w:rPr>
                <w:sz w:val="20"/>
                <w:szCs w:val="20"/>
                <w:color w:val="auto"/>
              </w:rPr>
            </w:pPr>
            <w:r>
              <w:rPr>
                <w:rFonts w:ascii="Arial" w:cs="Arial" w:eastAsia="Arial" w:hAnsi="Arial"/>
                <w:sz w:val="18"/>
                <w:szCs w:val="18"/>
                <w:b w:val="1"/>
                <w:bCs w:val="1"/>
                <w:color w:val="FFFFFF"/>
                <w:w w:val="90"/>
              </w:rPr>
              <w:t>Relative Ranking vs. Russell 3000 (3-Year Period)</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Threshold</w:t>
            </w:r>
          </w:p>
        </w:tc>
        <w:tc>
          <w:tcPr>
            <w:tcW w:w="2200" w:type="dxa"/>
            <w:vAlign w:val="bottom"/>
          </w:tcPr>
          <w:p>
            <w:pPr>
              <w:jc w:val="center"/>
              <w:ind w:left="110"/>
              <w:spacing w:after="0"/>
              <w:rPr>
                <w:sz w:val="20"/>
                <w:szCs w:val="20"/>
                <w:color w:val="auto"/>
              </w:rPr>
            </w:pPr>
            <w:r>
              <w:rPr>
                <w:rFonts w:ascii="Arial" w:cs="Arial" w:eastAsia="Arial" w:hAnsi="Arial"/>
                <w:sz w:val="18"/>
                <w:szCs w:val="18"/>
                <w:color w:val="auto"/>
                <w:w w:val="91"/>
              </w:rPr>
              <w:t>0.75</w:t>
            </w:r>
          </w:p>
        </w:tc>
        <w:tc>
          <w:tcPr>
            <w:tcW w:w="5300" w:type="dxa"/>
            <w:vAlign w:val="bottom"/>
          </w:tcPr>
          <w:p>
            <w:pPr>
              <w:jc w:val="center"/>
              <w:ind w:right="150"/>
              <w:spacing w:after="0"/>
              <w:rPr>
                <w:sz w:val="20"/>
                <w:szCs w:val="20"/>
                <w:color w:val="auto"/>
              </w:rPr>
            </w:pPr>
            <w:r>
              <w:rPr>
                <w:rFonts w:ascii="Arial" w:cs="Arial" w:eastAsia="Arial" w:hAnsi="Arial"/>
                <w:sz w:val="18"/>
                <w:szCs w:val="18"/>
                <w:color w:val="auto"/>
                <w:w w:val="91"/>
              </w:rPr>
              <w:t>25th Percentile</w:t>
            </w:r>
          </w:p>
        </w:tc>
      </w:tr>
      <w:tr>
        <w:trPr>
          <w:trHeight w:val="270"/>
        </w:trPr>
        <w:tc>
          <w:tcPr>
            <w:tcW w:w="3380" w:type="dxa"/>
            <w:vAlign w:val="bottom"/>
          </w:tcPr>
          <w:p>
            <w:pPr>
              <w:ind w:left="40"/>
              <w:spacing w:after="0"/>
              <w:rPr>
                <w:sz w:val="20"/>
                <w:szCs w:val="20"/>
                <w:color w:val="auto"/>
              </w:rPr>
            </w:pPr>
            <w:r>
              <w:rPr>
                <w:rFonts w:ascii="Arial" w:cs="Arial" w:eastAsia="Arial" w:hAnsi="Arial"/>
                <w:sz w:val="18"/>
                <w:szCs w:val="18"/>
                <w:color w:val="auto"/>
              </w:rPr>
              <w:t>Target</w:t>
            </w:r>
          </w:p>
        </w:tc>
        <w:tc>
          <w:tcPr>
            <w:tcW w:w="2200" w:type="dxa"/>
            <w:vAlign w:val="bottom"/>
          </w:tcPr>
          <w:p>
            <w:pPr>
              <w:jc w:val="center"/>
              <w:ind w:left="110"/>
              <w:spacing w:after="0"/>
              <w:rPr>
                <w:sz w:val="20"/>
                <w:szCs w:val="20"/>
                <w:color w:val="auto"/>
              </w:rPr>
            </w:pPr>
            <w:r>
              <w:rPr>
                <w:rFonts w:ascii="Arial" w:cs="Arial" w:eastAsia="Arial" w:hAnsi="Arial"/>
                <w:sz w:val="18"/>
                <w:szCs w:val="18"/>
                <w:color w:val="auto"/>
                <w:w w:val="79"/>
              </w:rPr>
              <w:t>1</w:t>
            </w:r>
          </w:p>
        </w:tc>
        <w:tc>
          <w:tcPr>
            <w:tcW w:w="5300" w:type="dxa"/>
            <w:vAlign w:val="bottom"/>
          </w:tcPr>
          <w:p>
            <w:pPr>
              <w:jc w:val="center"/>
              <w:ind w:right="150"/>
              <w:spacing w:after="0"/>
              <w:rPr>
                <w:sz w:val="20"/>
                <w:szCs w:val="20"/>
                <w:color w:val="auto"/>
              </w:rPr>
            </w:pPr>
            <w:r>
              <w:rPr>
                <w:rFonts w:ascii="Arial" w:cs="Arial" w:eastAsia="Arial" w:hAnsi="Arial"/>
                <w:sz w:val="18"/>
                <w:szCs w:val="18"/>
                <w:color w:val="auto"/>
                <w:w w:val="91"/>
              </w:rPr>
              <w:t>50th Percentile</w:t>
            </w:r>
          </w:p>
        </w:tc>
      </w:tr>
      <w:tr>
        <w:trPr>
          <w:trHeight w:val="270"/>
        </w:trPr>
        <w:tc>
          <w:tcPr>
            <w:tcW w:w="3380" w:type="dxa"/>
            <w:vAlign w:val="bottom"/>
          </w:tcPr>
          <w:p>
            <w:pPr>
              <w:ind w:left="40"/>
              <w:spacing w:after="0"/>
              <w:rPr>
                <w:sz w:val="20"/>
                <w:szCs w:val="20"/>
                <w:color w:val="auto"/>
              </w:rPr>
            </w:pPr>
            <w:r>
              <w:rPr>
                <w:rFonts w:ascii="Arial" w:cs="Arial" w:eastAsia="Arial" w:hAnsi="Arial"/>
                <w:sz w:val="18"/>
                <w:szCs w:val="18"/>
                <w:color w:val="auto"/>
              </w:rPr>
              <w:t>Maximum</w:t>
            </w:r>
          </w:p>
        </w:tc>
        <w:tc>
          <w:tcPr>
            <w:tcW w:w="2200" w:type="dxa"/>
            <w:vAlign w:val="bottom"/>
          </w:tcPr>
          <w:p>
            <w:pPr>
              <w:jc w:val="center"/>
              <w:ind w:left="110"/>
              <w:spacing w:after="0"/>
              <w:rPr>
                <w:sz w:val="20"/>
                <w:szCs w:val="20"/>
                <w:color w:val="auto"/>
              </w:rPr>
            </w:pPr>
            <w:r>
              <w:rPr>
                <w:rFonts w:ascii="Arial" w:cs="Arial" w:eastAsia="Arial" w:hAnsi="Arial"/>
                <w:sz w:val="18"/>
                <w:szCs w:val="18"/>
                <w:color w:val="auto"/>
                <w:w w:val="91"/>
              </w:rPr>
              <w:t>1.25</w:t>
            </w:r>
          </w:p>
        </w:tc>
        <w:tc>
          <w:tcPr>
            <w:tcW w:w="5300" w:type="dxa"/>
            <w:vAlign w:val="bottom"/>
          </w:tcPr>
          <w:p>
            <w:pPr>
              <w:jc w:val="center"/>
              <w:ind w:right="150"/>
              <w:spacing w:after="0"/>
              <w:rPr>
                <w:sz w:val="20"/>
                <w:szCs w:val="20"/>
                <w:color w:val="auto"/>
              </w:rPr>
            </w:pPr>
            <w:r>
              <w:rPr>
                <w:rFonts w:ascii="Arial" w:cs="Arial" w:eastAsia="Arial" w:hAnsi="Arial"/>
                <w:sz w:val="18"/>
                <w:szCs w:val="18"/>
                <w:color w:val="auto"/>
                <w:w w:val="90"/>
              </w:rPr>
              <w:t>≥ 75th Percentile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B-17</w:t>
      </w:r>
    </w:p>
    <w:p>
      <w:pPr>
        <w:sectPr>
          <w:pgSz w:w="11900" w:h="16838" w:orient="portrait"/>
          <w:cols w:equalWidth="0" w:num="1">
            <w:col w:w="11420"/>
          </w:cols>
          <w:pgMar w:left="240" w:top="12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APPENDIX B</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Restrictive Covenants</w:t>
      </w:r>
    </w:p>
    <w:p>
      <w:pPr>
        <w:spacing w:after="0" w:line="200" w:lineRule="exact"/>
        <w:rPr>
          <w:sz w:val="20"/>
          <w:szCs w:val="20"/>
          <w:color w:val="auto"/>
        </w:rPr>
      </w:pPr>
    </w:p>
    <w:p>
      <w:pPr>
        <w:spacing w:after="0" w:line="298" w:lineRule="exact"/>
        <w:rPr>
          <w:sz w:val="20"/>
          <w:szCs w:val="20"/>
          <w:color w:val="auto"/>
        </w:rPr>
      </w:pPr>
    </w:p>
    <w:p>
      <w:pPr>
        <w:jc w:val="both"/>
        <w:ind w:firstLine="1305"/>
        <w:spacing w:after="0" w:line="328" w:lineRule="auto"/>
        <w:tabs>
          <w:tab w:leader="none" w:pos="1801" w:val="left"/>
        </w:tabs>
        <w:numPr>
          <w:ilvl w:val="0"/>
          <w:numId w:val="63"/>
        </w:numPr>
        <w:rPr>
          <w:rFonts w:ascii="Arial" w:cs="Arial" w:eastAsia="Arial" w:hAnsi="Arial"/>
          <w:sz w:val="19"/>
          <w:szCs w:val="19"/>
          <w:color w:val="auto"/>
        </w:rPr>
      </w:pPr>
      <w:r>
        <w:rPr>
          <w:rFonts w:ascii="Arial" w:cs="Arial" w:eastAsia="Arial" w:hAnsi="Arial"/>
          <w:sz w:val="19"/>
          <w:szCs w:val="19"/>
          <w:b w:val="1"/>
          <w:bCs w:val="1"/>
          <w:u w:val="single" w:color="auto"/>
          <w:color w:val="auto"/>
        </w:rPr>
        <w:t>Confidential Information</w:t>
      </w:r>
      <w:r>
        <w:rPr>
          <w:rFonts w:ascii="Arial" w:cs="Arial" w:eastAsia="Arial" w:hAnsi="Arial"/>
          <w:sz w:val="19"/>
          <w:szCs w:val="19"/>
          <w:color w:val="auto"/>
        </w:rPr>
        <w:t>. The person entering into the Agreement with the Company (the “</w:t>
      </w:r>
      <w:r>
        <w:rPr>
          <w:rFonts w:ascii="Arial" w:cs="Arial" w:eastAsia="Arial" w:hAnsi="Arial"/>
          <w:sz w:val="19"/>
          <w:szCs w:val="19"/>
          <w:b w:val="1"/>
          <w:bCs w:val="1"/>
          <w:color w:val="auto"/>
        </w:rPr>
        <w:t>Participant</w:t>
      </w:r>
      <w:r>
        <w:rPr>
          <w:rFonts w:ascii="Arial" w:cs="Arial" w:eastAsia="Arial" w:hAnsi="Arial"/>
          <w:sz w:val="19"/>
          <w:szCs w:val="19"/>
          <w:color w:val="auto"/>
        </w:rPr>
        <w:t>”) shall</w:t>
      </w:r>
      <w:r>
        <w:rPr>
          <w:rFonts w:ascii="Arial" w:cs="Arial" w:eastAsia="Arial" w:hAnsi="Arial"/>
          <w:sz w:val="19"/>
          <w:szCs w:val="19"/>
          <w:b w:val="1"/>
          <w:bCs w:val="1"/>
          <w:color w:val="auto"/>
        </w:rPr>
        <w:t xml:space="preserve"> </w:t>
      </w:r>
      <w:r>
        <w:rPr>
          <w:rFonts w:ascii="Arial" w:cs="Arial" w:eastAsia="Arial" w:hAnsi="Arial"/>
          <w:sz w:val="19"/>
          <w:szCs w:val="19"/>
          <w:color w:val="auto"/>
        </w:rPr>
        <w:t>hold in a fiduciary capacity for the benefit of the Company and its Subsidiaries (collectively, the “</w:t>
      </w:r>
      <w:r>
        <w:rPr>
          <w:rFonts w:ascii="Arial" w:cs="Arial" w:eastAsia="Arial" w:hAnsi="Arial"/>
          <w:sz w:val="19"/>
          <w:szCs w:val="19"/>
          <w:b w:val="1"/>
          <w:bCs w:val="1"/>
          <w:color w:val="auto"/>
        </w:rPr>
        <w:t>Affiliated Group</w:t>
      </w:r>
      <w:r>
        <w:rPr>
          <w:rFonts w:ascii="Arial" w:cs="Arial" w:eastAsia="Arial" w:hAnsi="Arial"/>
          <w:sz w:val="19"/>
          <w:szCs w:val="19"/>
          <w:color w:val="auto"/>
        </w:rPr>
        <w:t>”), all secret or confidential information, knowledge or data relating to the Affiliated Group and its businesses (including, without limitation, any proprietary and not publicly available information concerning any processes, methods, trade secrets, research or secret data, costs, names of users or purchasers of their respective products or services, business methods, operating procedures or programs or methods of promotion and sale) that the Participant obtains during the Participant’s employment that is not public knowledge (other than as a result of the Participant’s violation of this Section (a))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The Participant shall not communicate, divulge or disseminate Confidential Information at any time during or after the Participant’s employment, except with the prior written consent of the Company, or as otherwise required by law or legal process, or as may be required in the course of the Participant performing his or her duties and responsibilities with the Affiliated Group; provided, however, that no Company policies or practices, including the sections addressing confidentiality obligations, is intended to or shall limit, prevent, impede or interfere in any way with an employee's right, without prior notice to the Company, to provide information to the government, participate in investigations, testify in proceedings regarding the Company's past or future conduct, or engage in any activities protected under whistle blower statutes. Pursuant to the Defend Trade Secrets Act of 2016, an employee shall not be held criminally, or civilly, liable under any Federal or State Trade secret law for the disclosure of a trade secret that is made in confidence either directly or indirectly to a Federal, State, or local government official, or an attorney, for the sole purpose of reporting, or investigating, a violation of law. Moreover, employees may disclose trade secrets in a complaint, or other document, filed in a lawsuit, or other proceeding, if such filing is made under seal. Finally, an employee who files a lawsuit alleging retaliation by the company for reporting a suspected violation of the law may disclose the trade secret to the attorney of the employee and use the trade secret in the court proceeding, if the employee: files any document containing the trade secret under seal and does not disclose the trade secret, except pursuant to court order. Upon his or her termination of employment for any reason, the Participant shall promptly return to the Company all records, files, memoranda, correspondence, notebooks, notes, reports, customer lists, drawings, plans, documents, and other documents and the like relating to the business of the Affiliated Group or containing any trade secrets relating to the Affiliated Group or that the Participant uses, prepares or comes into contact with during the course of the Participant’s employment with the Affiliated Group, and all keys, credit cards and passes, and such materials shall remain the sole property of the Affiliated Group. The Participant agrees to execute any standard-form confidentiality agreements with the Company that the Company in the future generally enters into with similarly situated employees.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B-18</w:t>
      </w:r>
    </w:p>
    <w:p>
      <w:pPr>
        <w:sectPr>
          <w:pgSz w:w="11900" w:h="16838" w:orient="portrait"/>
          <w:cols w:equalWidth="0" w:num="1">
            <w:col w:w="11420"/>
          </w:cols>
          <w:pgMar w:left="24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1305"/>
        <w:spacing w:after="0" w:line="314" w:lineRule="auto"/>
        <w:tabs>
          <w:tab w:leader="none" w:pos="1603" w:val="left"/>
        </w:tabs>
        <w:numPr>
          <w:ilvl w:val="0"/>
          <w:numId w:val="64"/>
        </w:numPr>
        <w:rPr>
          <w:rFonts w:ascii="Arial" w:cs="Arial" w:eastAsia="Arial" w:hAnsi="Arial"/>
          <w:sz w:val="20"/>
          <w:szCs w:val="20"/>
          <w:color w:val="auto"/>
        </w:rPr>
      </w:pPr>
      <w:r>
        <w:rPr>
          <w:rFonts w:ascii="Arial" w:cs="Arial" w:eastAsia="Arial" w:hAnsi="Arial"/>
          <w:sz w:val="20"/>
          <w:szCs w:val="20"/>
          <w:b w:val="1"/>
          <w:bCs w:val="1"/>
          <w:u w:val="single" w:color="auto"/>
          <w:color w:val="auto"/>
        </w:rPr>
        <w:t>Non-Recruitment of Affiliated Group Employees</w:t>
      </w:r>
      <w:r>
        <w:rPr>
          <w:rFonts w:ascii="Arial" w:cs="Arial" w:eastAsia="Arial" w:hAnsi="Arial"/>
          <w:sz w:val="20"/>
          <w:szCs w:val="20"/>
          <w:color w:val="auto"/>
        </w:rPr>
        <w:t>. The Participant acknowledges that employees are a significant</w:t>
      </w:r>
      <w:r>
        <w:rPr>
          <w:rFonts w:ascii="Arial" w:cs="Arial" w:eastAsia="Arial" w:hAnsi="Arial"/>
          <w:sz w:val="20"/>
          <w:szCs w:val="20"/>
          <w:b w:val="1"/>
          <w:bCs w:val="1"/>
          <w:color w:val="auto"/>
        </w:rPr>
        <w:t xml:space="preserve"> </w:t>
      </w:r>
      <w:r>
        <w:rPr>
          <w:rFonts w:ascii="Arial" w:cs="Arial" w:eastAsia="Arial" w:hAnsi="Arial"/>
          <w:sz w:val="20"/>
          <w:szCs w:val="20"/>
          <w:color w:val="auto"/>
        </w:rPr>
        <w:t>part of the goodwill of the Affiliated Group, such as, without limitation, their relationships and contacts with customers and suppliers as well as the training and knowledge they receive from the Affiliated Group in the course of their employment. The Participant shall not, at any time during the Non-solicitation Period (as defined below), without the prior written consent of the Company, directly or indirectly, solicit, recruit, or employ (whether as an employee, officer, agent, consultant or independent contractor) any person who is or was at any time during the previous 12 months, an employee, representative, officer or director of any member of the Affiliated Group. Further, during the Non-solicitation Period, the Participant shall not take any action that could reasonably be expected to have the effect of directly encouraging or inducing any person to cease their relationship with any member of the Affiliated Group for any reason. A general employment advertisement by an entity of which the Participant is a part will not constitute solicitation or recruitment. The “</w:t>
      </w:r>
      <w:r>
        <w:rPr>
          <w:rFonts w:ascii="Arial" w:cs="Arial" w:eastAsia="Arial" w:hAnsi="Arial"/>
          <w:sz w:val="20"/>
          <w:szCs w:val="20"/>
          <w:b w:val="1"/>
          <w:bCs w:val="1"/>
          <w:color w:val="auto"/>
        </w:rPr>
        <w:t>Non-solicitation Period</w:t>
      </w:r>
      <w:r>
        <w:rPr>
          <w:rFonts w:ascii="Arial" w:cs="Arial" w:eastAsia="Arial" w:hAnsi="Arial"/>
          <w:sz w:val="20"/>
          <w:szCs w:val="20"/>
          <w:color w:val="auto"/>
        </w:rPr>
        <w:t>” shall mean the period from the Date of Grant through the first anniversary of the Participant’s termination of employment.</w:t>
      </w:r>
    </w:p>
    <w:p>
      <w:pPr>
        <w:spacing w:after="0" w:line="174" w:lineRule="exact"/>
        <w:rPr>
          <w:rFonts w:ascii="Arial" w:cs="Arial" w:eastAsia="Arial" w:hAnsi="Arial"/>
          <w:sz w:val="20"/>
          <w:szCs w:val="20"/>
          <w:color w:val="auto"/>
        </w:rPr>
      </w:pPr>
    </w:p>
    <w:p>
      <w:pPr>
        <w:jc w:val="both"/>
        <w:ind w:firstLine="1305"/>
        <w:spacing w:after="0" w:line="330" w:lineRule="auto"/>
        <w:tabs>
          <w:tab w:leader="none" w:pos="1619" w:val="left"/>
        </w:tabs>
        <w:numPr>
          <w:ilvl w:val="0"/>
          <w:numId w:val="64"/>
        </w:numPr>
        <w:rPr>
          <w:rFonts w:ascii="Arial" w:cs="Arial" w:eastAsia="Arial" w:hAnsi="Arial"/>
          <w:sz w:val="19"/>
          <w:szCs w:val="19"/>
          <w:color w:val="auto"/>
        </w:rPr>
      </w:pPr>
      <w:r>
        <w:rPr>
          <w:rFonts w:ascii="Arial" w:cs="Arial" w:eastAsia="Arial" w:hAnsi="Arial"/>
          <w:sz w:val="19"/>
          <w:szCs w:val="19"/>
          <w:b w:val="1"/>
          <w:bCs w:val="1"/>
          <w:u w:val="single" w:color="auto"/>
          <w:color w:val="auto"/>
        </w:rPr>
        <w:t>Non-Competition – Solicitation of Business</w:t>
      </w:r>
      <w:r>
        <w:rPr>
          <w:rFonts w:ascii="Arial" w:cs="Arial" w:eastAsia="Arial" w:hAnsi="Arial"/>
          <w:sz w:val="19"/>
          <w:szCs w:val="19"/>
          <w:color w:val="auto"/>
        </w:rPr>
        <w:t>. Participant recognizes and agrees that the Affiliated Group has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Confidential Information to Participant and has an interest in protecting this information from disclosure. Participant further understands that the goodwill of the Affiliated Group is an interest worthy of protection. For the protection of these and other interests, during the Non-competition Period (as defined below), the Participant shall not, either directly or indirectly, compete with the business of the Affiliated Group by (i) becoming 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 is not publicly traded) in any Competitive Business (as defined below), or (ii) soliciting, servicing, or accepting the business of (A) any active customer of any member of the Affiliated Group, or (B) any person or entity who is or was at any time during the previous twelve months a customer of any member of the Affiliated Group, provided that such business is competitive with any significant business of any member of the Affiliated Group. “</w:t>
      </w:r>
      <w:r>
        <w:rPr>
          <w:rFonts w:ascii="Arial" w:cs="Arial" w:eastAsia="Arial" w:hAnsi="Arial"/>
          <w:sz w:val="19"/>
          <w:szCs w:val="19"/>
          <w:b w:val="1"/>
          <w:bCs w:val="1"/>
          <w:color w:val="auto"/>
        </w:rPr>
        <w:t>Competitive Business</w:t>
      </w:r>
      <w:r>
        <w:rPr>
          <w:rFonts w:ascii="Arial" w:cs="Arial" w:eastAsia="Arial" w:hAnsi="Arial"/>
          <w:sz w:val="19"/>
          <w:szCs w:val="19"/>
          <w:color w:val="auto"/>
        </w:rPr>
        <w:t>” shall mean any person or entity (including any joint venture, partnership, firm, corporation, or limited liability company) that conducts a business that is competitive with any business of the Affiliated Group as of the date of termination (or any business that is being actively pursued as of the date of termination by the Affiliated Group). The Affiliated Group designs, manufactures, sells and licenses its products and technology worldwide. In addition, Competitive Businesses, as defined above, are not tied or limited to any specific geographic location. Accordingly, the scope of this Non-Competition provision is worldwide. The “</w:t>
      </w:r>
      <w:r>
        <w:rPr>
          <w:rFonts w:ascii="Arial" w:cs="Arial" w:eastAsia="Arial" w:hAnsi="Arial"/>
          <w:sz w:val="19"/>
          <w:szCs w:val="19"/>
          <w:b w:val="1"/>
          <w:bCs w:val="1"/>
          <w:color w:val="auto"/>
        </w:rPr>
        <w:t>Non-competition Period</w:t>
      </w:r>
      <w:r>
        <w:rPr>
          <w:rFonts w:ascii="Arial" w:cs="Arial" w:eastAsia="Arial" w:hAnsi="Arial"/>
          <w:sz w:val="19"/>
          <w:szCs w:val="19"/>
          <w:color w:val="auto"/>
        </w:rPr>
        <w:t>” shall mean the period from the Date of Grant through the first anniversary of the date of termination of the Participant’s employment.</w:t>
      </w:r>
    </w:p>
    <w:p>
      <w:pPr>
        <w:spacing w:after="0" w:line="163" w:lineRule="exact"/>
        <w:rPr>
          <w:rFonts w:ascii="Arial" w:cs="Arial" w:eastAsia="Arial" w:hAnsi="Arial"/>
          <w:sz w:val="19"/>
          <w:szCs w:val="19"/>
          <w:color w:val="auto"/>
        </w:rPr>
      </w:pPr>
    </w:p>
    <w:p>
      <w:pPr>
        <w:jc w:val="both"/>
        <w:ind w:firstLine="1305"/>
        <w:spacing w:after="0" w:line="309" w:lineRule="auto"/>
        <w:tabs>
          <w:tab w:leader="none" w:pos="1630" w:val="left"/>
        </w:tabs>
        <w:numPr>
          <w:ilvl w:val="0"/>
          <w:numId w:val="64"/>
        </w:numPr>
        <w:rPr>
          <w:rFonts w:ascii="Arial" w:cs="Arial" w:eastAsia="Arial" w:hAnsi="Arial"/>
          <w:sz w:val="21"/>
          <w:szCs w:val="21"/>
          <w:color w:val="auto"/>
        </w:rPr>
      </w:pPr>
      <w:r>
        <w:rPr>
          <w:rFonts w:ascii="Arial" w:cs="Arial" w:eastAsia="Arial" w:hAnsi="Arial"/>
          <w:sz w:val="21"/>
          <w:szCs w:val="21"/>
          <w:b w:val="1"/>
          <w:bCs w:val="1"/>
          <w:u w:val="single" w:color="auto"/>
          <w:color w:val="auto"/>
        </w:rPr>
        <w:t>Remedies</w:t>
      </w:r>
      <w:r>
        <w:rPr>
          <w:rFonts w:ascii="Arial" w:cs="Arial" w:eastAsia="Arial" w:hAnsi="Arial"/>
          <w:sz w:val="21"/>
          <w:szCs w:val="21"/>
          <w:color w:val="auto"/>
        </w:rPr>
        <w:t>. The Participant acknowledges and agrees that the terms of this Appendix B: (i) are reasonable in</w:t>
      </w:r>
      <w:r>
        <w:rPr>
          <w:rFonts w:ascii="Arial" w:cs="Arial" w:eastAsia="Arial" w:hAnsi="Arial"/>
          <w:sz w:val="21"/>
          <w:szCs w:val="21"/>
          <w:b w:val="1"/>
          <w:bCs w:val="1"/>
          <w:color w:val="auto"/>
        </w:rPr>
        <w:t xml:space="preserve"> </w:t>
      </w:r>
      <w:r>
        <w:rPr>
          <w:rFonts w:ascii="Arial" w:cs="Arial" w:eastAsia="Arial" w:hAnsi="Arial"/>
          <w:sz w:val="21"/>
          <w:szCs w:val="21"/>
          <w:color w:val="auto"/>
        </w:rPr>
        <w:t>geographic and temporal scope, (ii) are necessary to protect legitimate proprietary and business interests of the Affiliated Group in, inter alia, customer relationships and confidential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B-19</w:t>
      </w:r>
    </w:p>
    <w:p>
      <w:pPr>
        <w:sectPr>
          <w:pgSz w:w="11900" w:h="16838" w:orient="portrait"/>
          <w:cols w:equalWidth="0" w:num="1">
            <w:col w:w="11420"/>
          </w:cols>
          <w:pgMar w:left="240" w:top="12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334" w:lineRule="auto"/>
        <w:rPr>
          <w:sz w:val="20"/>
          <w:szCs w:val="20"/>
          <w:color w:val="auto"/>
        </w:rPr>
      </w:pPr>
      <w:r>
        <w:rPr>
          <w:rFonts w:ascii="Arial" w:cs="Arial" w:eastAsia="Arial" w:hAnsi="Arial"/>
          <w:sz w:val="19"/>
          <w:szCs w:val="19"/>
          <w:color w:val="auto"/>
        </w:rPr>
        <w:t>information. The Participant further acknowledges and agrees that the Participant’s breach of the provisions of this Appendix B will cause the Affiliated Group irreparable harm, which cannot be adequately compensated by money damages. The Participant consents and agrees that the forfeiture provisions contained in the Agreement are reasonable remedies in the event the Participant commits any such breach. If any of the provisions of this Appendix B are determined to be wholly or partially unenforceable, the Participant hereby agrees that Appendix B or any provision hereof may be reformed so that it is enforceable to the maximum extent permitted by law. If any of the provisions of this Appendix B are determined to be wholly or partially unenforceable in any jurisdiction, such determination shall not be a bar to or in any way diminish the Affiliated Group’s right to enforce any such covenant in any other jurisdiction.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B-20</w:t>
      </w:r>
    </w:p>
    <w:p>
      <w:pPr>
        <w:sectPr>
          <w:pgSz w:w="11900" w:h="16838" w:orient="portrait"/>
          <w:cols w:equalWidth="0" w:num="1">
            <w:col w:w="11420"/>
          </w:cols>
          <w:pgMar w:left="240" w:top="12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10.34</w:t>
      </w:r>
    </w:p>
    <w:p>
      <w:pPr>
        <w:spacing w:after="0" w:line="200" w:lineRule="exact"/>
        <w:rPr>
          <w:sz w:val="20"/>
          <w:szCs w:val="20"/>
          <w:color w:val="auto"/>
        </w:rPr>
      </w:pPr>
    </w:p>
    <w:p>
      <w:pPr>
        <w:spacing w:after="0" w:line="381"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2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4"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RESTRICTED STOCK UNIT AWARD NOTICE</w:t>
      </w:r>
    </w:p>
    <w:p>
      <w:pPr>
        <w:spacing w:after="0" w:line="200" w:lineRule="exact"/>
        <w:rPr>
          <w:sz w:val="20"/>
          <w:szCs w:val="20"/>
          <w:color w:val="auto"/>
        </w:rPr>
      </w:pPr>
    </w:p>
    <w:p>
      <w:pPr>
        <w:spacing w:after="0" w:line="27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hereby grants to Participant a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The Award is subject to all the terms and conditions set forth in this Restricted Stock Unit Award Notice (the “</w:t>
      </w:r>
      <w:r>
        <w:rPr>
          <w:rFonts w:ascii="Arial" w:cs="Arial" w:eastAsia="Arial" w:hAnsi="Arial"/>
          <w:sz w:val="22"/>
          <w:szCs w:val="22"/>
          <w:b w:val="1"/>
          <w:bCs w:val="1"/>
          <w:i w:val="1"/>
          <w:iCs w:val="1"/>
          <w:color w:val="auto"/>
        </w:rPr>
        <w:t>Award Notice</w:t>
      </w:r>
      <w:r>
        <w:rPr>
          <w:rFonts w:ascii="Arial" w:cs="Arial" w:eastAsia="Arial" w:hAnsi="Arial"/>
          <w:sz w:val="22"/>
          <w:szCs w:val="22"/>
          <w:color w:val="auto"/>
        </w:rPr>
        <w:t>”), the Restricted Stock Unit Award Agreement, including Appendix A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and the Itron, Inc. Amended and Restated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all of which are incorporated into the Award Notice in their entirety.</w:t>
      </w:r>
    </w:p>
    <w:p>
      <w:pPr>
        <w:sectPr>
          <w:pgSz w:w="11900" w:h="16838" w:orient="portrait"/>
          <w:cols w:equalWidth="0" w:num="1">
            <w:col w:w="11420"/>
          </w:cols>
          <w:pgMar w:left="240" w:top="121" w:right="239" w:bottom="1440" w:gutter="0" w:footer="0" w:header="0"/>
        </w:sect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Participant:</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color w:val="FF0000"/>
        </w:rPr>
        <w:t>Participant Name</w:t>
      </w:r>
    </w:p>
    <w:p>
      <w:pPr>
        <w:spacing w:after="0" w:line="73" w:lineRule="exact"/>
        <w:rPr>
          <w:sz w:val="20"/>
          <w:szCs w:val="20"/>
          <w:color w:val="auto"/>
        </w:rPr>
      </w:pPr>
    </w:p>
    <w:p>
      <w:pPr>
        <w:sectPr>
          <w:pgSz w:w="11900" w:h="16838" w:orient="portrait"/>
          <w:cols w:equalWidth="0" w:num="2">
            <w:col w:w="4460" w:space="720"/>
            <w:col w:w="624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9"/>
          <w:szCs w:val="19"/>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FF0000"/>
        </w:rPr>
        <w:t>Grant Date</w:t>
      </w:r>
    </w:p>
    <w:p>
      <w:pPr>
        <w:spacing w:after="0" w:line="73" w:lineRule="exact"/>
        <w:rPr>
          <w:sz w:val="20"/>
          <w:szCs w:val="20"/>
          <w:color w:val="auto"/>
        </w:rPr>
      </w:pPr>
    </w:p>
    <w:p>
      <w:pPr>
        <w:sectPr>
          <w:pgSz w:w="11900" w:h="16838" w:orient="portrait"/>
          <w:cols w:equalWidth="0" w:num="2">
            <w:col w:w="4460" w:space="720"/>
            <w:col w:w="624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9"/>
          <w:szCs w:val="19"/>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FF0000"/>
        </w:rPr>
        <w:t>Number of Awards Granted</w:t>
      </w:r>
    </w:p>
    <w:p>
      <w:pPr>
        <w:spacing w:after="0" w:line="73" w:lineRule="exact"/>
        <w:rPr>
          <w:sz w:val="20"/>
          <w:szCs w:val="20"/>
          <w:color w:val="auto"/>
        </w:rPr>
      </w:pPr>
    </w:p>
    <w:p>
      <w:pPr>
        <w:sectPr>
          <w:pgSz w:w="11900" w:h="16838" w:orient="portrait"/>
          <w:cols w:equalWidth="0" w:num="2">
            <w:col w:w="4460" w:space="720"/>
            <w:col w:w="624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ind w:right="80"/>
        <w:spacing w:after="0" w:line="328" w:lineRule="auto"/>
        <w:rPr>
          <w:sz w:val="20"/>
          <w:szCs w:val="20"/>
          <w:color w:val="auto"/>
        </w:rPr>
      </w:pPr>
      <w:r>
        <w:rPr>
          <w:rFonts w:ascii="Arial" w:cs="Arial" w:eastAsia="Arial" w:hAnsi="Arial"/>
          <w:sz w:val="19"/>
          <w:szCs w:val="19"/>
          <w:color w:val="auto"/>
        </w:rPr>
        <w:t xml:space="preserve">The Award will vest with respect to all of the Restricted Stock Units on the first anniversary of the Grant Date (each, a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Vest Date</w:t>
      </w:r>
      <w:r>
        <w:rPr>
          <w:rFonts w:ascii="Arial" w:cs="Arial" w:eastAsia="Arial" w:hAnsi="Arial"/>
          <w:sz w:val="19"/>
          <w:szCs w:val="19"/>
          <w:i w:val="1"/>
          <w:iCs w:val="1"/>
          <w:color w:val="auto"/>
        </w:rPr>
        <w:t>”</w:t>
      </w: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4460" w:space="720"/>
            <w:col w:w="6240"/>
          </w:cols>
          <w:pgMar w:left="240" w:top="121" w:right="23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Additional Terms/Acknowledgement</w:t>
      </w:r>
      <w:r>
        <w:rPr>
          <w:rFonts w:ascii="Arial" w:cs="Arial" w:eastAsia="Arial" w:hAnsi="Arial"/>
          <w:sz w:val="22"/>
          <w:szCs w:val="22"/>
          <w:color w:val="auto"/>
        </w:rPr>
        <w:t>: This Award is subject to all the terms and conditions set forth in this Award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 which are attached to and incorporated into this Award Notice in their entirety.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FF0000"/>
        </w:rPr>
        <w:t>Participant Name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 accept this award subject to the terms and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conditions stated herein.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FF0000"/>
        </w:rPr>
        <w:t>Electronic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type w:val="continuous"/>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10.34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ALL PARTICIPANTS</w:t>
      </w: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Pursuant to your Restricted Stock Unit Award Notice (the “</w:t>
      </w:r>
      <w:r>
        <w:rPr>
          <w:rFonts w:ascii="Arial" w:cs="Arial" w:eastAsia="Arial" w:hAnsi="Arial"/>
          <w:sz w:val="22"/>
          <w:szCs w:val="22"/>
          <w:b w:val="1"/>
          <w:bCs w:val="1"/>
          <w:i w:val="1"/>
          <w:iCs w:val="1"/>
          <w:color w:val="auto"/>
        </w:rPr>
        <w:t>Award Notice</w:t>
      </w:r>
      <w:r>
        <w:rPr>
          <w:rFonts w:ascii="Arial" w:cs="Arial" w:eastAsia="Arial" w:hAnsi="Arial"/>
          <w:sz w:val="22"/>
          <w:szCs w:val="22"/>
          <w:color w:val="auto"/>
        </w:rPr>
        <w:t>”) and this Restricted Stock Unit Award Agreement, including Appendix A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granted you a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under its Amended and Restated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for the number of restricted stock units indicated in your Award Notice. Capitalized terms not expressly defined in this Agreement but defined in the Plan shall have the same definitions as in the Plan.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the Award are as follows:</w:t>
      </w:r>
    </w:p>
    <w:p>
      <w:pPr>
        <w:spacing w:after="0" w:line="214" w:lineRule="exact"/>
        <w:rPr>
          <w:sz w:val="20"/>
          <w:szCs w:val="20"/>
          <w:color w:val="auto"/>
        </w:rPr>
      </w:pPr>
    </w:p>
    <w:p>
      <w:pPr>
        <w:ind w:left="660" w:hanging="584"/>
        <w:spacing w:after="0"/>
        <w:tabs>
          <w:tab w:leader="none" w:pos="66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Vesting</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The Award will vest according to the vesting schedule set forth in the Award Notice (the “</w:t>
      </w:r>
      <w:r>
        <w:rPr>
          <w:rFonts w:ascii="Arial" w:cs="Arial" w:eastAsia="Arial" w:hAnsi="Arial"/>
          <w:sz w:val="19"/>
          <w:szCs w:val="19"/>
          <w:b w:val="1"/>
          <w:bCs w:val="1"/>
          <w:i w:val="1"/>
          <w:iCs w:val="1"/>
          <w:color w:val="auto"/>
        </w:rPr>
        <w:t>Vesting Schedule</w:t>
      </w:r>
      <w:r>
        <w:rPr>
          <w:rFonts w:ascii="Arial" w:cs="Arial" w:eastAsia="Arial" w:hAnsi="Arial"/>
          <w:sz w:val="19"/>
          <w:szCs w:val="19"/>
          <w:i w:val="1"/>
          <w:iCs w:val="1"/>
          <w:color w:val="auto"/>
        </w:rPr>
        <w:t>”</w:t>
      </w:r>
      <w:r>
        <w:rPr>
          <w:rFonts w:ascii="Arial" w:cs="Arial" w:eastAsia="Arial" w:hAnsi="Arial"/>
          <w:sz w:val="19"/>
          <w:szCs w:val="19"/>
          <w:color w:val="auto"/>
        </w:rPr>
        <w:t>). One share of Common Stock will be issuable for each restricted stock unit that vests. Restricted stock units that have vested and are no longer subject to forfeiture according to the Vesting Schedule are referred to herein as “</w:t>
      </w:r>
      <w:r>
        <w:rPr>
          <w:rFonts w:ascii="Arial" w:cs="Arial" w:eastAsia="Arial" w:hAnsi="Arial"/>
          <w:sz w:val="19"/>
          <w:szCs w:val="19"/>
          <w:b w:val="1"/>
          <w:bCs w:val="1"/>
          <w:i w:val="1"/>
          <w:iCs w:val="1"/>
          <w:color w:val="auto"/>
        </w:rPr>
        <w:t>Vested Units</w:t>
      </w:r>
      <w:r>
        <w:rPr>
          <w:rFonts w:ascii="Arial" w:cs="Arial" w:eastAsia="Arial" w:hAnsi="Arial"/>
          <w:sz w:val="19"/>
          <w:szCs w:val="19"/>
          <w:color w:val="auto"/>
        </w:rPr>
        <w:t>.” Restricted stock units that have not vested and remain subject to forfeiture under the Vesting Schedule are referred to herein as “</w:t>
      </w:r>
      <w:r>
        <w:rPr>
          <w:rFonts w:ascii="Arial" w:cs="Arial" w:eastAsia="Arial" w:hAnsi="Arial"/>
          <w:sz w:val="19"/>
          <w:szCs w:val="19"/>
          <w:b w:val="1"/>
          <w:bCs w:val="1"/>
          <w:i w:val="1"/>
          <w:iCs w:val="1"/>
          <w:color w:val="auto"/>
        </w:rPr>
        <w:t>Unvested Units</w:t>
      </w:r>
      <w:r>
        <w:rPr>
          <w:rFonts w:ascii="Arial" w:cs="Arial" w:eastAsia="Arial" w:hAnsi="Arial"/>
          <w:sz w:val="19"/>
          <w:szCs w:val="19"/>
          <w:color w:val="auto"/>
        </w:rPr>
        <w:t>.” Except as provided in Sections 2 and 3 below, the Unvested Units will vest (and to the extent so vested cease to be Unvested Units remaining subject to forfeiture) in accordance with the Vesting Schedule (the Unvested and Vested Units are collectively referred to herein as the “</w:t>
      </w:r>
      <w:r>
        <w:rPr>
          <w:rFonts w:ascii="Arial" w:cs="Arial" w:eastAsia="Arial" w:hAnsi="Arial"/>
          <w:sz w:val="19"/>
          <w:szCs w:val="19"/>
          <w:b w:val="1"/>
          <w:bCs w:val="1"/>
          <w:i w:val="1"/>
          <w:iCs w:val="1"/>
          <w:color w:val="auto"/>
        </w:rPr>
        <w:t>Units</w:t>
      </w:r>
      <w:r>
        <w:rPr>
          <w:rFonts w:ascii="Arial" w:cs="Arial" w:eastAsia="Arial" w:hAnsi="Arial"/>
          <w:sz w:val="19"/>
          <w:szCs w:val="19"/>
          <w:color w:val="auto"/>
        </w:rPr>
        <w:t>”). Except as provided in Sections 2 and 3 below, the Award will terminate and the Unvested Units will be forfeited upon termination of your employment for any reason.</w:t>
      </w:r>
    </w:p>
    <w:p>
      <w:pPr>
        <w:spacing w:after="0" w:line="151" w:lineRule="exact"/>
        <w:rPr>
          <w:sz w:val="20"/>
          <w:szCs w:val="20"/>
          <w:color w:val="auto"/>
        </w:rPr>
      </w:pPr>
    </w:p>
    <w:p>
      <w:pPr>
        <w:ind w:left="660" w:hanging="584"/>
        <w:spacing w:after="0"/>
        <w:tabs>
          <w:tab w:leader="none" w:pos="66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Retirement, Death or Disability</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2.1 </w:t>
      </w:r>
      <w:r>
        <w:rPr>
          <w:rFonts w:ascii="Arial" w:cs="Arial" w:eastAsia="Arial" w:hAnsi="Arial"/>
          <w:sz w:val="21"/>
          <w:szCs w:val="21"/>
          <w:color w:val="auto"/>
        </w:rPr>
        <w:t>In the event that your employment terminates by reason of Retirement at least 18 months after the Grant Date but</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Units’ vesting period, any Unvested Units will continue to vest in accordance with the Vesting Schedule until all Units become vested, provided that if you breach any of the covenants set forth in Appendix A to this Agreement after your Retirement, the Unvested Units will be forfeited immediately. For the purposes of this Section 2.1, “</w:t>
      </w:r>
      <w:r>
        <w:rPr>
          <w:rFonts w:ascii="Arial" w:cs="Arial" w:eastAsia="Arial" w:hAnsi="Arial"/>
          <w:sz w:val="21"/>
          <w:szCs w:val="21"/>
          <w:b w:val="1"/>
          <w:bCs w:val="1"/>
          <w:i w:val="1"/>
          <w:iCs w:val="1"/>
          <w:color w:val="auto"/>
        </w:rPr>
        <w:t>Retirement</w:t>
      </w:r>
      <w:r>
        <w:rPr>
          <w:rFonts w:ascii="Arial" w:cs="Arial" w:eastAsia="Arial" w:hAnsi="Arial"/>
          <w:sz w:val="21"/>
          <w:szCs w:val="21"/>
          <w:color w:val="auto"/>
        </w:rPr>
        <w:t>” means your voluntary termination of employment after the date on which you have reached (i) the age of 55 and have a total of at least 10 years of continuous employment with the Company and/or a Related Corporation or (ii) the age of 60 and have a total of at least 5 years of continuous employment with the Company and/or a Related Corporation; provided however, in either case, you must provide advance written notice to the Company at least 90 days prior to the termination of your employment unless otherwise agreed to in writing by the Company. For the avoidance of doubt, if your employment terminates due to Retirement within 18 months after the Grant Date, all Unvested Units will be automatically forfeited.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10.34</w:t>
      </w:r>
    </w:p>
    <w:p>
      <w:pPr>
        <w:spacing w:after="0" w:line="200" w:lineRule="exact"/>
        <w:rPr>
          <w:sz w:val="20"/>
          <w:szCs w:val="20"/>
          <w:color w:val="auto"/>
        </w:rPr>
      </w:pPr>
    </w:p>
    <w:p>
      <w:pPr>
        <w:spacing w:after="0" w:line="381"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21"/>
          <w:szCs w:val="21"/>
          <w:b w:val="1"/>
          <w:bCs w:val="1"/>
          <w:color w:val="auto"/>
        </w:rPr>
        <w:t xml:space="preserve">2.2 </w:t>
      </w:r>
      <w:r>
        <w:rPr>
          <w:rFonts w:ascii="Arial" w:cs="Arial" w:eastAsia="Arial" w:hAnsi="Arial"/>
          <w:sz w:val="21"/>
          <w:szCs w:val="21"/>
          <w:color w:val="auto"/>
        </w:rPr>
        <w:t>In the event that your employment terminates during the Units’ vesting period by reason of death or Disability, any</w:t>
      </w:r>
      <w:r>
        <w:rPr>
          <w:rFonts w:ascii="Arial" w:cs="Arial" w:eastAsia="Arial" w:hAnsi="Arial"/>
          <w:sz w:val="21"/>
          <w:szCs w:val="21"/>
          <w:b w:val="1"/>
          <w:bCs w:val="1"/>
          <w:color w:val="auto"/>
        </w:rPr>
        <w:t xml:space="preserve"> </w:t>
      </w:r>
      <w:r>
        <w:rPr>
          <w:rFonts w:ascii="Arial" w:cs="Arial" w:eastAsia="Arial" w:hAnsi="Arial"/>
          <w:sz w:val="21"/>
          <w:szCs w:val="21"/>
          <w:color w:val="auto"/>
        </w:rPr>
        <w:t>Unvested Units will accelerate in vesting and become Vested Units upon such termination of employment.</w:t>
      </w:r>
    </w:p>
    <w:p>
      <w:pPr>
        <w:spacing w:after="0" w:line="356" w:lineRule="exact"/>
        <w:rPr>
          <w:sz w:val="20"/>
          <w:szCs w:val="20"/>
          <w:color w:val="auto"/>
        </w:rPr>
      </w:pPr>
    </w:p>
    <w:p>
      <w:pPr>
        <w:ind w:left="660" w:hanging="584"/>
        <w:spacing w:after="0"/>
        <w:tabs>
          <w:tab w:leader="none" w:pos="66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 Transaction</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color w:val="auto"/>
        </w:rPr>
        <w:t>In the event of a Change in Control Transaction, the Award will be subject to any change in control severance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other agreement providing for change in control provisions between you and the Company (a “</w:t>
      </w:r>
      <w:r>
        <w:rPr>
          <w:rFonts w:ascii="Arial" w:cs="Arial" w:eastAsia="Arial" w:hAnsi="Arial"/>
          <w:sz w:val="22"/>
          <w:szCs w:val="22"/>
          <w:b w:val="1"/>
          <w:bCs w:val="1"/>
          <w:i w:val="1"/>
          <w:iCs w:val="1"/>
          <w:color w:val="auto"/>
        </w:rPr>
        <w:t>CIC Agreement</w:t>
      </w:r>
      <w:r>
        <w:rPr>
          <w:rFonts w:ascii="Arial" w:cs="Arial" w:eastAsia="Arial" w:hAnsi="Arial"/>
          <w:sz w:val="22"/>
          <w:szCs w:val="22"/>
          <w:color w:val="auto"/>
        </w:rPr>
        <w:t>”). If you are not a party to a CIC Agreement, the provisions of this Section 3 shall apply.</w:t>
      </w:r>
    </w:p>
    <w:p>
      <w:pPr>
        <w:spacing w:after="0" w:line="17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color w:val="auto"/>
        </w:rPr>
        <w:t>In the event of a Change in Control Transaction in which (i) the Unvested Units are not assumed, substituted for, or</w:t>
      </w:r>
      <w:r>
        <w:rPr>
          <w:rFonts w:ascii="Arial" w:cs="Arial" w:eastAsia="Arial" w:hAnsi="Arial"/>
          <w:sz w:val="19"/>
          <w:szCs w:val="19"/>
          <w:b w:val="1"/>
          <w:bCs w:val="1"/>
          <w:color w:val="auto"/>
        </w:rPr>
        <w:t xml:space="preserve"> </w:t>
      </w:r>
      <w:r>
        <w:rPr>
          <w:rFonts w:ascii="Arial" w:cs="Arial" w:eastAsia="Arial" w:hAnsi="Arial"/>
          <w:sz w:val="19"/>
          <w:szCs w:val="19"/>
          <w:color w:val="auto"/>
        </w:rPr>
        <w:t>converted into an award of the acquiring or surviving corporation (or a publicly-traded parent thereof) in a manner which prevents dilution of your rights under the Award or (ii) the acquiring or surviving corporation (or parent thereof) is not publicly-traded, any Unvested Units shall become immediately and fully vested as of the date of the Change in Control Transaction.</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3.3 </w:t>
      </w:r>
      <w:r>
        <w:rPr>
          <w:rFonts w:ascii="Arial" w:cs="Arial" w:eastAsia="Arial" w:hAnsi="Arial"/>
          <w:sz w:val="21"/>
          <w:szCs w:val="21"/>
          <w:color w:val="auto"/>
        </w:rPr>
        <w:t>In the event of a Change in Control Transaction in which your Unvested Units are assumed, substituted for, or</w:t>
      </w:r>
      <w:r>
        <w:rPr>
          <w:rFonts w:ascii="Arial" w:cs="Arial" w:eastAsia="Arial" w:hAnsi="Arial"/>
          <w:sz w:val="21"/>
          <w:szCs w:val="21"/>
          <w:b w:val="1"/>
          <w:bCs w:val="1"/>
          <w:color w:val="auto"/>
        </w:rPr>
        <w:t xml:space="preserve"> </w:t>
      </w:r>
      <w:r>
        <w:rPr>
          <w:rFonts w:ascii="Arial" w:cs="Arial" w:eastAsia="Arial" w:hAnsi="Arial"/>
          <w:sz w:val="21"/>
          <w:szCs w:val="21"/>
          <w:color w:val="auto"/>
        </w:rPr>
        <w:t>converted into an award of the acquiring or surviving public corporation (or a publicly-traded parent thereof) and your employment is terminated within twenty-four (24) months following such Change in Control Transaction, other than (a) for Cause, (b) by reason of Retirement, death or Disability (which shall be governed by Section 2), or (c) by you without Good Reason, any Unvested Units shall become immediately and fully vested as of the date of your termination of employment.</w:t>
      </w:r>
    </w:p>
    <w:p>
      <w:pPr>
        <w:spacing w:after="0" w:line="17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color w:val="auto"/>
        </w:rPr>
        <w:t>Definitions - For purposes of this Agreement, the following capitalized terms shall have the meanings set forth below:</w:t>
      </w:r>
    </w:p>
    <w:p>
      <w:pPr>
        <w:spacing w:after="0" w:line="226" w:lineRule="exact"/>
        <w:rPr>
          <w:sz w:val="20"/>
          <w:szCs w:val="20"/>
          <w:color w:val="auto"/>
        </w:rPr>
      </w:pPr>
    </w:p>
    <w:p>
      <w:pPr>
        <w:jc w:val="both"/>
        <w:ind w:firstLine="1386"/>
        <w:spacing w:after="0" w:line="253" w:lineRule="auto"/>
        <w:tabs>
          <w:tab w:leader="none" w:pos="1874"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Base Salary</w:t>
      </w:r>
      <w:r>
        <w:rPr>
          <w:rFonts w:ascii="Arial" w:cs="Arial" w:eastAsia="Arial" w:hAnsi="Arial"/>
          <w:sz w:val="22"/>
          <w:szCs w:val="22"/>
          <w:color w:val="auto"/>
        </w:rPr>
        <w:t>” shall mean your annual base salary immediately prior to a Change in Control Transaction, as such salary may be increased from time to time (in which case such increased amount shall be the Base Salary for purposes hereof), but without giving effect to any reduction thereto.</w:t>
      </w:r>
    </w:p>
    <w:p>
      <w:pPr>
        <w:spacing w:after="0" w:line="185" w:lineRule="exact"/>
        <w:rPr>
          <w:rFonts w:ascii="Arial" w:cs="Arial" w:eastAsia="Arial" w:hAnsi="Arial"/>
          <w:sz w:val="22"/>
          <w:szCs w:val="22"/>
          <w:color w:val="auto"/>
        </w:rPr>
      </w:pPr>
    </w:p>
    <w:p>
      <w:pPr>
        <w:ind w:left="1860" w:hanging="474"/>
        <w:spacing w:after="0" w:line="253" w:lineRule="exact"/>
        <w:tabs>
          <w:tab w:leader="none" w:pos="18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Beneficial Owner</w:t>
      </w:r>
      <w:r>
        <w:rPr>
          <w:rFonts w:ascii="Arial" w:cs="Arial" w:eastAsia="Arial" w:hAnsi="Arial"/>
          <w:sz w:val="22"/>
          <w:szCs w:val="22"/>
          <w:color w:val="auto"/>
        </w:rPr>
        <w:t>” shall have the meaning set forth in Rule 13d</w:t>
      </w:r>
      <w:r>
        <w:rPr>
          <w:rFonts w:ascii="MS PGothic" w:cs="MS PGothic" w:eastAsia="MS PGothic" w:hAnsi="MS PGothic"/>
          <w:sz w:val="22"/>
          <w:szCs w:val="22"/>
          <w:color w:val="auto"/>
        </w:rPr>
        <w:t>‑</w:t>
      </w:r>
      <w:r>
        <w:rPr>
          <w:rFonts w:ascii="Arial" w:cs="Arial" w:eastAsia="Arial" w:hAnsi="Arial"/>
          <w:sz w:val="22"/>
          <w:szCs w:val="22"/>
          <w:color w:val="auto"/>
        </w:rPr>
        <w:t>3 under the Exchange Act.</w:t>
      </w:r>
    </w:p>
    <w:p>
      <w:pPr>
        <w:spacing w:after="0" w:line="219" w:lineRule="exact"/>
        <w:rPr>
          <w:rFonts w:ascii="Arial" w:cs="Arial" w:eastAsia="Arial" w:hAnsi="Arial"/>
          <w:sz w:val="22"/>
          <w:szCs w:val="22"/>
          <w:color w:val="auto"/>
        </w:rPr>
      </w:pPr>
    </w:p>
    <w:p>
      <w:pPr>
        <w:jc w:val="both"/>
        <w:ind w:firstLine="1386"/>
        <w:spacing w:after="0" w:line="260" w:lineRule="auto"/>
        <w:tabs>
          <w:tab w:leader="none" w:pos="1834" w:val="left"/>
        </w:tabs>
        <w:numPr>
          <w:ilvl w:val="0"/>
          <w:numId w:val="6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for termination of your employment by the Company or your employer, if different (the “</w:t>
      </w:r>
      <w:r>
        <w:rPr>
          <w:rFonts w:ascii="Arial" w:cs="Arial" w:eastAsia="Arial" w:hAnsi="Arial"/>
          <w:sz w:val="21"/>
          <w:szCs w:val="21"/>
          <w:b w:val="1"/>
          <w:bCs w:val="1"/>
          <w:i w:val="1"/>
          <w:iCs w:val="1"/>
          <w:color w:val="auto"/>
        </w:rPr>
        <w:t>Employer</w:t>
      </w:r>
      <w:r>
        <w:rPr>
          <w:rFonts w:ascii="Arial" w:cs="Arial" w:eastAsia="Arial" w:hAnsi="Arial"/>
          <w:sz w:val="21"/>
          <w:szCs w:val="21"/>
          <w:color w:val="auto"/>
        </w:rPr>
        <w:t>”) shall mean (i) your willful and continued failure (other than any such failure resulting from (A) your incapacity due to physical or mental illness, (B) any such actual or anticipated failure after the issuance by you of a notice of termination in a form prescribed by the Company for Good Reason or (C) the Employer’s active or passive obstruction of the performance of your duties and responsibilities) to perform substantially the duties and responsibilities of your position with the Employer after a written demand for substantial performance is delivered to you by the Employer, which demand specifically identifies the manner in which the Employer believes that you have not substantially performed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10.34</w:t>
      </w:r>
    </w:p>
    <w:p>
      <w:pPr>
        <w:spacing w:after="0" w:line="37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such duties or responsibilities; (ii) your conviction by a court of competent jurisdiction for felony criminal conduct (or the equivalent under applicable local law); or (iii) your willful engaging in fraud or dishonesty which is injurious to the Company and/or the Employer or its reputation, monetarily or otherwise. No act, or failure to act, on your part shall be deemed “willful” unless committed, or omitted by you in bad faith and without reasonable belief that your act or failure to act was in, or not opposed to, the best interest of the Company and/or the Employer.</w:t>
      </w:r>
    </w:p>
    <w:p>
      <w:pPr>
        <w:spacing w:after="0" w:line="192" w:lineRule="exact"/>
        <w:rPr>
          <w:sz w:val="20"/>
          <w:szCs w:val="20"/>
          <w:color w:val="auto"/>
        </w:rPr>
      </w:pPr>
    </w:p>
    <w:p>
      <w:pPr>
        <w:jc w:val="both"/>
        <w:ind w:firstLine="1305"/>
        <w:spacing w:after="0" w:line="288" w:lineRule="auto"/>
        <w:tabs>
          <w:tab w:leader="none" w:pos="1805" w:val="left"/>
        </w:tabs>
        <w:numPr>
          <w:ilvl w:val="1"/>
          <w:numId w:val="6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for termination of your employment by you shall mean the occurrence (without your express written consent) after any Change in Control Transaction of any one of the following acts by the Company or the Employer, or failures by the Company or the Employer to act, unless, in the case of any act or failure to act described in subsection (i), (ii), (iii),</w:t>
      </w:r>
    </w:p>
    <w:p>
      <w:pPr>
        <w:spacing w:after="0" w:line="1" w:lineRule="exact"/>
        <w:rPr>
          <w:rFonts w:ascii="Arial" w:cs="Arial" w:eastAsia="Arial" w:hAnsi="Arial"/>
          <w:sz w:val="19"/>
          <w:szCs w:val="19"/>
          <w:color w:val="auto"/>
        </w:rPr>
      </w:pPr>
    </w:p>
    <w:p>
      <w:pPr>
        <w:ind w:firstLine="8"/>
        <w:spacing w:after="0" w:line="246" w:lineRule="auto"/>
        <w:tabs>
          <w:tab w:leader="none" w:pos="371" w:val="left"/>
        </w:tabs>
        <w:numPr>
          <w:ilvl w:val="0"/>
          <w:numId w:val="70"/>
        </w:numPr>
        <w:rPr>
          <w:rFonts w:ascii="Arial" w:cs="Arial" w:eastAsia="Arial" w:hAnsi="Arial"/>
          <w:sz w:val="22"/>
          <w:szCs w:val="22"/>
          <w:color w:val="auto"/>
        </w:rPr>
      </w:pPr>
      <w:r>
        <w:rPr>
          <w:rFonts w:ascii="Arial" w:cs="Arial" w:eastAsia="Arial" w:hAnsi="Arial"/>
          <w:sz w:val="22"/>
          <w:szCs w:val="22"/>
          <w:color w:val="auto"/>
        </w:rPr>
        <w:t>or (v) below, such act or failure to act is corrected prior to the date of your termination specified in a notice of termination in a form prescribed by the Company given in respect thereof:</w:t>
      </w:r>
    </w:p>
    <w:p>
      <w:pPr>
        <w:spacing w:after="0" w:line="192" w:lineRule="exact"/>
        <w:rPr>
          <w:rFonts w:ascii="Arial" w:cs="Arial" w:eastAsia="Arial" w:hAnsi="Arial"/>
          <w:sz w:val="22"/>
          <w:szCs w:val="22"/>
          <w:color w:val="auto"/>
        </w:rPr>
      </w:pPr>
    </w:p>
    <w:p>
      <w:pPr>
        <w:jc w:val="both"/>
        <w:ind w:firstLine="1953"/>
        <w:spacing w:after="0" w:line="297" w:lineRule="auto"/>
        <w:tabs>
          <w:tab w:leader="none" w:pos="2456" w:val="left"/>
        </w:tabs>
        <w:numPr>
          <w:ilvl w:val="2"/>
          <w:numId w:val="70"/>
        </w:numPr>
        <w:rPr>
          <w:rFonts w:ascii="Arial" w:cs="Arial" w:eastAsia="Arial" w:hAnsi="Arial"/>
          <w:sz w:val="19"/>
          <w:szCs w:val="19"/>
          <w:color w:val="auto"/>
        </w:rPr>
      </w:pPr>
      <w:r>
        <w:rPr>
          <w:rFonts w:ascii="Arial" w:cs="Arial" w:eastAsia="Arial" w:hAnsi="Arial"/>
          <w:sz w:val="19"/>
          <w:szCs w:val="19"/>
          <w:color w:val="auto"/>
        </w:rPr>
        <w:t>an adverse change in your status or position(s) with the Employer as in effect immediately prior to the Change in Control Transaction, including, without limitation, any adverse change in your status or position as a result of a diminution of your duties or responsibilities (other than, if applicable, any such change directly and solely attributable to the fact that the Company is no longer publicly owned) or the assignment to you of any duties or responsibilities which are inconsistent with such status or position(s), or any removal of you from, or any failure to reappoint or reelect you to, such position(s);</w:t>
      </w:r>
    </w:p>
    <w:p>
      <w:pPr>
        <w:spacing w:after="0" w:line="147" w:lineRule="exact"/>
        <w:rPr>
          <w:rFonts w:ascii="Arial" w:cs="Arial" w:eastAsia="Arial" w:hAnsi="Arial"/>
          <w:sz w:val="19"/>
          <w:szCs w:val="19"/>
          <w:color w:val="auto"/>
        </w:rPr>
      </w:pPr>
    </w:p>
    <w:p>
      <w:pPr>
        <w:ind w:left="2440" w:hanging="487"/>
        <w:spacing w:after="0"/>
        <w:tabs>
          <w:tab w:leader="none" w:pos="2440" w:val="left"/>
        </w:tabs>
        <w:numPr>
          <w:ilvl w:val="2"/>
          <w:numId w:val="70"/>
        </w:numPr>
        <w:rPr>
          <w:rFonts w:ascii="Arial" w:cs="Arial" w:eastAsia="Arial" w:hAnsi="Arial"/>
          <w:sz w:val="22"/>
          <w:szCs w:val="22"/>
          <w:color w:val="auto"/>
        </w:rPr>
      </w:pPr>
      <w:r>
        <w:rPr>
          <w:rFonts w:ascii="Arial" w:cs="Arial" w:eastAsia="Arial" w:hAnsi="Arial"/>
          <w:sz w:val="22"/>
          <w:szCs w:val="22"/>
          <w:color w:val="auto"/>
        </w:rPr>
        <w:t>a reduction in your Base Salary;</w:t>
      </w:r>
    </w:p>
    <w:p>
      <w:pPr>
        <w:spacing w:after="0" w:line="219" w:lineRule="exact"/>
        <w:rPr>
          <w:rFonts w:ascii="Arial" w:cs="Arial" w:eastAsia="Arial" w:hAnsi="Arial"/>
          <w:sz w:val="22"/>
          <w:szCs w:val="22"/>
          <w:color w:val="auto"/>
        </w:rPr>
      </w:pPr>
    </w:p>
    <w:p>
      <w:pPr>
        <w:ind w:firstLine="1953"/>
        <w:spacing w:after="0" w:line="263" w:lineRule="auto"/>
        <w:tabs>
          <w:tab w:leader="none" w:pos="2542" w:val="left"/>
        </w:tabs>
        <w:numPr>
          <w:ilvl w:val="2"/>
          <w:numId w:val="70"/>
        </w:numPr>
        <w:rPr>
          <w:rFonts w:ascii="Arial" w:cs="Arial" w:eastAsia="Arial" w:hAnsi="Arial"/>
          <w:sz w:val="22"/>
          <w:szCs w:val="22"/>
          <w:color w:val="auto"/>
        </w:rPr>
      </w:pPr>
      <w:r>
        <w:rPr>
          <w:rFonts w:ascii="Arial" w:cs="Arial" w:eastAsia="Arial" w:hAnsi="Arial"/>
          <w:sz w:val="22"/>
          <w:szCs w:val="22"/>
          <w:color w:val="auto"/>
        </w:rPr>
        <w:t>a reduction in your annual bonus opportunity or long term incentive opportunity, as compared to the year immediately preceding the year in which the Change in Control Transaction occurs;</w:t>
      </w:r>
    </w:p>
    <w:p>
      <w:pPr>
        <w:spacing w:after="0" w:line="174" w:lineRule="exact"/>
        <w:rPr>
          <w:rFonts w:ascii="Arial" w:cs="Arial" w:eastAsia="Arial" w:hAnsi="Arial"/>
          <w:sz w:val="22"/>
          <w:szCs w:val="22"/>
          <w:color w:val="auto"/>
        </w:rPr>
      </w:pPr>
    </w:p>
    <w:p>
      <w:pPr>
        <w:ind w:firstLine="1953"/>
        <w:spacing w:after="0" w:line="287" w:lineRule="auto"/>
        <w:tabs>
          <w:tab w:leader="none" w:pos="2540" w:val="left"/>
        </w:tabs>
        <w:numPr>
          <w:ilvl w:val="2"/>
          <w:numId w:val="70"/>
        </w:numPr>
        <w:rPr>
          <w:rFonts w:ascii="Arial" w:cs="Arial" w:eastAsia="Arial" w:hAnsi="Arial"/>
          <w:sz w:val="21"/>
          <w:szCs w:val="21"/>
          <w:color w:val="auto"/>
        </w:rPr>
      </w:pPr>
      <w:r>
        <w:rPr>
          <w:rFonts w:ascii="Arial" w:cs="Arial" w:eastAsia="Arial" w:hAnsi="Arial"/>
          <w:sz w:val="21"/>
          <w:szCs w:val="21"/>
          <w:color w:val="auto"/>
        </w:rPr>
        <w:t>the failure to continue to provide welfare, pension and fringe benefits which are in each case, in the aggregate, substantially similar to those provided to you immediately prior to Change in Control Transaction; or</w:t>
      </w:r>
    </w:p>
    <w:p>
      <w:pPr>
        <w:spacing w:after="0" w:line="151" w:lineRule="exact"/>
        <w:rPr>
          <w:rFonts w:ascii="Arial" w:cs="Arial" w:eastAsia="Arial" w:hAnsi="Arial"/>
          <w:sz w:val="21"/>
          <w:szCs w:val="21"/>
          <w:color w:val="auto"/>
        </w:rPr>
      </w:pPr>
    </w:p>
    <w:p>
      <w:pPr>
        <w:jc w:val="both"/>
        <w:ind w:firstLine="1953"/>
        <w:spacing w:after="0" w:line="250" w:lineRule="auto"/>
        <w:tabs>
          <w:tab w:leader="none" w:pos="2420" w:val="left"/>
        </w:tabs>
        <w:numPr>
          <w:ilvl w:val="2"/>
          <w:numId w:val="70"/>
        </w:numPr>
        <w:rPr>
          <w:rFonts w:ascii="Arial" w:cs="Arial" w:eastAsia="Arial" w:hAnsi="Arial"/>
          <w:sz w:val="22"/>
          <w:szCs w:val="22"/>
          <w:color w:val="auto"/>
        </w:rPr>
      </w:pPr>
      <w:r>
        <w:rPr>
          <w:rFonts w:ascii="Arial" w:cs="Arial" w:eastAsia="Arial" w:hAnsi="Arial"/>
          <w:sz w:val="22"/>
          <w:szCs w:val="22"/>
          <w:color w:val="auto"/>
        </w:rPr>
        <w:t>the Employer requiring you to be based at an office that is greater than 50 miles from where your office is located immediately prior to the Change in Control Transaction except for required travel on the Employer’s business to an extent substantially consistent with the business travel obligations which you undertook on behalf of the Employer prior to the Change in Control Transaction.</w:t>
      </w:r>
    </w:p>
    <w:p>
      <w:pPr>
        <w:spacing w:after="0" w:line="188"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Notwithstanding the foregoing, the events described in clauses (ii), (iii) or (iv) above shall not constitute Good Reason hereunder to the extent they are as a result of across-the-board reductions of the applicable compensation element following the Change in Control Transaction which are equally applicable to all similarly situated employees of the surviving corporation and its affiliates. Your right to terminate your employment for Good Reason shall not be affected by your incapacity due to physical or mental illness. In order for Good Reason to exist hereunder, you must provide notice to the Company of the existence of the condition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10.34</w:t>
      </w:r>
    </w:p>
    <w:p>
      <w:pPr>
        <w:spacing w:after="0" w:line="371"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or circumstance described above within 90 days of the initial existence of the condition or circumstance (or, if later, within 90 days of becoming aware of such condition or circumstance), and the Employer must have failed to cure such condition within 30 days of the receipt of such notice. Subject to the preceding sentence, your continued employment shall not constitute consent to, or a waiver of rights with respect to, any act or failure to act constituting Good Reason hereunder.</w:t>
      </w:r>
    </w:p>
    <w:p>
      <w:pPr>
        <w:spacing w:after="0" w:line="176" w:lineRule="exact"/>
        <w:rPr>
          <w:sz w:val="20"/>
          <w:szCs w:val="20"/>
          <w:color w:val="auto"/>
        </w:rPr>
      </w:pPr>
    </w:p>
    <w:p>
      <w:pPr>
        <w:jc w:val="both"/>
        <w:ind w:firstLine="1305"/>
        <w:spacing w:after="0" w:line="297" w:lineRule="auto"/>
        <w:tabs>
          <w:tab w:leader="none" w:pos="1874" w:val="left"/>
        </w:tabs>
        <w:numPr>
          <w:ilvl w:val="1"/>
          <w:numId w:val="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proportions as their ownership of stock of the Company.</w:t>
      </w:r>
    </w:p>
    <w:p>
      <w:pPr>
        <w:spacing w:after="0" w:line="357" w:lineRule="exact"/>
        <w:rPr>
          <w:rFonts w:ascii="Arial" w:cs="Arial" w:eastAsia="Arial" w:hAnsi="Arial"/>
          <w:sz w:val="19"/>
          <w:szCs w:val="19"/>
          <w:color w:val="auto"/>
        </w:rPr>
      </w:pPr>
    </w:p>
    <w:p>
      <w:pPr>
        <w:ind w:left="660" w:hanging="584"/>
        <w:spacing w:after="0"/>
        <w:tabs>
          <w:tab w:leader="none" w:pos="66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Vested Units.</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Vested Units shall be settled on the earliest to occur of (a) a date within 30 days following the applicable Vest Date, (b) a</w:t>
      </w:r>
    </w:p>
    <w:p>
      <w:pPr>
        <w:spacing w:after="0" w:line="56"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date within 30 days following the termination of your employment (i) due to death or Disability pursuant to Section 2 above or (ii) following a Change in Control Transaction pursuant to Section 3.3 above, or (c) the date of a Change in Control Transaction pursuant to Section 3.2 above that constitutes a “change in control event” within the meaning of U.S. Treasury Regulation Section 1.409A-3(i)(5).</w:t>
      </w:r>
    </w:p>
    <w:p>
      <w:pPr>
        <w:spacing w:after="0" w:line="190" w:lineRule="exact"/>
        <w:rPr>
          <w:sz w:val="20"/>
          <w:szCs w:val="20"/>
          <w:color w:val="auto"/>
        </w:rPr>
      </w:pPr>
    </w:p>
    <w:p>
      <w:pPr>
        <w:ind w:left="660" w:hanging="584"/>
        <w:spacing w:after="0"/>
        <w:tabs>
          <w:tab w:leader="none" w:pos="66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 Compliance</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5.1 </w:t>
      </w:r>
      <w:r>
        <w:rPr>
          <w:rFonts w:ascii="Arial" w:cs="Arial" w:eastAsia="Arial" w:hAnsi="Arial"/>
          <w:sz w:val="22"/>
          <w:szCs w:val="22"/>
          <w:color w:val="auto"/>
        </w:rPr>
        <w:t>You represent and warrant that you (a) have been furnished with a copy of the prospectus for the Plan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which you deem 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18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color w:val="auto"/>
        </w:rPr>
        <w:t>You hereby agree that you will in no event sell or distribute all or any part of the shares of Common Stock that you</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pursuant to settlement of this Award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unless (a) there is an effective registration statement under the U.S. Securities Act of 1933, as amended (the “</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and any applicable state and foreign securities laws covering any such transaction involving the Shares or (b) the Company receives an opinion of your legal counsel (concurred with by legal counsel for the Company) stating that such transaction is exempt from registration or the Company otherwise satisfies itself that such transaction is exempt from registration. You understand that the Company has no obligation to you to register the Shares with the U.S. Securities and Exchange Commission or any foreign securities regulator and has not represented to you that it will so register the Shares.</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22"/>
          <w:szCs w:val="22"/>
          <w:color w:val="auto"/>
        </w:rPr>
        <w:t>You confirm that you have been advised, prior to your receipt of the Shares, that neither the offering of the Shares nor</w:t>
      </w:r>
      <w:r>
        <w:rPr>
          <w:rFonts w:ascii="Arial" w:cs="Arial" w:eastAsia="Arial" w:hAnsi="Arial"/>
          <w:sz w:val="22"/>
          <w:szCs w:val="22"/>
          <w:b w:val="1"/>
          <w:bCs w:val="1"/>
          <w:color w:val="auto"/>
        </w:rPr>
        <w:t xml:space="preserve"> </w:t>
      </w:r>
      <w:r>
        <w:rPr>
          <w:rFonts w:ascii="Arial" w:cs="Arial" w:eastAsia="Arial" w:hAnsi="Arial"/>
          <w:sz w:val="22"/>
          <w:szCs w:val="22"/>
          <w:color w:val="auto"/>
        </w:rPr>
        <w:t>any offering materials have been reviewed by any regulator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10.34</w:t>
      </w:r>
    </w:p>
    <w:p>
      <w:pPr>
        <w:spacing w:after="0" w:line="200" w:lineRule="exact"/>
        <w:rPr>
          <w:sz w:val="20"/>
          <w:szCs w:val="20"/>
          <w:color w:val="auto"/>
        </w:rPr>
      </w:pPr>
    </w:p>
    <w:p>
      <w:pPr>
        <w:spacing w:after="0" w:line="38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under the Securities Act or any other applicable securities act (the “</w:t>
      </w:r>
      <w:r>
        <w:rPr>
          <w:rFonts w:ascii="Arial" w:cs="Arial" w:eastAsia="Arial" w:hAnsi="Arial"/>
          <w:sz w:val="22"/>
          <w:szCs w:val="22"/>
          <w:b w:val="1"/>
          <w:bCs w:val="1"/>
          <w:i w:val="1"/>
          <w:iCs w:val="1"/>
          <w:color w:val="auto"/>
        </w:rPr>
        <w:t>Acts</w:t>
      </w:r>
      <w:r>
        <w:rPr>
          <w:rFonts w:ascii="Arial" w:cs="Arial" w:eastAsia="Arial" w:hAnsi="Arial"/>
          <w:sz w:val="22"/>
          <w:szCs w:val="22"/>
          <w:color w:val="auto"/>
        </w:rPr>
        <w:t>”) and that the Shares cannot be resold unless they are registered under the Acts or unless an exemption from such registration is available.</w:t>
      </w:r>
    </w:p>
    <w:p>
      <w:pPr>
        <w:spacing w:after="0" w:line="16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5.4 </w:t>
      </w:r>
      <w:r>
        <w:rPr>
          <w:rFonts w:ascii="Arial" w:cs="Arial" w:eastAsia="Arial" w:hAnsi="Arial"/>
          <w:sz w:val="22"/>
          <w:szCs w:val="22"/>
          <w:color w:val="auto"/>
        </w:rPr>
        <w:t>You hereby agree to indemnify the Company and hold it harmless from and against any loss, claim or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attorneys’ fees or legal expenses, incurred by the Company as a result of any breach by you of, or any inaccuracy in, any representation, warranty or statement made by you in this Agreement or the breach by you of any terms or conditions of this Agreement.</w:t>
      </w:r>
    </w:p>
    <w:p>
      <w:pPr>
        <w:spacing w:after="0" w:line="180" w:lineRule="exact"/>
        <w:rPr>
          <w:sz w:val="20"/>
          <w:szCs w:val="20"/>
          <w:color w:val="auto"/>
        </w:rPr>
      </w:pPr>
    </w:p>
    <w:p>
      <w:pPr>
        <w:ind w:left="660" w:hanging="584"/>
        <w:spacing w:after="0"/>
        <w:tabs>
          <w:tab w:leader="none" w:pos="66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Transfer Restrictions</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Units shall not be sold, transferred, assigned, encumbered, pledged or otherwise disposed of, whether voluntarily or by operation of law, other than pursuant to a beneficiary designation in accordance with the following sentence. You may, from time to time, name any beneficiary or beneficiaries (who may be named contingently or successively) to whom any benefit under this Agreement is to be paid in case you do not receive any or all such benefit during your lifetime. Each such designation shall revoke all of your prior designations, shall be in a form prescribed by the Company, and will be effective only when completed in accordance with any instructions provided by the Company during your lifetime. In the absence of any such designation, benefits remaining unpaid to you during your lifetime shall be paid to your estate.</w:t>
      </w:r>
    </w:p>
    <w:p>
      <w:pPr>
        <w:spacing w:after="0" w:line="175" w:lineRule="exact"/>
        <w:rPr>
          <w:sz w:val="20"/>
          <w:szCs w:val="20"/>
          <w:color w:val="auto"/>
        </w:rPr>
      </w:pPr>
    </w:p>
    <w:p>
      <w:pPr>
        <w:ind w:left="660" w:hanging="584"/>
        <w:spacing w:after="0"/>
        <w:tabs>
          <w:tab w:leader="none" w:pos="66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No Rights as Shareholder</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You shall not have voting or other rights as a shareholder of the Company with respect to the Units.</w:t>
      </w:r>
    </w:p>
    <w:p>
      <w:pPr>
        <w:spacing w:after="0" w:line="213" w:lineRule="exact"/>
        <w:rPr>
          <w:rFonts w:ascii="Arial" w:cs="Arial" w:eastAsia="Arial" w:hAnsi="Arial"/>
          <w:sz w:val="22"/>
          <w:szCs w:val="22"/>
          <w:b w:val="1"/>
          <w:bCs w:val="1"/>
          <w:color w:val="auto"/>
        </w:rPr>
      </w:pPr>
    </w:p>
    <w:p>
      <w:pPr>
        <w:ind w:left="660" w:hanging="584"/>
        <w:spacing w:after="0"/>
        <w:tabs>
          <w:tab w:leader="none" w:pos="66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Book Entry Registration of Shares</w:t>
      </w:r>
    </w:p>
    <w:p>
      <w:pPr>
        <w:spacing w:after="0" w:line="22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99" w:lineRule="exact"/>
        <w:rPr>
          <w:sz w:val="20"/>
          <w:szCs w:val="20"/>
          <w:color w:val="auto"/>
        </w:rPr>
      </w:pPr>
    </w:p>
    <w:p>
      <w:pPr>
        <w:ind w:left="660" w:hanging="584"/>
        <w:spacing w:after="0"/>
        <w:tabs>
          <w:tab w:leader="none" w:pos="66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Responsibility for Taxes</w:t>
      </w:r>
    </w:p>
    <w:p>
      <w:pPr>
        <w:spacing w:after="0" w:line="2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9"/>
          <w:szCs w:val="19"/>
          <w:color w:val="auto"/>
        </w:rPr>
        <w:t>Regardless of any action the Company or the Employer take with respect to any and all income tax, social 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payroll tax, fringe benefits tax, payment on account or other tax-related items related to your participation in the Plan and legally applicable to you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Units, the issuance of Shares upon settlement of the Vested Units, the subsequent sale of Shares acquired upon settlement of the Vested Units and the receipt of any dividends; and (b) do not commit to and are under no obligation to structure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10.34</w:t>
      </w:r>
    </w:p>
    <w:p>
      <w:pPr>
        <w:spacing w:after="0" w:line="200" w:lineRule="exact"/>
        <w:rPr>
          <w:sz w:val="20"/>
          <w:szCs w:val="20"/>
          <w:color w:val="auto"/>
        </w:rPr>
      </w:pPr>
    </w:p>
    <w:p>
      <w:pPr>
        <w:spacing w:after="0" w:line="38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terms of the grant or any aspect of the Award to reduce or eliminate your liability for Tax-Related Items or achieve any particular tax result. Further, if you have become subject to Tax-Related Items in more than one jurisdiction between the Grant Date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18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9.2 </w:t>
      </w:r>
      <w:r>
        <w:rPr>
          <w:rFonts w:ascii="Arial" w:cs="Arial" w:eastAsia="Arial" w:hAnsi="Arial"/>
          <w:sz w:val="22"/>
          <w:szCs w:val="22"/>
          <w:color w:val="auto"/>
        </w:rPr>
        <w:t>Prior to any relevant taxable or tax withholding event, as applicable, you will pay or make adequate arrangements</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satisfactory to the Company and or the Employer to satisfy all Tax-Related Items.</w:t>
      </w:r>
    </w:p>
    <w:p>
      <w:pPr>
        <w:spacing w:after="0" w:line="168" w:lineRule="exact"/>
        <w:rPr>
          <w:sz w:val="20"/>
          <w:szCs w:val="20"/>
          <w:color w:val="auto"/>
        </w:rPr>
      </w:pPr>
    </w:p>
    <w:p>
      <w:pPr>
        <w:ind w:firstLine="1386"/>
        <w:spacing w:after="0" w:line="287" w:lineRule="auto"/>
        <w:tabs>
          <w:tab w:leader="none" w:pos="1896" w:val="left"/>
        </w:tabs>
        <w:numPr>
          <w:ilvl w:val="0"/>
          <w:numId w:val="77"/>
        </w:numPr>
        <w:rPr>
          <w:rFonts w:ascii="Arial" w:cs="Arial" w:eastAsia="Arial" w:hAnsi="Arial"/>
          <w:sz w:val="21"/>
          <w:szCs w:val="21"/>
          <w:color w:val="auto"/>
        </w:rPr>
      </w:pPr>
      <w:r>
        <w:rPr>
          <w:rFonts w:ascii="Arial" w:cs="Arial" w:eastAsia="Arial" w:hAnsi="Arial"/>
          <w:sz w:val="21"/>
          <w:szCs w:val="21"/>
          <w:color w:val="auto"/>
        </w:rPr>
        <w:t>In this regard, you hereby irrevocably appoint Fidelity or any stock plan service provider or brokerage firm designated by the Company for such purpose (the “</w:t>
      </w:r>
      <w:r>
        <w:rPr>
          <w:rFonts w:ascii="Arial" w:cs="Arial" w:eastAsia="Arial" w:hAnsi="Arial"/>
          <w:sz w:val="21"/>
          <w:szCs w:val="21"/>
          <w:b w:val="1"/>
          <w:bCs w:val="1"/>
          <w:i w:val="1"/>
          <w:iCs w:val="1"/>
          <w:color w:val="auto"/>
        </w:rPr>
        <w:t>Agent</w:t>
      </w:r>
      <w:r>
        <w:rPr>
          <w:rFonts w:ascii="Arial" w:cs="Arial" w:eastAsia="Arial" w:hAnsi="Arial"/>
          <w:sz w:val="21"/>
          <w:szCs w:val="21"/>
          <w:color w:val="auto"/>
        </w:rPr>
        <w:t>”) as your Agent, and authorize the Agent, to:</w:t>
      </w:r>
    </w:p>
    <w:p>
      <w:pPr>
        <w:spacing w:after="0" w:line="367" w:lineRule="exact"/>
        <w:rPr>
          <w:rFonts w:ascii="Arial" w:cs="Arial" w:eastAsia="Arial" w:hAnsi="Arial"/>
          <w:sz w:val="21"/>
          <w:szCs w:val="21"/>
          <w:color w:val="auto"/>
        </w:rPr>
      </w:pPr>
    </w:p>
    <w:p>
      <w:pPr>
        <w:jc w:val="both"/>
        <w:ind w:firstLine="1953"/>
        <w:spacing w:after="0" w:line="312" w:lineRule="auto"/>
        <w:tabs>
          <w:tab w:leader="none" w:pos="2384" w:val="left"/>
        </w:tabs>
        <w:numPr>
          <w:ilvl w:val="1"/>
          <w:numId w:val="77"/>
        </w:numPr>
        <w:rPr>
          <w:rFonts w:ascii="Arial" w:cs="Arial" w:eastAsia="Arial" w:hAnsi="Arial"/>
          <w:sz w:val="19"/>
          <w:szCs w:val="19"/>
          <w:color w:val="auto"/>
        </w:rPr>
      </w:pPr>
      <w:r>
        <w:rPr>
          <w:rFonts w:ascii="Arial" w:cs="Arial" w:eastAsia="Arial" w:hAnsi="Arial"/>
          <w:sz w:val="19"/>
          <w:szCs w:val="19"/>
          <w:color w:val="auto"/>
        </w:rPr>
        <w:t>Sell on the open market at the then prevailing market price(s), on your behalf, as soon as practicable on or after the settlement date for any Vested Unit, a number of Shares (rounded up to the next whole number) sufficient to generate proceeds to cover the Tax-Related Items and all applicable fees and commissions due to, or required to be collected by, the Agent;</w:t>
      </w:r>
    </w:p>
    <w:p>
      <w:pPr>
        <w:spacing w:after="0" w:line="133" w:lineRule="exact"/>
        <w:rPr>
          <w:rFonts w:ascii="Arial" w:cs="Arial" w:eastAsia="Arial" w:hAnsi="Arial"/>
          <w:sz w:val="19"/>
          <w:szCs w:val="19"/>
          <w:color w:val="auto"/>
        </w:rPr>
      </w:pPr>
    </w:p>
    <w:p>
      <w:pPr>
        <w:ind w:left="2440" w:hanging="487"/>
        <w:spacing w:after="0"/>
        <w:tabs>
          <w:tab w:leader="none" w:pos="2440" w:val="left"/>
        </w:tabs>
        <w:numPr>
          <w:ilvl w:val="1"/>
          <w:numId w:val="77"/>
        </w:numPr>
        <w:rPr>
          <w:rFonts w:ascii="Arial" w:cs="Arial" w:eastAsia="Arial" w:hAnsi="Arial"/>
          <w:sz w:val="22"/>
          <w:szCs w:val="22"/>
          <w:color w:val="auto"/>
        </w:rPr>
      </w:pPr>
      <w:r>
        <w:rPr>
          <w:rFonts w:ascii="Arial" w:cs="Arial" w:eastAsia="Arial" w:hAnsi="Arial"/>
          <w:sz w:val="22"/>
          <w:szCs w:val="22"/>
          <w:color w:val="auto"/>
        </w:rPr>
        <w:t>Remit directly to the Company the cash amount necessary to cover the Tax-Related Items;</w:t>
      </w:r>
    </w:p>
    <w:p>
      <w:pPr>
        <w:spacing w:after="0" w:line="219" w:lineRule="exact"/>
        <w:rPr>
          <w:rFonts w:ascii="Arial" w:cs="Arial" w:eastAsia="Arial" w:hAnsi="Arial"/>
          <w:sz w:val="22"/>
          <w:szCs w:val="22"/>
          <w:color w:val="auto"/>
        </w:rPr>
      </w:pPr>
    </w:p>
    <w:p>
      <w:pPr>
        <w:ind w:firstLine="1953"/>
        <w:spacing w:after="0" w:line="263" w:lineRule="auto"/>
        <w:tabs>
          <w:tab w:leader="none" w:pos="2588" w:val="left"/>
        </w:tabs>
        <w:numPr>
          <w:ilvl w:val="1"/>
          <w:numId w:val="77"/>
        </w:numPr>
        <w:rPr>
          <w:rFonts w:ascii="Arial" w:cs="Arial" w:eastAsia="Arial" w:hAnsi="Arial"/>
          <w:sz w:val="22"/>
          <w:szCs w:val="22"/>
          <w:color w:val="auto"/>
        </w:rPr>
      </w:pPr>
      <w:r>
        <w:rPr>
          <w:rFonts w:ascii="Arial" w:cs="Arial" w:eastAsia="Arial" w:hAnsi="Arial"/>
          <w:sz w:val="22"/>
          <w:szCs w:val="22"/>
          <w:color w:val="auto"/>
        </w:rPr>
        <w:t>Retain the amount required to cover all applicable fees and commissions due to, or required to be collected by, the Agent, relating directly to the sale of Shares referred to in clause (i) above; and</w:t>
      </w:r>
    </w:p>
    <w:p>
      <w:pPr>
        <w:spacing w:after="0" w:line="174" w:lineRule="exact"/>
        <w:rPr>
          <w:rFonts w:ascii="Arial" w:cs="Arial" w:eastAsia="Arial" w:hAnsi="Arial"/>
          <w:sz w:val="22"/>
          <w:szCs w:val="22"/>
          <w:color w:val="auto"/>
        </w:rPr>
      </w:pPr>
    </w:p>
    <w:p>
      <w:pPr>
        <w:ind w:left="2480" w:hanging="527"/>
        <w:spacing w:after="0"/>
        <w:tabs>
          <w:tab w:leader="none" w:pos="2480" w:val="left"/>
        </w:tabs>
        <w:numPr>
          <w:ilvl w:val="1"/>
          <w:numId w:val="77"/>
        </w:numPr>
        <w:rPr>
          <w:rFonts w:ascii="Arial" w:cs="Arial" w:eastAsia="Arial" w:hAnsi="Arial"/>
          <w:sz w:val="22"/>
          <w:szCs w:val="22"/>
          <w:color w:val="auto"/>
        </w:rPr>
      </w:pPr>
      <w:r>
        <w:rPr>
          <w:rFonts w:ascii="Arial" w:cs="Arial" w:eastAsia="Arial" w:hAnsi="Arial"/>
          <w:sz w:val="22"/>
          <w:szCs w:val="22"/>
          <w:color w:val="auto"/>
        </w:rPr>
        <w:t>Remit any remaining funds to you.</w:t>
      </w:r>
    </w:p>
    <w:p>
      <w:pPr>
        <w:spacing w:after="0" w:line="219" w:lineRule="exact"/>
        <w:rPr>
          <w:rFonts w:ascii="Arial" w:cs="Arial" w:eastAsia="Arial" w:hAnsi="Arial"/>
          <w:sz w:val="22"/>
          <w:szCs w:val="22"/>
          <w:color w:val="auto"/>
        </w:rPr>
      </w:pPr>
    </w:p>
    <w:p>
      <w:pPr>
        <w:jc w:val="both"/>
        <w:ind w:firstLine="1386"/>
        <w:spacing w:after="0" w:line="248" w:lineRule="auto"/>
        <w:tabs>
          <w:tab w:leader="none" w:pos="1938" w:val="left"/>
        </w:tabs>
        <w:numPr>
          <w:ilvl w:val="0"/>
          <w:numId w:val="77"/>
        </w:numPr>
        <w:rPr>
          <w:rFonts w:ascii="Arial" w:cs="Arial" w:eastAsia="Arial" w:hAnsi="Arial"/>
          <w:sz w:val="22"/>
          <w:szCs w:val="22"/>
          <w:color w:val="auto"/>
        </w:rPr>
      </w:pPr>
      <w:r>
        <w:rPr>
          <w:rFonts w:ascii="Arial" w:cs="Arial" w:eastAsia="Arial" w:hAnsi="Arial"/>
          <w:sz w:val="22"/>
          <w:szCs w:val="22"/>
          <w:color w:val="auto"/>
        </w:rPr>
        <w:t>If the sale of Shares required by Section 9.2(a)(i) above is prohibited by a legal, contractual or regulatory restriction, is otherwise impossible as described in the 10b5-1 Plan set forth in Section 9.3 below, or if the obligation for withholding of Tax-Related Items arises at a time other than the settlement of the Award, then in addition to the withholding mechanism described in Section 9.2(a), you authorize the Company and/or the Employer, at their discretion, to satisfy the obligations with regard to all Tax-Related Items by:</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2380" w:hanging="427"/>
        <w:spacing w:after="0"/>
        <w:tabs>
          <w:tab w:leader="none" w:pos="2380" w:val="left"/>
        </w:tabs>
        <w:numPr>
          <w:ilvl w:val="1"/>
          <w:numId w:val="77"/>
        </w:numPr>
        <w:rPr>
          <w:rFonts w:ascii="Arial" w:cs="Arial" w:eastAsia="Arial" w:hAnsi="Arial"/>
          <w:sz w:val="19"/>
          <w:szCs w:val="19"/>
          <w:color w:val="auto"/>
        </w:rPr>
      </w:pPr>
      <w:r>
        <w:rPr>
          <w:rFonts w:ascii="Arial" w:cs="Arial" w:eastAsia="Arial" w:hAnsi="Arial"/>
          <w:sz w:val="19"/>
          <w:szCs w:val="19"/>
          <w:color w:val="auto"/>
        </w:rPr>
        <w:t>requiring you to pay to the Company or the Employer any amount of the Tax-Related Items; and/or</w:t>
      </w:r>
    </w:p>
    <w:p>
      <w:pPr>
        <w:spacing w:after="0" w:line="254" w:lineRule="exact"/>
        <w:rPr>
          <w:rFonts w:ascii="Arial" w:cs="Arial" w:eastAsia="Arial" w:hAnsi="Arial"/>
          <w:sz w:val="19"/>
          <w:szCs w:val="19"/>
          <w:color w:val="auto"/>
        </w:rPr>
      </w:pPr>
    </w:p>
    <w:p>
      <w:pPr>
        <w:ind w:firstLine="1953"/>
        <w:spacing w:after="0" w:line="263" w:lineRule="auto"/>
        <w:tabs>
          <w:tab w:leader="none" w:pos="2442" w:val="left"/>
        </w:tabs>
        <w:numPr>
          <w:ilvl w:val="1"/>
          <w:numId w:val="77"/>
        </w:numPr>
        <w:rPr>
          <w:rFonts w:ascii="Arial" w:cs="Arial" w:eastAsia="Arial" w:hAnsi="Arial"/>
          <w:sz w:val="22"/>
          <w:szCs w:val="22"/>
          <w:color w:val="auto"/>
        </w:rPr>
      </w:pPr>
      <w:r>
        <w:rPr>
          <w:rFonts w:ascii="Arial" w:cs="Arial" w:eastAsia="Arial" w:hAnsi="Arial"/>
          <w:sz w:val="22"/>
          <w:szCs w:val="22"/>
          <w:color w:val="auto"/>
        </w:rPr>
        <w:t>withholding any amount of the Tax-Related Items from your wages or other cash compensation paid to you by the Company and/or the Employer; and/or</w:t>
      </w:r>
    </w:p>
    <w:p>
      <w:pPr>
        <w:spacing w:after="0" w:line="174" w:lineRule="exact"/>
        <w:rPr>
          <w:rFonts w:ascii="Arial" w:cs="Arial" w:eastAsia="Arial" w:hAnsi="Arial"/>
          <w:sz w:val="22"/>
          <w:szCs w:val="22"/>
          <w:color w:val="auto"/>
        </w:rPr>
      </w:pPr>
    </w:p>
    <w:p>
      <w:pPr>
        <w:jc w:val="both"/>
        <w:ind w:right="20" w:firstLine="1953"/>
        <w:spacing w:after="0" w:line="253" w:lineRule="auto"/>
        <w:tabs>
          <w:tab w:leader="none" w:pos="2504" w:val="left"/>
        </w:tabs>
        <w:numPr>
          <w:ilvl w:val="1"/>
          <w:numId w:val="77"/>
        </w:numPr>
        <w:rPr>
          <w:rFonts w:ascii="Arial" w:cs="Arial" w:eastAsia="Arial" w:hAnsi="Arial"/>
          <w:sz w:val="22"/>
          <w:szCs w:val="22"/>
          <w:color w:val="auto"/>
        </w:rPr>
      </w:pPr>
      <w:r>
        <w:rPr>
          <w:rFonts w:ascii="Arial" w:cs="Arial" w:eastAsia="Arial" w:hAnsi="Arial"/>
          <w:sz w:val="22"/>
          <w:szCs w:val="22"/>
          <w:color w:val="auto"/>
        </w:rPr>
        <w:t>withholding in Shares to be issued upon settlement of the Vested Units, provided, however, that if you are a Section 16 officer of the Company under the Exchange Act, then the Plan Administrator (as constituted to satisfy Rule 16b-3 of the Exchange Act) shall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10.34</w:t>
      </w:r>
    </w:p>
    <w:p>
      <w:pPr>
        <w:spacing w:after="0" w:line="200" w:lineRule="exact"/>
        <w:rPr>
          <w:sz w:val="20"/>
          <w:szCs w:val="20"/>
          <w:color w:val="auto"/>
        </w:rPr>
      </w:pPr>
    </w:p>
    <w:p>
      <w:pPr>
        <w:spacing w:after="0" w:line="38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establish any alternative method of withholding as may be required from the alternatives (i) – (iii) herein and, if the Plan Administrator does not exercise its discretion prior to the Tax-Related Items withholding event, then the method of withholding set forth in alternative (iii) shall apply.</w:t>
      </w:r>
    </w:p>
    <w:p>
      <w:pPr>
        <w:spacing w:after="0" w:line="186" w:lineRule="exact"/>
        <w:rPr>
          <w:sz w:val="20"/>
          <w:szCs w:val="20"/>
          <w:color w:val="auto"/>
        </w:rPr>
      </w:pPr>
    </w:p>
    <w:p>
      <w:pPr>
        <w:jc w:val="both"/>
        <w:ind w:firstLine="1386"/>
        <w:spacing w:after="0" w:line="246" w:lineRule="auto"/>
        <w:tabs>
          <w:tab w:leader="none" w:pos="1954" w:val="left"/>
        </w:tabs>
        <w:numPr>
          <w:ilvl w:val="0"/>
          <w:numId w:val="78"/>
        </w:numPr>
        <w:rPr>
          <w:rFonts w:ascii="Arial" w:cs="Arial" w:eastAsia="Arial" w:hAnsi="Arial"/>
          <w:sz w:val="22"/>
          <w:szCs w:val="22"/>
          <w:color w:val="auto"/>
        </w:rPr>
      </w:pPr>
      <w:r>
        <w:rPr>
          <w:rFonts w:ascii="Arial" w:cs="Arial" w:eastAsia="Arial" w:hAnsi="Arial"/>
          <w:sz w:val="22"/>
          <w:szCs w:val="22"/>
          <w:color w:val="auto"/>
        </w:rPr>
        <w:t>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equivalent amount in Shares. If the obligation for Tax-Related Items is satisfied by withholding in Shares, for tax purposes, you will be deemed to have been issued the full number of Shares subject to the Vested Units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9.3 </w:t>
      </w:r>
      <w:r>
        <w:rPr>
          <w:rFonts w:ascii="Arial" w:cs="Arial" w:eastAsia="Arial" w:hAnsi="Arial"/>
          <w:sz w:val="19"/>
          <w:szCs w:val="19"/>
          <w:color w:val="auto"/>
        </w:rPr>
        <w:t>You acknowledge that the authorization and instruction to the Agent set forth in Section 9.2(a)(i) above to sell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to cover the Tax-Related Items is intended to comply with the requirements of Rule 10b5-1(c)(1)(i)(B) under the Exchange Act and to be interpreted to comply with the requirements of Rule 10b5-1(c) under the Exchange Act (regarding trading of the Company’s securities on the basis of material nonpublic information) (a “</w:t>
      </w:r>
      <w:r>
        <w:rPr>
          <w:rFonts w:ascii="Arial" w:cs="Arial" w:eastAsia="Arial" w:hAnsi="Arial"/>
          <w:sz w:val="19"/>
          <w:szCs w:val="19"/>
          <w:b w:val="1"/>
          <w:bCs w:val="1"/>
          <w:i w:val="1"/>
          <w:iCs w:val="1"/>
          <w:color w:val="auto"/>
        </w:rPr>
        <w:t>10b5-1 Plan</w:t>
      </w:r>
      <w:r>
        <w:rPr>
          <w:rFonts w:ascii="Arial" w:cs="Arial" w:eastAsia="Arial" w:hAnsi="Arial"/>
          <w:sz w:val="19"/>
          <w:szCs w:val="19"/>
          <w:color w:val="auto"/>
        </w:rPr>
        <w:t>”). This 10b5-1 Plan is being adopted to permit you to sell a number of Shares issued upon settlement of Vested Units sufficient to pay the Tax-Related Items.</w:t>
      </w:r>
    </w:p>
    <w:p>
      <w:pPr>
        <w:spacing w:after="0" w:line="14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You acknowledge that the broker is under no obligation to arrange for the sale of Shares at any particular price. You further acknowledge that you will be responsible for all brokerage fees and other costs of sale, and you agree to indemnify and hold the Company harmless from any losses, costs, damages, or expenses relating to any such sale. You acknowledge that it may not be possible to sell Shares during the term of this 10b5-1 Plan due to (a) a legal or contractual restriction applicable to you or to the broker, (b) a market disruption, (c) rules governing order execution priority on the Nasdaq or other exchange where the Shares may be traded, (d) a sale effected pursuant to this 10b5-1 Plan that fails to comply (or in the reasonable opinion of the Agent’s counsel is likely not to comply) with the Securities Act, or (e) if the Company determines that sales may not be effected under this 10b5-1 Plan. In the event of the Agent’s inability to sell Shares, you will continue to be responsible for the Tax-Related Items.</w:t>
      </w:r>
    </w:p>
    <w:p>
      <w:pPr>
        <w:spacing w:after="0" w:line="15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You hereby agree to execute and deliver to the Agent any other agreements or documents as the Agent reasonably deems necessary or appropriate to carry out the purposes and intent of the 10b5-1 Plan. You acknowledge that this 10b5-1 Plan is subject to the terms of any policy adopted now or hereafter by the Company governing the adoption of 10b5-1 plans. The Agent is a third party beneficiary of Section 9.2(a)(i) and this 10b5-1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10.34</w:t>
      </w:r>
    </w:p>
    <w:p>
      <w:pPr>
        <w:spacing w:after="0" w:line="200" w:lineRule="exact"/>
        <w:rPr>
          <w:sz w:val="20"/>
          <w:szCs w:val="20"/>
          <w:color w:val="auto"/>
        </w:rPr>
      </w:pPr>
    </w:p>
    <w:p>
      <w:pPr>
        <w:spacing w:after="0" w:line="381" w:lineRule="exact"/>
        <w:rPr>
          <w:sz w:val="20"/>
          <w:szCs w:val="20"/>
          <w:color w:val="auto"/>
        </w:rPr>
      </w:pPr>
    </w:p>
    <w:p>
      <w:pPr>
        <w:ind w:left="660" w:hanging="584"/>
        <w:spacing w:after="0"/>
        <w:tabs>
          <w:tab w:leader="none" w:pos="66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Grant</w:t>
      </w:r>
    </w:p>
    <w:p>
      <w:pPr>
        <w:spacing w:after="0" w:line="225" w:lineRule="exact"/>
        <w:rPr>
          <w:rFonts w:ascii="Arial" w:cs="Arial" w:eastAsia="Arial" w:hAnsi="Arial"/>
          <w:sz w:val="22"/>
          <w:szCs w:val="22"/>
          <w:b w:val="1"/>
          <w:bCs w:val="1"/>
          <w:color w:val="auto"/>
        </w:rPr>
      </w:pPr>
    </w:p>
    <w:p>
      <w:pPr>
        <w:ind w:left="640"/>
        <w:spacing w:after="0"/>
        <w:rPr>
          <w:rFonts w:ascii="Arial" w:cs="Arial" w:eastAsia="Arial" w:hAnsi="Arial"/>
          <w:sz w:val="22"/>
          <w:szCs w:val="22"/>
          <w:b w:val="1"/>
          <w:bCs w:val="1"/>
          <w:color w:val="auto"/>
        </w:rPr>
      </w:pPr>
      <w:r>
        <w:rPr>
          <w:rFonts w:ascii="Arial" w:cs="Arial" w:eastAsia="Arial" w:hAnsi="Arial"/>
          <w:sz w:val="22"/>
          <w:szCs w:val="22"/>
          <w:color w:val="auto"/>
        </w:rPr>
        <w:t>In accepting the grant, you acknowledge, understand and agree that:</w:t>
      </w:r>
    </w:p>
    <w:p>
      <w:pPr>
        <w:spacing w:after="0" w:line="219" w:lineRule="exact"/>
        <w:rPr>
          <w:rFonts w:ascii="Arial" w:cs="Arial" w:eastAsia="Arial" w:hAnsi="Arial"/>
          <w:sz w:val="22"/>
          <w:szCs w:val="22"/>
          <w:b w:val="1"/>
          <w:bCs w:val="1"/>
          <w:color w:val="auto"/>
        </w:rPr>
      </w:pPr>
    </w:p>
    <w:p>
      <w:pPr>
        <w:ind w:right="20" w:firstLine="656"/>
        <w:spacing w:after="0" w:line="263" w:lineRule="auto"/>
        <w:tabs>
          <w:tab w:leader="none" w:pos="1193" w:val="left"/>
        </w:tabs>
        <w:numPr>
          <w:ilvl w:val="1"/>
          <w:numId w:val="79"/>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146" w:val="left"/>
        </w:tabs>
        <w:numPr>
          <w:ilvl w:val="1"/>
          <w:numId w:val="79"/>
        </w:numPr>
        <w:rPr>
          <w:rFonts w:ascii="Arial" w:cs="Arial" w:eastAsia="Arial" w:hAnsi="Arial"/>
          <w:sz w:val="22"/>
          <w:szCs w:val="22"/>
          <w:color w:val="auto"/>
        </w:rPr>
      </w:pPr>
      <w:r>
        <w:rPr>
          <w:rFonts w:ascii="Arial" w:cs="Arial" w:eastAsia="Arial" w:hAnsi="Arial"/>
          <w:sz w:val="22"/>
          <w:szCs w:val="22"/>
          <w:color w:val="auto"/>
        </w:rPr>
        <w:t>the grant of the Award is voluntary and occasional and does not create any contractual or other right to receive future grants of restricted stock units, or benefits in lieu of restricted stock units, even if restricted stock units have been granted in the past;</w:t>
      </w:r>
    </w:p>
    <w:p>
      <w:pPr>
        <w:spacing w:after="0" w:line="185" w:lineRule="exact"/>
        <w:rPr>
          <w:rFonts w:ascii="Arial" w:cs="Arial" w:eastAsia="Arial" w:hAnsi="Arial"/>
          <w:sz w:val="22"/>
          <w:szCs w:val="22"/>
          <w:color w:val="auto"/>
        </w:rPr>
      </w:pPr>
    </w:p>
    <w:p>
      <w:pPr>
        <w:ind w:left="1120" w:hanging="464"/>
        <w:spacing w:after="0"/>
        <w:tabs>
          <w:tab w:leader="none" w:pos="1120" w:val="left"/>
        </w:tabs>
        <w:numPr>
          <w:ilvl w:val="1"/>
          <w:numId w:val="79"/>
        </w:numPr>
        <w:rPr>
          <w:rFonts w:ascii="Arial" w:cs="Arial" w:eastAsia="Arial" w:hAnsi="Arial"/>
          <w:sz w:val="19"/>
          <w:szCs w:val="19"/>
          <w:color w:val="auto"/>
        </w:rPr>
      </w:pPr>
      <w:r>
        <w:rPr>
          <w:rFonts w:ascii="Arial" w:cs="Arial" w:eastAsia="Arial" w:hAnsi="Arial"/>
          <w:sz w:val="19"/>
          <w:szCs w:val="19"/>
          <w:color w:val="auto"/>
        </w:rPr>
        <w:t>all decisions with respect to future grants of restricted stock units, if any, will be at the sole discretion of the Company;</w:t>
      </w:r>
    </w:p>
    <w:p>
      <w:pPr>
        <w:spacing w:after="0" w:line="254" w:lineRule="exact"/>
        <w:rPr>
          <w:rFonts w:ascii="Arial" w:cs="Arial" w:eastAsia="Arial" w:hAnsi="Arial"/>
          <w:sz w:val="19"/>
          <w:szCs w:val="19"/>
          <w:color w:val="auto"/>
        </w:rPr>
      </w:pPr>
    </w:p>
    <w:p>
      <w:pPr>
        <w:jc w:val="both"/>
        <w:ind w:firstLine="656"/>
        <w:spacing w:after="0" w:line="250" w:lineRule="auto"/>
        <w:tabs>
          <w:tab w:leader="none" w:pos="1175" w:val="left"/>
        </w:tabs>
        <w:numPr>
          <w:ilvl w:val="1"/>
          <w:numId w:val="79"/>
        </w:numPr>
        <w:rPr>
          <w:rFonts w:ascii="Arial" w:cs="Arial" w:eastAsia="Arial" w:hAnsi="Arial"/>
          <w:sz w:val="22"/>
          <w:szCs w:val="22"/>
          <w:color w:val="auto"/>
        </w:rPr>
      </w:pPr>
      <w:r>
        <w:rPr>
          <w:rFonts w:ascii="Arial" w:cs="Arial" w:eastAsia="Arial" w:hAnsi="Arial"/>
          <w:sz w:val="22"/>
          <w:szCs w:val="22"/>
          <w:color w:val="auto"/>
        </w:rPr>
        <w:t>the grant of the Award and your participation in the Plan shall not create a right to employment or be interpreted as forming an employment or service contract with the Employer, the Company or any Related Corporation and shall not interfere with the ability of the Employer, the Company or any Related Corporation to terminate your employment or service relationship (if any);</w:t>
      </w:r>
    </w:p>
    <w:p>
      <w:pPr>
        <w:spacing w:after="0" w:line="188" w:lineRule="exact"/>
        <w:rPr>
          <w:rFonts w:ascii="Arial" w:cs="Arial" w:eastAsia="Arial" w:hAnsi="Arial"/>
          <w:sz w:val="22"/>
          <w:szCs w:val="22"/>
          <w:color w:val="auto"/>
        </w:rPr>
      </w:pPr>
    </w:p>
    <w:p>
      <w:pPr>
        <w:ind w:left="1120" w:hanging="464"/>
        <w:spacing w:after="0"/>
        <w:tabs>
          <w:tab w:leader="none" w:pos="1120" w:val="left"/>
        </w:tabs>
        <w:numPr>
          <w:ilvl w:val="1"/>
          <w:numId w:val="79"/>
        </w:numPr>
        <w:rPr>
          <w:rFonts w:ascii="Arial" w:cs="Arial" w:eastAsia="Arial" w:hAnsi="Arial"/>
          <w:sz w:val="22"/>
          <w:szCs w:val="22"/>
          <w:color w:val="auto"/>
        </w:rPr>
      </w:pPr>
      <w:r>
        <w:rPr>
          <w:rFonts w:ascii="Arial" w:cs="Arial" w:eastAsia="Arial" w:hAnsi="Arial"/>
          <w:sz w:val="22"/>
          <w:szCs w:val="22"/>
          <w:color w:val="auto"/>
        </w:rPr>
        <w:t>you are voluntarily participating in the Plan;</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1"/>
          <w:numId w:val="79"/>
        </w:numPr>
        <w:rPr>
          <w:rFonts w:ascii="Arial" w:cs="Arial" w:eastAsia="Arial" w:hAnsi="Arial"/>
          <w:sz w:val="19"/>
          <w:szCs w:val="19"/>
          <w:color w:val="auto"/>
        </w:rPr>
      </w:pPr>
      <w:r>
        <w:rPr>
          <w:rFonts w:ascii="Arial" w:cs="Arial" w:eastAsia="Arial" w:hAnsi="Arial"/>
          <w:sz w:val="19"/>
          <w:szCs w:val="19"/>
          <w:color w:val="auto"/>
        </w:rPr>
        <w:t>the Award and the Shares subject to the Award are not intended to replace any pension rights or compensation;</w:t>
      </w:r>
    </w:p>
    <w:p>
      <w:pPr>
        <w:spacing w:after="0" w:line="254" w:lineRule="exact"/>
        <w:rPr>
          <w:rFonts w:ascii="Arial" w:cs="Arial" w:eastAsia="Arial" w:hAnsi="Arial"/>
          <w:sz w:val="19"/>
          <w:szCs w:val="19"/>
          <w:color w:val="auto"/>
        </w:rPr>
      </w:pPr>
    </w:p>
    <w:p>
      <w:pPr>
        <w:jc w:val="both"/>
        <w:ind w:firstLine="656"/>
        <w:spacing w:after="0" w:line="271" w:lineRule="auto"/>
        <w:tabs>
          <w:tab w:leader="none" w:pos="1141" w:val="left"/>
        </w:tabs>
        <w:numPr>
          <w:ilvl w:val="1"/>
          <w:numId w:val="79"/>
        </w:numPr>
        <w:rPr>
          <w:rFonts w:ascii="Arial" w:cs="Arial" w:eastAsia="Arial" w:hAnsi="Arial"/>
          <w:sz w:val="21"/>
          <w:szCs w:val="21"/>
          <w:color w:val="auto"/>
        </w:rPr>
      </w:pPr>
      <w:r>
        <w:rPr>
          <w:rFonts w:ascii="Arial" w:cs="Arial" w:eastAsia="Arial" w:hAnsi="Arial"/>
          <w:sz w:val="21"/>
          <w:szCs w:val="21"/>
          <w:color w:val="auto"/>
        </w:rPr>
        <w:t>the Award and the Shares subject to the Award, and the income and value of same, are not part of normal or expected compensation for purposes of calculating any severance, resignation, termination, redundancy, dismissal, end of service payments, bonuses, long-service awards, pension or retirement or welfare benefits or similar payments;</w:t>
      </w:r>
    </w:p>
    <w:p>
      <w:pPr>
        <w:spacing w:after="0" w:line="167" w:lineRule="exact"/>
        <w:rPr>
          <w:rFonts w:ascii="Arial" w:cs="Arial" w:eastAsia="Arial" w:hAnsi="Arial"/>
          <w:sz w:val="21"/>
          <w:szCs w:val="21"/>
          <w:color w:val="auto"/>
        </w:rPr>
      </w:pPr>
    </w:p>
    <w:p>
      <w:pPr>
        <w:ind w:left="1120" w:hanging="464"/>
        <w:spacing w:after="0"/>
        <w:tabs>
          <w:tab w:leader="none" w:pos="1120" w:val="left"/>
        </w:tabs>
        <w:numPr>
          <w:ilvl w:val="1"/>
          <w:numId w:val="79"/>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indeterminable and cannot be predicted with certainty;</w:t>
      </w:r>
    </w:p>
    <w:p>
      <w:pPr>
        <w:spacing w:after="0" w:line="231" w:lineRule="exact"/>
        <w:rPr>
          <w:rFonts w:ascii="Arial" w:cs="Arial" w:eastAsia="Arial" w:hAnsi="Arial"/>
          <w:sz w:val="21"/>
          <w:szCs w:val="21"/>
          <w:color w:val="auto"/>
        </w:rPr>
      </w:pPr>
    </w:p>
    <w:p>
      <w:pPr>
        <w:jc w:val="both"/>
        <w:ind w:firstLine="656"/>
        <w:spacing w:after="0" w:line="250" w:lineRule="auto"/>
        <w:tabs>
          <w:tab w:leader="none" w:pos="1189" w:val="left"/>
        </w:tabs>
        <w:numPr>
          <w:ilvl w:val="1"/>
          <w:numId w:val="79"/>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resulting from your ceasing to provide employment or other services to the Company or the Employer (for any reason whatsoever, and whether or not later found to be invalid or in breach of employment laws in the jurisdiction where you are employed or the terms of your employment agreement, if any);</w:t>
      </w:r>
    </w:p>
    <w:p>
      <w:pPr>
        <w:spacing w:after="0" w:line="188" w:lineRule="exact"/>
        <w:rPr>
          <w:rFonts w:ascii="Arial" w:cs="Arial" w:eastAsia="Arial" w:hAnsi="Arial"/>
          <w:sz w:val="22"/>
          <w:szCs w:val="22"/>
          <w:color w:val="auto"/>
        </w:rPr>
      </w:pPr>
    </w:p>
    <w:p>
      <w:pPr>
        <w:jc w:val="both"/>
        <w:ind w:firstLine="656"/>
        <w:spacing w:after="0" w:line="297" w:lineRule="auto"/>
        <w:tabs>
          <w:tab w:leader="none" w:pos="1078" w:val="left"/>
        </w:tabs>
        <w:numPr>
          <w:ilvl w:val="1"/>
          <w:numId w:val="79"/>
        </w:numPr>
        <w:rPr>
          <w:rFonts w:ascii="Arial" w:cs="Arial" w:eastAsia="Arial" w:hAnsi="Arial"/>
          <w:sz w:val="19"/>
          <w:szCs w:val="19"/>
          <w:color w:val="auto"/>
        </w:rPr>
      </w:pPr>
      <w:r>
        <w:rPr>
          <w:rFonts w:ascii="Arial" w:cs="Arial" w:eastAsia="Arial" w:hAnsi="Arial"/>
          <w:sz w:val="19"/>
          <w:szCs w:val="19"/>
          <w:color w:val="auto"/>
        </w:rPr>
        <w:t>for purposes of the Award, your employment will be considered terminated as of the date you cease to actively provide services to the Company or a Related Corporation; further, in the event of termination of your employment or other services (for any reason whatsoever, whether or not later found to be invalid or in breach of employment laws in the jurisdiction where you are employed or the terms of your employment agreement, if any), unless otherwise provided in this Agreement or determined by the Company, your right to vest in the Award, if any, will terminate effective as of the date that you are no longer actively providing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10.34</w:t>
      </w:r>
    </w:p>
    <w:p>
      <w:pPr>
        <w:spacing w:after="0" w:line="200" w:lineRule="exact"/>
        <w:rPr>
          <w:sz w:val="20"/>
          <w:szCs w:val="20"/>
          <w:color w:val="auto"/>
        </w:rPr>
      </w:pPr>
    </w:p>
    <w:p>
      <w:pPr>
        <w:spacing w:after="0" w:line="387"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services and will not be extended by any notice period (</w:t>
      </w:r>
      <w:r>
        <w:rPr>
          <w:rFonts w:ascii="Arial" w:cs="Arial" w:eastAsia="Arial" w:hAnsi="Arial"/>
          <w:sz w:val="21"/>
          <w:szCs w:val="21"/>
          <w:i w:val="1"/>
          <w:iCs w:val="1"/>
          <w:color w:val="auto"/>
        </w:rPr>
        <w:t>e.g.</w:t>
      </w:r>
      <w:r>
        <w:rPr>
          <w:rFonts w:ascii="Arial" w:cs="Arial" w:eastAsia="Arial" w:hAnsi="Arial"/>
          <w:sz w:val="21"/>
          <w:szCs w:val="21"/>
          <w:color w:val="auto"/>
        </w:rPr>
        <w:t>, active service would not include any contractual notice period or any period of “garden leave” or similar period mandated under employment laws in the jurisdiction where you are employed or the terms of your employment agreement, if any); the Company’s Chief Executive Officer shall have the exclusive discretion to determine when you are no longer actively providing services for purposes of the Award (including whether or not you may still be considered to be providing services while on an approved leave of absence);</w:t>
      </w:r>
    </w:p>
    <w:p>
      <w:pPr>
        <w:spacing w:after="0" w:line="176" w:lineRule="exact"/>
        <w:rPr>
          <w:sz w:val="20"/>
          <w:szCs w:val="20"/>
          <w:color w:val="auto"/>
        </w:rPr>
      </w:pPr>
    </w:p>
    <w:p>
      <w:pPr>
        <w:jc w:val="both"/>
        <w:ind w:firstLine="656"/>
        <w:spacing w:after="0" w:line="250" w:lineRule="auto"/>
        <w:tabs>
          <w:tab w:leader="none" w:pos="1175" w:val="left"/>
        </w:tabs>
        <w:numPr>
          <w:ilvl w:val="1"/>
          <w:numId w:val="80"/>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 of the Company; and</w:t>
      </w:r>
    </w:p>
    <w:p>
      <w:pPr>
        <w:spacing w:after="0" w:line="188" w:lineRule="exact"/>
        <w:rPr>
          <w:rFonts w:ascii="Arial" w:cs="Arial" w:eastAsia="Arial" w:hAnsi="Arial"/>
          <w:sz w:val="22"/>
          <w:szCs w:val="22"/>
          <w:color w:val="auto"/>
        </w:rPr>
      </w:pPr>
    </w:p>
    <w:p>
      <w:pPr>
        <w:ind w:left="1080" w:hanging="424"/>
        <w:spacing w:after="0"/>
        <w:tabs>
          <w:tab w:leader="none" w:pos="1080"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following provisions apply only if you are providing services outside the United States:</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2"/>
          <w:numId w:val="80"/>
        </w:numPr>
        <w:rPr>
          <w:rFonts w:ascii="Arial" w:cs="Arial" w:eastAsia="Arial" w:hAnsi="Arial"/>
          <w:sz w:val="19"/>
          <w:szCs w:val="19"/>
          <w:color w:val="auto"/>
        </w:rPr>
      </w:pPr>
      <w:r>
        <w:rPr>
          <w:rFonts w:ascii="Arial" w:cs="Arial" w:eastAsia="Arial" w:hAnsi="Arial"/>
          <w:sz w:val="19"/>
          <w:szCs w:val="19"/>
          <w:color w:val="auto"/>
        </w:rPr>
        <w:t>the Award and the Shares subject to the Award are not part of normal or expected compensation or salary for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 purpose;</w:t>
      </w:r>
    </w:p>
    <w:p>
      <w:pPr>
        <w:spacing w:after="0" w:line="201" w:lineRule="exact"/>
        <w:rPr>
          <w:rFonts w:ascii="Arial" w:cs="Arial" w:eastAsia="Arial" w:hAnsi="Arial"/>
          <w:sz w:val="19"/>
          <w:szCs w:val="19"/>
          <w:color w:val="auto"/>
        </w:rPr>
      </w:pPr>
    </w:p>
    <w:p>
      <w:pPr>
        <w:jc w:val="both"/>
        <w:ind w:firstLine="1305"/>
        <w:spacing w:after="0" w:line="312" w:lineRule="auto"/>
        <w:tabs>
          <w:tab w:leader="none" w:pos="1812" w:val="left"/>
        </w:tabs>
        <w:numPr>
          <w:ilvl w:val="2"/>
          <w:numId w:val="80"/>
        </w:numPr>
        <w:rPr>
          <w:rFonts w:ascii="Arial" w:cs="Arial" w:eastAsia="Arial" w:hAnsi="Arial"/>
          <w:sz w:val="19"/>
          <w:szCs w:val="19"/>
          <w:color w:val="auto"/>
        </w:rPr>
      </w:pPr>
      <w:r>
        <w:rPr>
          <w:rFonts w:ascii="Arial" w:cs="Arial" w:eastAsia="Arial" w:hAnsi="Arial"/>
          <w:sz w:val="19"/>
          <w:szCs w:val="19"/>
          <w:color w:val="auto"/>
        </w:rPr>
        <w:t>neither the Company, the Employer nor any Related Corporation shall be liable for any foreign exchange rate fluctuation between your local currency and the United States dollar that may affect the value of the Award or of any amounts due to you pursuant to the settlement of the Award or the subsequent sale of any Shares acquired upon settlement.</w:t>
      </w:r>
    </w:p>
    <w:p>
      <w:pPr>
        <w:spacing w:after="0" w:line="127" w:lineRule="exact"/>
        <w:rPr>
          <w:rFonts w:ascii="Arial" w:cs="Arial" w:eastAsia="Arial" w:hAnsi="Arial"/>
          <w:sz w:val="19"/>
          <w:szCs w:val="19"/>
          <w:color w:val="auto"/>
        </w:rPr>
      </w:pPr>
    </w:p>
    <w:p>
      <w:pPr>
        <w:ind w:left="480" w:hanging="472"/>
        <w:spacing w:after="0"/>
        <w:tabs>
          <w:tab w:leader="none" w:pos="48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No Advice Regarding Grant</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150" w:lineRule="exact"/>
        <w:rPr>
          <w:sz w:val="20"/>
          <w:szCs w:val="20"/>
          <w:color w:val="auto"/>
        </w:rPr>
      </w:pPr>
    </w:p>
    <w:p>
      <w:pPr>
        <w:ind w:left="500" w:hanging="492"/>
        <w:spacing w:after="0"/>
        <w:tabs>
          <w:tab w:leader="none" w:pos="50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Data Privacy</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i w:val="1"/>
          <w:iCs w:val="1"/>
          <w:color w:val="auto"/>
        </w:rPr>
        <w:t>You understand that the Company and the Employer may hold and process certain personal information about you, including, but not limited to, your name, home address,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10.34</w:t>
      </w:r>
    </w:p>
    <w:p>
      <w:pPr>
        <w:spacing w:after="0" w:line="200" w:lineRule="exact"/>
        <w:rPr>
          <w:sz w:val="20"/>
          <w:szCs w:val="20"/>
          <w:color w:val="auto"/>
        </w:rPr>
      </w:pPr>
    </w:p>
    <w:p>
      <w:pPr>
        <w:spacing w:after="0" w:line="38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b w:val="1"/>
          <w:bCs w:val="1"/>
          <w:i w:val="1"/>
          <w:iCs w:val="1"/>
          <w:color w:val="auto"/>
        </w:rPr>
        <w:t>email address and telephone number, date of birth, social insurance number, passport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14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your employment status or service and career with the Employer will not be affected; the only consequence of refusing or withdrawing your consent is that the Company would not be able to grant you the Award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b w:val="1"/>
          <w:bCs w:val="1"/>
          <w:i w:val="1"/>
          <w:iCs w:val="1"/>
          <w:color w:val="auto"/>
        </w:rPr>
        <w:t>Finally, upon request of the Company and/or the Employer, you agree to provide an executed data privacy consent form (or any other agreements or consents) that the Company and/or the Employer may deem necessary to obtain from you for the purpose of administering the Award in compliance with the data privacy laws in your country, either now or in the future. You understand and agree that you will not be able to accept the Award if you fail to provide such consent or agreement as requested by the Company and/or the Employer.</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Electronic Delivery and Participation</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10.34</w:t>
      </w:r>
    </w:p>
    <w:p>
      <w:pPr>
        <w:spacing w:after="0" w:line="200" w:lineRule="exact"/>
        <w:rPr>
          <w:sz w:val="20"/>
          <w:szCs w:val="20"/>
          <w:color w:val="auto"/>
        </w:rPr>
      </w:pPr>
    </w:p>
    <w:p>
      <w:pPr>
        <w:spacing w:after="0" w:line="38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Language</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You acknowledge that you are sufficiently proficient in English to understand the terms and conditions of the Agreement. Furthermore, if you have received this Agreement (or any portion thereof) or any other document related to the Plan translated into a language other than English and if the meaning of the translated version is different from the English version, the English version will control.</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color w:val="auto"/>
        </w:rPr>
        <w:t>General Provisions</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15.1 Successors and Assigns</w:t>
      </w:r>
      <w:r>
        <w:rPr>
          <w:rFonts w:ascii="Arial" w:cs="Arial" w:eastAsia="Arial" w:hAnsi="Arial"/>
          <w:sz w:val="21"/>
          <w:szCs w:val="21"/>
          <w:color w:val="auto"/>
        </w:rPr>
        <w:t>. The provisions of this Agreement will inure to the benefit of the successors and assigns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and be binding upon you and your heirs, executors, administrators, successors and assigns.</w:t>
      </w:r>
    </w:p>
    <w:p>
      <w:pPr>
        <w:spacing w:after="0" w:line="14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b w:val="1"/>
          <w:bCs w:val="1"/>
          <w:color w:val="auto"/>
        </w:rPr>
        <w:t>Section 409A</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89" w:lineRule="auto"/>
        <w:tabs>
          <w:tab w:leader="none" w:pos="1782" w:val="left"/>
        </w:tabs>
        <w:numPr>
          <w:ilvl w:val="0"/>
          <w:numId w:val="83"/>
        </w:numPr>
        <w:rPr>
          <w:rFonts w:ascii="Arial" w:cs="Arial" w:eastAsia="Arial" w:hAnsi="Arial"/>
          <w:sz w:val="19"/>
          <w:szCs w:val="19"/>
          <w:color w:val="auto"/>
        </w:rPr>
      </w:pPr>
      <w:r>
        <w:rPr>
          <w:rFonts w:ascii="Arial" w:cs="Arial" w:eastAsia="Arial" w:hAnsi="Arial"/>
          <w:sz w:val="19"/>
          <w:szCs w:val="19"/>
          <w:color w:val="auto"/>
        </w:rPr>
        <w:t>For purposes of U.S. taxpayers, the settlement of the Units is intended to be in compliance with Section 409A of the Code, and this Agreement will be interpreted, operated and administered in a manner that is consistent with this intent. In furtherance of this intent, the Plan Administrator may, at any time and without your consent, modify the terms of the Award as it determines appropriate to comply with the requirements of Section 409A of the Code and the related U.S. Department of Treasury guidance or to mitigate any additional tax, interest and/or penalties that may apply under Section 409A of the Code if compliance is not practicable. The Company makes no representation or covenant to ensure that the Units, settlement of the Units or other payment hereunder are compliant with Section 409A of the Code and will have no liability to you or any other party if the settlement of the Units or other payment hereunder that is intended to be compliant with Section 409A of the Code, is not compliant or for any action taken by the Plan Administrator with respect thereto.</w:t>
      </w:r>
    </w:p>
    <w:p>
      <w:pPr>
        <w:spacing w:after="0" w:line="157" w:lineRule="exact"/>
        <w:rPr>
          <w:rFonts w:ascii="Arial" w:cs="Arial" w:eastAsia="Arial" w:hAnsi="Arial"/>
          <w:sz w:val="19"/>
          <w:szCs w:val="19"/>
          <w:color w:val="auto"/>
        </w:rPr>
      </w:pPr>
    </w:p>
    <w:p>
      <w:pPr>
        <w:jc w:val="both"/>
        <w:ind w:firstLine="1305"/>
        <w:spacing w:after="0" w:line="258" w:lineRule="auto"/>
        <w:tabs>
          <w:tab w:leader="none" w:pos="1969" w:val="left"/>
        </w:tabs>
        <w:numPr>
          <w:ilvl w:val="0"/>
          <w:numId w:val="83"/>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any Units that become vested under this Agreement by reason of a termination of employment and that constitute an item of non-qualified deferred compensation subject to Section 409A of the Code shall not be settled unless you experience a “separation from service” within the meaning of Section 409A of the Code (a “</w:t>
      </w:r>
      <w:r>
        <w:rPr>
          <w:rFonts w:ascii="Arial" w:cs="Arial" w:eastAsia="Arial" w:hAnsi="Arial"/>
          <w:sz w:val="21"/>
          <w:szCs w:val="21"/>
          <w:b w:val="1"/>
          <w:bCs w:val="1"/>
          <w:i w:val="1"/>
          <w:iCs w:val="1"/>
          <w:color w:val="auto"/>
        </w:rPr>
        <w:t>Separation from Service</w:t>
      </w:r>
      <w:r>
        <w:rPr>
          <w:rFonts w:ascii="Arial" w:cs="Arial" w:eastAsia="Arial" w:hAnsi="Arial"/>
          <w:sz w:val="21"/>
          <w:szCs w:val="21"/>
          <w:color w:val="auto"/>
        </w:rPr>
        <w:t>”) and such Units shall be settled within 90 days of a Separation from Service; provided, however, that if you are a “specified employee” within the meaning of Section 409A of the Code as of the date of the Separation from Service (as determined according to the methodology established by the Company as in effect on the date of your termination of employment), such Units shall instead be settled on the first business day that is after the earlier of (i) the date that is six months following the date of the Separation from Service or (ii) the date of your death, to the extent such delayed payment is otherwise required in order to avoid a prohibited distribution under Section 409A(a)(2) of the Code, or any successor provision thereto.</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15.3 Governing Law and Choice of Venue</w:t>
      </w:r>
      <w:r>
        <w:rPr>
          <w:rFonts w:ascii="Arial" w:cs="Arial" w:eastAsia="Arial" w:hAnsi="Arial"/>
          <w:sz w:val="22"/>
          <w:szCs w:val="22"/>
          <w:color w:val="auto"/>
        </w:rPr>
        <w:t>. The Award and the provisions of this Agreement will be construed and</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administered in accordance with and governed by the laws of the State of Washington without giving effect to such state’s principles of conflict of laws. For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10.34</w:t>
      </w:r>
    </w:p>
    <w:p>
      <w:pPr>
        <w:spacing w:after="0" w:line="200" w:lineRule="exact"/>
        <w:rPr>
          <w:sz w:val="20"/>
          <w:szCs w:val="20"/>
          <w:color w:val="auto"/>
        </w:rPr>
      </w:pPr>
    </w:p>
    <w:p>
      <w:pPr>
        <w:spacing w:after="0" w:line="38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82"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b w:val="1"/>
          <w:bCs w:val="1"/>
          <w:color w:val="auto"/>
        </w:rPr>
        <w:t>15.4 Severability</w:t>
      </w:r>
      <w:r>
        <w:rPr>
          <w:rFonts w:ascii="Arial" w:cs="Arial" w:eastAsia="Arial" w:hAnsi="Arial"/>
          <w:sz w:val="19"/>
          <w:szCs w:val="19"/>
          <w:color w:val="auto"/>
        </w:rPr>
        <w:t>. The provisions of this Agreement are severable and if any one or more provisions are determined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illegal or otherwise unenforceable, in whole or in part, the remaining provisions shall nevertheless be binding and enforceable.</w:t>
      </w:r>
    </w:p>
    <w:p>
      <w:pPr>
        <w:spacing w:after="0" w:line="92" w:lineRule="exact"/>
        <w:rPr>
          <w:sz w:val="20"/>
          <w:szCs w:val="20"/>
          <w:color w:val="auto"/>
        </w:rPr>
      </w:pPr>
    </w:p>
    <w:p>
      <w:pPr>
        <w:jc w:val="center"/>
        <w:ind w:right="-59"/>
        <w:spacing w:after="0"/>
        <w:tabs>
          <w:tab w:leader="none" w:pos="200" w:val="left"/>
        </w:tabs>
        <w:rPr>
          <w:sz w:val="20"/>
          <w:szCs w:val="20"/>
          <w:color w:val="auto"/>
        </w:rPr>
      </w:pPr>
      <w:r>
        <w:rPr>
          <w:rFonts w:ascii="Arial" w:cs="Arial" w:eastAsia="Arial" w:hAnsi="Arial"/>
          <w:sz w:val="22"/>
          <w:szCs w:val="22"/>
          <w:b w:val="1"/>
          <w:bCs w:val="1"/>
          <w:color w:val="auto"/>
        </w:rPr>
        <w:t>15.5</w:t>
      </w:r>
      <w:r>
        <w:rPr>
          <w:sz w:val="20"/>
          <w:szCs w:val="20"/>
          <w:color w:val="auto"/>
        </w:rPr>
        <w:tab/>
      </w:r>
      <w:r>
        <w:rPr>
          <w:rFonts w:ascii="Arial" w:cs="Arial" w:eastAsia="Arial" w:hAnsi="Arial"/>
          <w:sz w:val="19"/>
          <w:szCs w:val="19"/>
          <w:b w:val="1"/>
          <w:bCs w:val="1"/>
          <w:color w:val="auto"/>
        </w:rPr>
        <w:t>Notice</w:t>
      </w:r>
      <w:r>
        <w:rPr>
          <w:rFonts w:ascii="Arial" w:cs="Arial" w:eastAsia="Arial" w:hAnsi="Arial"/>
          <w:sz w:val="19"/>
          <w:szCs w:val="19"/>
          <w:color w:val="auto"/>
        </w:rPr>
        <w:t>. Any notice required or permitted hereunder shall be made in writing and sent to the following address:</w:t>
      </w:r>
    </w:p>
    <w:p>
      <w:pPr>
        <w:spacing w:after="0" w:line="226"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Itron, Inc.</w:t>
      </w:r>
    </w:p>
    <w:p>
      <w:pPr>
        <w:spacing w:after="0" w:line="22"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2111 N. Molter Road</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Liberty Lake, WA USA 99019</w:t>
      </w:r>
    </w:p>
    <w:p>
      <w:pPr>
        <w:spacing w:after="0" w:line="196"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b w:val="1"/>
          <w:bCs w:val="1"/>
          <w:color w:val="auto"/>
        </w:rPr>
        <w:t>Appendix A</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Notwithstanding any provisions in this Agreement, the Award shall be subject to any special terms and conditions set forth in Appendix A to this Agreement. Appendix A constitutes part of this Agreement.</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b w:val="1"/>
          <w:bCs w:val="1"/>
          <w:color w:val="auto"/>
        </w:rPr>
        <w:t>Imposition of Other Requirements</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reserves the right to impose other requirements on your participation in the Plan, on the Award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2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b w:val="1"/>
          <w:bCs w:val="1"/>
          <w:color w:val="auto"/>
        </w:rPr>
        <w:t>Waiver</w:t>
      </w:r>
    </w:p>
    <w:p>
      <w:pPr>
        <w:spacing w:after="0" w:line="22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You acknowledge that a waiver by the Company of breach of any provision of this Agreement shall not operate or be construed as a waiver of any other provision of this Agreement, or of any subsequent breach by you or any other Participant.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Restrictive Covenants</w:t>
      </w:r>
    </w:p>
    <w:p>
      <w:pPr>
        <w:spacing w:after="0" w:line="241" w:lineRule="exact"/>
        <w:rPr>
          <w:sz w:val="20"/>
          <w:szCs w:val="20"/>
          <w:color w:val="auto"/>
        </w:rPr>
      </w:pPr>
    </w:p>
    <w:p>
      <w:pPr>
        <w:jc w:val="both"/>
        <w:ind w:firstLine="1305"/>
        <w:spacing w:after="0" w:line="328" w:lineRule="auto"/>
        <w:tabs>
          <w:tab w:leader="none" w:pos="1801" w:val="left"/>
        </w:tabs>
        <w:numPr>
          <w:ilvl w:val="0"/>
          <w:numId w:val="84"/>
        </w:numPr>
        <w:rPr>
          <w:rFonts w:ascii="Arial" w:cs="Arial" w:eastAsia="Arial" w:hAnsi="Arial"/>
          <w:sz w:val="19"/>
          <w:szCs w:val="19"/>
          <w:color w:val="auto"/>
        </w:rPr>
      </w:pPr>
      <w:r>
        <w:rPr>
          <w:rFonts w:ascii="Arial" w:cs="Arial" w:eastAsia="Arial" w:hAnsi="Arial"/>
          <w:sz w:val="19"/>
          <w:szCs w:val="19"/>
          <w:b w:val="1"/>
          <w:bCs w:val="1"/>
          <w:u w:val="single" w:color="auto"/>
          <w:color w:val="auto"/>
        </w:rPr>
        <w:t>Confidential Information</w:t>
      </w:r>
      <w:r>
        <w:rPr>
          <w:rFonts w:ascii="Arial" w:cs="Arial" w:eastAsia="Arial" w:hAnsi="Arial"/>
          <w:sz w:val="19"/>
          <w:szCs w:val="19"/>
          <w:color w:val="auto"/>
        </w:rPr>
        <w:t>. The person entering into the Agreement with the Company (the “</w:t>
      </w:r>
      <w:r>
        <w:rPr>
          <w:rFonts w:ascii="Arial" w:cs="Arial" w:eastAsia="Arial" w:hAnsi="Arial"/>
          <w:sz w:val="19"/>
          <w:szCs w:val="19"/>
          <w:b w:val="1"/>
          <w:bCs w:val="1"/>
          <w:color w:val="auto"/>
        </w:rPr>
        <w:t>Participant</w:t>
      </w:r>
      <w:r>
        <w:rPr>
          <w:rFonts w:ascii="Arial" w:cs="Arial" w:eastAsia="Arial" w:hAnsi="Arial"/>
          <w:sz w:val="19"/>
          <w:szCs w:val="19"/>
          <w:color w:val="auto"/>
        </w:rPr>
        <w:t>”) shall</w:t>
      </w:r>
      <w:r>
        <w:rPr>
          <w:rFonts w:ascii="Arial" w:cs="Arial" w:eastAsia="Arial" w:hAnsi="Arial"/>
          <w:sz w:val="19"/>
          <w:szCs w:val="19"/>
          <w:b w:val="1"/>
          <w:bCs w:val="1"/>
          <w:color w:val="auto"/>
        </w:rPr>
        <w:t xml:space="preserve"> </w:t>
      </w:r>
      <w:r>
        <w:rPr>
          <w:rFonts w:ascii="Arial" w:cs="Arial" w:eastAsia="Arial" w:hAnsi="Arial"/>
          <w:sz w:val="19"/>
          <w:szCs w:val="19"/>
          <w:color w:val="auto"/>
        </w:rPr>
        <w:t>hold in a fiduciary capacity for the benefit of the Company and its Subsidiaries (collectively, the “</w:t>
      </w:r>
      <w:r>
        <w:rPr>
          <w:rFonts w:ascii="Arial" w:cs="Arial" w:eastAsia="Arial" w:hAnsi="Arial"/>
          <w:sz w:val="19"/>
          <w:szCs w:val="19"/>
          <w:b w:val="1"/>
          <w:bCs w:val="1"/>
          <w:color w:val="auto"/>
        </w:rPr>
        <w:t>Affiliated Group</w:t>
      </w:r>
      <w:r>
        <w:rPr>
          <w:rFonts w:ascii="Arial" w:cs="Arial" w:eastAsia="Arial" w:hAnsi="Arial"/>
          <w:sz w:val="19"/>
          <w:szCs w:val="19"/>
          <w:color w:val="auto"/>
        </w:rPr>
        <w:t>”), all secret or confidential information, knowledge or data relating to the Affiliated Group and its businesses (including, without limitation, any proprietary and not publicly available information concerning any processes, methods, trade secrets, research or secret data, costs, names of users or purchasers of their respective products or services, business methods, operating procedures or programs or methods of promotion and sale) that the Participant obtains during the Participant’s employment that is not public knowledge (other than as a result of the Participant’s violation of this Section (a))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The Participant shall not communicate, divulge or disseminate Confidential Information at any time during or after the Participant’s employment, except with the prior written consent of the Company, or as otherwise required by law or legal process, or as may be required in the course of the Participant performing his or her duties and responsibilities with the Affiliated Group; provided, however, that no Company policies or practices, including the sections addressing confidentiality obligations, is intended to or shall limit, prevent, impede or interfere in any way with an employee's right, without prior notice to the Company, to provide information to the government, participate in investigations, testify in proceedings regarding the Company's past or future conduct, or engage in any activities protected under whistle blower statutes. Pursuant to the Defend Trade Secrets Act of 2016, an employee shall not be held criminally, or civilly, liable under any Federal or State Trade secret law for the disclosure of a trade secret that is made in confidence either directly or indirectly to a Federal, State, or local government official, or an attorney, for the sole purpose of reporting, or investigating, a violation of law. Moreover, employees may disclose trade secrets in a complaint, or other document, filed in a lawsuit, or other proceeding, if such filing is made under seal. Finally, an employee who files a lawsuit alleging retaliation by the company for reporting a suspected violation of the law may disclose the trade secret to the attorney of the employee and use the trade secret in the court proceeding, if the employee files any document containing the trade secret under seal and does not disclose the trade secret, except pursuant to court order. Upon his or her termination of employment for any reason, the Participant shall promptly return to the Company all records, files, memoranda, correspondence, notebooks, notes, reports, customer lists, drawings, plans, documents, and other documents and the like relating to the business of the Affiliated Group or containing any trade secrets relating to the Affiliated Group or that the Participant uses, prepares or comes into contact with during the course of the Participant’s employment with the Affiliated Group, and all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10.34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21"/>
          <w:szCs w:val="21"/>
          <w:color w:val="auto"/>
        </w:rPr>
        <w:t>keys, credit cards and passes, and such materials shall remain the sole property of the Affiliated Group. The Participant agrees to execute any standard-form confidentiality agreements with the Company that the Company in the future generally enters into with similarly situated employees.</w:t>
      </w:r>
    </w:p>
    <w:p>
      <w:pPr>
        <w:spacing w:after="0" w:line="178" w:lineRule="exact"/>
        <w:rPr>
          <w:sz w:val="20"/>
          <w:szCs w:val="20"/>
          <w:color w:val="auto"/>
        </w:rPr>
      </w:pPr>
    </w:p>
    <w:p>
      <w:pPr>
        <w:jc w:val="both"/>
        <w:ind w:firstLine="1305"/>
        <w:spacing w:after="0" w:line="314" w:lineRule="auto"/>
        <w:tabs>
          <w:tab w:leader="none" w:pos="1603" w:val="left"/>
        </w:tabs>
        <w:numPr>
          <w:ilvl w:val="0"/>
          <w:numId w:val="85"/>
        </w:numPr>
        <w:rPr>
          <w:rFonts w:ascii="Arial" w:cs="Arial" w:eastAsia="Arial" w:hAnsi="Arial"/>
          <w:sz w:val="20"/>
          <w:szCs w:val="20"/>
          <w:color w:val="auto"/>
        </w:rPr>
      </w:pPr>
      <w:r>
        <w:rPr>
          <w:rFonts w:ascii="Arial" w:cs="Arial" w:eastAsia="Arial" w:hAnsi="Arial"/>
          <w:sz w:val="20"/>
          <w:szCs w:val="20"/>
          <w:b w:val="1"/>
          <w:bCs w:val="1"/>
          <w:u w:val="single" w:color="auto"/>
          <w:color w:val="auto"/>
        </w:rPr>
        <w:t>Non-Recruitment of Affiliated Group Employees</w:t>
      </w:r>
      <w:r>
        <w:rPr>
          <w:rFonts w:ascii="Arial" w:cs="Arial" w:eastAsia="Arial" w:hAnsi="Arial"/>
          <w:sz w:val="20"/>
          <w:szCs w:val="20"/>
          <w:color w:val="auto"/>
        </w:rPr>
        <w:t>. The Participant acknowledges that employees are a significant</w:t>
      </w:r>
      <w:r>
        <w:rPr>
          <w:rFonts w:ascii="Arial" w:cs="Arial" w:eastAsia="Arial" w:hAnsi="Arial"/>
          <w:sz w:val="20"/>
          <w:szCs w:val="20"/>
          <w:b w:val="1"/>
          <w:bCs w:val="1"/>
          <w:color w:val="auto"/>
        </w:rPr>
        <w:t xml:space="preserve"> </w:t>
      </w:r>
      <w:r>
        <w:rPr>
          <w:rFonts w:ascii="Arial" w:cs="Arial" w:eastAsia="Arial" w:hAnsi="Arial"/>
          <w:sz w:val="20"/>
          <w:szCs w:val="20"/>
          <w:color w:val="auto"/>
        </w:rPr>
        <w:t>part of the goodwill of the Affiliated Group, such as, without limitation, their relationships and contacts with customers and suppliers as well as the training and knowledge they receive from the Affiliated Group in the course of their employment. The Participant shall not, at any time during the Non-solicitation Period (as defined below), without the prior written consent of the Company, directly or indirectly, solicit, recruit, or employ (whether as an employee, officer, agent, consultant or independent contractor) any person who is or was at any time during the previous 12 months, an employee, representative, officer or director of any member of the Affiliated Group. Further, during the Non-solicitation Period, the Participant shall not take any action that could reasonably be expected to have the effect of directly encouraging or inducing any person to cease their relationship with any member of the Affiliated Group for any reason. A general employment advertisement by an entity of which the Participant is a part will not constitute solicitation or recruitment. The “</w:t>
      </w:r>
      <w:r>
        <w:rPr>
          <w:rFonts w:ascii="Arial" w:cs="Arial" w:eastAsia="Arial" w:hAnsi="Arial"/>
          <w:sz w:val="20"/>
          <w:szCs w:val="20"/>
          <w:b w:val="1"/>
          <w:bCs w:val="1"/>
          <w:color w:val="auto"/>
        </w:rPr>
        <w:t>Non-solicitation Period</w:t>
      </w:r>
      <w:r>
        <w:rPr>
          <w:rFonts w:ascii="Arial" w:cs="Arial" w:eastAsia="Arial" w:hAnsi="Arial"/>
          <w:sz w:val="20"/>
          <w:szCs w:val="20"/>
          <w:color w:val="auto"/>
        </w:rPr>
        <w:t>” shall mean the period from the Date of Grant through the first anniversary of the Participant’s termination of employment.</w:t>
      </w:r>
    </w:p>
    <w:p>
      <w:pPr>
        <w:spacing w:after="0" w:line="174" w:lineRule="exact"/>
        <w:rPr>
          <w:rFonts w:ascii="Arial" w:cs="Arial" w:eastAsia="Arial" w:hAnsi="Arial"/>
          <w:sz w:val="20"/>
          <w:szCs w:val="20"/>
          <w:color w:val="auto"/>
        </w:rPr>
      </w:pPr>
    </w:p>
    <w:p>
      <w:pPr>
        <w:jc w:val="both"/>
        <w:ind w:firstLine="1305"/>
        <w:spacing w:after="0" w:line="330" w:lineRule="auto"/>
        <w:tabs>
          <w:tab w:leader="none" w:pos="1619" w:val="left"/>
        </w:tabs>
        <w:numPr>
          <w:ilvl w:val="0"/>
          <w:numId w:val="85"/>
        </w:numPr>
        <w:rPr>
          <w:rFonts w:ascii="Arial" w:cs="Arial" w:eastAsia="Arial" w:hAnsi="Arial"/>
          <w:sz w:val="19"/>
          <w:szCs w:val="19"/>
          <w:color w:val="auto"/>
        </w:rPr>
      </w:pPr>
      <w:r>
        <w:rPr>
          <w:rFonts w:ascii="Arial" w:cs="Arial" w:eastAsia="Arial" w:hAnsi="Arial"/>
          <w:sz w:val="19"/>
          <w:szCs w:val="19"/>
          <w:b w:val="1"/>
          <w:bCs w:val="1"/>
          <w:u w:val="single" w:color="auto"/>
          <w:color w:val="auto"/>
        </w:rPr>
        <w:t>Non-Competition – Solicitation of Business</w:t>
      </w:r>
      <w:r>
        <w:rPr>
          <w:rFonts w:ascii="Arial" w:cs="Arial" w:eastAsia="Arial" w:hAnsi="Arial"/>
          <w:sz w:val="19"/>
          <w:szCs w:val="19"/>
          <w:color w:val="auto"/>
        </w:rPr>
        <w:t>. Participant recognizes and agrees that the Affiliated Group has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Confidential Information to Participant and has an interest in protecting this information from disclosure. Participant further understands that the goodwill of the Affiliated Group is an interest worthy of protection. For the protection of these and other interests, during the Non-competition Period (as defined below), the Participant shall not, either directly or indirectly, compete with the business of the Affiliated Group by (i) becoming 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 is not publicly traded) in any Competitive Business (as defined below), or (ii) soliciting, servicing, or accepting the business of (A) any active customer of any member of the Affiliated Group, or (B) any person or entity who is or was at any time during the previous twelve months a customer of any member of the Affiliated Group, provided that such business is competitive with any significant business of any member of the Affiliated Group. “</w:t>
      </w:r>
      <w:r>
        <w:rPr>
          <w:rFonts w:ascii="Arial" w:cs="Arial" w:eastAsia="Arial" w:hAnsi="Arial"/>
          <w:sz w:val="19"/>
          <w:szCs w:val="19"/>
          <w:b w:val="1"/>
          <w:bCs w:val="1"/>
          <w:color w:val="auto"/>
        </w:rPr>
        <w:t>Competitive Business</w:t>
      </w:r>
      <w:r>
        <w:rPr>
          <w:rFonts w:ascii="Arial" w:cs="Arial" w:eastAsia="Arial" w:hAnsi="Arial"/>
          <w:sz w:val="19"/>
          <w:szCs w:val="19"/>
          <w:color w:val="auto"/>
        </w:rPr>
        <w:t>” shall mean any person or entity (including any joint venture, partnership, firm, corporation, or limited liability company) that conducts a business that is competitive with any business of the Affiliated Group as of the date of termination (or any business that is being actively pursued as of the date of termination by the Affiliated Group). The Affiliated Group designs, manufactures, sells and licenses its products and technology worldwide. In addition, Competitive Businesses, as defined above, are not tied or limited to any specific geographic location. Accordingly, the scope of this Non-Competition provision 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10.34</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0"/>
        <w:spacing w:after="0" w:line="324" w:lineRule="auto"/>
        <w:rPr>
          <w:sz w:val="20"/>
          <w:szCs w:val="20"/>
          <w:color w:val="auto"/>
        </w:rPr>
      </w:pPr>
      <w:r>
        <w:rPr>
          <w:rFonts w:ascii="Arial" w:cs="Arial" w:eastAsia="Arial" w:hAnsi="Arial"/>
          <w:sz w:val="21"/>
          <w:szCs w:val="21"/>
          <w:color w:val="auto"/>
        </w:rPr>
        <w:t>worldwide. The “</w:t>
      </w:r>
      <w:r>
        <w:rPr>
          <w:rFonts w:ascii="Arial" w:cs="Arial" w:eastAsia="Arial" w:hAnsi="Arial"/>
          <w:sz w:val="21"/>
          <w:szCs w:val="21"/>
          <w:b w:val="1"/>
          <w:bCs w:val="1"/>
          <w:color w:val="auto"/>
        </w:rPr>
        <w:t>Non-competition Period</w:t>
      </w:r>
      <w:r>
        <w:rPr>
          <w:rFonts w:ascii="Arial" w:cs="Arial" w:eastAsia="Arial" w:hAnsi="Arial"/>
          <w:sz w:val="21"/>
          <w:szCs w:val="21"/>
          <w:color w:val="auto"/>
        </w:rPr>
        <w:t>” shall mean the period from the Date of Grant through the first anniversary of the date of termination of the Participant’s employment.</w:t>
      </w:r>
    </w:p>
    <w:p>
      <w:pPr>
        <w:spacing w:after="0" w:line="158" w:lineRule="exact"/>
        <w:rPr>
          <w:sz w:val="20"/>
          <w:szCs w:val="20"/>
          <w:color w:val="auto"/>
        </w:rPr>
      </w:pPr>
    </w:p>
    <w:p>
      <w:pPr>
        <w:jc w:val="both"/>
        <w:ind w:firstLine="1305"/>
        <w:spacing w:after="0" w:line="314" w:lineRule="auto"/>
        <w:tabs>
          <w:tab w:leader="none" w:pos="1630" w:val="left"/>
        </w:tabs>
        <w:numPr>
          <w:ilvl w:val="0"/>
          <w:numId w:val="86"/>
        </w:numPr>
        <w:rPr>
          <w:rFonts w:ascii="Arial" w:cs="Arial" w:eastAsia="Arial" w:hAnsi="Arial"/>
          <w:sz w:val="20"/>
          <w:szCs w:val="20"/>
          <w:color w:val="auto"/>
        </w:rPr>
      </w:pPr>
      <w:r>
        <w:rPr>
          <w:rFonts w:ascii="Arial" w:cs="Arial" w:eastAsia="Arial" w:hAnsi="Arial"/>
          <w:sz w:val="20"/>
          <w:szCs w:val="20"/>
          <w:b w:val="1"/>
          <w:bCs w:val="1"/>
          <w:u w:val="single" w:color="auto"/>
          <w:color w:val="auto"/>
        </w:rPr>
        <w:t>Remedies</w:t>
      </w:r>
      <w:r>
        <w:rPr>
          <w:rFonts w:ascii="Arial" w:cs="Arial" w:eastAsia="Arial" w:hAnsi="Arial"/>
          <w:sz w:val="20"/>
          <w:szCs w:val="20"/>
          <w:color w:val="auto"/>
        </w:rPr>
        <w:t>. The Participant acknowledges and agrees that the terms of this Appendix A: (i) are reasonable in</w:t>
      </w:r>
      <w:r>
        <w:rPr>
          <w:rFonts w:ascii="Arial" w:cs="Arial" w:eastAsia="Arial" w:hAnsi="Arial"/>
          <w:sz w:val="20"/>
          <w:szCs w:val="20"/>
          <w:b w:val="1"/>
          <w:bCs w:val="1"/>
          <w:color w:val="auto"/>
        </w:rPr>
        <w:t xml:space="preserve"> </w:t>
      </w:r>
      <w:r>
        <w:rPr>
          <w:rFonts w:ascii="Arial" w:cs="Arial" w:eastAsia="Arial" w:hAnsi="Arial"/>
          <w:sz w:val="20"/>
          <w:szCs w:val="20"/>
          <w:color w:val="auto"/>
        </w:rPr>
        <w:t>geographic and temporal scope, (ii) are necessary to protect legitimate proprietary and business interests of the Affiliated Group in, inter alia, customer relationships and confidential information. The Participant further acknowledges and agrees that the Participant’s breach of the provisions of this Appendix A will cause the Affiliated Group irreparable harm, which cannot be adequately compensated by money damages. The Participant consents and agrees that the forfeiture provisions contained in the Agreement are reasonable remedies in the event the Participant commits any such breach. If any of the provisions of this Appendix A are determined to be wholly or partially unenforceable, the Participant hereby agrees that Appendix A or any provision hereof may be reformed so that it is enforceable to the maximum extent permitted by law. If any of the provisions of this Appendix A are determined to be wholly or partially unenforceable in any jurisdiction, such determination shall not be a bar to or in any way diminish the Affiliated Group’s right to enforce any such covenant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381"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2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4"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RESTRICTED STOCK UNIT AWARD NOTICE</w:t>
      </w:r>
    </w:p>
    <w:p>
      <w:pPr>
        <w:spacing w:after="0" w:line="200" w:lineRule="exact"/>
        <w:rPr>
          <w:sz w:val="20"/>
          <w:szCs w:val="20"/>
          <w:color w:val="auto"/>
        </w:rPr>
      </w:pPr>
    </w:p>
    <w:p>
      <w:pPr>
        <w:spacing w:after="0" w:line="27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hereby grants to Participant a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The Award is subject to all the terms and conditions set forth in this Restricted Stock Unit Award Notice (the “</w:t>
      </w:r>
      <w:r>
        <w:rPr>
          <w:rFonts w:ascii="Arial" w:cs="Arial" w:eastAsia="Arial" w:hAnsi="Arial"/>
          <w:sz w:val="22"/>
          <w:szCs w:val="22"/>
          <w:b w:val="1"/>
          <w:bCs w:val="1"/>
          <w:i w:val="1"/>
          <w:iCs w:val="1"/>
          <w:color w:val="auto"/>
        </w:rPr>
        <w:t>Award Notice</w:t>
      </w:r>
      <w:r>
        <w:rPr>
          <w:rFonts w:ascii="Arial" w:cs="Arial" w:eastAsia="Arial" w:hAnsi="Arial"/>
          <w:sz w:val="22"/>
          <w:szCs w:val="22"/>
          <w:color w:val="auto"/>
        </w:rPr>
        <w:t>”), the Restricted Stock Unit Award Agreement, including Appendix A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and the Itron, Inc. Amended and Restated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all of which are incorporated into the Award Notice in their entirety.</w:t>
      </w:r>
    </w:p>
    <w:p>
      <w:pPr>
        <w:sectPr>
          <w:pgSz w:w="11900" w:h="16838" w:orient="portrait"/>
          <w:cols w:equalWidth="0" w:num="1">
            <w:col w:w="11420"/>
          </w:cols>
          <w:pgMar w:left="240" w:top="121" w:right="239" w:bottom="1440" w:gutter="0" w:footer="0" w:header="0"/>
        </w:sect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Participant:</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color w:val="FF0000"/>
        </w:rPr>
        <w:t>Participant Name</w:t>
      </w:r>
    </w:p>
    <w:p>
      <w:pPr>
        <w:spacing w:after="0" w:line="73" w:lineRule="exact"/>
        <w:rPr>
          <w:sz w:val="20"/>
          <w:szCs w:val="20"/>
          <w:color w:val="auto"/>
        </w:rPr>
      </w:pPr>
    </w:p>
    <w:p>
      <w:pPr>
        <w:sectPr>
          <w:pgSz w:w="11900" w:h="16838" w:orient="portrait"/>
          <w:cols w:equalWidth="0" w:num="2">
            <w:col w:w="4460" w:space="720"/>
            <w:col w:w="624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9"/>
          <w:szCs w:val="19"/>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FF0000"/>
        </w:rPr>
        <w:t>Grant Date</w:t>
      </w:r>
    </w:p>
    <w:p>
      <w:pPr>
        <w:spacing w:after="0" w:line="73" w:lineRule="exact"/>
        <w:rPr>
          <w:sz w:val="20"/>
          <w:szCs w:val="20"/>
          <w:color w:val="auto"/>
        </w:rPr>
      </w:pPr>
    </w:p>
    <w:p>
      <w:pPr>
        <w:sectPr>
          <w:pgSz w:w="11900" w:h="16838" w:orient="portrait"/>
          <w:cols w:equalWidth="0" w:num="2">
            <w:col w:w="4460" w:space="720"/>
            <w:col w:w="624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9"/>
          <w:szCs w:val="19"/>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FF0000"/>
        </w:rPr>
        <w:t>Number of Awards Granted</w:t>
      </w:r>
    </w:p>
    <w:p>
      <w:pPr>
        <w:spacing w:after="0" w:line="73" w:lineRule="exact"/>
        <w:rPr>
          <w:sz w:val="20"/>
          <w:szCs w:val="20"/>
          <w:color w:val="auto"/>
        </w:rPr>
      </w:pPr>
    </w:p>
    <w:p>
      <w:pPr>
        <w:sectPr>
          <w:pgSz w:w="11900" w:h="16838" w:orient="portrait"/>
          <w:cols w:equalWidth="0" w:num="2">
            <w:col w:w="4460" w:space="720"/>
            <w:col w:w="624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jc w:val="both"/>
        <w:ind w:right="320"/>
        <w:spacing w:after="0"/>
        <w:rPr>
          <w:sz w:val="20"/>
          <w:szCs w:val="20"/>
          <w:color w:val="auto"/>
        </w:rPr>
      </w:pPr>
      <w:r>
        <w:rPr>
          <w:rFonts w:ascii="Arial" w:cs="Arial" w:eastAsia="Arial" w:hAnsi="Arial"/>
          <w:sz w:val="22"/>
          <w:szCs w:val="22"/>
          <w:color w:val="auto"/>
        </w:rPr>
        <w:t xml:space="preserve">The Award will vest with respect to one-half of the Restricted Stock Units on each of the first and second anniversaries of the Grant Date (each, a </w:t>
      </w:r>
      <w:r>
        <w:rPr>
          <w:rFonts w:ascii="Arial" w:cs="Arial" w:eastAsia="Arial" w:hAnsi="Arial"/>
          <w:sz w:val="22"/>
          <w:szCs w:val="22"/>
          <w:b w:val="1"/>
          <w:bCs w:val="1"/>
          <w:i w:val="1"/>
          <w:iCs w:val="1"/>
          <w:color w:val="auto"/>
        </w:rPr>
        <w:t>"Vest Date"</w:t>
      </w: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4460" w:space="720"/>
            <w:col w:w="6240"/>
          </w:cols>
          <w:pgMar w:left="240" w:top="121" w:right="23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Additional Terms/Acknowledgement</w:t>
      </w:r>
      <w:r>
        <w:rPr>
          <w:rFonts w:ascii="Arial" w:cs="Arial" w:eastAsia="Arial" w:hAnsi="Arial"/>
          <w:sz w:val="22"/>
          <w:szCs w:val="22"/>
          <w:color w:val="auto"/>
        </w:rPr>
        <w:t>: This Award is subject to all the terms and conditions set forth in this Award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 which are attached to and incorporated into this Award Notice in their entirety.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FF0000"/>
        </w:rPr>
        <w:t>Participant Name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 accept this award subject to the terms and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conditions stated herein.</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FF0000"/>
        </w:rPr>
        <w:t>Electronic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type w:val="continuous"/>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ALL PARTICIPANTS</w:t>
      </w: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Pursuant to your Restricted Stock Unit Award Notice (the “</w:t>
      </w:r>
      <w:r>
        <w:rPr>
          <w:rFonts w:ascii="Arial" w:cs="Arial" w:eastAsia="Arial" w:hAnsi="Arial"/>
          <w:sz w:val="22"/>
          <w:szCs w:val="22"/>
          <w:b w:val="1"/>
          <w:bCs w:val="1"/>
          <w:i w:val="1"/>
          <w:iCs w:val="1"/>
          <w:color w:val="auto"/>
        </w:rPr>
        <w:t>Award Notice</w:t>
      </w:r>
      <w:r>
        <w:rPr>
          <w:rFonts w:ascii="Arial" w:cs="Arial" w:eastAsia="Arial" w:hAnsi="Arial"/>
          <w:sz w:val="22"/>
          <w:szCs w:val="22"/>
          <w:color w:val="auto"/>
        </w:rPr>
        <w:t>”) and this Restricted Stock Unit Award Agreement, including Appendix A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granted you a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under its Amended and Restated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for the number of restricted stock units indicated in your Award Notice. Capitalized terms not expressly defined in this Agreement but defined in the Plan shall have the same definitions as in the Plan.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the Award are as follows:</w:t>
      </w:r>
    </w:p>
    <w:p>
      <w:pPr>
        <w:spacing w:after="0" w:line="214" w:lineRule="exact"/>
        <w:rPr>
          <w:sz w:val="20"/>
          <w:szCs w:val="20"/>
          <w:color w:val="auto"/>
        </w:rPr>
      </w:pPr>
    </w:p>
    <w:p>
      <w:pPr>
        <w:ind w:left="660" w:hanging="584"/>
        <w:spacing w:after="0"/>
        <w:tabs>
          <w:tab w:leader="none" w:pos="660"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Vesting</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The Award will vest according to the vesting schedule set forth in the Award Notice (the “</w:t>
      </w:r>
      <w:r>
        <w:rPr>
          <w:rFonts w:ascii="Arial" w:cs="Arial" w:eastAsia="Arial" w:hAnsi="Arial"/>
          <w:sz w:val="19"/>
          <w:szCs w:val="19"/>
          <w:b w:val="1"/>
          <w:bCs w:val="1"/>
          <w:i w:val="1"/>
          <w:iCs w:val="1"/>
          <w:color w:val="auto"/>
        </w:rPr>
        <w:t>Vesting Schedule</w:t>
      </w:r>
      <w:r>
        <w:rPr>
          <w:rFonts w:ascii="Arial" w:cs="Arial" w:eastAsia="Arial" w:hAnsi="Arial"/>
          <w:sz w:val="19"/>
          <w:szCs w:val="19"/>
          <w:i w:val="1"/>
          <w:iCs w:val="1"/>
          <w:color w:val="auto"/>
        </w:rPr>
        <w:t>”</w:t>
      </w:r>
      <w:r>
        <w:rPr>
          <w:rFonts w:ascii="Arial" w:cs="Arial" w:eastAsia="Arial" w:hAnsi="Arial"/>
          <w:sz w:val="19"/>
          <w:szCs w:val="19"/>
          <w:color w:val="auto"/>
        </w:rPr>
        <w:t>). One share of Common Stock will be issuable for each restricted stock unit that vests. Restricted stock units that have vested and are no longer subject to forfeiture according to the Vesting Schedule are referred to herein as “</w:t>
      </w:r>
      <w:r>
        <w:rPr>
          <w:rFonts w:ascii="Arial" w:cs="Arial" w:eastAsia="Arial" w:hAnsi="Arial"/>
          <w:sz w:val="19"/>
          <w:szCs w:val="19"/>
          <w:b w:val="1"/>
          <w:bCs w:val="1"/>
          <w:i w:val="1"/>
          <w:iCs w:val="1"/>
          <w:color w:val="auto"/>
        </w:rPr>
        <w:t>Vested Units</w:t>
      </w:r>
      <w:r>
        <w:rPr>
          <w:rFonts w:ascii="Arial" w:cs="Arial" w:eastAsia="Arial" w:hAnsi="Arial"/>
          <w:sz w:val="19"/>
          <w:szCs w:val="19"/>
          <w:color w:val="auto"/>
        </w:rPr>
        <w:t>.” Restricted stock units that have not vested and remain subject to forfeiture under the Vesting Schedule are referred to herein as “</w:t>
      </w:r>
      <w:r>
        <w:rPr>
          <w:rFonts w:ascii="Arial" w:cs="Arial" w:eastAsia="Arial" w:hAnsi="Arial"/>
          <w:sz w:val="19"/>
          <w:szCs w:val="19"/>
          <w:b w:val="1"/>
          <w:bCs w:val="1"/>
          <w:i w:val="1"/>
          <w:iCs w:val="1"/>
          <w:color w:val="auto"/>
        </w:rPr>
        <w:t>Unvested Units</w:t>
      </w:r>
      <w:r>
        <w:rPr>
          <w:rFonts w:ascii="Arial" w:cs="Arial" w:eastAsia="Arial" w:hAnsi="Arial"/>
          <w:sz w:val="19"/>
          <w:szCs w:val="19"/>
          <w:color w:val="auto"/>
        </w:rPr>
        <w:t>.” Except as provided in Sections 2 and 3 below, the Unvested Units will vest (and to the extent so vested cease to be Unvested Units remaining subject to forfeiture) in accordance with the Vesting Schedule (the Unvested and Vested Units are collectively referred to herein as the “</w:t>
      </w:r>
      <w:r>
        <w:rPr>
          <w:rFonts w:ascii="Arial" w:cs="Arial" w:eastAsia="Arial" w:hAnsi="Arial"/>
          <w:sz w:val="19"/>
          <w:szCs w:val="19"/>
          <w:b w:val="1"/>
          <w:bCs w:val="1"/>
          <w:i w:val="1"/>
          <w:iCs w:val="1"/>
          <w:color w:val="auto"/>
        </w:rPr>
        <w:t>Units</w:t>
      </w:r>
      <w:r>
        <w:rPr>
          <w:rFonts w:ascii="Arial" w:cs="Arial" w:eastAsia="Arial" w:hAnsi="Arial"/>
          <w:sz w:val="19"/>
          <w:szCs w:val="19"/>
          <w:color w:val="auto"/>
        </w:rPr>
        <w:t>”). Except as provided in Sections 2 and 3 below, the Award will terminate and the Unvested Units will be forfeited upon termination of your employment for any reason.</w:t>
      </w:r>
    </w:p>
    <w:p>
      <w:pPr>
        <w:spacing w:after="0" w:line="151" w:lineRule="exact"/>
        <w:rPr>
          <w:sz w:val="20"/>
          <w:szCs w:val="20"/>
          <w:color w:val="auto"/>
        </w:rPr>
      </w:pPr>
    </w:p>
    <w:p>
      <w:pPr>
        <w:ind w:left="660" w:hanging="584"/>
        <w:spacing w:after="0"/>
        <w:tabs>
          <w:tab w:leader="none" w:pos="66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Retirement, Death or Disability</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2.1 </w:t>
      </w:r>
      <w:r>
        <w:rPr>
          <w:rFonts w:ascii="Arial" w:cs="Arial" w:eastAsia="Arial" w:hAnsi="Arial"/>
          <w:sz w:val="21"/>
          <w:szCs w:val="21"/>
          <w:color w:val="auto"/>
        </w:rPr>
        <w:t>In the event that your employment terminates by reason of Retirement at least 18 months after the Grant Date but</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Units’ vesting period, any Unvested Units will continue to vest in accordance with the Vesting Schedule until all Units become vested, provided that if you breach any of the covenants set forth in Appendix A to this Agreement after your Retirement, the Unvested Units will be forfeited immediately. For the purposes of this Section 2.1, “</w:t>
      </w:r>
      <w:r>
        <w:rPr>
          <w:rFonts w:ascii="Arial" w:cs="Arial" w:eastAsia="Arial" w:hAnsi="Arial"/>
          <w:sz w:val="21"/>
          <w:szCs w:val="21"/>
          <w:b w:val="1"/>
          <w:bCs w:val="1"/>
          <w:i w:val="1"/>
          <w:iCs w:val="1"/>
          <w:color w:val="auto"/>
        </w:rPr>
        <w:t>Retirement</w:t>
      </w:r>
      <w:r>
        <w:rPr>
          <w:rFonts w:ascii="Arial" w:cs="Arial" w:eastAsia="Arial" w:hAnsi="Arial"/>
          <w:sz w:val="21"/>
          <w:szCs w:val="21"/>
          <w:color w:val="auto"/>
        </w:rPr>
        <w:t>” means your voluntary termination of employment after the date on which you have reached (i) the age of 55 and have a total of at least 10 years of continuous employment with the Company and/or a Related Corporation or (ii) the age of 60 and have a total of at least 5 years of continuous employment with the Company and/or a Related Corporation; provided however, in either case, you must provide advance written notice to the Company at least 90 days prior to the termination of your employment unless otherwise agreed to in writing by the Company. For the avoidance of doubt, if your employment terminates due to Retirement within 18 months after the Grant Date, all Unvested Units will be automatically forfeited.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381"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21"/>
          <w:szCs w:val="21"/>
          <w:b w:val="1"/>
          <w:bCs w:val="1"/>
          <w:color w:val="auto"/>
        </w:rPr>
        <w:t xml:space="preserve">2.2 </w:t>
      </w:r>
      <w:r>
        <w:rPr>
          <w:rFonts w:ascii="Arial" w:cs="Arial" w:eastAsia="Arial" w:hAnsi="Arial"/>
          <w:sz w:val="21"/>
          <w:szCs w:val="21"/>
          <w:color w:val="auto"/>
        </w:rPr>
        <w:t>In the event that your employment terminates during the Units’ vesting period by reason of death or Disability, any</w:t>
      </w:r>
      <w:r>
        <w:rPr>
          <w:rFonts w:ascii="Arial" w:cs="Arial" w:eastAsia="Arial" w:hAnsi="Arial"/>
          <w:sz w:val="21"/>
          <w:szCs w:val="21"/>
          <w:b w:val="1"/>
          <w:bCs w:val="1"/>
          <w:color w:val="auto"/>
        </w:rPr>
        <w:t xml:space="preserve"> </w:t>
      </w:r>
      <w:r>
        <w:rPr>
          <w:rFonts w:ascii="Arial" w:cs="Arial" w:eastAsia="Arial" w:hAnsi="Arial"/>
          <w:sz w:val="21"/>
          <w:szCs w:val="21"/>
          <w:color w:val="auto"/>
        </w:rPr>
        <w:t>Unvested Units will accelerate in vesting and become Vested Units upon such termination of employment.</w:t>
      </w:r>
    </w:p>
    <w:p>
      <w:pPr>
        <w:spacing w:after="0" w:line="356" w:lineRule="exact"/>
        <w:rPr>
          <w:sz w:val="20"/>
          <w:szCs w:val="20"/>
          <w:color w:val="auto"/>
        </w:rPr>
      </w:pPr>
    </w:p>
    <w:p>
      <w:pPr>
        <w:ind w:left="660" w:hanging="584"/>
        <w:spacing w:after="0"/>
        <w:tabs>
          <w:tab w:leader="none" w:pos="66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 Transaction</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color w:val="auto"/>
        </w:rPr>
        <w:t>In the event of a Change in Control Transaction, the Award will be subject to any change in control severance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other agreement providing for change in control provisions between you and the Company (a “</w:t>
      </w:r>
      <w:r>
        <w:rPr>
          <w:rFonts w:ascii="Arial" w:cs="Arial" w:eastAsia="Arial" w:hAnsi="Arial"/>
          <w:sz w:val="22"/>
          <w:szCs w:val="22"/>
          <w:b w:val="1"/>
          <w:bCs w:val="1"/>
          <w:i w:val="1"/>
          <w:iCs w:val="1"/>
          <w:color w:val="auto"/>
        </w:rPr>
        <w:t>CIC Agreement</w:t>
      </w:r>
      <w:r>
        <w:rPr>
          <w:rFonts w:ascii="Arial" w:cs="Arial" w:eastAsia="Arial" w:hAnsi="Arial"/>
          <w:sz w:val="22"/>
          <w:szCs w:val="22"/>
          <w:color w:val="auto"/>
        </w:rPr>
        <w:t>”). If you are not a party to a CIC Agreement, the provisions of this Section 3 shall apply.</w:t>
      </w:r>
    </w:p>
    <w:p>
      <w:pPr>
        <w:spacing w:after="0" w:line="17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color w:val="auto"/>
        </w:rPr>
        <w:t>In the event of a Change in Control Transaction in which (i) the Unvested Units are not assumed, substituted for, or</w:t>
      </w:r>
      <w:r>
        <w:rPr>
          <w:rFonts w:ascii="Arial" w:cs="Arial" w:eastAsia="Arial" w:hAnsi="Arial"/>
          <w:sz w:val="19"/>
          <w:szCs w:val="19"/>
          <w:b w:val="1"/>
          <w:bCs w:val="1"/>
          <w:color w:val="auto"/>
        </w:rPr>
        <w:t xml:space="preserve"> </w:t>
      </w:r>
      <w:r>
        <w:rPr>
          <w:rFonts w:ascii="Arial" w:cs="Arial" w:eastAsia="Arial" w:hAnsi="Arial"/>
          <w:sz w:val="19"/>
          <w:szCs w:val="19"/>
          <w:color w:val="auto"/>
        </w:rPr>
        <w:t>converted into an award of the acquiring or surviving corporation (or a publicly-traded parent thereof) in a manner which prevents dilution of your rights under the Award or (ii) the acquiring or surviving corporation (or parent thereof) is not publicly-traded, any Unvested Units shall become immediately and fully vested as of the date of the Change in Control Transaction.</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3.3 </w:t>
      </w:r>
      <w:r>
        <w:rPr>
          <w:rFonts w:ascii="Arial" w:cs="Arial" w:eastAsia="Arial" w:hAnsi="Arial"/>
          <w:sz w:val="21"/>
          <w:szCs w:val="21"/>
          <w:color w:val="auto"/>
        </w:rPr>
        <w:t>In the event of a Change in Control Transaction in which your Unvested Units are assumed, substituted for, or</w:t>
      </w:r>
      <w:r>
        <w:rPr>
          <w:rFonts w:ascii="Arial" w:cs="Arial" w:eastAsia="Arial" w:hAnsi="Arial"/>
          <w:sz w:val="21"/>
          <w:szCs w:val="21"/>
          <w:b w:val="1"/>
          <w:bCs w:val="1"/>
          <w:color w:val="auto"/>
        </w:rPr>
        <w:t xml:space="preserve"> </w:t>
      </w:r>
      <w:r>
        <w:rPr>
          <w:rFonts w:ascii="Arial" w:cs="Arial" w:eastAsia="Arial" w:hAnsi="Arial"/>
          <w:sz w:val="21"/>
          <w:szCs w:val="21"/>
          <w:color w:val="auto"/>
        </w:rPr>
        <w:t>converted into an award of the acquiring or surviving public corporation (or a publicly-traded parent thereof) and your employment is terminated within twenty-four (24) months following such Change in Control Transaction, other than (a) for Cause, (b) by reason of Retirement, death or Disability (which shall be governed by Section 2), or (c) by you without Good Reason, any Unvested Units shall become immediately and fully vested as of the date of your termination of employment.</w:t>
      </w:r>
    </w:p>
    <w:p>
      <w:pPr>
        <w:spacing w:after="0" w:line="17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color w:val="auto"/>
        </w:rPr>
        <w:t>Definitions - For purposes of this Agreement, the following capitalized terms shall have the meanings set forth below:</w:t>
      </w:r>
    </w:p>
    <w:p>
      <w:pPr>
        <w:spacing w:after="0" w:line="226" w:lineRule="exact"/>
        <w:rPr>
          <w:sz w:val="20"/>
          <w:szCs w:val="20"/>
          <w:color w:val="auto"/>
        </w:rPr>
      </w:pPr>
    </w:p>
    <w:p>
      <w:pPr>
        <w:jc w:val="both"/>
        <w:ind w:firstLine="1386"/>
        <w:spacing w:after="0" w:line="253" w:lineRule="auto"/>
        <w:tabs>
          <w:tab w:leader="none" w:pos="1874" w:val="left"/>
        </w:tabs>
        <w:numPr>
          <w:ilvl w:val="0"/>
          <w:numId w:val="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Base Salary</w:t>
      </w:r>
      <w:r>
        <w:rPr>
          <w:rFonts w:ascii="Arial" w:cs="Arial" w:eastAsia="Arial" w:hAnsi="Arial"/>
          <w:sz w:val="22"/>
          <w:szCs w:val="22"/>
          <w:color w:val="auto"/>
        </w:rPr>
        <w:t>” shall mean your annual base salary immediately prior to a Change in Control Transaction, as such salary may be increased from time to time (in which case such increased amount shall be the Base Salary for purposes hereof), but without giving effect to any reduction thereto.</w:t>
      </w:r>
    </w:p>
    <w:p>
      <w:pPr>
        <w:spacing w:after="0" w:line="185" w:lineRule="exact"/>
        <w:rPr>
          <w:rFonts w:ascii="Arial" w:cs="Arial" w:eastAsia="Arial" w:hAnsi="Arial"/>
          <w:sz w:val="22"/>
          <w:szCs w:val="22"/>
          <w:color w:val="auto"/>
        </w:rPr>
      </w:pPr>
    </w:p>
    <w:p>
      <w:pPr>
        <w:ind w:left="1860" w:hanging="474"/>
        <w:spacing w:after="0" w:line="253" w:lineRule="exact"/>
        <w:tabs>
          <w:tab w:leader="none" w:pos="18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Beneficial Owner</w:t>
      </w:r>
      <w:r>
        <w:rPr>
          <w:rFonts w:ascii="Arial" w:cs="Arial" w:eastAsia="Arial" w:hAnsi="Arial"/>
          <w:sz w:val="22"/>
          <w:szCs w:val="22"/>
          <w:color w:val="auto"/>
        </w:rPr>
        <w:t>” shall have the meaning set forth in Rule 13d</w:t>
      </w:r>
      <w:r>
        <w:rPr>
          <w:rFonts w:ascii="MS PGothic" w:cs="MS PGothic" w:eastAsia="MS PGothic" w:hAnsi="MS PGothic"/>
          <w:sz w:val="22"/>
          <w:szCs w:val="22"/>
          <w:color w:val="auto"/>
        </w:rPr>
        <w:t>‑</w:t>
      </w:r>
      <w:r>
        <w:rPr>
          <w:rFonts w:ascii="Arial" w:cs="Arial" w:eastAsia="Arial" w:hAnsi="Arial"/>
          <w:sz w:val="22"/>
          <w:szCs w:val="22"/>
          <w:color w:val="auto"/>
        </w:rPr>
        <w:t>3 under the Exchange Act.</w:t>
      </w:r>
    </w:p>
    <w:p>
      <w:pPr>
        <w:spacing w:after="0" w:line="219" w:lineRule="exact"/>
        <w:rPr>
          <w:rFonts w:ascii="Arial" w:cs="Arial" w:eastAsia="Arial" w:hAnsi="Arial"/>
          <w:sz w:val="22"/>
          <w:szCs w:val="22"/>
          <w:color w:val="auto"/>
        </w:rPr>
      </w:pPr>
    </w:p>
    <w:p>
      <w:pPr>
        <w:jc w:val="both"/>
        <w:ind w:firstLine="1386"/>
        <w:spacing w:after="0" w:line="260" w:lineRule="auto"/>
        <w:tabs>
          <w:tab w:leader="none" w:pos="1834" w:val="left"/>
        </w:tabs>
        <w:numPr>
          <w:ilvl w:val="0"/>
          <w:numId w:val="9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for termination of your employment by the Company or your employer, if different (the “</w:t>
      </w:r>
      <w:r>
        <w:rPr>
          <w:rFonts w:ascii="Arial" w:cs="Arial" w:eastAsia="Arial" w:hAnsi="Arial"/>
          <w:sz w:val="21"/>
          <w:szCs w:val="21"/>
          <w:b w:val="1"/>
          <w:bCs w:val="1"/>
          <w:i w:val="1"/>
          <w:iCs w:val="1"/>
          <w:color w:val="auto"/>
        </w:rPr>
        <w:t>Employer</w:t>
      </w:r>
      <w:r>
        <w:rPr>
          <w:rFonts w:ascii="Arial" w:cs="Arial" w:eastAsia="Arial" w:hAnsi="Arial"/>
          <w:sz w:val="21"/>
          <w:szCs w:val="21"/>
          <w:color w:val="auto"/>
        </w:rPr>
        <w:t>”) shall mean (i) your willful and continued failure (other than any such failure resulting from (A) your incapacity due to physical or mental illness, (B) any such actual or anticipated failure after the issuance by you of a notice of termination in a form prescribed by the Company for Good Reason or (C) the Employer’s active or passive obstruction of the performance of your duties and responsibilities) to perform substantially the duties and responsibilities of your position with the Employer after a written demand for substantial performance is delivered to you by the Employer, which demand specifically identifies the manner in which the Employer believes that you have not substantially performed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10.35</w:t>
      </w:r>
    </w:p>
    <w:p>
      <w:pPr>
        <w:spacing w:after="0" w:line="37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such duties or responsibilities; (ii) your conviction by a court of competent jurisdiction for felony criminal conduct (or the equivalent under applicable local law); or (iii) your willful engaging in fraud or dishonesty which is injurious to the Company and/or the Employer or its reputation, monetarily or otherwise. No act, or failure to act, on your part shall be deemed “willful” unless committed, or omitted by you in bad faith and without reasonable belief that your act or failure to act was in, or not opposed to, the best interest of the Company and/or the Employer.</w:t>
      </w:r>
    </w:p>
    <w:p>
      <w:pPr>
        <w:spacing w:after="0" w:line="192" w:lineRule="exact"/>
        <w:rPr>
          <w:sz w:val="20"/>
          <w:szCs w:val="20"/>
          <w:color w:val="auto"/>
        </w:rPr>
      </w:pPr>
    </w:p>
    <w:p>
      <w:pPr>
        <w:jc w:val="both"/>
        <w:ind w:firstLine="1305"/>
        <w:spacing w:after="0" w:line="288" w:lineRule="auto"/>
        <w:tabs>
          <w:tab w:leader="none" w:pos="1805" w:val="left"/>
        </w:tabs>
        <w:numPr>
          <w:ilvl w:val="1"/>
          <w:numId w:val="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for termination of your employment by you shall mean the occurrence (without your express written consent) after any Change in Control Transaction of any one of the following acts by the Company or the Employer, or failures by the Company or the Employer to act, unless, in the case of any act or failure to act described in subsection (i), (ii), (iii),</w:t>
      </w:r>
    </w:p>
    <w:p>
      <w:pPr>
        <w:spacing w:after="0" w:line="1" w:lineRule="exact"/>
        <w:rPr>
          <w:rFonts w:ascii="Arial" w:cs="Arial" w:eastAsia="Arial" w:hAnsi="Arial"/>
          <w:sz w:val="19"/>
          <w:szCs w:val="19"/>
          <w:color w:val="auto"/>
        </w:rPr>
      </w:pPr>
    </w:p>
    <w:p>
      <w:pPr>
        <w:ind w:firstLine="8"/>
        <w:spacing w:after="0" w:line="246" w:lineRule="auto"/>
        <w:tabs>
          <w:tab w:leader="none" w:pos="371" w:val="left"/>
        </w:tabs>
        <w:numPr>
          <w:ilvl w:val="0"/>
          <w:numId w:val="92"/>
        </w:numPr>
        <w:rPr>
          <w:rFonts w:ascii="Arial" w:cs="Arial" w:eastAsia="Arial" w:hAnsi="Arial"/>
          <w:sz w:val="22"/>
          <w:szCs w:val="22"/>
          <w:color w:val="auto"/>
        </w:rPr>
      </w:pPr>
      <w:r>
        <w:rPr>
          <w:rFonts w:ascii="Arial" w:cs="Arial" w:eastAsia="Arial" w:hAnsi="Arial"/>
          <w:sz w:val="22"/>
          <w:szCs w:val="22"/>
          <w:color w:val="auto"/>
        </w:rPr>
        <w:t>or (v) below, such act or failure to act is corrected prior to the date of your termination specified in a notice of termination in a form prescribed by the Company given in respect thereof:</w:t>
      </w:r>
    </w:p>
    <w:p>
      <w:pPr>
        <w:spacing w:after="0" w:line="192" w:lineRule="exact"/>
        <w:rPr>
          <w:rFonts w:ascii="Arial" w:cs="Arial" w:eastAsia="Arial" w:hAnsi="Arial"/>
          <w:sz w:val="22"/>
          <w:szCs w:val="22"/>
          <w:color w:val="auto"/>
        </w:rPr>
      </w:pPr>
    </w:p>
    <w:p>
      <w:pPr>
        <w:jc w:val="both"/>
        <w:ind w:firstLine="1953"/>
        <w:spacing w:after="0" w:line="297" w:lineRule="auto"/>
        <w:tabs>
          <w:tab w:leader="none" w:pos="2456" w:val="left"/>
        </w:tabs>
        <w:numPr>
          <w:ilvl w:val="2"/>
          <w:numId w:val="92"/>
        </w:numPr>
        <w:rPr>
          <w:rFonts w:ascii="Arial" w:cs="Arial" w:eastAsia="Arial" w:hAnsi="Arial"/>
          <w:sz w:val="19"/>
          <w:szCs w:val="19"/>
          <w:color w:val="auto"/>
        </w:rPr>
      </w:pPr>
      <w:r>
        <w:rPr>
          <w:rFonts w:ascii="Arial" w:cs="Arial" w:eastAsia="Arial" w:hAnsi="Arial"/>
          <w:sz w:val="19"/>
          <w:szCs w:val="19"/>
          <w:color w:val="auto"/>
        </w:rPr>
        <w:t>an adverse change in your status or position(s) with the Employer as in effect immediately prior to the Change in Control Transaction, including, without limitation, any adverse change in your status or position as a result of a diminution of your duties or responsibilities (other than, if applicable, any such change directly and solely attributable to the fact that the Company is no longer publicly owned) or the assignment to you of any duties or responsibilities which are inconsistent with such status or position(s), or any removal of you from, or any failure to reappoint or reelect you to, such position(s);</w:t>
      </w:r>
    </w:p>
    <w:p>
      <w:pPr>
        <w:spacing w:after="0" w:line="147" w:lineRule="exact"/>
        <w:rPr>
          <w:rFonts w:ascii="Arial" w:cs="Arial" w:eastAsia="Arial" w:hAnsi="Arial"/>
          <w:sz w:val="19"/>
          <w:szCs w:val="19"/>
          <w:color w:val="auto"/>
        </w:rPr>
      </w:pPr>
    </w:p>
    <w:p>
      <w:pPr>
        <w:ind w:left="2440" w:hanging="487"/>
        <w:spacing w:after="0"/>
        <w:tabs>
          <w:tab w:leader="none" w:pos="2440" w:val="left"/>
        </w:tabs>
        <w:numPr>
          <w:ilvl w:val="2"/>
          <w:numId w:val="92"/>
        </w:numPr>
        <w:rPr>
          <w:rFonts w:ascii="Arial" w:cs="Arial" w:eastAsia="Arial" w:hAnsi="Arial"/>
          <w:sz w:val="22"/>
          <w:szCs w:val="22"/>
          <w:color w:val="auto"/>
        </w:rPr>
      </w:pPr>
      <w:r>
        <w:rPr>
          <w:rFonts w:ascii="Arial" w:cs="Arial" w:eastAsia="Arial" w:hAnsi="Arial"/>
          <w:sz w:val="22"/>
          <w:szCs w:val="22"/>
          <w:color w:val="auto"/>
        </w:rPr>
        <w:t>a reduction in your Base Salary;</w:t>
      </w:r>
    </w:p>
    <w:p>
      <w:pPr>
        <w:spacing w:after="0" w:line="219" w:lineRule="exact"/>
        <w:rPr>
          <w:rFonts w:ascii="Arial" w:cs="Arial" w:eastAsia="Arial" w:hAnsi="Arial"/>
          <w:sz w:val="22"/>
          <w:szCs w:val="22"/>
          <w:color w:val="auto"/>
        </w:rPr>
      </w:pPr>
    </w:p>
    <w:p>
      <w:pPr>
        <w:ind w:firstLine="1953"/>
        <w:spacing w:after="0" w:line="263" w:lineRule="auto"/>
        <w:tabs>
          <w:tab w:leader="none" w:pos="2542" w:val="left"/>
        </w:tabs>
        <w:numPr>
          <w:ilvl w:val="2"/>
          <w:numId w:val="92"/>
        </w:numPr>
        <w:rPr>
          <w:rFonts w:ascii="Arial" w:cs="Arial" w:eastAsia="Arial" w:hAnsi="Arial"/>
          <w:sz w:val="22"/>
          <w:szCs w:val="22"/>
          <w:color w:val="auto"/>
        </w:rPr>
      </w:pPr>
      <w:r>
        <w:rPr>
          <w:rFonts w:ascii="Arial" w:cs="Arial" w:eastAsia="Arial" w:hAnsi="Arial"/>
          <w:sz w:val="22"/>
          <w:szCs w:val="22"/>
          <w:color w:val="auto"/>
        </w:rPr>
        <w:t>a reduction in your annual bonus opportunity or long term incentive opportunity, as compared to the year immediately preceding the year in which the Change in Control Transaction occurs;</w:t>
      </w:r>
    </w:p>
    <w:p>
      <w:pPr>
        <w:spacing w:after="0" w:line="174" w:lineRule="exact"/>
        <w:rPr>
          <w:rFonts w:ascii="Arial" w:cs="Arial" w:eastAsia="Arial" w:hAnsi="Arial"/>
          <w:sz w:val="22"/>
          <w:szCs w:val="22"/>
          <w:color w:val="auto"/>
        </w:rPr>
      </w:pPr>
    </w:p>
    <w:p>
      <w:pPr>
        <w:ind w:firstLine="1953"/>
        <w:spacing w:after="0" w:line="287" w:lineRule="auto"/>
        <w:tabs>
          <w:tab w:leader="none" w:pos="2540" w:val="left"/>
        </w:tabs>
        <w:numPr>
          <w:ilvl w:val="2"/>
          <w:numId w:val="92"/>
        </w:numPr>
        <w:rPr>
          <w:rFonts w:ascii="Arial" w:cs="Arial" w:eastAsia="Arial" w:hAnsi="Arial"/>
          <w:sz w:val="21"/>
          <w:szCs w:val="21"/>
          <w:color w:val="auto"/>
        </w:rPr>
      </w:pPr>
      <w:r>
        <w:rPr>
          <w:rFonts w:ascii="Arial" w:cs="Arial" w:eastAsia="Arial" w:hAnsi="Arial"/>
          <w:sz w:val="21"/>
          <w:szCs w:val="21"/>
          <w:color w:val="auto"/>
        </w:rPr>
        <w:t>the failure to continue to provide welfare, pension and fringe benefits which are in each case, in the aggregate, substantially similar to those provided to you immediately prior to Change in Control Transaction; or</w:t>
      </w:r>
    </w:p>
    <w:p>
      <w:pPr>
        <w:spacing w:after="0" w:line="151" w:lineRule="exact"/>
        <w:rPr>
          <w:rFonts w:ascii="Arial" w:cs="Arial" w:eastAsia="Arial" w:hAnsi="Arial"/>
          <w:sz w:val="21"/>
          <w:szCs w:val="21"/>
          <w:color w:val="auto"/>
        </w:rPr>
      </w:pPr>
    </w:p>
    <w:p>
      <w:pPr>
        <w:jc w:val="both"/>
        <w:ind w:firstLine="1953"/>
        <w:spacing w:after="0" w:line="250" w:lineRule="auto"/>
        <w:tabs>
          <w:tab w:leader="none" w:pos="2420" w:val="left"/>
        </w:tabs>
        <w:numPr>
          <w:ilvl w:val="2"/>
          <w:numId w:val="92"/>
        </w:numPr>
        <w:rPr>
          <w:rFonts w:ascii="Arial" w:cs="Arial" w:eastAsia="Arial" w:hAnsi="Arial"/>
          <w:sz w:val="22"/>
          <w:szCs w:val="22"/>
          <w:color w:val="auto"/>
        </w:rPr>
      </w:pPr>
      <w:r>
        <w:rPr>
          <w:rFonts w:ascii="Arial" w:cs="Arial" w:eastAsia="Arial" w:hAnsi="Arial"/>
          <w:sz w:val="22"/>
          <w:szCs w:val="22"/>
          <w:color w:val="auto"/>
        </w:rPr>
        <w:t>the Employer requiring you to be based at an office that is greater than 50 miles from where your office is located immediately prior to the Change in Control Transaction except for required travel on the Employer’s business to an extent substantially consistent with the business travel obligations which you undertook on behalf of the Employer prior to the Change in Control Transaction.</w:t>
      </w:r>
    </w:p>
    <w:p>
      <w:pPr>
        <w:spacing w:after="0" w:line="188"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Notwithstanding the foregoing, the events described in clauses (ii), (iii) or (iv) above shall not constitute Good Reason hereunder to the extent they are as a result of across-the-board reductions of the applicable compensation element following the Change in Control Transaction which are equally applicable to all similarly situated employees of the surviving corporation and its affiliates. Your right to terminate your employment for Good Reason shall not be affected by your incapacity due to physical or mental illness. In order for Good Reason to exist hereunder, you must provide notice to the Company of the existence of the condition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10.35</w:t>
      </w:r>
    </w:p>
    <w:p>
      <w:pPr>
        <w:spacing w:after="0" w:line="371"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or circumstance described above within 90 days of the initial existence of the condition or circumstance (or, if later, within 90 days of becoming aware of such condition or circumstance), and the Employer must have failed to cure such condition within 30 days of the receipt of such notice. Subject to the preceding sentence, your continued employment shall not constitute consent to, or a waiver of rights with respect to, any act or failure to act constituting Good Reason hereunder.</w:t>
      </w:r>
    </w:p>
    <w:p>
      <w:pPr>
        <w:spacing w:after="0" w:line="176" w:lineRule="exact"/>
        <w:rPr>
          <w:sz w:val="20"/>
          <w:szCs w:val="20"/>
          <w:color w:val="auto"/>
        </w:rPr>
      </w:pPr>
    </w:p>
    <w:p>
      <w:pPr>
        <w:jc w:val="both"/>
        <w:ind w:firstLine="1305"/>
        <w:spacing w:after="0" w:line="297" w:lineRule="auto"/>
        <w:tabs>
          <w:tab w:leader="none" w:pos="1874" w:val="left"/>
        </w:tabs>
        <w:numPr>
          <w:ilvl w:val="1"/>
          <w:numId w:val="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proportions as their ownership of stock of the Company.</w:t>
      </w:r>
    </w:p>
    <w:p>
      <w:pPr>
        <w:spacing w:after="0" w:line="357" w:lineRule="exact"/>
        <w:rPr>
          <w:rFonts w:ascii="Arial" w:cs="Arial" w:eastAsia="Arial" w:hAnsi="Arial"/>
          <w:sz w:val="19"/>
          <w:szCs w:val="19"/>
          <w:color w:val="auto"/>
        </w:rPr>
      </w:pPr>
    </w:p>
    <w:p>
      <w:pPr>
        <w:ind w:left="660" w:hanging="584"/>
        <w:spacing w:after="0"/>
        <w:tabs>
          <w:tab w:leader="none" w:pos="66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Vested Units.</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Vested Units shall be settled on the earliest to occur of (a) a date within 30 days following the applicable Vest Date, (b) a</w:t>
      </w:r>
    </w:p>
    <w:p>
      <w:pPr>
        <w:spacing w:after="0" w:line="56"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date within 30 days following the termination of your employment (i) due to death or Disability pursuant to Section 2 above or (ii) following a Change in Control Transaction pursuant to Section 3.3 above, or (c) the date of a Change in Control Transaction pursuant to Section 3.2 above that constitutes a “change in control event” within the meaning of U.S. Treasury Regulation Section 1.409A-3(i)(5).</w:t>
      </w:r>
    </w:p>
    <w:p>
      <w:pPr>
        <w:spacing w:after="0" w:line="190" w:lineRule="exact"/>
        <w:rPr>
          <w:sz w:val="20"/>
          <w:szCs w:val="20"/>
          <w:color w:val="auto"/>
        </w:rPr>
      </w:pPr>
    </w:p>
    <w:p>
      <w:pPr>
        <w:ind w:left="660" w:hanging="584"/>
        <w:spacing w:after="0"/>
        <w:tabs>
          <w:tab w:leader="none" w:pos="660"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 Compliance</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5.1 </w:t>
      </w:r>
      <w:r>
        <w:rPr>
          <w:rFonts w:ascii="Arial" w:cs="Arial" w:eastAsia="Arial" w:hAnsi="Arial"/>
          <w:sz w:val="22"/>
          <w:szCs w:val="22"/>
          <w:color w:val="auto"/>
        </w:rPr>
        <w:t>You represent and warrant that you (a) have been furnished with a copy of the prospectus for the Plan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which you deem 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18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color w:val="auto"/>
        </w:rPr>
        <w:t>You hereby agree that you will in no event sell or distribute all or any part of the shares of Common Stock that you</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pursuant to settlement of this Award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unless (a) there is an effective registration statement under the U.S. Securities Act of 1933, as amended (the “</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and any applicable state and foreign securities laws covering any such transaction involving the Shares or (b) the Company receives an opinion of your legal counsel (concurred with by legal counsel for the Company) stating that such transaction is exempt from registration or the Company otherwise satisfies itself that such transaction is exempt from registration. You understand that the Company has no obligation to you to register the Shares with the U.S. Securities and Exchange Commission or any foreign securities regulator and has not represented to you that it will so register the Shares.</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22"/>
          <w:szCs w:val="22"/>
          <w:color w:val="auto"/>
        </w:rPr>
        <w:t>You confirm that you have been advised, prior to your receipt of the Shares, that neither the offering of the Shares nor</w:t>
      </w:r>
      <w:r>
        <w:rPr>
          <w:rFonts w:ascii="Arial" w:cs="Arial" w:eastAsia="Arial" w:hAnsi="Arial"/>
          <w:sz w:val="22"/>
          <w:szCs w:val="22"/>
          <w:b w:val="1"/>
          <w:bCs w:val="1"/>
          <w:color w:val="auto"/>
        </w:rPr>
        <w:t xml:space="preserve"> </w:t>
      </w:r>
      <w:r>
        <w:rPr>
          <w:rFonts w:ascii="Arial" w:cs="Arial" w:eastAsia="Arial" w:hAnsi="Arial"/>
          <w:sz w:val="22"/>
          <w:szCs w:val="22"/>
          <w:color w:val="auto"/>
        </w:rPr>
        <w:t>any offering materials have been reviewed by any regulator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38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under the Securities Act or any other applicable securities act (the “</w:t>
      </w:r>
      <w:r>
        <w:rPr>
          <w:rFonts w:ascii="Arial" w:cs="Arial" w:eastAsia="Arial" w:hAnsi="Arial"/>
          <w:sz w:val="22"/>
          <w:szCs w:val="22"/>
          <w:b w:val="1"/>
          <w:bCs w:val="1"/>
          <w:i w:val="1"/>
          <w:iCs w:val="1"/>
          <w:color w:val="auto"/>
        </w:rPr>
        <w:t>Acts</w:t>
      </w:r>
      <w:r>
        <w:rPr>
          <w:rFonts w:ascii="Arial" w:cs="Arial" w:eastAsia="Arial" w:hAnsi="Arial"/>
          <w:sz w:val="22"/>
          <w:szCs w:val="22"/>
          <w:color w:val="auto"/>
        </w:rPr>
        <w:t>”) and that the Shares cannot be resold unless they are registered under the Acts or unless an exemption from such registration is available.</w:t>
      </w:r>
    </w:p>
    <w:p>
      <w:pPr>
        <w:spacing w:after="0" w:line="16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5.4 </w:t>
      </w:r>
      <w:r>
        <w:rPr>
          <w:rFonts w:ascii="Arial" w:cs="Arial" w:eastAsia="Arial" w:hAnsi="Arial"/>
          <w:sz w:val="22"/>
          <w:szCs w:val="22"/>
          <w:color w:val="auto"/>
        </w:rPr>
        <w:t>You hereby agree to indemnify the Company and hold it harmless from and against any loss, claim or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attorneys’ fees or legal expenses, incurred by the Company as a result of any breach by you of, or any inaccuracy in, any representation, warranty or statement made by you in this Agreement or the breach by you of any terms or conditions of this Agreement.</w:t>
      </w:r>
    </w:p>
    <w:p>
      <w:pPr>
        <w:spacing w:after="0" w:line="180" w:lineRule="exact"/>
        <w:rPr>
          <w:sz w:val="20"/>
          <w:szCs w:val="20"/>
          <w:color w:val="auto"/>
        </w:rPr>
      </w:pPr>
    </w:p>
    <w:p>
      <w:pPr>
        <w:ind w:left="660" w:hanging="584"/>
        <w:spacing w:after="0"/>
        <w:tabs>
          <w:tab w:leader="none" w:pos="66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Transfer Restrictions</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Units shall not be sold, transferred, assigned, encumbered, pledged or otherwise disposed of, whether voluntarily or by operation of law, other than pursuant to a beneficiary designation in accordance with the following sentence. You may, from time to time, name any beneficiary or beneficiaries (who may be named contingently or successively) to whom any benefit under this Agreement is to be paid in case you do not receive any or all such benefit during your lifetime. Each such designation shall revoke all of your prior designations, shall be in a form prescribed by the Company, and will be effective only when completed in accordance with any instructions provided by the Company during your lifetime. In the absence of any such designation, benefits remaining unpaid to you during your lifetime shall be paid to your estate.</w:t>
      </w:r>
    </w:p>
    <w:p>
      <w:pPr>
        <w:spacing w:after="0" w:line="175" w:lineRule="exact"/>
        <w:rPr>
          <w:sz w:val="20"/>
          <w:szCs w:val="20"/>
          <w:color w:val="auto"/>
        </w:rPr>
      </w:pPr>
    </w:p>
    <w:p>
      <w:pPr>
        <w:ind w:left="660" w:hanging="584"/>
        <w:spacing w:after="0"/>
        <w:tabs>
          <w:tab w:leader="none" w:pos="66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No Rights as Shareholder</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You shall not have voting or other rights as a shareholder of the Company with respect to the Units.</w:t>
      </w:r>
    </w:p>
    <w:p>
      <w:pPr>
        <w:spacing w:after="0" w:line="213" w:lineRule="exact"/>
        <w:rPr>
          <w:rFonts w:ascii="Arial" w:cs="Arial" w:eastAsia="Arial" w:hAnsi="Arial"/>
          <w:sz w:val="22"/>
          <w:szCs w:val="22"/>
          <w:b w:val="1"/>
          <w:bCs w:val="1"/>
          <w:color w:val="auto"/>
        </w:rPr>
      </w:pPr>
    </w:p>
    <w:p>
      <w:pPr>
        <w:ind w:left="660" w:hanging="584"/>
        <w:spacing w:after="0"/>
        <w:tabs>
          <w:tab w:leader="none" w:pos="66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Book Entry Registration of Shares</w:t>
      </w:r>
    </w:p>
    <w:p>
      <w:pPr>
        <w:spacing w:after="0" w:line="22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99" w:lineRule="exact"/>
        <w:rPr>
          <w:sz w:val="20"/>
          <w:szCs w:val="20"/>
          <w:color w:val="auto"/>
        </w:rPr>
      </w:pPr>
    </w:p>
    <w:p>
      <w:pPr>
        <w:ind w:left="660" w:hanging="584"/>
        <w:spacing w:after="0"/>
        <w:tabs>
          <w:tab w:leader="none" w:pos="66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Responsibility for Taxes</w:t>
      </w:r>
    </w:p>
    <w:p>
      <w:pPr>
        <w:spacing w:after="0" w:line="2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9"/>
          <w:szCs w:val="19"/>
          <w:color w:val="auto"/>
        </w:rPr>
        <w:t>Regardless of any action the Company or the Employer take with respect to any and all income tax, social 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payroll tax, fringe benefits tax, payment on account or other tax-related items related to your participation in the Plan and legally applicable to you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Units, the issuance of Shares upon settlement of the Vested Units, the subsequent sale of Shares acquired upon settlement of the Vested Units and the receipt of any dividends; and (b) do not commit to and are under no obligation to structure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38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terms of the grant or any aspect of the Award to reduce or eliminate your liability for Tax-Related Items or achieve any particular tax result. Further, if you have become subject to Tax-Related Items in more than one jurisdiction between the Grant Date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18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9.2 </w:t>
      </w:r>
      <w:r>
        <w:rPr>
          <w:rFonts w:ascii="Arial" w:cs="Arial" w:eastAsia="Arial" w:hAnsi="Arial"/>
          <w:sz w:val="22"/>
          <w:szCs w:val="22"/>
          <w:color w:val="auto"/>
        </w:rPr>
        <w:t>Prior to any relevant taxable or tax withholding event, as applicable, you will pay or make adequate arrangements</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satisfactory to the Company and or the Employer to satisfy all Tax-Related Items.</w:t>
      </w:r>
    </w:p>
    <w:p>
      <w:pPr>
        <w:spacing w:after="0" w:line="168" w:lineRule="exact"/>
        <w:rPr>
          <w:sz w:val="20"/>
          <w:szCs w:val="20"/>
          <w:color w:val="auto"/>
        </w:rPr>
      </w:pPr>
    </w:p>
    <w:p>
      <w:pPr>
        <w:ind w:firstLine="1386"/>
        <w:spacing w:after="0" w:line="287" w:lineRule="auto"/>
        <w:tabs>
          <w:tab w:leader="none" w:pos="1896" w:val="left"/>
        </w:tabs>
        <w:numPr>
          <w:ilvl w:val="0"/>
          <w:numId w:val="99"/>
        </w:numPr>
        <w:rPr>
          <w:rFonts w:ascii="Arial" w:cs="Arial" w:eastAsia="Arial" w:hAnsi="Arial"/>
          <w:sz w:val="21"/>
          <w:szCs w:val="21"/>
          <w:color w:val="auto"/>
        </w:rPr>
      </w:pPr>
      <w:r>
        <w:rPr>
          <w:rFonts w:ascii="Arial" w:cs="Arial" w:eastAsia="Arial" w:hAnsi="Arial"/>
          <w:sz w:val="21"/>
          <w:szCs w:val="21"/>
          <w:color w:val="auto"/>
        </w:rPr>
        <w:t>In this regard, you hereby irrevocably appoint Fidelity or any stock plan service provider or brokerage firm designated by the Company for such purpose (the “</w:t>
      </w:r>
      <w:r>
        <w:rPr>
          <w:rFonts w:ascii="Arial" w:cs="Arial" w:eastAsia="Arial" w:hAnsi="Arial"/>
          <w:sz w:val="21"/>
          <w:szCs w:val="21"/>
          <w:b w:val="1"/>
          <w:bCs w:val="1"/>
          <w:i w:val="1"/>
          <w:iCs w:val="1"/>
          <w:color w:val="auto"/>
        </w:rPr>
        <w:t>Agent</w:t>
      </w:r>
      <w:r>
        <w:rPr>
          <w:rFonts w:ascii="Arial" w:cs="Arial" w:eastAsia="Arial" w:hAnsi="Arial"/>
          <w:sz w:val="21"/>
          <w:szCs w:val="21"/>
          <w:color w:val="auto"/>
        </w:rPr>
        <w:t>”) as your Agent, and authorize the Agent, to:</w:t>
      </w:r>
    </w:p>
    <w:p>
      <w:pPr>
        <w:spacing w:after="0" w:line="367" w:lineRule="exact"/>
        <w:rPr>
          <w:rFonts w:ascii="Arial" w:cs="Arial" w:eastAsia="Arial" w:hAnsi="Arial"/>
          <w:sz w:val="21"/>
          <w:szCs w:val="21"/>
          <w:color w:val="auto"/>
        </w:rPr>
      </w:pPr>
    </w:p>
    <w:p>
      <w:pPr>
        <w:jc w:val="both"/>
        <w:ind w:firstLine="1953"/>
        <w:spacing w:after="0" w:line="312" w:lineRule="auto"/>
        <w:tabs>
          <w:tab w:leader="none" w:pos="2384" w:val="left"/>
        </w:tabs>
        <w:numPr>
          <w:ilvl w:val="1"/>
          <w:numId w:val="99"/>
        </w:numPr>
        <w:rPr>
          <w:rFonts w:ascii="Arial" w:cs="Arial" w:eastAsia="Arial" w:hAnsi="Arial"/>
          <w:sz w:val="19"/>
          <w:szCs w:val="19"/>
          <w:color w:val="auto"/>
        </w:rPr>
      </w:pPr>
      <w:r>
        <w:rPr>
          <w:rFonts w:ascii="Arial" w:cs="Arial" w:eastAsia="Arial" w:hAnsi="Arial"/>
          <w:sz w:val="19"/>
          <w:szCs w:val="19"/>
          <w:color w:val="auto"/>
        </w:rPr>
        <w:t>Sell on the open market at the then prevailing market price(s), on your behalf, as soon as practicable on or after the settlement date for any Vested Unit, a number of Shares (rounded up to the next whole number) sufficient to generate proceeds to cover the Tax-Related Items and all applicable fees and commissions due to, or required to be collected by, the Agent;</w:t>
      </w:r>
    </w:p>
    <w:p>
      <w:pPr>
        <w:spacing w:after="0" w:line="133" w:lineRule="exact"/>
        <w:rPr>
          <w:rFonts w:ascii="Arial" w:cs="Arial" w:eastAsia="Arial" w:hAnsi="Arial"/>
          <w:sz w:val="19"/>
          <w:szCs w:val="19"/>
          <w:color w:val="auto"/>
        </w:rPr>
      </w:pPr>
    </w:p>
    <w:p>
      <w:pPr>
        <w:ind w:left="2440" w:hanging="487"/>
        <w:spacing w:after="0"/>
        <w:tabs>
          <w:tab w:leader="none" w:pos="2440" w:val="left"/>
        </w:tabs>
        <w:numPr>
          <w:ilvl w:val="1"/>
          <w:numId w:val="99"/>
        </w:numPr>
        <w:rPr>
          <w:rFonts w:ascii="Arial" w:cs="Arial" w:eastAsia="Arial" w:hAnsi="Arial"/>
          <w:sz w:val="22"/>
          <w:szCs w:val="22"/>
          <w:color w:val="auto"/>
        </w:rPr>
      </w:pPr>
      <w:r>
        <w:rPr>
          <w:rFonts w:ascii="Arial" w:cs="Arial" w:eastAsia="Arial" w:hAnsi="Arial"/>
          <w:sz w:val="22"/>
          <w:szCs w:val="22"/>
          <w:color w:val="auto"/>
        </w:rPr>
        <w:t>Remit directly to the Company the cash amount necessary to cover the Tax-Related Items;</w:t>
      </w:r>
    </w:p>
    <w:p>
      <w:pPr>
        <w:spacing w:after="0" w:line="219" w:lineRule="exact"/>
        <w:rPr>
          <w:rFonts w:ascii="Arial" w:cs="Arial" w:eastAsia="Arial" w:hAnsi="Arial"/>
          <w:sz w:val="22"/>
          <w:szCs w:val="22"/>
          <w:color w:val="auto"/>
        </w:rPr>
      </w:pPr>
    </w:p>
    <w:p>
      <w:pPr>
        <w:ind w:firstLine="1953"/>
        <w:spacing w:after="0" w:line="263" w:lineRule="auto"/>
        <w:tabs>
          <w:tab w:leader="none" w:pos="2588" w:val="left"/>
        </w:tabs>
        <w:numPr>
          <w:ilvl w:val="1"/>
          <w:numId w:val="99"/>
        </w:numPr>
        <w:rPr>
          <w:rFonts w:ascii="Arial" w:cs="Arial" w:eastAsia="Arial" w:hAnsi="Arial"/>
          <w:sz w:val="22"/>
          <w:szCs w:val="22"/>
          <w:color w:val="auto"/>
        </w:rPr>
      </w:pPr>
      <w:r>
        <w:rPr>
          <w:rFonts w:ascii="Arial" w:cs="Arial" w:eastAsia="Arial" w:hAnsi="Arial"/>
          <w:sz w:val="22"/>
          <w:szCs w:val="22"/>
          <w:color w:val="auto"/>
        </w:rPr>
        <w:t>Retain the amount required to cover all applicable fees and commissions due to, or required to be collected by, the Agent, relating directly to the sale of Shares referred to in clause (i) above; and</w:t>
      </w:r>
    </w:p>
    <w:p>
      <w:pPr>
        <w:spacing w:after="0" w:line="174" w:lineRule="exact"/>
        <w:rPr>
          <w:rFonts w:ascii="Arial" w:cs="Arial" w:eastAsia="Arial" w:hAnsi="Arial"/>
          <w:sz w:val="22"/>
          <w:szCs w:val="22"/>
          <w:color w:val="auto"/>
        </w:rPr>
      </w:pPr>
    </w:p>
    <w:p>
      <w:pPr>
        <w:ind w:left="2480" w:hanging="527"/>
        <w:spacing w:after="0"/>
        <w:tabs>
          <w:tab w:leader="none" w:pos="2480" w:val="left"/>
        </w:tabs>
        <w:numPr>
          <w:ilvl w:val="1"/>
          <w:numId w:val="99"/>
        </w:numPr>
        <w:rPr>
          <w:rFonts w:ascii="Arial" w:cs="Arial" w:eastAsia="Arial" w:hAnsi="Arial"/>
          <w:sz w:val="22"/>
          <w:szCs w:val="22"/>
          <w:color w:val="auto"/>
        </w:rPr>
      </w:pPr>
      <w:r>
        <w:rPr>
          <w:rFonts w:ascii="Arial" w:cs="Arial" w:eastAsia="Arial" w:hAnsi="Arial"/>
          <w:sz w:val="22"/>
          <w:szCs w:val="22"/>
          <w:color w:val="auto"/>
        </w:rPr>
        <w:t>Remit any remaining funds to you.</w:t>
      </w:r>
    </w:p>
    <w:p>
      <w:pPr>
        <w:spacing w:after="0" w:line="219" w:lineRule="exact"/>
        <w:rPr>
          <w:rFonts w:ascii="Arial" w:cs="Arial" w:eastAsia="Arial" w:hAnsi="Arial"/>
          <w:sz w:val="22"/>
          <w:szCs w:val="22"/>
          <w:color w:val="auto"/>
        </w:rPr>
      </w:pPr>
    </w:p>
    <w:p>
      <w:pPr>
        <w:jc w:val="both"/>
        <w:ind w:firstLine="1386"/>
        <w:spacing w:after="0" w:line="248" w:lineRule="auto"/>
        <w:tabs>
          <w:tab w:leader="none" w:pos="1938" w:val="left"/>
        </w:tabs>
        <w:numPr>
          <w:ilvl w:val="0"/>
          <w:numId w:val="99"/>
        </w:numPr>
        <w:rPr>
          <w:rFonts w:ascii="Arial" w:cs="Arial" w:eastAsia="Arial" w:hAnsi="Arial"/>
          <w:sz w:val="22"/>
          <w:szCs w:val="22"/>
          <w:color w:val="auto"/>
        </w:rPr>
      </w:pPr>
      <w:r>
        <w:rPr>
          <w:rFonts w:ascii="Arial" w:cs="Arial" w:eastAsia="Arial" w:hAnsi="Arial"/>
          <w:sz w:val="22"/>
          <w:szCs w:val="22"/>
          <w:color w:val="auto"/>
        </w:rPr>
        <w:t>If the sale of Shares required by Section 9.2(a)(i) above is prohibited by a legal, contractual or regulatory restriction, is otherwise impossible as described in the 10b5-1 Plan set forth in Section 9.3 below, or if the obligation for withholding of Tax-Related Items arises at a time other than the settlement of the Award, then in addition to the withholding mechanism described in Section 9.2(a), you authorize the Company and/or the Employer, at their discretion, to satisfy the obligations with regard to all Tax-Related Items by:</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2380" w:hanging="427"/>
        <w:spacing w:after="0"/>
        <w:tabs>
          <w:tab w:leader="none" w:pos="2380" w:val="left"/>
        </w:tabs>
        <w:numPr>
          <w:ilvl w:val="1"/>
          <w:numId w:val="99"/>
        </w:numPr>
        <w:rPr>
          <w:rFonts w:ascii="Arial" w:cs="Arial" w:eastAsia="Arial" w:hAnsi="Arial"/>
          <w:sz w:val="19"/>
          <w:szCs w:val="19"/>
          <w:color w:val="auto"/>
        </w:rPr>
      </w:pPr>
      <w:r>
        <w:rPr>
          <w:rFonts w:ascii="Arial" w:cs="Arial" w:eastAsia="Arial" w:hAnsi="Arial"/>
          <w:sz w:val="19"/>
          <w:szCs w:val="19"/>
          <w:color w:val="auto"/>
        </w:rPr>
        <w:t>requiring you to pay to the Company or the Employer any amount of the Tax-Related Items; and/or</w:t>
      </w:r>
    </w:p>
    <w:p>
      <w:pPr>
        <w:spacing w:after="0" w:line="254" w:lineRule="exact"/>
        <w:rPr>
          <w:rFonts w:ascii="Arial" w:cs="Arial" w:eastAsia="Arial" w:hAnsi="Arial"/>
          <w:sz w:val="19"/>
          <w:szCs w:val="19"/>
          <w:color w:val="auto"/>
        </w:rPr>
      </w:pPr>
    </w:p>
    <w:p>
      <w:pPr>
        <w:ind w:firstLine="1953"/>
        <w:spacing w:after="0" w:line="263" w:lineRule="auto"/>
        <w:tabs>
          <w:tab w:leader="none" w:pos="2442" w:val="left"/>
        </w:tabs>
        <w:numPr>
          <w:ilvl w:val="1"/>
          <w:numId w:val="99"/>
        </w:numPr>
        <w:rPr>
          <w:rFonts w:ascii="Arial" w:cs="Arial" w:eastAsia="Arial" w:hAnsi="Arial"/>
          <w:sz w:val="22"/>
          <w:szCs w:val="22"/>
          <w:color w:val="auto"/>
        </w:rPr>
      </w:pPr>
      <w:r>
        <w:rPr>
          <w:rFonts w:ascii="Arial" w:cs="Arial" w:eastAsia="Arial" w:hAnsi="Arial"/>
          <w:sz w:val="22"/>
          <w:szCs w:val="22"/>
          <w:color w:val="auto"/>
        </w:rPr>
        <w:t>withholding any amount of the Tax-Related Items from your wages or other cash compensation paid to you by the Company and/or the Employer; and/or</w:t>
      </w:r>
    </w:p>
    <w:p>
      <w:pPr>
        <w:spacing w:after="0" w:line="174" w:lineRule="exact"/>
        <w:rPr>
          <w:rFonts w:ascii="Arial" w:cs="Arial" w:eastAsia="Arial" w:hAnsi="Arial"/>
          <w:sz w:val="22"/>
          <w:szCs w:val="22"/>
          <w:color w:val="auto"/>
        </w:rPr>
      </w:pPr>
    </w:p>
    <w:p>
      <w:pPr>
        <w:jc w:val="both"/>
        <w:ind w:right="20" w:firstLine="1953"/>
        <w:spacing w:after="0" w:line="253" w:lineRule="auto"/>
        <w:tabs>
          <w:tab w:leader="none" w:pos="2504" w:val="left"/>
        </w:tabs>
        <w:numPr>
          <w:ilvl w:val="1"/>
          <w:numId w:val="99"/>
        </w:numPr>
        <w:rPr>
          <w:rFonts w:ascii="Arial" w:cs="Arial" w:eastAsia="Arial" w:hAnsi="Arial"/>
          <w:sz w:val="22"/>
          <w:szCs w:val="22"/>
          <w:color w:val="auto"/>
        </w:rPr>
      </w:pPr>
      <w:r>
        <w:rPr>
          <w:rFonts w:ascii="Arial" w:cs="Arial" w:eastAsia="Arial" w:hAnsi="Arial"/>
          <w:sz w:val="22"/>
          <w:szCs w:val="22"/>
          <w:color w:val="auto"/>
        </w:rPr>
        <w:t>withholding in Shares to be issued upon settlement of the Vested Units, provided, however, that if you are a Section 16 officer of the Company under the Exchange Act, then the Plan Administrator (as constituted to satisfy Rule 16b-3 of the Exchange Act) shall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2"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38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establish any alternative method of withholding as may be required from the alternatives (i) – (iii) herein and, if the Plan Administrator does not exercise its discretion prior to the Tax-Related Items withholding event, then the method of withholding set forth in alternative (iii) shall apply.</w:t>
      </w:r>
    </w:p>
    <w:p>
      <w:pPr>
        <w:spacing w:after="0" w:line="186" w:lineRule="exact"/>
        <w:rPr>
          <w:sz w:val="20"/>
          <w:szCs w:val="20"/>
          <w:color w:val="auto"/>
        </w:rPr>
      </w:pPr>
    </w:p>
    <w:p>
      <w:pPr>
        <w:jc w:val="both"/>
        <w:ind w:firstLine="1386"/>
        <w:spacing w:after="0" w:line="246" w:lineRule="auto"/>
        <w:tabs>
          <w:tab w:leader="none" w:pos="195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equivalent amount in Shares. If the obligation for Tax-Related Items is satisfied by withholding in Shares, for tax purposes, you will be deemed to have been issued the full number of Shares subject to the Vested Units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9.3 </w:t>
      </w:r>
      <w:r>
        <w:rPr>
          <w:rFonts w:ascii="Arial" w:cs="Arial" w:eastAsia="Arial" w:hAnsi="Arial"/>
          <w:sz w:val="19"/>
          <w:szCs w:val="19"/>
          <w:color w:val="auto"/>
        </w:rPr>
        <w:t>You acknowledge that the authorization and instruction to the Agent set forth in Section 9.2(a)(i) above to sell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to cover the Tax-Related Items is intended to comply with the requirements of Rule 10b5-1(c)(1)(i)(B) under the Exchange Act and to be interpreted to comply with the requirements of Rule 10b5-1(c) under the Exchange Act (regarding trading of the Company’s securities on the basis of material nonpublic information) (a “</w:t>
      </w:r>
      <w:r>
        <w:rPr>
          <w:rFonts w:ascii="Arial" w:cs="Arial" w:eastAsia="Arial" w:hAnsi="Arial"/>
          <w:sz w:val="19"/>
          <w:szCs w:val="19"/>
          <w:b w:val="1"/>
          <w:bCs w:val="1"/>
          <w:i w:val="1"/>
          <w:iCs w:val="1"/>
          <w:color w:val="auto"/>
        </w:rPr>
        <w:t>10b5-1 Plan</w:t>
      </w:r>
      <w:r>
        <w:rPr>
          <w:rFonts w:ascii="Arial" w:cs="Arial" w:eastAsia="Arial" w:hAnsi="Arial"/>
          <w:sz w:val="19"/>
          <w:szCs w:val="19"/>
          <w:color w:val="auto"/>
        </w:rPr>
        <w:t>”). This 10b5-1 Plan is being adopted to permit you to sell a number of Shares issued upon settlement of Vested Units sufficient to pay the Tax-Related Items.</w:t>
      </w:r>
    </w:p>
    <w:p>
      <w:pPr>
        <w:spacing w:after="0" w:line="14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You acknowledge that the broker is under no obligation to arrange for the sale of Shares at any particular price. You further acknowledge that you will be responsible for all brokerage fees and other costs of sale, and you agree to indemnify and hold the Company harmless from any losses, costs, damages, or expenses relating to any such sale. You acknowledge that it may not be possible to sell Shares during the term of this 10b5-1 Plan due to (a) a legal or contractual restriction applicable to you or to the broker, (b) a market disruption, (c) rules governing order execution priority on the Nasdaq or other exchange where the Shares may be traded, (d) a sale effected pursuant to this 10b5-1 Plan that fails to comply (or in the reasonable opinion of the Agent’s counsel is likely not to comply) with the Securities Act, or (e) if the Company determines that sales may not be effected under this 10b5-1 Plan. In the event of the Agent’s inability to sell Shares, you will continue to be responsible for the Tax-Related Items.</w:t>
      </w:r>
    </w:p>
    <w:p>
      <w:pPr>
        <w:spacing w:after="0" w:line="15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You hereby agree to execute and deliver to the Agent any other agreements or documents as the Agent reasonably deems necessary or appropriate to carry out the purposes and intent of the 10b5-1 Plan. You acknowledge that this 10b5-1 Plan is subject to the terms of any policy adopted now or hereafter by the Company governing the adoption of 10b5-1 plans. The Agent is a third party beneficiary of Section 9.2(a)(i) and this 10b5-1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381" w:lineRule="exact"/>
        <w:rPr>
          <w:sz w:val="20"/>
          <w:szCs w:val="20"/>
          <w:color w:val="auto"/>
        </w:rPr>
      </w:pPr>
    </w:p>
    <w:p>
      <w:pPr>
        <w:ind w:left="660" w:hanging="584"/>
        <w:spacing w:after="0"/>
        <w:tabs>
          <w:tab w:leader="none" w:pos="660"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Grant</w:t>
      </w:r>
    </w:p>
    <w:p>
      <w:pPr>
        <w:spacing w:after="0" w:line="225" w:lineRule="exact"/>
        <w:rPr>
          <w:rFonts w:ascii="Arial" w:cs="Arial" w:eastAsia="Arial" w:hAnsi="Arial"/>
          <w:sz w:val="22"/>
          <w:szCs w:val="22"/>
          <w:b w:val="1"/>
          <w:bCs w:val="1"/>
          <w:color w:val="auto"/>
        </w:rPr>
      </w:pPr>
    </w:p>
    <w:p>
      <w:pPr>
        <w:ind w:left="640"/>
        <w:spacing w:after="0"/>
        <w:rPr>
          <w:rFonts w:ascii="Arial" w:cs="Arial" w:eastAsia="Arial" w:hAnsi="Arial"/>
          <w:sz w:val="22"/>
          <w:szCs w:val="22"/>
          <w:b w:val="1"/>
          <w:bCs w:val="1"/>
          <w:color w:val="auto"/>
        </w:rPr>
      </w:pPr>
      <w:r>
        <w:rPr>
          <w:rFonts w:ascii="Arial" w:cs="Arial" w:eastAsia="Arial" w:hAnsi="Arial"/>
          <w:sz w:val="22"/>
          <w:szCs w:val="22"/>
          <w:color w:val="auto"/>
        </w:rPr>
        <w:t>In accepting the grant, you acknowledge, understand and agree that:</w:t>
      </w:r>
    </w:p>
    <w:p>
      <w:pPr>
        <w:spacing w:after="0" w:line="219" w:lineRule="exact"/>
        <w:rPr>
          <w:rFonts w:ascii="Arial" w:cs="Arial" w:eastAsia="Arial" w:hAnsi="Arial"/>
          <w:sz w:val="22"/>
          <w:szCs w:val="22"/>
          <w:b w:val="1"/>
          <w:bCs w:val="1"/>
          <w:color w:val="auto"/>
        </w:rPr>
      </w:pPr>
    </w:p>
    <w:p>
      <w:pPr>
        <w:ind w:right="20" w:firstLine="656"/>
        <w:spacing w:after="0" w:line="263" w:lineRule="auto"/>
        <w:tabs>
          <w:tab w:leader="none" w:pos="1193"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146"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 grant of the Award is voluntary and occasional and does not create any contractual or other right to receive future grants of restricted stock units, or benefits in lieu of restricted stock units, even if restricted stock units have been granted in the past;</w:t>
      </w:r>
    </w:p>
    <w:p>
      <w:pPr>
        <w:spacing w:after="0" w:line="185" w:lineRule="exact"/>
        <w:rPr>
          <w:rFonts w:ascii="Arial" w:cs="Arial" w:eastAsia="Arial" w:hAnsi="Arial"/>
          <w:sz w:val="22"/>
          <w:szCs w:val="22"/>
          <w:color w:val="auto"/>
        </w:rPr>
      </w:pPr>
    </w:p>
    <w:p>
      <w:pPr>
        <w:ind w:left="1120" w:hanging="464"/>
        <w:spacing w:after="0"/>
        <w:tabs>
          <w:tab w:leader="none" w:pos="112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all decisions with respect to future grants of restricted stock units, if any, will be at the sole discretion of the Company;</w:t>
      </w:r>
    </w:p>
    <w:p>
      <w:pPr>
        <w:spacing w:after="0" w:line="254" w:lineRule="exact"/>
        <w:rPr>
          <w:rFonts w:ascii="Arial" w:cs="Arial" w:eastAsia="Arial" w:hAnsi="Arial"/>
          <w:sz w:val="19"/>
          <w:szCs w:val="19"/>
          <w:color w:val="auto"/>
        </w:rPr>
      </w:pPr>
    </w:p>
    <w:p>
      <w:pPr>
        <w:jc w:val="both"/>
        <w:ind w:firstLine="656"/>
        <w:spacing w:after="0" w:line="250" w:lineRule="auto"/>
        <w:tabs>
          <w:tab w:leader="none" w:pos="1175"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 grant of the Award and your participation in the Plan shall not create a right to employment or be interpreted as forming an employment or service contract with the Employer, the Company or any Related Corporation and shall not interfere with the ability of the Employer, the Company or any Related Corporation to terminate your employment or service relationship (if any);</w:t>
      </w:r>
    </w:p>
    <w:p>
      <w:pPr>
        <w:spacing w:after="0" w:line="188" w:lineRule="exact"/>
        <w:rPr>
          <w:rFonts w:ascii="Arial" w:cs="Arial" w:eastAsia="Arial" w:hAnsi="Arial"/>
          <w:sz w:val="22"/>
          <w:szCs w:val="22"/>
          <w:color w:val="auto"/>
        </w:rPr>
      </w:pPr>
    </w:p>
    <w:p>
      <w:pPr>
        <w:ind w:left="1120" w:hanging="464"/>
        <w:spacing w:after="0"/>
        <w:tabs>
          <w:tab w:leader="none" w:pos="112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you are voluntarily participating in the Plan;</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the Award and the Shares subject to the Award are not intended to replace any pension rights or compensation;</w:t>
      </w:r>
    </w:p>
    <w:p>
      <w:pPr>
        <w:spacing w:after="0" w:line="254" w:lineRule="exact"/>
        <w:rPr>
          <w:rFonts w:ascii="Arial" w:cs="Arial" w:eastAsia="Arial" w:hAnsi="Arial"/>
          <w:sz w:val="19"/>
          <w:szCs w:val="19"/>
          <w:color w:val="auto"/>
        </w:rPr>
      </w:pPr>
    </w:p>
    <w:p>
      <w:pPr>
        <w:jc w:val="both"/>
        <w:ind w:firstLine="656"/>
        <w:spacing w:after="0" w:line="271" w:lineRule="auto"/>
        <w:tabs>
          <w:tab w:leader="none" w:pos="1141" w:val="left"/>
        </w:tabs>
        <w:numPr>
          <w:ilvl w:val="1"/>
          <w:numId w:val="101"/>
        </w:numPr>
        <w:rPr>
          <w:rFonts w:ascii="Arial" w:cs="Arial" w:eastAsia="Arial" w:hAnsi="Arial"/>
          <w:sz w:val="21"/>
          <w:szCs w:val="21"/>
          <w:color w:val="auto"/>
        </w:rPr>
      </w:pPr>
      <w:r>
        <w:rPr>
          <w:rFonts w:ascii="Arial" w:cs="Arial" w:eastAsia="Arial" w:hAnsi="Arial"/>
          <w:sz w:val="21"/>
          <w:szCs w:val="21"/>
          <w:color w:val="auto"/>
        </w:rPr>
        <w:t>the Award and the Shares subject to the Award, and the income and value of same, are not part of normal or expected compensation for purposes of calculating any severance, resignation, termination, redundancy, dismissal, end of service payments, bonuses, long-service awards, pension or retirement or welfare benefits or similar payments;</w:t>
      </w:r>
    </w:p>
    <w:p>
      <w:pPr>
        <w:spacing w:after="0" w:line="167" w:lineRule="exact"/>
        <w:rPr>
          <w:rFonts w:ascii="Arial" w:cs="Arial" w:eastAsia="Arial" w:hAnsi="Arial"/>
          <w:sz w:val="21"/>
          <w:szCs w:val="21"/>
          <w:color w:val="auto"/>
        </w:rPr>
      </w:pPr>
    </w:p>
    <w:p>
      <w:pPr>
        <w:ind w:left="1120" w:hanging="464"/>
        <w:spacing w:after="0"/>
        <w:tabs>
          <w:tab w:leader="none" w:pos="1120" w:val="left"/>
        </w:tabs>
        <w:numPr>
          <w:ilvl w:val="1"/>
          <w:numId w:val="101"/>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indeterminable and cannot be predicted with certainty;</w:t>
      </w:r>
    </w:p>
    <w:p>
      <w:pPr>
        <w:spacing w:after="0" w:line="231" w:lineRule="exact"/>
        <w:rPr>
          <w:rFonts w:ascii="Arial" w:cs="Arial" w:eastAsia="Arial" w:hAnsi="Arial"/>
          <w:sz w:val="21"/>
          <w:szCs w:val="21"/>
          <w:color w:val="auto"/>
        </w:rPr>
      </w:pPr>
    </w:p>
    <w:p>
      <w:pPr>
        <w:jc w:val="both"/>
        <w:ind w:firstLine="656"/>
        <w:spacing w:after="0" w:line="250" w:lineRule="auto"/>
        <w:tabs>
          <w:tab w:leader="none" w:pos="1189" w:val="left"/>
        </w:tabs>
        <w:numPr>
          <w:ilvl w:val="1"/>
          <w:numId w:val="101"/>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resulting from your ceasing to provide employment or other services to the Company or the Employer (for any reason whatsoever, and whether or not later found to be invalid or in breach of employment laws in the jurisdiction where you are employed or the terms of your employment agreement, if any);</w:t>
      </w:r>
    </w:p>
    <w:p>
      <w:pPr>
        <w:spacing w:after="0" w:line="188" w:lineRule="exact"/>
        <w:rPr>
          <w:rFonts w:ascii="Arial" w:cs="Arial" w:eastAsia="Arial" w:hAnsi="Arial"/>
          <w:sz w:val="22"/>
          <w:szCs w:val="22"/>
          <w:color w:val="auto"/>
        </w:rPr>
      </w:pPr>
    </w:p>
    <w:p>
      <w:pPr>
        <w:jc w:val="both"/>
        <w:ind w:firstLine="656"/>
        <w:spacing w:after="0" w:line="297" w:lineRule="auto"/>
        <w:tabs>
          <w:tab w:leader="none" w:pos="1078" w:val="left"/>
        </w:tabs>
        <w:numPr>
          <w:ilvl w:val="1"/>
          <w:numId w:val="101"/>
        </w:numPr>
        <w:rPr>
          <w:rFonts w:ascii="Arial" w:cs="Arial" w:eastAsia="Arial" w:hAnsi="Arial"/>
          <w:sz w:val="19"/>
          <w:szCs w:val="19"/>
          <w:color w:val="auto"/>
        </w:rPr>
      </w:pPr>
      <w:r>
        <w:rPr>
          <w:rFonts w:ascii="Arial" w:cs="Arial" w:eastAsia="Arial" w:hAnsi="Arial"/>
          <w:sz w:val="19"/>
          <w:szCs w:val="19"/>
          <w:color w:val="auto"/>
        </w:rPr>
        <w:t>for purposes of the Award, your employment will be considered terminated as of the date you cease to actively provide services to the Company or a Related Corporation; further, in the event of termination of your employment or other services (for any reason whatsoever, whether or not later found to be invalid or in breach of employment laws in the jurisdiction where you are employed or the terms of your employment agreement, if any), unless otherwise provided in this Agreement or determined by the Company, your right to vest in the Award, if any, will terminate effective as of the date that you are no longer actively providing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387"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services and will not be extended by any notice period (</w:t>
      </w:r>
      <w:r>
        <w:rPr>
          <w:rFonts w:ascii="Arial" w:cs="Arial" w:eastAsia="Arial" w:hAnsi="Arial"/>
          <w:sz w:val="21"/>
          <w:szCs w:val="21"/>
          <w:i w:val="1"/>
          <w:iCs w:val="1"/>
          <w:color w:val="auto"/>
        </w:rPr>
        <w:t>e.g.</w:t>
      </w:r>
      <w:r>
        <w:rPr>
          <w:rFonts w:ascii="Arial" w:cs="Arial" w:eastAsia="Arial" w:hAnsi="Arial"/>
          <w:sz w:val="21"/>
          <w:szCs w:val="21"/>
          <w:color w:val="auto"/>
        </w:rPr>
        <w:t>, active service would not include any contractual notice period or any period of “garden leave” or similar period mandated under employment laws in the jurisdiction where you are employed or the terms of your employment agreement, if any); the Company’s Chief Executive Officer shall have the exclusive discretion to determine when you are no longer actively providing services for purposes of the Award (including whether or not you may still be considered to be providing services while on an approved leave of absence);</w:t>
      </w:r>
    </w:p>
    <w:p>
      <w:pPr>
        <w:spacing w:after="0" w:line="176" w:lineRule="exact"/>
        <w:rPr>
          <w:sz w:val="20"/>
          <w:szCs w:val="20"/>
          <w:color w:val="auto"/>
        </w:rPr>
      </w:pPr>
    </w:p>
    <w:p>
      <w:pPr>
        <w:jc w:val="both"/>
        <w:ind w:firstLine="656"/>
        <w:spacing w:after="0" w:line="250" w:lineRule="auto"/>
        <w:tabs>
          <w:tab w:leader="none" w:pos="1175" w:val="left"/>
        </w:tabs>
        <w:numPr>
          <w:ilvl w:val="1"/>
          <w:numId w:val="102"/>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 of the Company; and</w:t>
      </w:r>
    </w:p>
    <w:p>
      <w:pPr>
        <w:spacing w:after="0" w:line="188" w:lineRule="exact"/>
        <w:rPr>
          <w:rFonts w:ascii="Arial" w:cs="Arial" w:eastAsia="Arial" w:hAnsi="Arial"/>
          <w:sz w:val="22"/>
          <w:szCs w:val="22"/>
          <w:color w:val="auto"/>
        </w:rPr>
      </w:pPr>
    </w:p>
    <w:p>
      <w:pPr>
        <w:ind w:left="1080" w:hanging="424"/>
        <w:spacing w:after="0"/>
        <w:tabs>
          <w:tab w:leader="none" w:pos="108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the following provisions apply only if you are providing services outside the United States:</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2"/>
          <w:numId w:val="102"/>
        </w:numPr>
        <w:rPr>
          <w:rFonts w:ascii="Arial" w:cs="Arial" w:eastAsia="Arial" w:hAnsi="Arial"/>
          <w:sz w:val="19"/>
          <w:szCs w:val="19"/>
          <w:color w:val="auto"/>
        </w:rPr>
      </w:pPr>
      <w:r>
        <w:rPr>
          <w:rFonts w:ascii="Arial" w:cs="Arial" w:eastAsia="Arial" w:hAnsi="Arial"/>
          <w:sz w:val="19"/>
          <w:szCs w:val="19"/>
          <w:color w:val="auto"/>
        </w:rPr>
        <w:t>the Award and the Shares subject to the Award are not part of normal or expected compensation or salary for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 purpose;</w:t>
      </w:r>
    </w:p>
    <w:p>
      <w:pPr>
        <w:spacing w:after="0" w:line="201" w:lineRule="exact"/>
        <w:rPr>
          <w:rFonts w:ascii="Arial" w:cs="Arial" w:eastAsia="Arial" w:hAnsi="Arial"/>
          <w:sz w:val="19"/>
          <w:szCs w:val="19"/>
          <w:color w:val="auto"/>
        </w:rPr>
      </w:pPr>
    </w:p>
    <w:p>
      <w:pPr>
        <w:jc w:val="both"/>
        <w:ind w:firstLine="1305"/>
        <w:spacing w:after="0" w:line="312" w:lineRule="auto"/>
        <w:tabs>
          <w:tab w:leader="none" w:pos="1812" w:val="left"/>
        </w:tabs>
        <w:numPr>
          <w:ilvl w:val="2"/>
          <w:numId w:val="102"/>
        </w:numPr>
        <w:rPr>
          <w:rFonts w:ascii="Arial" w:cs="Arial" w:eastAsia="Arial" w:hAnsi="Arial"/>
          <w:sz w:val="19"/>
          <w:szCs w:val="19"/>
          <w:color w:val="auto"/>
        </w:rPr>
      </w:pPr>
      <w:r>
        <w:rPr>
          <w:rFonts w:ascii="Arial" w:cs="Arial" w:eastAsia="Arial" w:hAnsi="Arial"/>
          <w:sz w:val="19"/>
          <w:szCs w:val="19"/>
          <w:color w:val="auto"/>
        </w:rPr>
        <w:t>neither the Company, the Employer nor any Related Corporation shall be liable for any foreign exchange rate fluctuation between your local currency and the United States dollar that may affect the value of the Award or of any amounts due to you pursuant to the settlement of the Award or the subsequent sale of any Shares acquired upon settlement.</w:t>
      </w:r>
    </w:p>
    <w:p>
      <w:pPr>
        <w:spacing w:after="0" w:line="127" w:lineRule="exact"/>
        <w:rPr>
          <w:rFonts w:ascii="Arial" w:cs="Arial" w:eastAsia="Arial" w:hAnsi="Arial"/>
          <w:sz w:val="19"/>
          <w:szCs w:val="19"/>
          <w:color w:val="auto"/>
        </w:rPr>
      </w:pPr>
    </w:p>
    <w:p>
      <w:pPr>
        <w:ind w:left="480" w:hanging="472"/>
        <w:spacing w:after="0"/>
        <w:tabs>
          <w:tab w:leader="none" w:pos="480"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No Advice Regarding Grant</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150" w:lineRule="exact"/>
        <w:rPr>
          <w:sz w:val="20"/>
          <w:szCs w:val="20"/>
          <w:color w:val="auto"/>
        </w:rPr>
      </w:pPr>
    </w:p>
    <w:p>
      <w:pPr>
        <w:ind w:left="500" w:hanging="492"/>
        <w:spacing w:after="0"/>
        <w:tabs>
          <w:tab w:leader="none" w:pos="500"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Data Privacy</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i w:val="1"/>
          <w:iCs w:val="1"/>
          <w:color w:val="auto"/>
        </w:rPr>
        <w:t>You understand that the Company and the Employer may hold and process certain personal information about you, including, but not limited to, your name, home address,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38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b w:val="1"/>
          <w:bCs w:val="1"/>
          <w:i w:val="1"/>
          <w:iCs w:val="1"/>
          <w:color w:val="auto"/>
        </w:rPr>
        <w:t>email address and telephone number, date of birth, social insurance number, passport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14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your employment status or service and career with the Employer will not be affected; the only consequence of refusing or withdrawing your consent is that the Company would not be able to grant you the Award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b w:val="1"/>
          <w:bCs w:val="1"/>
          <w:i w:val="1"/>
          <w:iCs w:val="1"/>
          <w:color w:val="auto"/>
        </w:rPr>
        <w:t>Finally, upon request of the Company and/or the Employer, you agree to provide an executed data privacy consent form (or any other agreements or consents) that the Company and/or the Employer may deem necessary to obtain from you for the purpose of administering the Award in compliance with the data privacy laws in your country, either now or in the future. You understand and agree that you will not be able to accept the Award if you fail to provide such consent or agreement as requested by the Company and/or the Employer.</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Electronic Delivery and Participation</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38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Language</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You acknowledge that you are sufficiently proficient in English to understand the terms and conditions of the Agreement. Furthermore, if you have received this Agreement (or any portion thereof) or any other document related to the Plan translated into a language other than English and if the meaning of the translated version is different from the English version, the English version will control.</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color w:val="auto"/>
        </w:rPr>
        <w:t>General Provisions</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15.1 Successors and Assigns</w:t>
      </w:r>
      <w:r>
        <w:rPr>
          <w:rFonts w:ascii="Arial" w:cs="Arial" w:eastAsia="Arial" w:hAnsi="Arial"/>
          <w:sz w:val="21"/>
          <w:szCs w:val="21"/>
          <w:color w:val="auto"/>
        </w:rPr>
        <w:t>. The provisions of this Agreement will inure to the benefit of the successors and assigns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and be binding upon you and your heirs, executors, administrators, successors and assigns.</w:t>
      </w:r>
    </w:p>
    <w:p>
      <w:pPr>
        <w:spacing w:after="0" w:line="14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b w:val="1"/>
          <w:bCs w:val="1"/>
          <w:color w:val="auto"/>
        </w:rPr>
        <w:t>Section 409A</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89" w:lineRule="auto"/>
        <w:tabs>
          <w:tab w:leader="none" w:pos="1782" w:val="left"/>
        </w:tabs>
        <w:numPr>
          <w:ilvl w:val="0"/>
          <w:numId w:val="105"/>
        </w:numPr>
        <w:rPr>
          <w:rFonts w:ascii="Arial" w:cs="Arial" w:eastAsia="Arial" w:hAnsi="Arial"/>
          <w:sz w:val="19"/>
          <w:szCs w:val="19"/>
          <w:color w:val="auto"/>
        </w:rPr>
      </w:pPr>
      <w:r>
        <w:rPr>
          <w:rFonts w:ascii="Arial" w:cs="Arial" w:eastAsia="Arial" w:hAnsi="Arial"/>
          <w:sz w:val="19"/>
          <w:szCs w:val="19"/>
          <w:color w:val="auto"/>
        </w:rPr>
        <w:t>For purposes of U.S. taxpayers, the settlement of the Units is intended to be in compliance with Section 409A of the Code, and this Agreement will be interpreted, operated and administered in a manner that is consistent with this intent. In furtherance of this intent, the Plan Administrator may, at any time and without your consent, modify the terms of the Award as it determines appropriate to comply with the requirements of Section 409A of the Code and the related U.S. Department of Treasury guidance or to mitigate any additional tax, interest and/or penalties that may apply under Section 409A of the Code if compliance is not practicable. The Company makes no representation or covenant to ensure that the Units, settlement of the Units or other payment hereunder are compliant with Section 409A of the Code and will have no liability to you or any other party if the settlement of the Units or other payment hereunder that is intended to be compliant with Section 409A of the Code, is not compliant or for any action taken by the Plan Administrator with respect thereto.</w:t>
      </w:r>
    </w:p>
    <w:p>
      <w:pPr>
        <w:spacing w:after="0" w:line="157" w:lineRule="exact"/>
        <w:rPr>
          <w:rFonts w:ascii="Arial" w:cs="Arial" w:eastAsia="Arial" w:hAnsi="Arial"/>
          <w:sz w:val="19"/>
          <w:szCs w:val="19"/>
          <w:color w:val="auto"/>
        </w:rPr>
      </w:pPr>
    </w:p>
    <w:p>
      <w:pPr>
        <w:jc w:val="both"/>
        <w:ind w:firstLine="1305"/>
        <w:spacing w:after="0" w:line="258" w:lineRule="auto"/>
        <w:tabs>
          <w:tab w:leader="none" w:pos="1969" w:val="left"/>
        </w:tabs>
        <w:numPr>
          <w:ilvl w:val="0"/>
          <w:numId w:val="105"/>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any Units that become vested under this Agreement by reason of a termination of employment and that constitute an item of non-qualified deferred compensation subject to Section 409A of the Code shall not be settled unless you experience a “separation from service” within the meaning of Section 409A of the Code (a “</w:t>
      </w:r>
      <w:r>
        <w:rPr>
          <w:rFonts w:ascii="Arial" w:cs="Arial" w:eastAsia="Arial" w:hAnsi="Arial"/>
          <w:sz w:val="21"/>
          <w:szCs w:val="21"/>
          <w:b w:val="1"/>
          <w:bCs w:val="1"/>
          <w:i w:val="1"/>
          <w:iCs w:val="1"/>
          <w:color w:val="auto"/>
        </w:rPr>
        <w:t>Separation from Service</w:t>
      </w:r>
      <w:r>
        <w:rPr>
          <w:rFonts w:ascii="Arial" w:cs="Arial" w:eastAsia="Arial" w:hAnsi="Arial"/>
          <w:sz w:val="21"/>
          <w:szCs w:val="21"/>
          <w:color w:val="auto"/>
        </w:rPr>
        <w:t>”) and such Units shall be settled within 90 days of a Separation from Service; provided, however, that if you are a “specified employee” within the meaning of Section 409A of the Code as of the date of the Separation from Service (as determined according to the methodology established by the Company as in effect on the date of your termination of employment), such Units shall instead be settled on the first business day that is after the earlier of (i) the date that is six months following the date of the Separation from Service or (ii) the date of your death, to the extent such delayed payment is otherwise required in order to avoid a prohibited distribution under Section 409A(a)(2) of the Code, or any successor provision thereto.</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15.3 Governing Law and Choice of Venue</w:t>
      </w:r>
      <w:r>
        <w:rPr>
          <w:rFonts w:ascii="Arial" w:cs="Arial" w:eastAsia="Arial" w:hAnsi="Arial"/>
          <w:sz w:val="22"/>
          <w:szCs w:val="22"/>
          <w:color w:val="auto"/>
        </w:rPr>
        <w:t>. The Award and the provisions of this Agreement will be construed and</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administered in accordance with and governed by the laws of the State of Washington without giving effect to such state’s principles of conflict of laws. For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38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82"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b w:val="1"/>
          <w:bCs w:val="1"/>
          <w:color w:val="auto"/>
        </w:rPr>
        <w:t>15.4 Severability</w:t>
      </w:r>
      <w:r>
        <w:rPr>
          <w:rFonts w:ascii="Arial" w:cs="Arial" w:eastAsia="Arial" w:hAnsi="Arial"/>
          <w:sz w:val="19"/>
          <w:szCs w:val="19"/>
          <w:color w:val="auto"/>
        </w:rPr>
        <w:t>. The provisions of this Agreement are severable and if any one or more provisions are determined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illegal or otherwise unenforceable, in whole or in part, the remaining provisions shall nevertheless be binding and enforceable.</w:t>
      </w:r>
    </w:p>
    <w:p>
      <w:pPr>
        <w:spacing w:after="0" w:line="92" w:lineRule="exact"/>
        <w:rPr>
          <w:sz w:val="20"/>
          <w:szCs w:val="20"/>
          <w:color w:val="auto"/>
        </w:rPr>
      </w:pPr>
    </w:p>
    <w:p>
      <w:pPr>
        <w:jc w:val="center"/>
        <w:ind w:right="-59"/>
        <w:spacing w:after="0"/>
        <w:tabs>
          <w:tab w:leader="none" w:pos="200" w:val="left"/>
        </w:tabs>
        <w:rPr>
          <w:sz w:val="20"/>
          <w:szCs w:val="20"/>
          <w:color w:val="auto"/>
        </w:rPr>
      </w:pPr>
      <w:r>
        <w:rPr>
          <w:rFonts w:ascii="Arial" w:cs="Arial" w:eastAsia="Arial" w:hAnsi="Arial"/>
          <w:sz w:val="22"/>
          <w:szCs w:val="22"/>
          <w:b w:val="1"/>
          <w:bCs w:val="1"/>
          <w:color w:val="auto"/>
        </w:rPr>
        <w:t>15.5</w:t>
      </w:r>
      <w:r>
        <w:rPr>
          <w:sz w:val="20"/>
          <w:szCs w:val="20"/>
          <w:color w:val="auto"/>
        </w:rPr>
        <w:tab/>
      </w:r>
      <w:r>
        <w:rPr>
          <w:rFonts w:ascii="Arial" w:cs="Arial" w:eastAsia="Arial" w:hAnsi="Arial"/>
          <w:sz w:val="19"/>
          <w:szCs w:val="19"/>
          <w:b w:val="1"/>
          <w:bCs w:val="1"/>
          <w:color w:val="auto"/>
        </w:rPr>
        <w:t>Notice</w:t>
      </w:r>
      <w:r>
        <w:rPr>
          <w:rFonts w:ascii="Arial" w:cs="Arial" w:eastAsia="Arial" w:hAnsi="Arial"/>
          <w:sz w:val="19"/>
          <w:szCs w:val="19"/>
          <w:color w:val="auto"/>
        </w:rPr>
        <w:t>. Any notice required or permitted hereunder shall be made in writing and sent to the following address:</w:t>
      </w:r>
    </w:p>
    <w:p>
      <w:pPr>
        <w:spacing w:after="0" w:line="226"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Itron, Inc.</w:t>
      </w:r>
    </w:p>
    <w:p>
      <w:pPr>
        <w:spacing w:after="0" w:line="22"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2111 N. Molter Road</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Liberty Lake, WA USA 99019</w:t>
      </w:r>
    </w:p>
    <w:p>
      <w:pPr>
        <w:spacing w:after="0" w:line="196"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b w:val="1"/>
          <w:bCs w:val="1"/>
          <w:color w:val="auto"/>
        </w:rPr>
        <w:t>Appendix A</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Notwithstanding any provisions in this Agreement, the Award shall be subject to any special terms and conditions set forth in Appendix A to this Agreement. Appendix A constitutes part of this Agreement.</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b w:val="1"/>
          <w:bCs w:val="1"/>
          <w:color w:val="auto"/>
        </w:rPr>
        <w:t>Imposition of Other Requirements</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reserves the right to impose other requirements on your participation in the Plan, on the Award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2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b w:val="1"/>
          <w:bCs w:val="1"/>
          <w:color w:val="auto"/>
        </w:rPr>
        <w:t>Waiver</w:t>
      </w:r>
    </w:p>
    <w:p>
      <w:pPr>
        <w:spacing w:after="0" w:line="22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You acknowledge that a waiver by the Company of breach of any provision of this Agreement shall not operate or be construed as a waiver of any other provision of this Agreement, or of any subsequent breach by you or any other Participant.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Restrictive Covenants</w:t>
      </w:r>
    </w:p>
    <w:p>
      <w:pPr>
        <w:spacing w:after="0" w:line="241" w:lineRule="exact"/>
        <w:rPr>
          <w:sz w:val="20"/>
          <w:szCs w:val="20"/>
          <w:color w:val="auto"/>
        </w:rPr>
      </w:pPr>
    </w:p>
    <w:p>
      <w:pPr>
        <w:jc w:val="both"/>
        <w:ind w:firstLine="1305"/>
        <w:spacing w:after="0" w:line="328" w:lineRule="auto"/>
        <w:tabs>
          <w:tab w:leader="none" w:pos="1801" w:val="left"/>
        </w:tabs>
        <w:numPr>
          <w:ilvl w:val="0"/>
          <w:numId w:val="106"/>
        </w:numPr>
        <w:rPr>
          <w:rFonts w:ascii="Arial" w:cs="Arial" w:eastAsia="Arial" w:hAnsi="Arial"/>
          <w:sz w:val="19"/>
          <w:szCs w:val="19"/>
          <w:color w:val="auto"/>
        </w:rPr>
      </w:pPr>
      <w:r>
        <w:rPr>
          <w:rFonts w:ascii="Arial" w:cs="Arial" w:eastAsia="Arial" w:hAnsi="Arial"/>
          <w:sz w:val="19"/>
          <w:szCs w:val="19"/>
          <w:b w:val="1"/>
          <w:bCs w:val="1"/>
          <w:u w:val="single" w:color="auto"/>
          <w:color w:val="auto"/>
        </w:rPr>
        <w:t>Confidential Information</w:t>
      </w:r>
      <w:r>
        <w:rPr>
          <w:rFonts w:ascii="Arial" w:cs="Arial" w:eastAsia="Arial" w:hAnsi="Arial"/>
          <w:sz w:val="19"/>
          <w:szCs w:val="19"/>
          <w:color w:val="auto"/>
        </w:rPr>
        <w:t>. The person entering into the Agreement with the Company (the “</w:t>
      </w:r>
      <w:r>
        <w:rPr>
          <w:rFonts w:ascii="Arial" w:cs="Arial" w:eastAsia="Arial" w:hAnsi="Arial"/>
          <w:sz w:val="19"/>
          <w:szCs w:val="19"/>
          <w:b w:val="1"/>
          <w:bCs w:val="1"/>
          <w:color w:val="auto"/>
        </w:rPr>
        <w:t>Participant</w:t>
      </w:r>
      <w:r>
        <w:rPr>
          <w:rFonts w:ascii="Arial" w:cs="Arial" w:eastAsia="Arial" w:hAnsi="Arial"/>
          <w:sz w:val="19"/>
          <w:szCs w:val="19"/>
          <w:color w:val="auto"/>
        </w:rPr>
        <w:t>”) shall</w:t>
      </w:r>
      <w:r>
        <w:rPr>
          <w:rFonts w:ascii="Arial" w:cs="Arial" w:eastAsia="Arial" w:hAnsi="Arial"/>
          <w:sz w:val="19"/>
          <w:szCs w:val="19"/>
          <w:b w:val="1"/>
          <w:bCs w:val="1"/>
          <w:color w:val="auto"/>
        </w:rPr>
        <w:t xml:space="preserve"> </w:t>
      </w:r>
      <w:r>
        <w:rPr>
          <w:rFonts w:ascii="Arial" w:cs="Arial" w:eastAsia="Arial" w:hAnsi="Arial"/>
          <w:sz w:val="19"/>
          <w:szCs w:val="19"/>
          <w:color w:val="auto"/>
        </w:rPr>
        <w:t>hold in a fiduciary capacity for the benefit of the Company and its Subsidiaries (collectively, the “</w:t>
      </w:r>
      <w:r>
        <w:rPr>
          <w:rFonts w:ascii="Arial" w:cs="Arial" w:eastAsia="Arial" w:hAnsi="Arial"/>
          <w:sz w:val="19"/>
          <w:szCs w:val="19"/>
          <w:b w:val="1"/>
          <w:bCs w:val="1"/>
          <w:color w:val="auto"/>
        </w:rPr>
        <w:t>Affiliated Group</w:t>
      </w:r>
      <w:r>
        <w:rPr>
          <w:rFonts w:ascii="Arial" w:cs="Arial" w:eastAsia="Arial" w:hAnsi="Arial"/>
          <w:sz w:val="19"/>
          <w:szCs w:val="19"/>
          <w:color w:val="auto"/>
        </w:rPr>
        <w:t>”), all secret or confidential information, knowledge or data relating to the Affiliated Group and its businesses (including, without limitation, any proprietary and not publicly available information concerning any processes, methods, trade secrets, research or secret data, costs, names of users or purchasers of their respective products or services, business methods, operating procedures or programs or methods of promotion and sale) that the Participant obtains during the Participant’s employment that is not public knowledge (other than as a result of the Participant’s violation of this Section (a))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The Participant shall not communicate, divulge or disseminate Confidential Information at any time during or after the Participant’s employment, except with the prior written consent of the Company, or as otherwise required by law or legal process, or as may be required in the course of the Participant performing his or her duties and responsibilities with the Affiliated Group; provided, however, that no Company policies or practices, including the sections addressing confidentiality obligations, is intended to or shall limit, prevent, impede or interfere in any way with an employee's right, without prior notice to the Company, to provide information to the government, participate in investigations, testify in proceedings regarding the Company's past or future conduct, or engage in any activities protected under whistle blower statutes. Pursuant to the Defend Trade Secrets Act of 2016, an employee shall not be held criminally, or civilly, liable under any Federal or State Trade secret law for the disclosure of a trade secret that is made in confidence either directly or indirectly to a Federal, State, or local government official, or an attorney, for the sole purpose of reporting, or investigating, a violation of law. Moreover, employees may disclose trade secrets in a complaint, or other document, filed in a lawsuit, or other proceeding, if such filing is made under seal. Finally, an employee who files a lawsuit alleging retaliation by the company for reporting a suspected violation of the law may disclose the trade secret to the attorney of the employee and use the trade secret in the court proceeding, if the employee files any document containing the trade secret under seal and does not disclose the trade secret, except pursuant to court order. Upon his or her termination of employment for any reason, the Participant shall promptly return to the Company all records, files, memoranda, correspondence, notebooks, notes, reports, customer lists, drawings, plans, documents, and other documents and the like relating to the business of the Affiliated Group or containing any trade secrets relating to the Affiliated Group or that the Participant uses, prepares or comes into contact with during the course of the Participant’s employment with the Affiliated Group, and all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21"/>
          <w:szCs w:val="21"/>
          <w:color w:val="auto"/>
        </w:rPr>
        <w:t>keys, credit cards and passes, and such materials shall remain the sole property of the Affiliated Group. The Participant agrees to execute any standard-form confidentiality agreements with the Company that the Company in the future generally enters into with similarly situated employees.</w:t>
      </w:r>
    </w:p>
    <w:p>
      <w:pPr>
        <w:spacing w:after="0" w:line="178" w:lineRule="exact"/>
        <w:rPr>
          <w:sz w:val="20"/>
          <w:szCs w:val="20"/>
          <w:color w:val="auto"/>
        </w:rPr>
      </w:pPr>
    </w:p>
    <w:p>
      <w:pPr>
        <w:jc w:val="both"/>
        <w:ind w:firstLine="1305"/>
        <w:spacing w:after="0" w:line="314" w:lineRule="auto"/>
        <w:tabs>
          <w:tab w:leader="none" w:pos="1603" w:val="left"/>
        </w:tabs>
        <w:numPr>
          <w:ilvl w:val="0"/>
          <w:numId w:val="107"/>
        </w:numPr>
        <w:rPr>
          <w:rFonts w:ascii="Arial" w:cs="Arial" w:eastAsia="Arial" w:hAnsi="Arial"/>
          <w:sz w:val="20"/>
          <w:szCs w:val="20"/>
          <w:color w:val="auto"/>
        </w:rPr>
      </w:pPr>
      <w:r>
        <w:rPr>
          <w:rFonts w:ascii="Arial" w:cs="Arial" w:eastAsia="Arial" w:hAnsi="Arial"/>
          <w:sz w:val="20"/>
          <w:szCs w:val="20"/>
          <w:b w:val="1"/>
          <w:bCs w:val="1"/>
          <w:u w:val="single" w:color="auto"/>
          <w:color w:val="auto"/>
        </w:rPr>
        <w:t>Non-Recruitment of Affiliated Group Employees</w:t>
      </w:r>
      <w:r>
        <w:rPr>
          <w:rFonts w:ascii="Arial" w:cs="Arial" w:eastAsia="Arial" w:hAnsi="Arial"/>
          <w:sz w:val="20"/>
          <w:szCs w:val="20"/>
          <w:color w:val="auto"/>
        </w:rPr>
        <w:t>. The Participant acknowledges that employees are a significant</w:t>
      </w:r>
      <w:r>
        <w:rPr>
          <w:rFonts w:ascii="Arial" w:cs="Arial" w:eastAsia="Arial" w:hAnsi="Arial"/>
          <w:sz w:val="20"/>
          <w:szCs w:val="20"/>
          <w:b w:val="1"/>
          <w:bCs w:val="1"/>
          <w:color w:val="auto"/>
        </w:rPr>
        <w:t xml:space="preserve"> </w:t>
      </w:r>
      <w:r>
        <w:rPr>
          <w:rFonts w:ascii="Arial" w:cs="Arial" w:eastAsia="Arial" w:hAnsi="Arial"/>
          <w:sz w:val="20"/>
          <w:szCs w:val="20"/>
          <w:color w:val="auto"/>
        </w:rPr>
        <w:t>part of the goodwill of the Affiliated Group, such as, without limitation, their relationships and contacts with customers and suppliers as well as the training and knowledge they receive from the Affiliated Group in the course of their employment. The Participant shall not, at any time during the Non-solicitation Period (as defined below), without the prior written consent of the Company, directly or indirectly, solicit, recruit, or employ (whether as an employee, officer, agent, consultant or independent contractor) any person who is or was at any time during the previous 12 months, an employee, representative, officer or director of any member of the Affiliated Group. Further, during the Non-solicitation Period, the Participant shall not take any action that could reasonably be expected to have the effect of directly encouraging or inducing any person to cease their relationship with any member of the Affiliated Group for any reason. A general employment advertisement by an entity of which the Participant is a part will not constitute solicitation or recruitment. The “</w:t>
      </w:r>
      <w:r>
        <w:rPr>
          <w:rFonts w:ascii="Arial" w:cs="Arial" w:eastAsia="Arial" w:hAnsi="Arial"/>
          <w:sz w:val="20"/>
          <w:szCs w:val="20"/>
          <w:b w:val="1"/>
          <w:bCs w:val="1"/>
          <w:color w:val="auto"/>
        </w:rPr>
        <w:t>Non-solicitation Period</w:t>
      </w:r>
      <w:r>
        <w:rPr>
          <w:rFonts w:ascii="Arial" w:cs="Arial" w:eastAsia="Arial" w:hAnsi="Arial"/>
          <w:sz w:val="20"/>
          <w:szCs w:val="20"/>
          <w:color w:val="auto"/>
        </w:rPr>
        <w:t>” shall mean the period from the Date of Grant through the first anniversary of the Participant’s termination of employment.</w:t>
      </w:r>
    </w:p>
    <w:p>
      <w:pPr>
        <w:spacing w:after="0" w:line="174" w:lineRule="exact"/>
        <w:rPr>
          <w:rFonts w:ascii="Arial" w:cs="Arial" w:eastAsia="Arial" w:hAnsi="Arial"/>
          <w:sz w:val="20"/>
          <w:szCs w:val="20"/>
          <w:color w:val="auto"/>
        </w:rPr>
      </w:pPr>
    </w:p>
    <w:p>
      <w:pPr>
        <w:jc w:val="both"/>
        <w:ind w:firstLine="1305"/>
        <w:spacing w:after="0" w:line="330" w:lineRule="auto"/>
        <w:tabs>
          <w:tab w:leader="none" w:pos="1619" w:val="left"/>
        </w:tabs>
        <w:numPr>
          <w:ilvl w:val="0"/>
          <w:numId w:val="107"/>
        </w:numPr>
        <w:rPr>
          <w:rFonts w:ascii="Arial" w:cs="Arial" w:eastAsia="Arial" w:hAnsi="Arial"/>
          <w:sz w:val="19"/>
          <w:szCs w:val="19"/>
          <w:color w:val="auto"/>
        </w:rPr>
      </w:pPr>
      <w:r>
        <w:rPr>
          <w:rFonts w:ascii="Arial" w:cs="Arial" w:eastAsia="Arial" w:hAnsi="Arial"/>
          <w:sz w:val="19"/>
          <w:szCs w:val="19"/>
          <w:b w:val="1"/>
          <w:bCs w:val="1"/>
          <w:u w:val="single" w:color="auto"/>
          <w:color w:val="auto"/>
        </w:rPr>
        <w:t>Non-Competition – Solicitation of Business</w:t>
      </w:r>
      <w:r>
        <w:rPr>
          <w:rFonts w:ascii="Arial" w:cs="Arial" w:eastAsia="Arial" w:hAnsi="Arial"/>
          <w:sz w:val="19"/>
          <w:szCs w:val="19"/>
          <w:color w:val="auto"/>
        </w:rPr>
        <w:t>. Participant recognizes and agrees that the Affiliated Group has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Confidential Information to Participant and has an interest in protecting this information from disclosure. Participant further understands that the goodwill of the Affiliated Group is an interest worthy of protection. For the protection of these and other interests, during the Non-competition Period (as defined below), the Participant shall not, either directly or indirectly, compete with the business of the Affiliated Group by (i) becoming 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 is not publicly traded) in any Competitive Business (as defined below), or (ii) soliciting, servicing, or accepting the business of (A) any active customer of any member of the Affiliated Group, or (B) any person or entity who is or was at any time during the previous twelve months a customer of any member of the Affiliated Group, provided that such business is competitive with any significant business of any member of the Affiliated Group. “</w:t>
      </w:r>
      <w:r>
        <w:rPr>
          <w:rFonts w:ascii="Arial" w:cs="Arial" w:eastAsia="Arial" w:hAnsi="Arial"/>
          <w:sz w:val="19"/>
          <w:szCs w:val="19"/>
          <w:b w:val="1"/>
          <w:bCs w:val="1"/>
          <w:color w:val="auto"/>
        </w:rPr>
        <w:t>Competitive Business</w:t>
      </w:r>
      <w:r>
        <w:rPr>
          <w:rFonts w:ascii="Arial" w:cs="Arial" w:eastAsia="Arial" w:hAnsi="Arial"/>
          <w:sz w:val="19"/>
          <w:szCs w:val="19"/>
          <w:color w:val="auto"/>
        </w:rPr>
        <w:t>” shall mean any person or entity (including any joint venture, partnership, firm, corporation, or limited liability company) that conducts a business that is competitive with any business of the Affiliated Group as of the date of termination (or any business that is being actively pursued as of the date of termination by the Affiliated Group). The Affiliated Group designs, manufactures, sells and licenses its products and technology worldwide. In addition, Competitive Businesses, as defined above, are not tied or limited to any specific geographic location. Accordingly, the scope of this Non-Competition provision 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0"/>
        <w:spacing w:after="0" w:line="324" w:lineRule="auto"/>
        <w:rPr>
          <w:sz w:val="20"/>
          <w:szCs w:val="20"/>
          <w:color w:val="auto"/>
        </w:rPr>
      </w:pPr>
      <w:r>
        <w:rPr>
          <w:rFonts w:ascii="Arial" w:cs="Arial" w:eastAsia="Arial" w:hAnsi="Arial"/>
          <w:sz w:val="21"/>
          <w:szCs w:val="21"/>
          <w:color w:val="auto"/>
        </w:rPr>
        <w:t>worldwide. The “</w:t>
      </w:r>
      <w:r>
        <w:rPr>
          <w:rFonts w:ascii="Arial" w:cs="Arial" w:eastAsia="Arial" w:hAnsi="Arial"/>
          <w:sz w:val="21"/>
          <w:szCs w:val="21"/>
          <w:b w:val="1"/>
          <w:bCs w:val="1"/>
          <w:color w:val="auto"/>
        </w:rPr>
        <w:t>Non-competition Period</w:t>
      </w:r>
      <w:r>
        <w:rPr>
          <w:rFonts w:ascii="Arial" w:cs="Arial" w:eastAsia="Arial" w:hAnsi="Arial"/>
          <w:sz w:val="21"/>
          <w:szCs w:val="21"/>
          <w:color w:val="auto"/>
        </w:rPr>
        <w:t>” shall mean the period from the Date of Grant through the first anniversary of the date of termination of the Participant’s employment.</w:t>
      </w:r>
    </w:p>
    <w:p>
      <w:pPr>
        <w:spacing w:after="0" w:line="158" w:lineRule="exact"/>
        <w:rPr>
          <w:sz w:val="20"/>
          <w:szCs w:val="20"/>
          <w:color w:val="auto"/>
        </w:rPr>
      </w:pPr>
    </w:p>
    <w:p>
      <w:pPr>
        <w:jc w:val="both"/>
        <w:ind w:firstLine="1305"/>
        <w:spacing w:after="0" w:line="314" w:lineRule="auto"/>
        <w:tabs>
          <w:tab w:leader="none" w:pos="1630" w:val="left"/>
        </w:tabs>
        <w:numPr>
          <w:ilvl w:val="0"/>
          <w:numId w:val="108"/>
        </w:numPr>
        <w:rPr>
          <w:rFonts w:ascii="Arial" w:cs="Arial" w:eastAsia="Arial" w:hAnsi="Arial"/>
          <w:sz w:val="20"/>
          <w:szCs w:val="20"/>
          <w:color w:val="auto"/>
        </w:rPr>
      </w:pPr>
      <w:r>
        <w:rPr>
          <w:rFonts w:ascii="Arial" w:cs="Arial" w:eastAsia="Arial" w:hAnsi="Arial"/>
          <w:sz w:val="20"/>
          <w:szCs w:val="20"/>
          <w:b w:val="1"/>
          <w:bCs w:val="1"/>
          <w:u w:val="single" w:color="auto"/>
          <w:color w:val="auto"/>
        </w:rPr>
        <w:t>Remedies</w:t>
      </w:r>
      <w:r>
        <w:rPr>
          <w:rFonts w:ascii="Arial" w:cs="Arial" w:eastAsia="Arial" w:hAnsi="Arial"/>
          <w:sz w:val="20"/>
          <w:szCs w:val="20"/>
          <w:color w:val="auto"/>
        </w:rPr>
        <w:t>. The Participant acknowledges and agrees that the terms of this Appendix A: (i) are reasonable in</w:t>
      </w:r>
      <w:r>
        <w:rPr>
          <w:rFonts w:ascii="Arial" w:cs="Arial" w:eastAsia="Arial" w:hAnsi="Arial"/>
          <w:sz w:val="20"/>
          <w:szCs w:val="20"/>
          <w:b w:val="1"/>
          <w:bCs w:val="1"/>
          <w:color w:val="auto"/>
        </w:rPr>
        <w:t xml:space="preserve"> </w:t>
      </w:r>
      <w:r>
        <w:rPr>
          <w:rFonts w:ascii="Arial" w:cs="Arial" w:eastAsia="Arial" w:hAnsi="Arial"/>
          <w:sz w:val="20"/>
          <w:szCs w:val="20"/>
          <w:color w:val="auto"/>
        </w:rPr>
        <w:t>geographic and temporal scope, (ii) are necessary to protect legitimate proprietary and business interests of the Affiliated Group in, inter alia, customer relationships and confidential information. The Participant further acknowledges and agrees that the Participant’s breach of the provisions of this Appendix A will cause the Affiliated Group irreparable harm, which cannot be adequately compensated by money damages. The Participant consents and agrees that the forfeiture provisions contained in the Agreement are reasonable remedies in the event the Participant commits any such breach. If any of the provisions of this Appendix A are determined to be wholly or partially unenforceable, the Participant hereby agrees that Appendix A or any provision hereof may be reformed so that it is enforceable to the maximum extent permitted by law. If any of the provisions of this Appendix A are determined to be wholly or partially unenforceable in any jurisdiction, such determination shall not be a bar to or in any way diminish the Affiliated Group’s right to enforce any such covenant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10.36</w:t>
      </w:r>
    </w:p>
    <w:p>
      <w:pPr>
        <w:spacing w:after="0" w:line="200" w:lineRule="exact"/>
        <w:rPr>
          <w:sz w:val="20"/>
          <w:szCs w:val="20"/>
          <w:color w:val="auto"/>
        </w:rPr>
      </w:pPr>
    </w:p>
    <w:p>
      <w:pPr>
        <w:spacing w:after="0" w:line="381"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2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4"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RESTRICTED STOCK UNIT AWARD NOTICE</w:t>
      </w:r>
    </w:p>
    <w:p>
      <w:pPr>
        <w:spacing w:after="0" w:line="200" w:lineRule="exact"/>
        <w:rPr>
          <w:sz w:val="20"/>
          <w:szCs w:val="20"/>
          <w:color w:val="auto"/>
        </w:rPr>
      </w:pPr>
    </w:p>
    <w:p>
      <w:pPr>
        <w:spacing w:after="0" w:line="27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hereby grants to Participant a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The Award is subject to all the terms and conditions set forth in this Restricted Stock Unit Award Notice (the “</w:t>
      </w:r>
      <w:r>
        <w:rPr>
          <w:rFonts w:ascii="Arial" w:cs="Arial" w:eastAsia="Arial" w:hAnsi="Arial"/>
          <w:sz w:val="22"/>
          <w:szCs w:val="22"/>
          <w:b w:val="1"/>
          <w:bCs w:val="1"/>
          <w:i w:val="1"/>
          <w:iCs w:val="1"/>
          <w:color w:val="auto"/>
        </w:rPr>
        <w:t>Award Notice</w:t>
      </w:r>
      <w:r>
        <w:rPr>
          <w:rFonts w:ascii="Arial" w:cs="Arial" w:eastAsia="Arial" w:hAnsi="Arial"/>
          <w:sz w:val="22"/>
          <w:szCs w:val="22"/>
          <w:color w:val="auto"/>
        </w:rPr>
        <w:t>”), the Restricted Stock Unit Award Agreement, including Appendix A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and the Itron, Inc. Amended and Restated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all of which are incorporated into the Award Notice in their entirety.</w:t>
      </w:r>
    </w:p>
    <w:p>
      <w:pPr>
        <w:sectPr>
          <w:pgSz w:w="11900" w:h="16838" w:orient="portrait"/>
          <w:cols w:equalWidth="0" w:num="1">
            <w:col w:w="11420"/>
          </w:cols>
          <w:pgMar w:left="240" w:top="121" w:right="239" w:bottom="1440" w:gutter="0" w:footer="0" w:header="0"/>
        </w:sect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Participant:</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color w:val="FF0000"/>
        </w:rPr>
        <w:t>Participant Name</w:t>
      </w:r>
    </w:p>
    <w:p>
      <w:pPr>
        <w:spacing w:after="0" w:line="73" w:lineRule="exact"/>
        <w:rPr>
          <w:sz w:val="20"/>
          <w:szCs w:val="20"/>
          <w:color w:val="auto"/>
        </w:rPr>
      </w:pPr>
    </w:p>
    <w:p>
      <w:pPr>
        <w:sectPr>
          <w:pgSz w:w="11900" w:h="16838" w:orient="portrait"/>
          <w:cols w:equalWidth="0" w:num="2">
            <w:col w:w="4460" w:space="720"/>
            <w:col w:w="624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9"/>
          <w:szCs w:val="19"/>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FF0000"/>
        </w:rPr>
        <w:t>Grant Date</w:t>
      </w:r>
    </w:p>
    <w:p>
      <w:pPr>
        <w:spacing w:after="0" w:line="73" w:lineRule="exact"/>
        <w:rPr>
          <w:sz w:val="20"/>
          <w:szCs w:val="20"/>
          <w:color w:val="auto"/>
        </w:rPr>
      </w:pPr>
    </w:p>
    <w:p>
      <w:pPr>
        <w:sectPr>
          <w:pgSz w:w="11900" w:h="16838" w:orient="portrait"/>
          <w:cols w:equalWidth="0" w:num="2">
            <w:col w:w="4460" w:space="720"/>
            <w:col w:w="624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9"/>
          <w:szCs w:val="19"/>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FF0000"/>
        </w:rPr>
        <w:t>Number of Awards Granted</w:t>
      </w:r>
    </w:p>
    <w:p>
      <w:pPr>
        <w:spacing w:after="0" w:line="73" w:lineRule="exact"/>
        <w:rPr>
          <w:sz w:val="20"/>
          <w:szCs w:val="20"/>
          <w:color w:val="auto"/>
        </w:rPr>
      </w:pPr>
    </w:p>
    <w:p>
      <w:pPr>
        <w:sectPr>
          <w:pgSz w:w="11900" w:h="16838" w:orient="portrait"/>
          <w:cols w:equalWidth="0" w:num="2">
            <w:col w:w="4460" w:space="720"/>
            <w:col w:w="624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ind w:right="40"/>
        <w:spacing w:after="0"/>
        <w:rPr>
          <w:sz w:val="20"/>
          <w:szCs w:val="20"/>
          <w:color w:val="auto"/>
        </w:rPr>
      </w:pPr>
      <w:r>
        <w:rPr>
          <w:rFonts w:ascii="Arial" w:cs="Arial" w:eastAsia="Arial" w:hAnsi="Arial"/>
          <w:sz w:val="22"/>
          <w:szCs w:val="22"/>
          <w:color w:val="auto"/>
        </w:rPr>
        <w:t xml:space="preserve">The Award will vest with respect to one-third of the Restricted Stock Units on the first, second and third anniversary of the Grant Date (each, a </w:t>
      </w:r>
      <w:r>
        <w:rPr>
          <w:rFonts w:ascii="Arial" w:cs="Arial" w:eastAsia="Arial" w:hAnsi="Arial"/>
          <w:sz w:val="22"/>
          <w:szCs w:val="22"/>
          <w:b w:val="1"/>
          <w:bCs w:val="1"/>
          <w:i w:val="1"/>
          <w:iCs w:val="1"/>
          <w:color w:val="auto"/>
        </w:rPr>
        <w:t>“Vest Date”</w:t>
      </w: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4460" w:space="720"/>
            <w:col w:w="6240"/>
          </w:cols>
          <w:pgMar w:left="240" w:top="121" w:right="239" w:bottom="1440" w:gutter="0" w:footer="0" w:header="0"/>
          <w:type w:val="continuous"/>
        </w:sectPr>
      </w:pPr>
    </w:p>
    <w:p>
      <w:pPr>
        <w:spacing w:after="0" w:line="332"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Additional Terms/Acknowledgement</w:t>
      </w:r>
      <w:r>
        <w:rPr>
          <w:rFonts w:ascii="Arial" w:cs="Arial" w:eastAsia="Arial" w:hAnsi="Arial"/>
          <w:sz w:val="22"/>
          <w:szCs w:val="22"/>
          <w:color w:val="auto"/>
        </w:rPr>
        <w:t>: This Award is subject to all the terms and conditions set forth in this Award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 which are attached to and incorporated into this Award Notice in their entirety.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FF0000"/>
        </w:rPr>
        <w:t>Participant Name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 accept this award subject to the terms and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conditions stated herein.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FF0000"/>
        </w:rPr>
        <w:t>Electronic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type w:val="continuous"/>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ALL PARTICIPANTS</w:t>
      </w: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Pursuant to your Restricted Stock Unit Award Notice (the “</w:t>
      </w:r>
      <w:r>
        <w:rPr>
          <w:rFonts w:ascii="Arial" w:cs="Arial" w:eastAsia="Arial" w:hAnsi="Arial"/>
          <w:sz w:val="22"/>
          <w:szCs w:val="22"/>
          <w:b w:val="1"/>
          <w:bCs w:val="1"/>
          <w:i w:val="1"/>
          <w:iCs w:val="1"/>
          <w:color w:val="auto"/>
        </w:rPr>
        <w:t>Award Notice</w:t>
      </w:r>
      <w:r>
        <w:rPr>
          <w:rFonts w:ascii="Arial" w:cs="Arial" w:eastAsia="Arial" w:hAnsi="Arial"/>
          <w:sz w:val="22"/>
          <w:szCs w:val="22"/>
          <w:color w:val="auto"/>
        </w:rPr>
        <w:t>”) and this Restricted Stock Unit Award Agreement, including Appendix A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granted you a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under its Amended and Restated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for the number of restricted stock units indicated in your Award Notice. Capitalized terms not expressly defined in this Agreement but defined in the Plan shall have the same definitions as in the Plan.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the Award are as follows:</w:t>
      </w:r>
    </w:p>
    <w:p>
      <w:pPr>
        <w:spacing w:after="0" w:line="214" w:lineRule="exact"/>
        <w:rPr>
          <w:sz w:val="20"/>
          <w:szCs w:val="20"/>
          <w:color w:val="auto"/>
        </w:rPr>
      </w:pPr>
    </w:p>
    <w:p>
      <w:pPr>
        <w:ind w:left="660" w:hanging="584"/>
        <w:spacing w:after="0"/>
        <w:tabs>
          <w:tab w:leader="none" w:pos="660"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Vesting</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The Award will vest according to the vesting schedule set forth in the Award Notice (the “</w:t>
      </w:r>
      <w:r>
        <w:rPr>
          <w:rFonts w:ascii="Arial" w:cs="Arial" w:eastAsia="Arial" w:hAnsi="Arial"/>
          <w:sz w:val="19"/>
          <w:szCs w:val="19"/>
          <w:b w:val="1"/>
          <w:bCs w:val="1"/>
          <w:i w:val="1"/>
          <w:iCs w:val="1"/>
          <w:color w:val="auto"/>
        </w:rPr>
        <w:t>Vesting Schedule</w:t>
      </w:r>
      <w:r>
        <w:rPr>
          <w:rFonts w:ascii="Arial" w:cs="Arial" w:eastAsia="Arial" w:hAnsi="Arial"/>
          <w:sz w:val="19"/>
          <w:szCs w:val="19"/>
          <w:i w:val="1"/>
          <w:iCs w:val="1"/>
          <w:color w:val="auto"/>
        </w:rPr>
        <w:t>”</w:t>
      </w:r>
      <w:r>
        <w:rPr>
          <w:rFonts w:ascii="Arial" w:cs="Arial" w:eastAsia="Arial" w:hAnsi="Arial"/>
          <w:sz w:val="19"/>
          <w:szCs w:val="19"/>
          <w:color w:val="auto"/>
        </w:rPr>
        <w:t>). One share of Common Stock will be issuable for each restricted stock unit that vests. Restricted stock units that have vested and are no longer subject to forfeiture according to the Vesting Schedule are referred to herein as “</w:t>
      </w:r>
      <w:r>
        <w:rPr>
          <w:rFonts w:ascii="Arial" w:cs="Arial" w:eastAsia="Arial" w:hAnsi="Arial"/>
          <w:sz w:val="19"/>
          <w:szCs w:val="19"/>
          <w:b w:val="1"/>
          <w:bCs w:val="1"/>
          <w:i w:val="1"/>
          <w:iCs w:val="1"/>
          <w:color w:val="auto"/>
        </w:rPr>
        <w:t>Vested Units</w:t>
      </w:r>
      <w:r>
        <w:rPr>
          <w:rFonts w:ascii="Arial" w:cs="Arial" w:eastAsia="Arial" w:hAnsi="Arial"/>
          <w:sz w:val="19"/>
          <w:szCs w:val="19"/>
          <w:color w:val="auto"/>
        </w:rPr>
        <w:t>.” Restricted stock units that have not vested and remain subject to forfeiture under the Vesting Schedule are referred to herein as “</w:t>
      </w:r>
      <w:r>
        <w:rPr>
          <w:rFonts w:ascii="Arial" w:cs="Arial" w:eastAsia="Arial" w:hAnsi="Arial"/>
          <w:sz w:val="19"/>
          <w:szCs w:val="19"/>
          <w:b w:val="1"/>
          <w:bCs w:val="1"/>
          <w:i w:val="1"/>
          <w:iCs w:val="1"/>
          <w:color w:val="auto"/>
        </w:rPr>
        <w:t>Unvested Units</w:t>
      </w:r>
      <w:r>
        <w:rPr>
          <w:rFonts w:ascii="Arial" w:cs="Arial" w:eastAsia="Arial" w:hAnsi="Arial"/>
          <w:sz w:val="19"/>
          <w:szCs w:val="19"/>
          <w:color w:val="auto"/>
        </w:rPr>
        <w:t>.” Except as provided in Sections 2 and 3 below, the Unvested Units will vest (and to the extent so vested cease to be Unvested Units remaining subject to forfeiture) in accordance with the Vesting Schedule (the Unvested and Vested Units are collectively referred to herein as the “</w:t>
      </w:r>
      <w:r>
        <w:rPr>
          <w:rFonts w:ascii="Arial" w:cs="Arial" w:eastAsia="Arial" w:hAnsi="Arial"/>
          <w:sz w:val="19"/>
          <w:szCs w:val="19"/>
          <w:b w:val="1"/>
          <w:bCs w:val="1"/>
          <w:i w:val="1"/>
          <w:iCs w:val="1"/>
          <w:color w:val="auto"/>
        </w:rPr>
        <w:t>Units</w:t>
      </w:r>
      <w:r>
        <w:rPr>
          <w:rFonts w:ascii="Arial" w:cs="Arial" w:eastAsia="Arial" w:hAnsi="Arial"/>
          <w:sz w:val="19"/>
          <w:szCs w:val="19"/>
          <w:color w:val="auto"/>
        </w:rPr>
        <w:t>”). Except as provided in Sections 2 and 3 below, the Award will terminate and the Unvested Units will be forfeited upon termination of your employment for any reason.</w:t>
      </w:r>
    </w:p>
    <w:p>
      <w:pPr>
        <w:spacing w:after="0" w:line="151" w:lineRule="exact"/>
        <w:rPr>
          <w:sz w:val="20"/>
          <w:szCs w:val="20"/>
          <w:color w:val="auto"/>
        </w:rPr>
      </w:pPr>
    </w:p>
    <w:p>
      <w:pPr>
        <w:ind w:left="660" w:hanging="584"/>
        <w:spacing w:after="0"/>
        <w:tabs>
          <w:tab w:leader="none" w:pos="660"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color w:val="auto"/>
        </w:rPr>
        <w:t>Retirement, Death or Disability</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2.1 </w:t>
      </w:r>
      <w:r>
        <w:rPr>
          <w:rFonts w:ascii="Arial" w:cs="Arial" w:eastAsia="Arial" w:hAnsi="Arial"/>
          <w:sz w:val="21"/>
          <w:szCs w:val="21"/>
          <w:color w:val="auto"/>
        </w:rPr>
        <w:t>In the event that your employment terminates by reason of Retirement at least 18 months after the Grant Date but</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Units’ vesting period, any Unvested Units will continue to vest in accordance with the Vesting Schedule until all Units become vested, provided that if you breach any of the covenants set forth in Appendix A to this Agreement after your Retirement, the Unvested Units will be forfeited immediately. For the purposes of this Section 2.1, “</w:t>
      </w:r>
      <w:r>
        <w:rPr>
          <w:rFonts w:ascii="Arial" w:cs="Arial" w:eastAsia="Arial" w:hAnsi="Arial"/>
          <w:sz w:val="21"/>
          <w:szCs w:val="21"/>
          <w:b w:val="1"/>
          <w:bCs w:val="1"/>
          <w:i w:val="1"/>
          <w:iCs w:val="1"/>
          <w:color w:val="auto"/>
        </w:rPr>
        <w:t>Retirement</w:t>
      </w:r>
      <w:r>
        <w:rPr>
          <w:rFonts w:ascii="Arial" w:cs="Arial" w:eastAsia="Arial" w:hAnsi="Arial"/>
          <w:sz w:val="21"/>
          <w:szCs w:val="21"/>
          <w:color w:val="auto"/>
        </w:rPr>
        <w:t>” means your voluntary termination of employment after the date on which you have reached (i) the age of 55 and have a total of at least 10 years of continuous employment with the Company and/or a Related Corporation or (ii) the age of 60 and have a total of at least 5 years of continuous employment with the Company and/or a Related Corporation; provided however, in either case, you must provide advance written notice to the Company at least 90 days prior to the termination of your employment unless otherwise agreed to in writing by the Company. For the avoidance of doubt, if your employment terminates due to Retirement within 18 months after the Grant Date, all Unvested Units will be automatically forfeited.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10.36</w:t>
      </w:r>
    </w:p>
    <w:p>
      <w:pPr>
        <w:spacing w:after="0" w:line="200" w:lineRule="exact"/>
        <w:rPr>
          <w:sz w:val="20"/>
          <w:szCs w:val="20"/>
          <w:color w:val="auto"/>
        </w:rPr>
      </w:pPr>
    </w:p>
    <w:p>
      <w:pPr>
        <w:spacing w:after="0" w:line="381"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21"/>
          <w:szCs w:val="21"/>
          <w:b w:val="1"/>
          <w:bCs w:val="1"/>
          <w:color w:val="auto"/>
        </w:rPr>
        <w:t xml:space="preserve">2.2 </w:t>
      </w:r>
      <w:r>
        <w:rPr>
          <w:rFonts w:ascii="Arial" w:cs="Arial" w:eastAsia="Arial" w:hAnsi="Arial"/>
          <w:sz w:val="21"/>
          <w:szCs w:val="21"/>
          <w:color w:val="auto"/>
        </w:rPr>
        <w:t>In the event that your employment terminates during the Units’ vesting period by reason of death or Disability, any</w:t>
      </w:r>
      <w:r>
        <w:rPr>
          <w:rFonts w:ascii="Arial" w:cs="Arial" w:eastAsia="Arial" w:hAnsi="Arial"/>
          <w:sz w:val="21"/>
          <w:szCs w:val="21"/>
          <w:b w:val="1"/>
          <w:bCs w:val="1"/>
          <w:color w:val="auto"/>
        </w:rPr>
        <w:t xml:space="preserve"> </w:t>
      </w:r>
      <w:r>
        <w:rPr>
          <w:rFonts w:ascii="Arial" w:cs="Arial" w:eastAsia="Arial" w:hAnsi="Arial"/>
          <w:sz w:val="21"/>
          <w:szCs w:val="21"/>
          <w:color w:val="auto"/>
        </w:rPr>
        <w:t>Unvested Units will accelerate in vesting and become Vested Units upon such termination of employment.</w:t>
      </w:r>
    </w:p>
    <w:p>
      <w:pPr>
        <w:spacing w:after="0" w:line="356" w:lineRule="exact"/>
        <w:rPr>
          <w:sz w:val="20"/>
          <w:szCs w:val="20"/>
          <w:color w:val="auto"/>
        </w:rPr>
      </w:pPr>
    </w:p>
    <w:p>
      <w:pPr>
        <w:ind w:left="660" w:hanging="584"/>
        <w:spacing w:after="0"/>
        <w:tabs>
          <w:tab w:leader="none" w:pos="66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 Transaction</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color w:val="auto"/>
        </w:rPr>
        <w:t>In the event of a Change in Control Transaction, the Award will be subject to any change in control severance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other agreement providing for change in control provisions between you and the Company (a “</w:t>
      </w:r>
      <w:r>
        <w:rPr>
          <w:rFonts w:ascii="Arial" w:cs="Arial" w:eastAsia="Arial" w:hAnsi="Arial"/>
          <w:sz w:val="22"/>
          <w:szCs w:val="22"/>
          <w:b w:val="1"/>
          <w:bCs w:val="1"/>
          <w:i w:val="1"/>
          <w:iCs w:val="1"/>
          <w:color w:val="auto"/>
        </w:rPr>
        <w:t>CIC Agreement</w:t>
      </w:r>
      <w:r>
        <w:rPr>
          <w:rFonts w:ascii="Arial" w:cs="Arial" w:eastAsia="Arial" w:hAnsi="Arial"/>
          <w:sz w:val="22"/>
          <w:szCs w:val="22"/>
          <w:color w:val="auto"/>
        </w:rPr>
        <w:t>”). If you are not a party to a CIC Agreement, the provisions of this Section 3 shall apply.</w:t>
      </w:r>
    </w:p>
    <w:p>
      <w:pPr>
        <w:spacing w:after="0" w:line="17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color w:val="auto"/>
        </w:rPr>
        <w:t>In the event of a Change in Control Transaction in which (i) the Unvested Units are not assumed, substituted for, or</w:t>
      </w:r>
      <w:r>
        <w:rPr>
          <w:rFonts w:ascii="Arial" w:cs="Arial" w:eastAsia="Arial" w:hAnsi="Arial"/>
          <w:sz w:val="19"/>
          <w:szCs w:val="19"/>
          <w:b w:val="1"/>
          <w:bCs w:val="1"/>
          <w:color w:val="auto"/>
        </w:rPr>
        <w:t xml:space="preserve"> </w:t>
      </w:r>
      <w:r>
        <w:rPr>
          <w:rFonts w:ascii="Arial" w:cs="Arial" w:eastAsia="Arial" w:hAnsi="Arial"/>
          <w:sz w:val="19"/>
          <w:szCs w:val="19"/>
          <w:color w:val="auto"/>
        </w:rPr>
        <w:t>converted into an award of the acquiring or surviving corporation (or a publicly-traded parent thereof) in a manner which prevents dilution of your rights under the Award or (ii) the acquiring or surviving corporation (or parent thereof) is not publicly-traded, any Unvested Units shall become immediately and fully vested as of the date of the Change in Control Transaction.</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3.3 </w:t>
      </w:r>
      <w:r>
        <w:rPr>
          <w:rFonts w:ascii="Arial" w:cs="Arial" w:eastAsia="Arial" w:hAnsi="Arial"/>
          <w:sz w:val="21"/>
          <w:szCs w:val="21"/>
          <w:color w:val="auto"/>
        </w:rPr>
        <w:t>In the event of a Change in Control Transaction in which your Unvested Units are assumed, substituted for, or</w:t>
      </w:r>
      <w:r>
        <w:rPr>
          <w:rFonts w:ascii="Arial" w:cs="Arial" w:eastAsia="Arial" w:hAnsi="Arial"/>
          <w:sz w:val="21"/>
          <w:szCs w:val="21"/>
          <w:b w:val="1"/>
          <w:bCs w:val="1"/>
          <w:color w:val="auto"/>
        </w:rPr>
        <w:t xml:space="preserve"> </w:t>
      </w:r>
      <w:r>
        <w:rPr>
          <w:rFonts w:ascii="Arial" w:cs="Arial" w:eastAsia="Arial" w:hAnsi="Arial"/>
          <w:sz w:val="21"/>
          <w:szCs w:val="21"/>
          <w:color w:val="auto"/>
        </w:rPr>
        <w:t>converted into an award of the acquiring or surviving public corporation (or a publicly-traded parent thereof) and your employment is terminated within twenty-four (24) months following such Change in Control Transaction, other than (a) for Cause, (b) by reason of Retirement, death or Disability (which shall be governed by Section 2), or (c) by you without Good Reason, any Unvested Units shall become immediately and fully vested as of the date of your termination of employment.</w:t>
      </w:r>
    </w:p>
    <w:p>
      <w:pPr>
        <w:spacing w:after="0" w:line="17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color w:val="auto"/>
        </w:rPr>
        <w:t>Definitions - For purposes of this Agreement, the following capitalized terms shall have the meanings set forth below:</w:t>
      </w:r>
    </w:p>
    <w:p>
      <w:pPr>
        <w:spacing w:after="0" w:line="226" w:lineRule="exact"/>
        <w:rPr>
          <w:sz w:val="20"/>
          <w:szCs w:val="20"/>
          <w:color w:val="auto"/>
        </w:rPr>
      </w:pPr>
    </w:p>
    <w:p>
      <w:pPr>
        <w:jc w:val="both"/>
        <w:ind w:firstLine="1386"/>
        <w:spacing w:after="0" w:line="253" w:lineRule="auto"/>
        <w:tabs>
          <w:tab w:leader="none" w:pos="187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Base Salary</w:t>
      </w:r>
      <w:r>
        <w:rPr>
          <w:rFonts w:ascii="Arial" w:cs="Arial" w:eastAsia="Arial" w:hAnsi="Arial"/>
          <w:sz w:val="22"/>
          <w:szCs w:val="22"/>
          <w:color w:val="auto"/>
        </w:rPr>
        <w:t>” shall mean your annual base salary immediately prior to a Change in Control Transaction, as such salary may be increased from time to time (in which case such increased amount shall be the Base Salary for purposes hereof), but without giving effect to any reduction thereto.</w:t>
      </w:r>
    </w:p>
    <w:p>
      <w:pPr>
        <w:spacing w:after="0" w:line="185" w:lineRule="exact"/>
        <w:rPr>
          <w:rFonts w:ascii="Arial" w:cs="Arial" w:eastAsia="Arial" w:hAnsi="Arial"/>
          <w:sz w:val="22"/>
          <w:szCs w:val="22"/>
          <w:color w:val="auto"/>
        </w:rPr>
      </w:pPr>
    </w:p>
    <w:p>
      <w:pPr>
        <w:ind w:left="1860" w:hanging="474"/>
        <w:spacing w:after="0" w:line="253" w:lineRule="exact"/>
        <w:tabs>
          <w:tab w:leader="none" w:pos="186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Beneficial Owner</w:t>
      </w:r>
      <w:r>
        <w:rPr>
          <w:rFonts w:ascii="Arial" w:cs="Arial" w:eastAsia="Arial" w:hAnsi="Arial"/>
          <w:sz w:val="22"/>
          <w:szCs w:val="22"/>
          <w:color w:val="auto"/>
        </w:rPr>
        <w:t>” shall have the meaning set forth in Rule 13d</w:t>
      </w:r>
      <w:r>
        <w:rPr>
          <w:rFonts w:ascii="MS PGothic" w:cs="MS PGothic" w:eastAsia="MS PGothic" w:hAnsi="MS PGothic"/>
          <w:sz w:val="22"/>
          <w:szCs w:val="22"/>
          <w:color w:val="auto"/>
        </w:rPr>
        <w:t>‑</w:t>
      </w:r>
      <w:r>
        <w:rPr>
          <w:rFonts w:ascii="Arial" w:cs="Arial" w:eastAsia="Arial" w:hAnsi="Arial"/>
          <w:sz w:val="22"/>
          <w:szCs w:val="22"/>
          <w:color w:val="auto"/>
        </w:rPr>
        <w:t>3 under the Exchange Act.</w:t>
      </w:r>
    </w:p>
    <w:p>
      <w:pPr>
        <w:spacing w:after="0" w:line="219" w:lineRule="exact"/>
        <w:rPr>
          <w:rFonts w:ascii="Arial" w:cs="Arial" w:eastAsia="Arial" w:hAnsi="Arial"/>
          <w:sz w:val="22"/>
          <w:szCs w:val="22"/>
          <w:color w:val="auto"/>
        </w:rPr>
      </w:pPr>
    </w:p>
    <w:p>
      <w:pPr>
        <w:jc w:val="both"/>
        <w:ind w:firstLine="1386"/>
        <w:spacing w:after="0" w:line="260" w:lineRule="auto"/>
        <w:tabs>
          <w:tab w:leader="none" w:pos="1834" w:val="left"/>
        </w:tabs>
        <w:numPr>
          <w:ilvl w:val="0"/>
          <w:numId w:val="11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for termination of your employment by the Company or your employer, if different (the “</w:t>
      </w:r>
      <w:r>
        <w:rPr>
          <w:rFonts w:ascii="Arial" w:cs="Arial" w:eastAsia="Arial" w:hAnsi="Arial"/>
          <w:sz w:val="21"/>
          <w:szCs w:val="21"/>
          <w:b w:val="1"/>
          <w:bCs w:val="1"/>
          <w:i w:val="1"/>
          <w:iCs w:val="1"/>
          <w:color w:val="auto"/>
        </w:rPr>
        <w:t>Employer</w:t>
      </w:r>
      <w:r>
        <w:rPr>
          <w:rFonts w:ascii="Arial" w:cs="Arial" w:eastAsia="Arial" w:hAnsi="Arial"/>
          <w:sz w:val="21"/>
          <w:szCs w:val="21"/>
          <w:color w:val="auto"/>
        </w:rPr>
        <w:t>”) shall mean (i) your willful and continued failure (other than any such failure resulting from (A) your incapacity due to physical or mental illness, (B) any such actual or anticipated failure after the issuance by you of a notice of termination in a form prescribed by the Company for Good Reason or (C) the Employer’s active or passive obstruction of the performance of your duties and responsibilities) to perform substantially the duties and responsibilities of your position with the Employer after a written demand for substantial performance is delivered to you by the Employer, which demand specifically identifies the manner in which the Employer believes that you have not substantially performed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10.36</w:t>
      </w:r>
    </w:p>
    <w:p>
      <w:pPr>
        <w:spacing w:after="0" w:line="37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such duties or responsibilities; (ii) your conviction by a court of competent jurisdiction for felony criminal conduct (or the equivalent under applicable local law); or (iii) your willful engaging in fraud or dishonesty which is injurious to the Company and/or the Employer or its reputation, monetarily or otherwise. No act, or failure to act, on your part shall be deemed “willful” unless committed, or omitted by you in bad faith and without reasonable belief that your act or failure to act was in, or not opposed to, the best interest of the Company and/or the Employer.</w:t>
      </w:r>
    </w:p>
    <w:p>
      <w:pPr>
        <w:spacing w:after="0" w:line="192" w:lineRule="exact"/>
        <w:rPr>
          <w:sz w:val="20"/>
          <w:szCs w:val="20"/>
          <w:color w:val="auto"/>
        </w:rPr>
      </w:pPr>
    </w:p>
    <w:p>
      <w:pPr>
        <w:jc w:val="both"/>
        <w:ind w:firstLine="1305"/>
        <w:spacing w:after="0" w:line="288" w:lineRule="auto"/>
        <w:tabs>
          <w:tab w:leader="none" w:pos="1805" w:val="left"/>
        </w:tabs>
        <w:numPr>
          <w:ilvl w:val="1"/>
          <w:numId w:val="1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for termination of your employment by you shall mean the occurrence (without your express written consent) after any Change in Control Transaction of any one of the following acts by the Company or the Employer, or failures by the Company or the Employer to act, unless, in the case of any act or failure to act described in subsection (i), (ii), (iii),</w:t>
      </w:r>
    </w:p>
    <w:p>
      <w:pPr>
        <w:spacing w:after="0" w:line="1" w:lineRule="exact"/>
        <w:rPr>
          <w:rFonts w:ascii="Arial" w:cs="Arial" w:eastAsia="Arial" w:hAnsi="Arial"/>
          <w:sz w:val="19"/>
          <w:szCs w:val="19"/>
          <w:color w:val="auto"/>
        </w:rPr>
      </w:pPr>
    </w:p>
    <w:p>
      <w:pPr>
        <w:ind w:firstLine="8"/>
        <w:spacing w:after="0" w:line="246" w:lineRule="auto"/>
        <w:tabs>
          <w:tab w:leader="none" w:pos="371" w:val="left"/>
        </w:tabs>
        <w:numPr>
          <w:ilvl w:val="0"/>
          <w:numId w:val="114"/>
        </w:numPr>
        <w:rPr>
          <w:rFonts w:ascii="Arial" w:cs="Arial" w:eastAsia="Arial" w:hAnsi="Arial"/>
          <w:sz w:val="22"/>
          <w:szCs w:val="22"/>
          <w:color w:val="auto"/>
        </w:rPr>
      </w:pPr>
      <w:r>
        <w:rPr>
          <w:rFonts w:ascii="Arial" w:cs="Arial" w:eastAsia="Arial" w:hAnsi="Arial"/>
          <w:sz w:val="22"/>
          <w:szCs w:val="22"/>
          <w:color w:val="auto"/>
        </w:rPr>
        <w:t>or (v) below, such act or failure to act is corrected prior to the date of your termination specified in a notice of termination in a form prescribed by the Company given in respect thereof:</w:t>
      </w:r>
    </w:p>
    <w:p>
      <w:pPr>
        <w:spacing w:after="0" w:line="192" w:lineRule="exact"/>
        <w:rPr>
          <w:rFonts w:ascii="Arial" w:cs="Arial" w:eastAsia="Arial" w:hAnsi="Arial"/>
          <w:sz w:val="22"/>
          <w:szCs w:val="22"/>
          <w:color w:val="auto"/>
        </w:rPr>
      </w:pPr>
    </w:p>
    <w:p>
      <w:pPr>
        <w:jc w:val="both"/>
        <w:ind w:firstLine="1953"/>
        <w:spacing w:after="0" w:line="297" w:lineRule="auto"/>
        <w:tabs>
          <w:tab w:leader="none" w:pos="2456" w:val="left"/>
        </w:tabs>
        <w:numPr>
          <w:ilvl w:val="2"/>
          <w:numId w:val="114"/>
        </w:numPr>
        <w:rPr>
          <w:rFonts w:ascii="Arial" w:cs="Arial" w:eastAsia="Arial" w:hAnsi="Arial"/>
          <w:sz w:val="19"/>
          <w:szCs w:val="19"/>
          <w:color w:val="auto"/>
        </w:rPr>
      </w:pPr>
      <w:r>
        <w:rPr>
          <w:rFonts w:ascii="Arial" w:cs="Arial" w:eastAsia="Arial" w:hAnsi="Arial"/>
          <w:sz w:val="19"/>
          <w:szCs w:val="19"/>
          <w:color w:val="auto"/>
        </w:rPr>
        <w:t>an adverse change in your status or position(s) with the Employer as in effect immediately prior to the Change in Control Transaction, including, without limitation, any adverse change in your status or position as a result of a diminution of your duties or responsibilities (other than, if applicable, any such change directly and solely attributable to the fact that the Company is no longer publicly owned) or the assignment to you of any duties or responsibilities which are inconsistent with such status or position(s), or any removal of you from, or any failure to reappoint or reelect you to, such position(s);</w:t>
      </w:r>
    </w:p>
    <w:p>
      <w:pPr>
        <w:spacing w:after="0" w:line="147" w:lineRule="exact"/>
        <w:rPr>
          <w:rFonts w:ascii="Arial" w:cs="Arial" w:eastAsia="Arial" w:hAnsi="Arial"/>
          <w:sz w:val="19"/>
          <w:szCs w:val="19"/>
          <w:color w:val="auto"/>
        </w:rPr>
      </w:pPr>
    </w:p>
    <w:p>
      <w:pPr>
        <w:ind w:left="2440" w:hanging="487"/>
        <w:spacing w:after="0"/>
        <w:tabs>
          <w:tab w:leader="none" w:pos="2440" w:val="left"/>
        </w:tabs>
        <w:numPr>
          <w:ilvl w:val="2"/>
          <w:numId w:val="114"/>
        </w:numPr>
        <w:rPr>
          <w:rFonts w:ascii="Arial" w:cs="Arial" w:eastAsia="Arial" w:hAnsi="Arial"/>
          <w:sz w:val="22"/>
          <w:szCs w:val="22"/>
          <w:color w:val="auto"/>
        </w:rPr>
      </w:pPr>
      <w:r>
        <w:rPr>
          <w:rFonts w:ascii="Arial" w:cs="Arial" w:eastAsia="Arial" w:hAnsi="Arial"/>
          <w:sz w:val="22"/>
          <w:szCs w:val="22"/>
          <w:color w:val="auto"/>
        </w:rPr>
        <w:t>a reduction in your Base Salary;</w:t>
      </w:r>
    </w:p>
    <w:p>
      <w:pPr>
        <w:spacing w:after="0" w:line="219" w:lineRule="exact"/>
        <w:rPr>
          <w:rFonts w:ascii="Arial" w:cs="Arial" w:eastAsia="Arial" w:hAnsi="Arial"/>
          <w:sz w:val="22"/>
          <w:szCs w:val="22"/>
          <w:color w:val="auto"/>
        </w:rPr>
      </w:pPr>
    </w:p>
    <w:p>
      <w:pPr>
        <w:ind w:firstLine="1953"/>
        <w:spacing w:after="0" w:line="263" w:lineRule="auto"/>
        <w:tabs>
          <w:tab w:leader="none" w:pos="2542" w:val="left"/>
        </w:tabs>
        <w:numPr>
          <w:ilvl w:val="2"/>
          <w:numId w:val="114"/>
        </w:numPr>
        <w:rPr>
          <w:rFonts w:ascii="Arial" w:cs="Arial" w:eastAsia="Arial" w:hAnsi="Arial"/>
          <w:sz w:val="22"/>
          <w:szCs w:val="22"/>
          <w:color w:val="auto"/>
        </w:rPr>
      </w:pPr>
      <w:r>
        <w:rPr>
          <w:rFonts w:ascii="Arial" w:cs="Arial" w:eastAsia="Arial" w:hAnsi="Arial"/>
          <w:sz w:val="22"/>
          <w:szCs w:val="22"/>
          <w:color w:val="auto"/>
        </w:rPr>
        <w:t>a reduction in your annual bonus opportunity or long term incentive opportunity, as compared to the year immediately preceding the year in which the Change in Control Transaction occurs;</w:t>
      </w:r>
    </w:p>
    <w:p>
      <w:pPr>
        <w:spacing w:after="0" w:line="174" w:lineRule="exact"/>
        <w:rPr>
          <w:rFonts w:ascii="Arial" w:cs="Arial" w:eastAsia="Arial" w:hAnsi="Arial"/>
          <w:sz w:val="22"/>
          <w:szCs w:val="22"/>
          <w:color w:val="auto"/>
        </w:rPr>
      </w:pPr>
    </w:p>
    <w:p>
      <w:pPr>
        <w:ind w:firstLine="1953"/>
        <w:spacing w:after="0" w:line="287" w:lineRule="auto"/>
        <w:tabs>
          <w:tab w:leader="none" w:pos="2540" w:val="left"/>
        </w:tabs>
        <w:numPr>
          <w:ilvl w:val="2"/>
          <w:numId w:val="114"/>
        </w:numPr>
        <w:rPr>
          <w:rFonts w:ascii="Arial" w:cs="Arial" w:eastAsia="Arial" w:hAnsi="Arial"/>
          <w:sz w:val="21"/>
          <w:szCs w:val="21"/>
          <w:color w:val="auto"/>
        </w:rPr>
      </w:pPr>
      <w:r>
        <w:rPr>
          <w:rFonts w:ascii="Arial" w:cs="Arial" w:eastAsia="Arial" w:hAnsi="Arial"/>
          <w:sz w:val="21"/>
          <w:szCs w:val="21"/>
          <w:color w:val="auto"/>
        </w:rPr>
        <w:t>the failure to continue to provide welfare, pension and fringe benefits which are in each case, in the aggregate, substantially similar to those provided to you immediately prior to Change in Control Transaction; or</w:t>
      </w:r>
    </w:p>
    <w:p>
      <w:pPr>
        <w:spacing w:after="0" w:line="151" w:lineRule="exact"/>
        <w:rPr>
          <w:rFonts w:ascii="Arial" w:cs="Arial" w:eastAsia="Arial" w:hAnsi="Arial"/>
          <w:sz w:val="21"/>
          <w:szCs w:val="21"/>
          <w:color w:val="auto"/>
        </w:rPr>
      </w:pPr>
    </w:p>
    <w:p>
      <w:pPr>
        <w:jc w:val="both"/>
        <w:ind w:firstLine="1953"/>
        <w:spacing w:after="0" w:line="250" w:lineRule="auto"/>
        <w:tabs>
          <w:tab w:leader="none" w:pos="2420" w:val="left"/>
        </w:tabs>
        <w:numPr>
          <w:ilvl w:val="2"/>
          <w:numId w:val="114"/>
        </w:numPr>
        <w:rPr>
          <w:rFonts w:ascii="Arial" w:cs="Arial" w:eastAsia="Arial" w:hAnsi="Arial"/>
          <w:sz w:val="22"/>
          <w:szCs w:val="22"/>
          <w:color w:val="auto"/>
        </w:rPr>
      </w:pPr>
      <w:r>
        <w:rPr>
          <w:rFonts w:ascii="Arial" w:cs="Arial" w:eastAsia="Arial" w:hAnsi="Arial"/>
          <w:sz w:val="22"/>
          <w:szCs w:val="22"/>
          <w:color w:val="auto"/>
        </w:rPr>
        <w:t>the Employer requiring you to be based at an office that is greater than 50 miles from where your office is located immediately prior to the Change in Control Transaction except for required travel on the Employer’s business to an extent substantially consistent with the business travel obligations which you undertook on behalf of the Employer prior to the Change in Control Transaction.</w:t>
      </w:r>
    </w:p>
    <w:p>
      <w:pPr>
        <w:spacing w:after="0" w:line="188"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Notwithstanding the foregoing, the events described in clauses (ii), (iii) or (iv) above shall not constitute Good Reason hereunder to the extent they are as a result of across-the-board reductions of the applicable compensation element following the Change in Control Transaction which are equally applicable to all similarly situated employees of the surviving corporation and its affiliates. Your right to terminate your employment for Good Reason shall not be affected by your incapacity due to physical or mental illness. In order for Good Reason to exist hereunder, you must provide notice to the Company of the existence of the condition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10.36</w:t>
      </w:r>
    </w:p>
    <w:p>
      <w:pPr>
        <w:spacing w:after="0" w:line="371"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or circumstance described above within 90 days of the initial existence of the condition or circumstance (or, if later, within 90 days of becoming aware of such condition or circumstance), and the Employer must have failed to cure such condition within 30 days of the receipt of such notice. Subject to the preceding sentence, your continued employment shall not constitute consent to, or a waiver of rights with respect to, any act or failure to act constituting Good Reason hereunder.</w:t>
      </w:r>
    </w:p>
    <w:p>
      <w:pPr>
        <w:spacing w:after="0" w:line="176" w:lineRule="exact"/>
        <w:rPr>
          <w:sz w:val="20"/>
          <w:szCs w:val="20"/>
          <w:color w:val="auto"/>
        </w:rPr>
      </w:pPr>
    </w:p>
    <w:p>
      <w:pPr>
        <w:jc w:val="both"/>
        <w:ind w:firstLine="1305"/>
        <w:spacing w:after="0" w:line="297" w:lineRule="auto"/>
        <w:tabs>
          <w:tab w:leader="none" w:pos="1874" w:val="left"/>
        </w:tabs>
        <w:numPr>
          <w:ilvl w:val="1"/>
          <w:numId w:val="11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proportions as their ownership of stock of the Company.</w:t>
      </w:r>
    </w:p>
    <w:p>
      <w:pPr>
        <w:spacing w:after="0" w:line="357" w:lineRule="exact"/>
        <w:rPr>
          <w:rFonts w:ascii="Arial" w:cs="Arial" w:eastAsia="Arial" w:hAnsi="Arial"/>
          <w:sz w:val="19"/>
          <w:szCs w:val="19"/>
          <w:color w:val="auto"/>
        </w:rPr>
      </w:pPr>
    </w:p>
    <w:p>
      <w:pPr>
        <w:ind w:left="660" w:hanging="584"/>
        <w:spacing w:after="0"/>
        <w:tabs>
          <w:tab w:leader="none" w:pos="660"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Vested Units.</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Vested Units shall be settled on the earliest to occur of (a) a date within 30 days following the applicable Vest Date, (b) a</w:t>
      </w:r>
    </w:p>
    <w:p>
      <w:pPr>
        <w:spacing w:after="0" w:line="56"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date within 30 days following the termination of your employment (i) due to death or Disability pursuant to Section 2 above or (ii) following a Change in Control Transaction pursuant to Section 3.3 above, or (c) the date of a Change in Control Transaction pursuant to Section 3.2 above that constitutes a “change in control event” within the meaning of U.S. Treasury Regulation Section 1.409A-3(i)(5).</w:t>
      </w:r>
    </w:p>
    <w:p>
      <w:pPr>
        <w:spacing w:after="0" w:line="190" w:lineRule="exact"/>
        <w:rPr>
          <w:sz w:val="20"/>
          <w:szCs w:val="20"/>
          <w:color w:val="auto"/>
        </w:rPr>
      </w:pPr>
    </w:p>
    <w:p>
      <w:pPr>
        <w:ind w:left="660" w:hanging="584"/>
        <w:spacing w:after="0"/>
        <w:tabs>
          <w:tab w:leader="none" w:pos="660"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 Compliance</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5.1 </w:t>
      </w:r>
      <w:r>
        <w:rPr>
          <w:rFonts w:ascii="Arial" w:cs="Arial" w:eastAsia="Arial" w:hAnsi="Arial"/>
          <w:sz w:val="22"/>
          <w:szCs w:val="22"/>
          <w:color w:val="auto"/>
        </w:rPr>
        <w:t>You represent and warrant that you (a) have been furnished with a copy of the prospectus for the Plan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which you deem 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18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color w:val="auto"/>
        </w:rPr>
        <w:t>You hereby agree that you will in no event sell or distribute all or any part of the shares of Common Stock that you</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pursuant to settlement of this Award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unless (a) there is an effective registration statement under the U.S. Securities Act of 1933, as amended (the “</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and any applicable state and foreign securities laws covering any such transaction involving the Shares or (b) the Company receives an opinion of your legal counsel (concurred with by legal counsel for the Company) stating that such transaction is exempt from registration or the Company otherwise satisfies itself that such transaction is exempt from registration. You understand that the Company has no obligation to you to register the Shares with the U.S. Securities and Exchange Commission or any foreign securities regulator and has not represented to you that it will so register the Shares.</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22"/>
          <w:szCs w:val="22"/>
          <w:color w:val="auto"/>
        </w:rPr>
        <w:t>You confirm that you have been advised, prior to your receipt of the Shares, that neither the offering of the Shares nor</w:t>
      </w:r>
      <w:r>
        <w:rPr>
          <w:rFonts w:ascii="Arial" w:cs="Arial" w:eastAsia="Arial" w:hAnsi="Arial"/>
          <w:sz w:val="22"/>
          <w:szCs w:val="22"/>
          <w:b w:val="1"/>
          <w:bCs w:val="1"/>
          <w:color w:val="auto"/>
        </w:rPr>
        <w:t xml:space="preserve"> </w:t>
      </w:r>
      <w:r>
        <w:rPr>
          <w:rFonts w:ascii="Arial" w:cs="Arial" w:eastAsia="Arial" w:hAnsi="Arial"/>
          <w:sz w:val="22"/>
          <w:szCs w:val="22"/>
          <w:color w:val="auto"/>
        </w:rPr>
        <w:t>any offering materials have been reviewed by any regulator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10.36</w:t>
      </w:r>
    </w:p>
    <w:p>
      <w:pPr>
        <w:spacing w:after="0" w:line="200" w:lineRule="exact"/>
        <w:rPr>
          <w:sz w:val="20"/>
          <w:szCs w:val="20"/>
          <w:color w:val="auto"/>
        </w:rPr>
      </w:pPr>
    </w:p>
    <w:p>
      <w:pPr>
        <w:spacing w:after="0" w:line="38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under the Securities Act or any other applicable securities act (the “</w:t>
      </w:r>
      <w:r>
        <w:rPr>
          <w:rFonts w:ascii="Arial" w:cs="Arial" w:eastAsia="Arial" w:hAnsi="Arial"/>
          <w:sz w:val="22"/>
          <w:szCs w:val="22"/>
          <w:b w:val="1"/>
          <w:bCs w:val="1"/>
          <w:i w:val="1"/>
          <w:iCs w:val="1"/>
          <w:color w:val="auto"/>
        </w:rPr>
        <w:t>Acts</w:t>
      </w:r>
      <w:r>
        <w:rPr>
          <w:rFonts w:ascii="Arial" w:cs="Arial" w:eastAsia="Arial" w:hAnsi="Arial"/>
          <w:sz w:val="22"/>
          <w:szCs w:val="22"/>
          <w:color w:val="auto"/>
        </w:rPr>
        <w:t>”) and that the Shares cannot be resold unless they are registered under the Acts or unless an exemption from such registration is available.</w:t>
      </w:r>
    </w:p>
    <w:p>
      <w:pPr>
        <w:spacing w:after="0" w:line="16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5.4 </w:t>
      </w:r>
      <w:r>
        <w:rPr>
          <w:rFonts w:ascii="Arial" w:cs="Arial" w:eastAsia="Arial" w:hAnsi="Arial"/>
          <w:sz w:val="22"/>
          <w:szCs w:val="22"/>
          <w:color w:val="auto"/>
        </w:rPr>
        <w:t>You hereby agree to indemnify the Company and hold it harmless from and against any loss, claim or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attorneys’ fees or legal expenses, incurred by the Company as a result of any breach by you of, or any inaccuracy in, any representation, warranty or statement made by you in this Agreement or the breach by you of any terms or conditions of this Agreement.</w:t>
      </w:r>
    </w:p>
    <w:p>
      <w:pPr>
        <w:spacing w:after="0" w:line="180" w:lineRule="exact"/>
        <w:rPr>
          <w:sz w:val="20"/>
          <w:szCs w:val="20"/>
          <w:color w:val="auto"/>
        </w:rPr>
      </w:pPr>
    </w:p>
    <w:p>
      <w:pPr>
        <w:ind w:left="660" w:hanging="584"/>
        <w:spacing w:after="0"/>
        <w:tabs>
          <w:tab w:leader="none" w:pos="660"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color w:val="auto"/>
        </w:rPr>
        <w:t>Transfer Restrictions</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Units shall not be sold, transferred, assigned, encumbered, pledged or otherwise disposed of, whether voluntarily or by operation of law, other than pursuant to a beneficiary designation in accordance with the following sentence. You may, from time to time, name any beneficiary or beneficiaries (who may be named contingently or successively) to whom any benefit under this Agreement is to be paid in case you do not receive any or all such benefit during your lifetime. Each such designation shall revoke all of your prior designations, shall be in a form prescribed by the Company, and will be effective only when completed in accordance with any instructions provided by the Company during your lifetime. In the absence of any such designation, benefits remaining unpaid to you during your lifetime shall be paid to your estate.</w:t>
      </w:r>
    </w:p>
    <w:p>
      <w:pPr>
        <w:spacing w:after="0" w:line="175" w:lineRule="exact"/>
        <w:rPr>
          <w:sz w:val="20"/>
          <w:szCs w:val="20"/>
          <w:color w:val="auto"/>
        </w:rPr>
      </w:pPr>
    </w:p>
    <w:p>
      <w:pPr>
        <w:ind w:left="660" w:hanging="584"/>
        <w:spacing w:after="0"/>
        <w:tabs>
          <w:tab w:leader="none" w:pos="660"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color w:val="auto"/>
        </w:rPr>
        <w:t>No Rights as Shareholder</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You shall not have voting or other rights as a shareholder of the Company with respect to the Units.</w:t>
      </w:r>
    </w:p>
    <w:p>
      <w:pPr>
        <w:spacing w:after="0" w:line="213" w:lineRule="exact"/>
        <w:rPr>
          <w:rFonts w:ascii="Arial" w:cs="Arial" w:eastAsia="Arial" w:hAnsi="Arial"/>
          <w:sz w:val="22"/>
          <w:szCs w:val="22"/>
          <w:b w:val="1"/>
          <w:bCs w:val="1"/>
          <w:color w:val="auto"/>
        </w:rPr>
      </w:pPr>
    </w:p>
    <w:p>
      <w:pPr>
        <w:ind w:left="660" w:hanging="584"/>
        <w:spacing w:after="0"/>
        <w:tabs>
          <w:tab w:leader="none" w:pos="660"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color w:val="auto"/>
        </w:rPr>
        <w:t>Book Entry Registration of Shares</w:t>
      </w:r>
    </w:p>
    <w:p>
      <w:pPr>
        <w:spacing w:after="0" w:line="22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99" w:lineRule="exact"/>
        <w:rPr>
          <w:sz w:val="20"/>
          <w:szCs w:val="20"/>
          <w:color w:val="auto"/>
        </w:rPr>
      </w:pPr>
    </w:p>
    <w:p>
      <w:pPr>
        <w:ind w:left="660" w:hanging="584"/>
        <w:spacing w:after="0"/>
        <w:tabs>
          <w:tab w:leader="none" w:pos="660"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Responsibility for Taxes</w:t>
      </w:r>
    </w:p>
    <w:p>
      <w:pPr>
        <w:spacing w:after="0" w:line="2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9"/>
          <w:szCs w:val="19"/>
          <w:color w:val="auto"/>
        </w:rPr>
        <w:t>Regardless of any action the Company or the Employer take with respect to any and all income tax, social 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payroll tax, fringe benefits tax, payment on account or other tax-related items related to your participation in the Plan and legally applicable to you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Units, the issuance of Shares upon settlement of the Vested Units, the subsequent sale of Shares acquired upon settlement of the Vested Units and the receipt of any dividends; and (b) do not commit to and are under no obligation to structure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10.36</w:t>
      </w:r>
    </w:p>
    <w:p>
      <w:pPr>
        <w:spacing w:after="0" w:line="200" w:lineRule="exact"/>
        <w:rPr>
          <w:sz w:val="20"/>
          <w:szCs w:val="20"/>
          <w:color w:val="auto"/>
        </w:rPr>
      </w:pPr>
    </w:p>
    <w:p>
      <w:pPr>
        <w:spacing w:after="0" w:line="38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terms of the grant or any aspect of the Award to reduce or eliminate your liability for Tax-Related Items or achieve any particular tax result. Further, if you have become subject to Tax-Related Items in more than one jurisdiction between the Grant Date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18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9.2 </w:t>
      </w:r>
      <w:r>
        <w:rPr>
          <w:rFonts w:ascii="Arial" w:cs="Arial" w:eastAsia="Arial" w:hAnsi="Arial"/>
          <w:sz w:val="22"/>
          <w:szCs w:val="22"/>
          <w:color w:val="auto"/>
        </w:rPr>
        <w:t>Prior to any relevant taxable or tax withholding event, as applicable, you will pay or make adequate arrangements</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satisfactory to the Company and or the Employer to satisfy all Tax-Related Items.</w:t>
      </w:r>
    </w:p>
    <w:p>
      <w:pPr>
        <w:spacing w:after="0" w:line="168" w:lineRule="exact"/>
        <w:rPr>
          <w:sz w:val="20"/>
          <w:szCs w:val="20"/>
          <w:color w:val="auto"/>
        </w:rPr>
      </w:pPr>
    </w:p>
    <w:p>
      <w:pPr>
        <w:ind w:firstLine="1386"/>
        <w:spacing w:after="0" w:line="287" w:lineRule="auto"/>
        <w:tabs>
          <w:tab w:leader="none" w:pos="1896" w:val="left"/>
        </w:tabs>
        <w:numPr>
          <w:ilvl w:val="0"/>
          <w:numId w:val="121"/>
        </w:numPr>
        <w:rPr>
          <w:rFonts w:ascii="Arial" w:cs="Arial" w:eastAsia="Arial" w:hAnsi="Arial"/>
          <w:sz w:val="21"/>
          <w:szCs w:val="21"/>
          <w:color w:val="auto"/>
        </w:rPr>
      </w:pPr>
      <w:r>
        <w:rPr>
          <w:rFonts w:ascii="Arial" w:cs="Arial" w:eastAsia="Arial" w:hAnsi="Arial"/>
          <w:sz w:val="21"/>
          <w:szCs w:val="21"/>
          <w:color w:val="auto"/>
        </w:rPr>
        <w:t>In this regard, you hereby irrevocably appoint Fidelity or any stock plan service provider or brokerage firm designated by the Company for such purpose (the “</w:t>
      </w:r>
      <w:r>
        <w:rPr>
          <w:rFonts w:ascii="Arial" w:cs="Arial" w:eastAsia="Arial" w:hAnsi="Arial"/>
          <w:sz w:val="21"/>
          <w:szCs w:val="21"/>
          <w:b w:val="1"/>
          <w:bCs w:val="1"/>
          <w:i w:val="1"/>
          <w:iCs w:val="1"/>
          <w:color w:val="auto"/>
        </w:rPr>
        <w:t>Agent</w:t>
      </w:r>
      <w:r>
        <w:rPr>
          <w:rFonts w:ascii="Arial" w:cs="Arial" w:eastAsia="Arial" w:hAnsi="Arial"/>
          <w:sz w:val="21"/>
          <w:szCs w:val="21"/>
          <w:color w:val="auto"/>
        </w:rPr>
        <w:t>”) as your Agent, and authorize the Agent, to:</w:t>
      </w:r>
    </w:p>
    <w:p>
      <w:pPr>
        <w:spacing w:after="0" w:line="367" w:lineRule="exact"/>
        <w:rPr>
          <w:rFonts w:ascii="Arial" w:cs="Arial" w:eastAsia="Arial" w:hAnsi="Arial"/>
          <w:sz w:val="21"/>
          <w:szCs w:val="21"/>
          <w:color w:val="auto"/>
        </w:rPr>
      </w:pPr>
    </w:p>
    <w:p>
      <w:pPr>
        <w:jc w:val="both"/>
        <w:ind w:firstLine="1953"/>
        <w:spacing w:after="0" w:line="312" w:lineRule="auto"/>
        <w:tabs>
          <w:tab w:leader="none" w:pos="2384" w:val="left"/>
        </w:tabs>
        <w:numPr>
          <w:ilvl w:val="1"/>
          <w:numId w:val="121"/>
        </w:numPr>
        <w:rPr>
          <w:rFonts w:ascii="Arial" w:cs="Arial" w:eastAsia="Arial" w:hAnsi="Arial"/>
          <w:sz w:val="19"/>
          <w:szCs w:val="19"/>
          <w:color w:val="auto"/>
        </w:rPr>
      </w:pPr>
      <w:r>
        <w:rPr>
          <w:rFonts w:ascii="Arial" w:cs="Arial" w:eastAsia="Arial" w:hAnsi="Arial"/>
          <w:sz w:val="19"/>
          <w:szCs w:val="19"/>
          <w:color w:val="auto"/>
        </w:rPr>
        <w:t>Sell on the open market at the then prevailing market price(s), on your behalf, as soon as practicable on or after the settlement date for any Vested Unit, a number of Shares (rounded up to the next whole number) sufficient to generate proceeds to cover the Tax-Related Items and all applicable fees and commissions due to, or required to be collected by, the Agent;</w:t>
      </w:r>
    </w:p>
    <w:p>
      <w:pPr>
        <w:spacing w:after="0" w:line="133" w:lineRule="exact"/>
        <w:rPr>
          <w:rFonts w:ascii="Arial" w:cs="Arial" w:eastAsia="Arial" w:hAnsi="Arial"/>
          <w:sz w:val="19"/>
          <w:szCs w:val="19"/>
          <w:color w:val="auto"/>
        </w:rPr>
      </w:pPr>
    </w:p>
    <w:p>
      <w:pPr>
        <w:ind w:left="2440" w:hanging="487"/>
        <w:spacing w:after="0"/>
        <w:tabs>
          <w:tab w:leader="none" w:pos="244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Remit directly to the Company the cash amount necessary to cover the Tax-Related Items;</w:t>
      </w:r>
    </w:p>
    <w:p>
      <w:pPr>
        <w:spacing w:after="0" w:line="219" w:lineRule="exact"/>
        <w:rPr>
          <w:rFonts w:ascii="Arial" w:cs="Arial" w:eastAsia="Arial" w:hAnsi="Arial"/>
          <w:sz w:val="22"/>
          <w:szCs w:val="22"/>
          <w:color w:val="auto"/>
        </w:rPr>
      </w:pPr>
    </w:p>
    <w:p>
      <w:pPr>
        <w:ind w:firstLine="1953"/>
        <w:spacing w:after="0" w:line="263" w:lineRule="auto"/>
        <w:tabs>
          <w:tab w:leader="none" w:pos="2588" w:val="left"/>
        </w:tabs>
        <w:numPr>
          <w:ilvl w:val="1"/>
          <w:numId w:val="121"/>
        </w:numPr>
        <w:rPr>
          <w:rFonts w:ascii="Arial" w:cs="Arial" w:eastAsia="Arial" w:hAnsi="Arial"/>
          <w:sz w:val="22"/>
          <w:szCs w:val="22"/>
          <w:color w:val="auto"/>
        </w:rPr>
      </w:pPr>
      <w:r>
        <w:rPr>
          <w:rFonts w:ascii="Arial" w:cs="Arial" w:eastAsia="Arial" w:hAnsi="Arial"/>
          <w:sz w:val="22"/>
          <w:szCs w:val="22"/>
          <w:color w:val="auto"/>
        </w:rPr>
        <w:t>Retain the amount required to cover all applicable fees and commissions due to, or required to be collected by, the Agent, relating directly to the sale of Shares referred to in clause (i) above; and</w:t>
      </w:r>
    </w:p>
    <w:p>
      <w:pPr>
        <w:spacing w:after="0" w:line="174" w:lineRule="exact"/>
        <w:rPr>
          <w:rFonts w:ascii="Arial" w:cs="Arial" w:eastAsia="Arial" w:hAnsi="Arial"/>
          <w:sz w:val="22"/>
          <w:szCs w:val="22"/>
          <w:color w:val="auto"/>
        </w:rPr>
      </w:pPr>
    </w:p>
    <w:p>
      <w:pPr>
        <w:ind w:left="2480" w:hanging="527"/>
        <w:spacing w:after="0"/>
        <w:tabs>
          <w:tab w:leader="none" w:pos="248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Remit any remaining funds to you.</w:t>
      </w:r>
    </w:p>
    <w:p>
      <w:pPr>
        <w:spacing w:after="0" w:line="219" w:lineRule="exact"/>
        <w:rPr>
          <w:rFonts w:ascii="Arial" w:cs="Arial" w:eastAsia="Arial" w:hAnsi="Arial"/>
          <w:sz w:val="22"/>
          <w:szCs w:val="22"/>
          <w:color w:val="auto"/>
        </w:rPr>
      </w:pPr>
    </w:p>
    <w:p>
      <w:pPr>
        <w:jc w:val="both"/>
        <w:ind w:firstLine="1386"/>
        <w:spacing w:after="0" w:line="248" w:lineRule="auto"/>
        <w:tabs>
          <w:tab w:leader="none" w:pos="1938"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If the sale of Shares required by Section 9.2(a)(i) above is prohibited by a legal, contractual or regulatory restriction, is otherwise impossible as described in the 10b5-1 Plan set forth in Section 9.3 below, or if the obligation for withholding of Tax-Related Items arises at a time other than the settlement of the Award, then in addition to the withholding mechanism described in Section 9.2(a), you authorize the Company and/or the Employer, at their discretion, to satisfy the obligations with regard to all Tax-Related Items by:</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2380" w:hanging="427"/>
        <w:spacing w:after="0"/>
        <w:tabs>
          <w:tab w:leader="none" w:pos="2380" w:val="left"/>
        </w:tabs>
        <w:numPr>
          <w:ilvl w:val="1"/>
          <w:numId w:val="121"/>
        </w:numPr>
        <w:rPr>
          <w:rFonts w:ascii="Arial" w:cs="Arial" w:eastAsia="Arial" w:hAnsi="Arial"/>
          <w:sz w:val="19"/>
          <w:szCs w:val="19"/>
          <w:color w:val="auto"/>
        </w:rPr>
      </w:pPr>
      <w:r>
        <w:rPr>
          <w:rFonts w:ascii="Arial" w:cs="Arial" w:eastAsia="Arial" w:hAnsi="Arial"/>
          <w:sz w:val="19"/>
          <w:szCs w:val="19"/>
          <w:color w:val="auto"/>
        </w:rPr>
        <w:t>requiring you to pay to the Company or the Employer any amount of the Tax-Related Items; and/or</w:t>
      </w:r>
    </w:p>
    <w:p>
      <w:pPr>
        <w:spacing w:after="0" w:line="254" w:lineRule="exact"/>
        <w:rPr>
          <w:rFonts w:ascii="Arial" w:cs="Arial" w:eastAsia="Arial" w:hAnsi="Arial"/>
          <w:sz w:val="19"/>
          <w:szCs w:val="19"/>
          <w:color w:val="auto"/>
        </w:rPr>
      </w:pPr>
    </w:p>
    <w:p>
      <w:pPr>
        <w:ind w:firstLine="1953"/>
        <w:spacing w:after="0" w:line="263" w:lineRule="auto"/>
        <w:tabs>
          <w:tab w:leader="none" w:pos="2442" w:val="left"/>
        </w:tabs>
        <w:numPr>
          <w:ilvl w:val="1"/>
          <w:numId w:val="121"/>
        </w:numPr>
        <w:rPr>
          <w:rFonts w:ascii="Arial" w:cs="Arial" w:eastAsia="Arial" w:hAnsi="Arial"/>
          <w:sz w:val="22"/>
          <w:szCs w:val="22"/>
          <w:color w:val="auto"/>
        </w:rPr>
      </w:pPr>
      <w:r>
        <w:rPr>
          <w:rFonts w:ascii="Arial" w:cs="Arial" w:eastAsia="Arial" w:hAnsi="Arial"/>
          <w:sz w:val="22"/>
          <w:szCs w:val="22"/>
          <w:color w:val="auto"/>
        </w:rPr>
        <w:t>withholding any amount of the Tax-Related Items from your wages or other cash compensation paid to you by the Company and/or the Employer; and/or</w:t>
      </w:r>
    </w:p>
    <w:p>
      <w:pPr>
        <w:spacing w:after="0" w:line="174" w:lineRule="exact"/>
        <w:rPr>
          <w:rFonts w:ascii="Arial" w:cs="Arial" w:eastAsia="Arial" w:hAnsi="Arial"/>
          <w:sz w:val="22"/>
          <w:szCs w:val="22"/>
          <w:color w:val="auto"/>
        </w:rPr>
      </w:pPr>
    </w:p>
    <w:p>
      <w:pPr>
        <w:jc w:val="both"/>
        <w:ind w:right="20" w:firstLine="1953"/>
        <w:spacing w:after="0" w:line="253" w:lineRule="auto"/>
        <w:tabs>
          <w:tab w:leader="none" w:pos="2504" w:val="left"/>
        </w:tabs>
        <w:numPr>
          <w:ilvl w:val="1"/>
          <w:numId w:val="121"/>
        </w:numPr>
        <w:rPr>
          <w:rFonts w:ascii="Arial" w:cs="Arial" w:eastAsia="Arial" w:hAnsi="Arial"/>
          <w:sz w:val="22"/>
          <w:szCs w:val="22"/>
          <w:color w:val="auto"/>
        </w:rPr>
      </w:pPr>
      <w:r>
        <w:rPr>
          <w:rFonts w:ascii="Arial" w:cs="Arial" w:eastAsia="Arial" w:hAnsi="Arial"/>
          <w:sz w:val="22"/>
          <w:szCs w:val="22"/>
          <w:color w:val="auto"/>
        </w:rPr>
        <w:t>withholding in Shares to be issued upon settlement of the Vested Units, provided, however, that if you are a Section 16 officer of the Company under the Exchange Act, then the Plan Administrator (as constituted to satisfy Rule 16b-3 of the Exchange Act) shall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10.36</w:t>
      </w:r>
    </w:p>
    <w:p>
      <w:pPr>
        <w:spacing w:after="0" w:line="200" w:lineRule="exact"/>
        <w:rPr>
          <w:sz w:val="20"/>
          <w:szCs w:val="20"/>
          <w:color w:val="auto"/>
        </w:rPr>
      </w:pPr>
    </w:p>
    <w:p>
      <w:pPr>
        <w:spacing w:after="0" w:line="38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establish any alternative method of withholding as may be required from the alternatives (i) – (iii) herein and, if the Plan Administrator does not exercise its discretion prior to the Tax-Related Items withholding event, then the method of withholding set forth in alternative (iii) shall apply.</w:t>
      </w:r>
    </w:p>
    <w:p>
      <w:pPr>
        <w:spacing w:after="0" w:line="186" w:lineRule="exact"/>
        <w:rPr>
          <w:sz w:val="20"/>
          <w:szCs w:val="20"/>
          <w:color w:val="auto"/>
        </w:rPr>
      </w:pPr>
    </w:p>
    <w:p>
      <w:pPr>
        <w:jc w:val="both"/>
        <w:ind w:firstLine="1386"/>
        <w:spacing w:after="0" w:line="246" w:lineRule="auto"/>
        <w:tabs>
          <w:tab w:leader="none" w:pos="195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equivalent amount in Shares. If the obligation for Tax-Related Items is satisfied by withholding in Shares, for tax purposes, you will be deemed to have been issued the full number of Shares subject to the Vested Units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9.3 </w:t>
      </w:r>
      <w:r>
        <w:rPr>
          <w:rFonts w:ascii="Arial" w:cs="Arial" w:eastAsia="Arial" w:hAnsi="Arial"/>
          <w:sz w:val="19"/>
          <w:szCs w:val="19"/>
          <w:color w:val="auto"/>
        </w:rPr>
        <w:t>You acknowledge that the authorization and instruction to the Agent set forth in Section 9.2(a)(i) above to sell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to cover the Tax-Related Items is intended to comply with the requirements of Rule 10b5-1(c)(1)(i)(B) under the Exchange Act and to be interpreted to comply with the requirements of Rule 10b5-1(c) under the Exchange Act (regarding trading of the Company’s securities on the basis of material nonpublic information) (a “</w:t>
      </w:r>
      <w:r>
        <w:rPr>
          <w:rFonts w:ascii="Arial" w:cs="Arial" w:eastAsia="Arial" w:hAnsi="Arial"/>
          <w:sz w:val="19"/>
          <w:szCs w:val="19"/>
          <w:b w:val="1"/>
          <w:bCs w:val="1"/>
          <w:i w:val="1"/>
          <w:iCs w:val="1"/>
          <w:color w:val="auto"/>
        </w:rPr>
        <w:t>10b5-1 Plan</w:t>
      </w:r>
      <w:r>
        <w:rPr>
          <w:rFonts w:ascii="Arial" w:cs="Arial" w:eastAsia="Arial" w:hAnsi="Arial"/>
          <w:sz w:val="19"/>
          <w:szCs w:val="19"/>
          <w:color w:val="auto"/>
        </w:rPr>
        <w:t>”). This 10b5-1 Plan is being adopted to permit you to sell a number of Shares issued upon settlement of Vested Units sufficient to pay the Tax-Related Items.</w:t>
      </w:r>
    </w:p>
    <w:p>
      <w:pPr>
        <w:spacing w:after="0" w:line="14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You acknowledge that the broker is under no obligation to arrange for the sale of Shares at any particular price. You further acknowledge that you will be responsible for all brokerage fees and other costs of sale, and you agree to indemnify and hold the Company harmless from any losses, costs, damages, or expenses relating to any such sale. You acknowledge that it may not be possible to sell Shares during the term of this 10b5-1 Plan due to (a) a legal or contractual restriction applicable to you or to the broker, (b) a market disruption, (c) rules governing order execution priority on the Nasdaq or other exchange where the Shares may be traded, (d) a sale effected pursuant to this 10b5-1 Plan that fails to comply (or in the reasonable opinion of the Agent’s counsel is likely not to comply) with the Securities Act, or (e) if the Company determines that sales may not be effected under this 10b5-1 Plan. In the event of the Agent’s inability to sell Shares, you will continue to be responsible for the Tax-Related Items.</w:t>
      </w:r>
    </w:p>
    <w:p>
      <w:pPr>
        <w:spacing w:after="0" w:line="15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You hereby agree to execute and deliver to the Agent any other agreements or documents as the Agent reasonably deems necessary or appropriate to carry out the purposes and intent of the 10b5-1 Plan. You acknowledge that this 10b5-1 Plan is subject to the terms of any policy adopted now or hereafter by the Company governing the adoption of 10b5-1 plans. The Agent is a third party beneficiary of Section 9.2(a)(i) and this 10b5-1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10.36</w:t>
      </w:r>
    </w:p>
    <w:p>
      <w:pPr>
        <w:spacing w:after="0" w:line="200" w:lineRule="exact"/>
        <w:rPr>
          <w:sz w:val="20"/>
          <w:szCs w:val="20"/>
          <w:color w:val="auto"/>
        </w:rPr>
      </w:pPr>
    </w:p>
    <w:p>
      <w:pPr>
        <w:spacing w:after="0" w:line="381" w:lineRule="exact"/>
        <w:rPr>
          <w:sz w:val="20"/>
          <w:szCs w:val="20"/>
          <w:color w:val="auto"/>
        </w:rPr>
      </w:pPr>
    </w:p>
    <w:p>
      <w:pPr>
        <w:ind w:left="660" w:hanging="584"/>
        <w:spacing w:after="0"/>
        <w:tabs>
          <w:tab w:leader="none" w:pos="660"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Grant</w:t>
      </w:r>
    </w:p>
    <w:p>
      <w:pPr>
        <w:spacing w:after="0" w:line="225" w:lineRule="exact"/>
        <w:rPr>
          <w:rFonts w:ascii="Arial" w:cs="Arial" w:eastAsia="Arial" w:hAnsi="Arial"/>
          <w:sz w:val="22"/>
          <w:szCs w:val="22"/>
          <w:b w:val="1"/>
          <w:bCs w:val="1"/>
          <w:color w:val="auto"/>
        </w:rPr>
      </w:pPr>
    </w:p>
    <w:p>
      <w:pPr>
        <w:ind w:left="640"/>
        <w:spacing w:after="0"/>
        <w:rPr>
          <w:rFonts w:ascii="Arial" w:cs="Arial" w:eastAsia="Arial" w:hAnsi="Arial"/>
          <w:sz w:val="22"/>
          <w:szCs w:val="22"/>
          <w:b w:val="1"/>
          <w:bCs w:val="1"/>
          <w:color w:val="auto"/>
        </w:rPr>
      </w:pPr>
      <w:r>
        <w:rPr>
          <w:rFonts w:ascii="Arial" w:cs="Arial" w:eastAsia="Arial" w:hAnsi="Arial"/>
          <w:sz w:val="22"/>
          <w:szCs w:val="22"/>
          <w:color w:val="auto"/>
        </w:rPr>
        <w:t>In accepting the grant, you acknowledge, understand and agree that:</w:t>
      </w:r>
    </w:p>
    <w:p>
      <w:pPr>
        <w:spacing w:after="0" w:line="219" w:lineRule="exact"/>
        <w:rPr>
          <w:rFonts w:ascii="Arial" w:cs="Arial" w:eastAsia="Arial" w:hAnsi="Arial"/>
          <w:sz w:val="22"/>
          <w:szCs w:val="22"/>
          <w:b w:val="1"/>
          <w:bCs w:val="1"/>
          <w:color w:val="auto"/>
        </w:rPr>
      </w:pPr>
    </w:p>
    <w:p>
      <w:pPr>
        <w:ind w:right="20" w:firstLine="656"/>
        <w:spacing w:after="0" w:line="263" w:lineRule="auto"/>
        <w:tabs>
          <w:tab w:leader="none" w:pos="1193"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146"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the grant of the Award is voluntary and occasional and does not create any contractual or other right to receive future grants of restricted stock units, or benefits in lieu of restricted stock units, even if restricted stock units have been granted in the past;</w:t>
      </w:r>
    </w:p>
    <w:p>
      <w:pPr>
        <w:spacing w:after="0" w:line="185" w:lineRule="exact"/>
        <w:rPr>
          <w:rFonts w:ascii="Arial" w:cs="Arial" w:eastAsia="Arial" w:hAnsi="Arial"/>
          <w:sz w:val="22"/>
          <w:szCs w:val="22"/>
          <w:color w:val="auto"/>
        </w:rPr>
      </w:pPr>
    </w:p>
    <w:p>
      <w:pPr>
        <w:ind w:left="1120" w:hanging="464"/>
        <w:spacing w:after="0"/>
        <w:tabs>
          <w:tab w:leader="none" w:pos="1120" w:val="left"/>
        </w:tabs>
        <w:numPr>
          <w:ilvl w:val="1"/>
          <w:numId w:val="123"/>
        </w:numPr>
        <w:rPr>
          <w:rFonts w:ascii="Arial" w:cs="Arial" w:eastAsia="Arial" w:hAnsi="Arial"/>
          <w:sz w:val="19"/>
          <w:szCs w:val="19"/>
          <w:color w:val="auto"/>
        </w:rPr>
      </w:pPr>
      <w:r>
        <w:rPr>
          <w:rFonts w:ascii="Arial" w:cs="Arial" w:eastAsia="Arial" w:hAnsi="Arial"/>
          <w:sz w:val="19"/>
          <w:szCs w:val="19"/>
          <w:color w:val="auto"/>
        </w:rPr>
        <w:t>all decisions with respect to future grants of restricted stock units, if any, will be at the sole discretion of the Company;</w:t>
      </w:r>
    </w:p>
    <w:p>
      <w:pPr>
        <w:spacing w:after="0" w:line="254" w:lineRule="exact"/>
        <w:rPr>
          <w:rFonts w:ascii="Arial" w:cs="Arial" w:eastAsia="Arial" w:hAnsi="Arial"/>
          <w:sz w:val="19"/>
          <w:szCs w:val="19"/>
          <w:color w:val="auto"/>
        </w:rPr>
      </w:pPr>
    </w:p>
    <w:p>
      <w:pPr>
        <w:jc w:val="both"/>
        <w:ind w:firstLine="656"/>
        <w:spacing w:after="0" w:line="250" w:lineRule="auto"/>
        <w:tabs>
          <w:tab w:leader="none" w:pos="1175"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the grant of the Award and your participation in the Plan shall not create a right to employment or be interpreted as forming an employment or service contract with the Employer, the Company or any Related Corporation and shall not interfere with the ability of the Employer, the Company or any Related Corporation to terminate your employment or service relationship (if any);</w:t>
      </w:r>
    </w:p>
    <w:p>
      <w:pPr>
        <w:spacing w:after="0" w:line="188" w:lineRule="exact"/>
        <w:rPr>
          <w:rFonts w:ascii="Arial" w:cs="Arial" w:eastAsia="Arial" w:hAnsi="Arial"/>
          <w:sz w:val="22"/>
          <w:szCs w:val="22"/>
          <w:color w:val="auto"/>
        </w:rPr>
      </w:pPr>
    </w:p>
    <w:p>
      <w:pPr>
        <w:ind w:left="1120" w:hanging="464"/>
        <w:spacing w:after="0"/>
        <w:tabs>
          <w:tab w:leader="none" w:pos="112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you are voluntarily participating in the Plan;</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1"/>
          <w:numId w:val="123"/>
        </w:numPr>
        <w:rPr>
          <w:rFonts w:ascii="Arial" w:cs="Arial" w:eastAsia="Arial" w:hAnsi="Arial"/>
          <w:sz w:val="19"/>
          <w:szCs w:val="19"/>
          <w:color w:val="auto"/>
        </w:rPr>
      </w:pPr>
      <w:r>
        <w:rPr>
          <w:rFonts w:ascii="Arial" w:cs="Arial" w:eastAsia="Arial" w:hAnsi="Arial"/>
          <w:sz w:val="19"/>
          <w:szCs w:val="19"/>
          <w:color w:val="auto"/>
        </w:rPr>
        <w:t>the Award and the Shares subject to the Award are not intended to replace any pension rights or compensation;</w:t>
      </w:r>
    </w:p>
    <w:p>
      <w:pPr>
        <w:spacing w:after="0" w:line="254" w:lineRule="exact"/>
        <w:rPr>
          <w:rFonts w:ascii="Arial" w:cs="Arial" w:eastAsia="Arial" w:hAnsi="Arial"/>
          <w:sz w:val="19"/>
          <w:szCs w:val="19"/>
          <w:color w:val="auto"/>
        </w:rPr>
      </w:pPr>
    </w:p>
    <w:p>
      <w:pPr>
        <w:jc w:val="both"/>
        <w:ind w:firstLine="656"/>
        <w:spacing w:after="0" w:line="271" w:lineRule="auto"/>
        <w:tabs>
          <w:tab w:leader="none" w:pos="1141" w:val="left"/>
        </w:tabs>
        <w:numPr>
          <w:ilvl w:val="1"/>
          <w:numId w:val="123"/>
        </w:numPr>
        <w:rPr>
          <w:rFonts w:ascii="Arial" w:cs="Arial" w:eastAsia="Arial" w:hAnsi="Arial"/>
          <w:sz w:val="21"/>
          <w:szCs w:val="21"/>
          <w:color w:val="auto"/>
        </w:rPr>
      </w:pPr>
      <w:r>
        <w:rPr>
          <w:rFonts w:ascii="Arial" w:cs="Arial" w:eastAsia="Arial" w:hAnsi="Arial"/>
          <w:sz w:val="21"/>
          <w:szCs w:val="21"/>
          <w:color w:val="auto"/>
        </w:rPr>
        <w:t>the Award and the Shares subject to the Award, and the income and value of same, are not part of normal or expected compensation for purposes of calculating any severance, resignation, termination, redundancy, dismissal, end of service payments, bonuses, long-service awards, pension or retirement or welfare benefits or similar payments;</w:t>
      </w:r>
    </w:p>
    <w:p>
      <w:pPr>
        <w:spacing w:after="0" w:line="167" w:lineRule="exact"/>
        <w:rPr>
          <w:rFonts w:ascii="Arial" w:cs="Arial" w:eastAsia="Arial" w:hAnsi="Arial"/>
          <w:sz w:val="21"/>
          <w:szCs w:val="21"/>
          <w:color w:val="auto"/>
        </w:rPr>
      </w:pPr>
    </w:p>
    <w:p>
      <w:pPr>
        <w:ind w:left="1120" w:hanging="464"/>
        <w:spacing w:after="0"/>
        <w:tabs>
          <w:tab w:leader="none" w:pos="1120" w:val="left"/>
        </w:tabs>
        <w:numPr>
          <w:ilvl w:val="1"/>
          <w:numId w:val="123"/>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indeterminable and cannot be predicted with certainty;</w:t>
      </w:r>
    </w:p>
    <w:p>
      <w:pPr>
        <w:spacing w:after="0" w:line="231" w:lineRule="exact"/>
        <w:rPr>
          <w:rFonts w:ascii="Arial" w:cs="Arial" w:eastAsia="Arial" w:hAnsi="Arial"/>
          <w:sz w:val="21"/>
          <w:szCs w:val="21"/>
          <w:color w:val="auto"/>
        </w:rPr>
      </w:pPr>
    </w:p>
    <w:p>
      <w:pPr>
        <w:jc w:val="both"/>
        <w:ind w:firstLine="656"/>
        <w:spacing w:after="0" w:line="250" w:lineRule="auto"/>
        <w:tabs>
          <w:tab w:leader="none" w:pos="1189" w:val="left"/>
        </w:tabs>
        <w:numPr>
          <w:ilvl w:val="1"/>
          <w:numId w:val="123"/>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resulting from your ceasing to provide employment or other services to the Company or the Employer (for any reason whatsoever, and whether or not later found to be invalid or in breach of employment laws in the jurisdiction where you are employed or the terms of your employment agreement, if any);</w:t>
      </w:r>
    </w:p>
    <w:p>
      <w:pPr>
        <w:spacing w:after="0" w:line="188" w:lineRule="exact"/>
        <w:rPr>
          <w:rFonts w:ascii="Arial" w:cs="Arial" w:eastAsia="Arial" w:hAnsi="Arial"/>
          <w:sz w:val="22"/>
          <w:szCs w:val="22"/>
          <w:color w:val="auto"/>
        </w:rPr>
      </w:pPr>
    </w:p>
    <w:p>
      <w:pPr>
        <w:jc w:val="both"/>
        <w:ind w:firstLine="656"/>
        <w:spacing w:after="0" w:line="297" w:lineRule="auto"/>
        <w:tabs>
          <w:tab w:leader="none" w:pos="1078" w:val="left"/>
        </w:tabs>
        <w:numPr>
          <w:ilvl w:val="1"/>
          <w:numId w:val="123"/>
        </w:numPr>
        <w:rPr>
          <w:rFonts w:ascii="Arial" w:cs="Arial" w:eastAsia="Arial" w:hAnsi="Arial"/>
          <w:sz w:val="19"/>
          <w:szCs w:val="19"/>
          <w:color w:val="auto"/>
        </w:rPr>
      </w:pPr>
      <w:r>
        <w:rPr>
          <w:rFonts w:ascii="Arial" w:cs="Arial" w:eastAsia="Arial" w:hAnsi="Arial"/>
          <w:sz w:val="19"/>
          <w:szCs w:val="19"/>
          <w:color w:val="auto"/>
        </w:rPr>
        <w:t>for purposes of the Award, your employment will be considered terminated as of the date you cease to actively provide services to the Company or a Related Corporation; further, in the event of termination of your employment or other services (for any reason whatsoever, whether or not later found to be invalid or in breach of employment laws in the jurisdiction where you are employed or the terms of your employment agreement, if any), unless otherwise provided in this Agreement or determined by the Company, your right to vest in the Award, if any, will terminate effective as of the date that you are no longer actively providing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10.36</w:t>
      </w:r>
    </w:p>
    <w:p>
      <w:pPr>
        <w:spacing w:after="0" w:line="200" w:lineRule="exact"/>
        <w:rPr>
          <w:sz w:val="20"/>
          <w:szCs w:val="20"/>
          <w:color w:val="auto"/>
        </w:rPr>
      </w:pPr>
    </w:p>
    <w:p>
      <w:pPr>
        <w:spacing w:after="0" w:line="387"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services and will not be extended by any notice period (</w:t>
      </w:r>
      <w:r>
        <w:rPr>
          <w:rFonts w:ascii="Arial" w:cs="Arial" w:eastAsia="Arial" w:hAnsi="Arial"/>
          <w:sz w:val="21"/>
          <w:szCs w:val="21"/>
          <w:i w:val="1"/>
          <w:iCs w:val="1"/>
          <w:color w:val="auto"/>
        </w:rPr>
        <w:t>e.g.</w:t>
      </w:r>
      <w:r>
        <w:rPr>
          <w:rFonts w:ascii="Arial" w:cs="Arial" w:eastAsia="Arial" w:hAnsi="Arial"/>
          <w:sz w:val="21"/>
          <w:szCs w:val="21"/>
          <w:color w:val="auto"/>
        </w:rPr>
        <w:t>, active service would not include any contractual notice period or any period of “garden leave” or similar period mandated under employment laws in the jurisdiction where you are employed or the terms of your employment agreement, if any); the Company’s Chief Executive Officer shall have the exclusive discretion to determine when you are no longer actively providing services for purposes of the Award (including whether or not you may still be considered to be providing services while on an approved leave of absence);</w:t>
      </w:r>
    </w:p>
    <w:p>
      <w:pPr>
        <w:spacing w:after="0" w:line="176" w:lineRule="exact"/>
        <w:rPr>
          <w:sz w:val="20"/>
          <w:szCs w:val="20"/>
          <w:color w:val="auto"/>
        </w:rPr>
      </w:pPr>
    </w:p>
    <w:p>
      <w:pPr>
        <w:jc w:val="both"/>
        <w:ind w:firstLine="656"/>
        <w:spacing w:after="0" w:line="250" w:lineRule="auto"/>
        <w:tabs>
          <w:tab w:leader="none" w:pos="1175" w:val="left"/>
        </w:tabs>
        <w:numPr>
          <w:ilvl w:val="1"/>
          <w:numId w:val="124"/>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 of the Company; and</w:t>
      </w:r>
    </w:p>
    <w:p>
      <w:pPr>
        <w:spacing w:after="0" w:line="188" w:lineRule="exact"/>
        <w:rPr>
          <w:rFonts w:ascii="Arial" w:cs="Arial" w:eastAsia="Arial" w:hAnsi="Arial"/>
          <w:sz w:val="22"/>
          <w:szCs w:val="22"/>
          <w:color w:val="auto"/>
        </w:rPr>
      </w:pPr>
    </w:p>
    <w:p>
      <w:pPr>
        <w:ind w:left="1080" w:hanging="424"/>
        <w:spacing w:after="0"/>
        <w:tabs>
          <w:tab w:leader="none" w:pos="108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the following provisions apply only if you are providing services outside the United States:</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2"/>
          <w:numId w:val="124"/>
        </w:numPr>
        <w:rPr>
          <w:rFonts w:ascii="Arial" w:cs="Arial" w:eastAsia="Arial" w:hAnsi="Arial"/>
          <w:sz w:val="19"/>
          <w:szCs w:val="19"/>
          <w:color w:val="auto"/>
        </w:rPr>
      </w:pPr>
      <w:r>
        <w:rPr>
          <w:rFonts w:ascii="Arial" w:cs="Arial" w:eastAsia="Arial" w:hAnsi="Arial"/>
          <w:sz w:val="19"/>
          <w:szCs w:val="19"/>
          <w:color w:val="auto"/>
        </w:rPr>
        <w:t>the Award and the Shares subject to the Award are not part of normal or expected compensation or salary for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 purpose;</w:t>
      </w:r>
    </w:p>
    <w:p>
      <w:pPr>
        <w:spacing w:after="0" w:line="201" w:lineRule="exact"/>
        <w:rPr>
          <w:rFonts w:ascii="Arial" w:cs="Arial" w:eastAsia="Arial" w:hAnsi="Arial"/>
          <w:sz w:val="19"/>
          <w:szCs w:val="19"/>
          <w:color w:val="auto"/>
        </w:rPr>
      </w:pPr>
    </w:p>
    <w:p>
      <w:pPr>
        <w:jc w:val="both"/>
        <w:ind w:firstLine="1305"/>
        <w:spacing w:after="0" w:line="312" w:lineRule="auto"/>
        <w:tabs>
          <w:tab w:leader="none" w:pos="1812" w:val="left"/>
        </w:tabs>
        <w:numPr>
          <w:ilvl w:val="2"/>
          <w:numId w:val="124"/>
        </w:numPr>
        <w:rPr>
          <w:rFonts w:ascii="Arial" w:cs="Arial" w:eastAsia="Arial" w:hAnsi="Arial"/>
          <w:sz w:val="19"/>
          <w:szCs w:val="19"/>
          <w:color w:val="auto"/>
        </w:rPr>
      </w:pPr>
      <w:r>
        <w:rPr>
          <w:rFonts w:ascii="Arial" w:cs="Arial" w:eastAsia="Arial" w:hAnsi="Arial"/>
          <w:sz w:val="19"/>
          <w:szCs w:val="19"/>
          <w:color w:val="auto"/>
        </w:rPr>
        <w:t>neither the Company, the Employer nor any Related Corporation shall be liable for any foreign exchange rate fluctuation between your local currency and the United States dollar that may affect the value of the Award or of any amounts due to you pursuant to the settlement of the Award or the subsequent sale of any Shares acquired upon settlement.</w:t>
      </w:r>
    </w:p>
    <w:p>
      <w:pPr>
        <w:spacing w:after="0" w:line="127" w:lineRule="exact"/>
        <w:rPr>
          <w:rFonts w:ascii="Arial" w:cs="Arial" w:eastAsia="Arial" w:hAnsi="Arial"/>
          <w:sz w:val="19"/>
          <w:szCs w:val="19"/>
          <w:color w:val="auto"/>
        </w:rPr>
      </w:pPr>
    </w:p>
    <w:p>
      <w:pPr>
        <w:ind w:left="480" w:hanging="472"/>
        <w:spacing w:after="0"/>
        <w:tabs>
          <w:tab w:leader="none" w:pos="480"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color w:val="auto"/>
        </w:rPr>
        <w:t>No Advice Regarding Grant</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150" w:lineRule="exact"/>
        <w:rPr>
          <w:sz w:val="20"/>
          <w:szCs w:val="20"/>
          <w:color w:val="auto"/>
        </w:rPr>
      </w:pPr>
    </w:p>
    <w:p>
      <w:pPr>
        <w:ind w:left="500" w:hanging="492"/>
        <w:spacing w:after="0"/>
        <w:tabs>
          <w:tab w:leader="none" w:pos="500"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Data Privacy</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i w:val="1"/>
          <w:iCs w:val="1"/>
          <w:color w:val="auto"/>
        </w:rPr>
        <w:t>You understand that the Company and the Employer may hold and process certain personal information about you, including, but not limited to, your name, home address,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10.36</w:t>
      </w:r>
    </w:p>
    <w:p>
      <w:pPr>
        <w:spacing w:after="0" w:line="200" w:lineRule="exact"/>
        <w:rPr>
          <w:sz w:val="20"/>
          <w:szCs w:val="20"/>
          <w:color w:val="auto"/>
        </w:rPr>
      </w:pPr>
    </w:p>
    <w:p>
      <w:pPr>
        <w:spacing w:after="0" w:line="38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b w:val="1"/>
          <w:bCs w:val="1"/>
          <w:i w:val="1"/>
          <w:iCs w:val="1"/>
          <w:color w:val="auto"/>
        </w:rPr>
        <w:t>email address and telephone number, date of birth, social insurance number, passport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14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your employment status or service and career with the Employer will not be affected; the only consequence of refusing or withdrawing your consent is that the Company would not be able to grant you the Award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b w:val="1"/>
          <w:bCs w:val="1"/>
          <w:i w:val="1"/>
          <w:iCs w:val="1"/>
          <w:color w:val="auto"/>
        </w:rPr>
        <w:t>Finally, upon request of the Company and/or the Employer, you agree to provide an executed data privacy consent form (or any other agreements or consents) that the Company and/or the Employer may deem necessary to obtain from you for the purpose of administering the Award in compliance with the data privacy laws in your country, either now or in the future. You understand and agree that you will not be able to accept the Award if you fail to provide such consent or agreement as requested by the Company and/or the Employer.</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Electronic Delivery and Participation</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10.36</w:t>
      </w:r>
    </w:p>
    <w:p>
      <w:pPr>
        <w:spacing w:after="0" w:line="200" w:lineRule="exact"/>
        <w:rPr>
          <w:sz w:val="20"/>
          <w:szCs w:val="20"/>
          <w:color w:val="auto"/>
        </w:rPr>
      </w:pPr>
    </w:p>
    <w:p>
      <w:pPr>
        <w:spacing w:after="0" w:line="38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Language</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You acknowledge that you are sufficiently proficient in English to understand the terms and conditions of the Agreement. Furthermore, if you have received this Agreement (or any portion thereof) or any other document related to the Plan translated into a language other than English and if the meaning of the translated version is different from the English version, the English version will control.</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color w:val="auto"/>
        </w:rPr>
        <w:t>General Provisions</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15.1 Successors and Assigns</w:t>
      </w:r>
      <w:r>
        <w:rPr>
          <w:rFonts w:ascii="Arial" w:cs="Arial" w:eastAsia="Arial" w:hAnsi="Arial"/>
          <w:sz w:val="21"/>
          <w:szCs w:val="21"/>
          <w:color w:val="auto"/>
        </w:rPr>
        <w:t>. The provisions of this Agreement will inure to the benefit of the successors and assigns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and be binding upon you and your heirs, executors, administrators, successors and assigns.</w:t>
      </w:r>
    </w:p>
    <w:p>
      <w:pPr>
        <w:spacing w:after="0" w:line="14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b w:val="1"/>
          <w:bCs w:val="1"/>
          <w:color w:val="auto"/>
        </w:rPr>
        <w:t>Section 409A</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89" w:lineRule="auto"/>
        <w:tabs>
          <w:tab w:leader="none" w:pos="1782" w:val="left"/>
        </w:tabs>
        <w:numPr>
          <w:ilvl w:val="0"/>
          <w:numId w:val="127"/>
        </w:numPr>
        <w:rPr>
          <w:rFonts w:ascii="Arial" w:cs="Arial" w:eastAsia="Arial" w:hAnsi="Arial"/>
          <w:sz w:val="19"/>
          <w:szCs w:val="19"/>
          <w:color w:val="auto"/>
        </w:rPr>
      </w:pPr>
      <w:r>
        <w:rPr>
          <w:rFonts w:ascii="Arial" w:cs="Arial" w:eastAsia="Arial" w:hAnsi="Arial"/>
          <w:sz w:val="19"/>
          <w:szCs w:val="19"/>
          <w:color w:val="auto"/>
        </w:rPr>
        <w:t>For purposes of U.S. taxpayers, the settlement of the Units is intended to be in compliance with Section 409A of the Code, and this Agreement will be interpreted, operated and administered in a manner that is consistent with this intent. In furtherance of this intent, the Plan Administrator may, at any time and without your consent, modify the terms of the Award as it determines appropriate to comply with the requirements of Section 409A of the Code and the related U.S. Department of Treasury guidance or to mitigate any additional tax, interest and/or penalties that may apply under Section 409A of the Code if compliance is not practicable. The Company makes no representation or covenant to ensure that the Units, settlement of the Units or other payment hereunder are compliant with Section 409A of the Code and will have no liability to you or any other party if the settlement of the Units or other payment hereunder that is intended to be compliant with Section 409A of the Code, is not compliant or for any action taken by the Plan Administrator with respect thereto.</w:t>
      </w:r>
    </w:p>
    <w:p>
      <w:pPr>
        <w:spacing w:after="0" w:line="157" w:lineRule="exact"/>
        <w:rPr>
          <w:rFonts w:ascii="Arial" w:cs="Arial" w:eastAsia="Arial" w:hAnsi="Arial"/>
          <w:sz w:val="19"/>
          <w:szCs w:val="19"/>
          <w:color w:val="auto"/>
        </w:rPr>
      </w:pPr>
    </w:p>
    <w:p>
      <w:pPr>
        <w:jc w:val="both"/>
        <w:ind w:firstLine="1305"/>
        <w:spacing w:after="0" w:line="258" w:lineRule="auto"/>
        <w:tabs>
          <w:tab w:leader="none" w:pos="1969" w:val="left"/>
        </w:tabs>
        <w:numPr>
          <w:ilvl w:val="0"/>
          <w:numId w:val="127"/>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any Units that become vested under this Agreement by reason of a termination of employment and that constitute an item of non-qualified deferred compensation subject to Section 409A of the Code shall not be settled unless you experience a “separation from service” within the meaning of Section 409A of the Code (a “</w:t>
      </w:r>
      <w:r>
        <w:rPr>
          <w:rFonts w:ascii="Arial" w:cs="Arial" w:eastAsia="Arial" w:hAnsi="Arial"/>
          <w:sz w:val="21"/>
          <w:szCs w:val="21"/>
          <w:b w:val="1"/>
          <w:bCs w:val="1"/>
          <w:i w:val="1"/>
          <w:iCs w:val="1"/>
          <w:color w:val="auto"/>
        </w:rPr>
        <w:t>Separation from Service</w:t>
      </w:r>
      <w:r>
        <w:rPr>
          <w:rFonts w:ascii="Arial" w:cs="Arial" w:eastAsia="Arial" w:hAnsi="Arial"/>
          <w:sz w:val="21"/>
          <w:szCs w:val="21"/>
          <w:color w:val="auto"/>
        </w:rPr>
        <w:t>”) and such Units shall be settled within 90 days of a Separation from Service; provided, however, that if you are a “specified employee” within the meaning of Section 409A of the Code as of the date of the Separation from Service (as determined according to the methodology established by the Company as in effect on the date of your termination of employment), such Units shall instead be settled on the first business day that is after the earlier of (i) the date that is six months following the date of the Separation from Service or (ii) the date of your death, to the extent such delayed payment is otherwise required in order to avoid a prohibited distribution under Section 409A(a)(2) of the Code, or any successor provision thereto.</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15.3 Governing Law and Choice of Venue</w:t>
      </w:r>
      <w:r>
        <w:rPr>
          <w:rFonts w:ascii="Arial" w:cs="Arial" w:eastAsia="Arial" w:hAnsi="Arial"/>
          <w:sz w:val="22"/>
          <w:szCs w:val="22"/>
          <w:color w:val="auto"/>
        </w:rPr>
        <w:t>. The Award and the provisions of this Agreement will be construed and</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administered in accordance with and governed by the laws of the State of Washington without giving effect to such state’s principles of conflict of laws. For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10.36</w:t>
      </w:r>
    </w:p>
    <w:p>
      <w:pPr>
        <w:spacing w:after="0" w:line="200" w:lineRule="exact"/>
        <w:rPr>
          <w:sz w:val="20"/>
          <w:szCs w:val="20"/>
          <w:color w:val="auto"/>
        </w:rPr>
      </w:pPr>
    </w:p>
    <w:p>
      <w:pPr>
        <w:spacing w:after="0" w:line="38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82"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b w:val="1"/>
          <w:bCs w:val="1"/>
          <w:color w:val="auto"/>
        </w:rPr>
        <w:t>15.4 Severability</w:t>
      </w:r>
      <w:r>
        <w:rPr>
          <w:rFonts w:ascii="Arial" w:cs="Arial" w:eastAsia="Arial" w:hAnsi="Arial"/>
          <w:sz w:val="19"/>
          <w:szCs w:val="19"/>
          <w:color w:val="auto"/>
        </w:rPr>
        <w:t>. The provisions of this Agreement are severable and if any one or more provisions are determined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illegal or otherwise unenforceable, in whole or in part, the remaining provisions shall nevertheless be binding and enforceable.</w:t>
      </w:r>
    </w:p>
    <w:p>
      <w:pPr>
        <w:spacing w:after="0" w:line="92" w:lineRule="exact"/>
        <w:rPr>
          <w:sz w:val="20"/>
          <w:szCs w:val="20"/>
          <w:color w:val="auto"/>
        </w:rPr>
      </w:pPr>
    </w:p>
    <w:p>
      <w:pPr>
        <w:jc w:val="center"/>
        <w:ind w:right="-59"/>
        <w:spacing w:after="0"/>
        <w:tabs>
          <w:tab w:leader="none" w:pos="200" w:val="left"/>
        </w:tabs>
        <w:rPr>
          <w:sz w:val="20"/>
          <w:szCs w:val="20"/>
          <w:color w:val="auto"/>
        </w:rPr>
      </w:pPr>
      <w:r>
        <w:rPr>
          <w:rFonts w:ascii="Arial" w:cs="Arial" w:eastAsia="Arial" w:hAnsi="Arial"/>
          <w:sz w:val="22"/>
          <w:szCs w:val="22"/>
          <w:b w:val="1"/>
          <w:bCs w:val="1"/>
          <w:color w:val="auto"/>
        </w:rPr>
        <w:t>15.5</w:t>
      </w:r>
      <w:r>
        <w:rPr>
          <w:sz w:val="20"/>
          <w:szCs w:val="20"/>
          <w:color w:val="auto"/>
        </w:rPr>
        <w:tab/>
      </w:r>
      <w:r>
        <w:rPr>
          <w:rFonts w:ascii="Arial" w:cs="Arial" w:eastAsia="Arial" w:hAnsi="Arial"/>
          <w:sz w:val="19"/>
          <w:szCs w:val="19"/>
          <w:b w:val="1"/>
          <w:bCs w:val="1"/>
          <w:color w:val="auto"/>
        </w:rPr>
        <w:t>Notice</w:t>
      </w:r>
      <w:r>
        <w:rPr>
          <w:rFonts w:ascii="Arial" w:cs="Arial" w:eastAsia="Arial" w:hAnsi="Arial"/>
          <w:sz w:val="19"/>
          <w:szCs w:val="19"/>
          <w:color w:val="auto"/>
        </w:rPr>
        <w:t>. Any notice required or permitted hereunder shall be made in writing and sent to the following address:</w:t>
      </w:r>
    </w:p>
    <w:p>
      <w:pPr>
        <w:spacing w:after="0" w:line="226"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Itron, Inc.</w:t>
      </w:r>
    </w:p>
    <w:p>
      <w:pPr>
        <w:spacing w:after="0" w:line="22"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2111 N. Molter Road</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Liberty Lake, WA USA 99019</w:t>
      </w:r>
    </w:p>
    <w:p>
      <w:pPr>
        <w:spacing w:after="0" w:line="196"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b w:val="1"/>
          <w:bCs w:val="1"/>
          <w:color w:val="auto"/>
        </w:rPr>
        <w:t>Appendix A</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Notwithstanding any provisions in this Agreement, the Award shall be subject to any special terms and conditions set forth in Appendix A to this Agreement. Appendix A constitutes part of this Agreement.</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b w:val="1"/>
          <w:bCs w:val="1"/>
          <w:color w:val="auto"/>
        </w:rPr>
        <w:t>Imposition of Other Requirements</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reserves the right to impose other requirements on your participation in the Plan, on the Award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2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b w:val="1"/>
          <w:bCs w:val="1"/>
          <w:color w:val="auto"/>
        </w:rPr>
        <w:t>Waiver</w:t>
      </w:r>
    </w:p>
    <w:p>
      <w:pPr>
        <w:spacing w:after="0" w:line="22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You acknowledge that a waiver by the Company of breach of any provision of this Agreement shall not operate or be construed as a waiver of any other provision of this Agreement, or of any subsequent breach by you or any other Participant.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Restrictive Covenants</w:t>
      </w:r>
    </w:p>
    <w:p>
      <w:pPr>
        <w:spacing w:after="0" w:line="241" w:lineRule="exact"/>
        <w:rPr>
          <w:sz w:val="20"/>
          <w:szCs w:val="20"/>
          <w:color w:val="auto"/>
        </w:rPr>
      </w:pPr>
    </w:p>
    <w:p>
      <w:pPr>
        <w:jc w:val="both"/>
        <w:ind w:firstLine="1305"/>
        <w:spacing w:after="0" w:line="328" w:lineRule="auto"/>
        <w:tabs>
          <w:tab w:leader="none" w:pos="1801" w:val="left"/>
        </w:tabs>
        <w:numPr>
          <w:ilvl w:val="0"/>
          <w:numId w:val="128"/>
        </w:numPr>
        <w:rPr>
          <w:rFonts w:ascii="Arial" w:cs="Arial" w:eastAsia="Arial" w:hAnsi="Arial"/>
          <w:sz w:val="19"/>
          <w:szCs w:val="19"/>
          <w:color w:val="auto"/>
        </w:rPr>
      </w:pPr>
      <w:r>
        <w:rPr>
          <w:rFonts w:ascii="Arial" w:cs="Arial" w:eastAsia="Arial" w:hAnsi="Arial"/>
          <w:sz w:val="19"/>
          <w:szCs w:val="19"/>
          <w:b w:val="1"/>
          <w:bCs w:val="1"/>
          <w:u w:val="single" w:color="auto"/>
          <w:color w:val="auto"/>
        </w:rPr>
        <w:t>Confidential Information</w:t>
      </w:r>
      <w:r>
        <w:rPr>
          <w:rFonts w:ascii="Arial" w:cs="Arial" w:eastAsia="Arial" w:hAnsi="Arial"/>
          <w:sz w:val="19"/>
          <w:szCs w:val="19"/>
          <w:color w:val="auto"/>
        </w:rPr>
        <w:t>. The person entering into the Agreement with the Company (the “</w:t>
      </w:r>
      <w:r>
        <w:rPr>
          <w:rFonts w:ascii="Arial" w:cs="Arial" w:eastAsia="Arial" w:hAnsi="Arial"/>
          <w:sz w:val="19"/>
          <w:szCs w:val="19"/>
          <w:b w:val="1"/>
          <w:bCs w:val="1"/>
          <w:color w:val="auto"/>
        </w:rPr>
        <w:t>Participant</w:t>
      </w:r>
      <w:r>
        <w:rPr>
          <w:rFonts w:ascii="Arial" w:cs="Arial" w:eastAsia="Arial" w:hAnsi="Arial"/>
          <w:sz w:val="19"/>
          <w:szCs w:val="19"/>
          <w:color w:val="auto"/>
        </w:rPr>
        <w:t>”) shall</w:t>
      </w:r>
      <w:r>
        <w:rPr>
          <w:rFonts w:ascii="Arial" w:cs="Arial" w:eastAsia="Arial" w:hAnsi="Arial"/>
          <w:sz w:val="19"/>
          <w:szCs w:val="19"/>
          <w:b w:val="1"/>
          <w:bCs w:val="1"/>
          <w:color w:val="auto"/>
        </w:rPr>
        <w:t xml:space="preserve"> </w:t>
      </w:r>
      <w:r>
        <w:rPr>
          <w:rFonts w:ascii="Arial" w:cs="Arial" w:eastAsia="Arial" w:hAnsi="Arial"/>
          <w:sz w:val="19"/>
          <w:szCs w:val="19"/>
          <w:color w:val="auto"/>
        </w:rPr>
        <w:t>hold in a fiduciary capacity for the benefit of the Company and its Subsidiaries (collectively, the “</w:t>
      </w:r>
      <w:r>
        <w:rPr>
          <w:rFonts w:ascii="Arial" w:cs="Arial" w:eastAsia="Arial" w:hAnsi="Arial"/>
          <w:sz w:val="19"/>
          <w:szCs w:val="19"/>
          <w:b w:val="1"/>
          <w:bCs w:val="1"/>
          <w:color w:val="auto"/>
        </w:rPr>
        <w:t>Affiliated Group</w:t>
      </w:r>
      <w:r>
        <w:rPr>
          <w:rFonts w:ascii="Arial" w:cs="Arial" w:eastAsia="Arial" w:hAnsi="Arial"/>
          <w:sz w:val="19"/>
          <w:szCs w:val="19"/>
          <w:color w:val="auto"/>
        </w:rPr>
        <w:t>”), all secret or confidential information, knowledge or data relating to the Affiliated Group and its businesses (including, without limitation, any proprietary and not publicly available information concerning any processes, methods, trade secrets, research or secret data, costs, names of users or purchasers of their respective products or services, business methods, operating procedures or programs or methods of promotion and sale) that the Participant obtains during the Participant’s employment that is not public knowledge (other than as a result of the Participant’s violation of this Section (a))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The Participant shall not communicate, divulge or disseminate Confidential Information at any time during or after the Participant’s employment, except with the prior written consent of the Company, or as otherwise required by law or legal process, or as may be required in the course of the Participant performing his or her duties and responsibilities with the Affiliated Group; provided, however, that no Company policies or practices, including the sections addressing confidentiality obligations, is intended to or shall limit, prevent, impede or interfere in any way with an employee's right, without prior notice to the Company, to provide information to the government, participate in investigations, testify in proceedings regarding the Company's past or future conduct, or engage in any activities protected under whistle blower statutes. Pursuant to the Defend Trade Secrets Act of 2016, an employee shall not be held criminally, or civilly, liable under any Federal or State Trade secret law for the disclosure of a trade secret that is made in confidence either directly or indirectly to a Federal, State, or local government official, or an attorney, for the sole purpose of reporting, or investigating, a violation of law. Moreover, employees may disclose trade secrets in a complaint, or other document, filed in a lawsuit, or other proceeding, if such filing is made under seal. Finally, an employee who files a lawsuit alleging retaliation by the company for reporting a suspected violation of the law may disclose the trade secret to the attorney of the employee and use the trade secret in the court proceeding, if the employee files any document containing the trade secret under seal and does not disclose the trade secret, except pursuant to court order. Upon his or her termination of employment for any reason, the Participant shall promptly return to the Company all records, files, memoranda, correspondence, notebooks, notes, reports, customer lists, drawings, plans, documents, and other documents and the like relating to the business of the Affiliated Group or containing any trade secrets relating to the Affiliated Group or that the Participant uses, prepares or comes into contact with during the course of the Participant’s employment with the Affiliated Group, and all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21"/>
          <w:szCs w:val="21"/>
          <w:color w:val="auto"/>
        </w:rPr>
        <w:t>keys, credit cards and passes, and such materials shall remain the sole property of the Affiliated Group. The Participant agrees to execute any standard-form confidentiality agreements with the Company that the Company in the future generally enters into with similarly situated employees.</w:t>
      </w:r>
    </w:p>
    <w:p>
      <w:pPr>
        <w:spacing w:after="0" w:line="178" w:lineRule="exact"/>
        <w:rPr>
          <w:sz w:val="20"/>
          <w:szCs w:val="20"/>
          <w:color w:val="auto"/>
        </w:rPr>
      </w:pPr>
    </w:p>
    <w:p>
      <w:pPr>
        <w:jc w:val="both"/>
        <w:ind w:firstLine="1305"/>
        <w:spacing w:after="0" w:line="314" w:lineRule="auto"/>
        <w:tabs>
          <w:tab w:leader="none" w:pos="1603" w:val="left"/>
        </w:tabs>
        <w:numPr>
          <w:ilvl w:val="0"/>
          <w:numId w:val="129"/>
        </w:numPr>
        <w:rPr>
          <w:rFonts w:ascii="Arial" w:cs="Arial" w:eastAsia="Arial" w:hAnsi="Arial"/>
          <w:sz w:val="20"/>
          <w:szCs w:val="20"/>
          <w:color w:val="auto"/>
        </w:rPr>
      </w:pPr>
      <w:r>
        <w:rPr>
          <w:rFonts w:ascii="Arial" w:cs="Arial" w:eastAsia="Arial" w:hAnsi="Arial"/>
          <w:sz w:val="20"/>
          <w:szCs w:val="20"/>
          <w:b w:val="1"/>
          <w:bCs w:val="1"/>
          <w:u w:val="single" w:color="auto"/>
          <w:color w:val="auto"/>
        </w:rPr>
        <w:t>Non-Recruitment of Affiliated Group Employees</w:t>
      </w:r>
      <w:r>
        <w:rPr>
          <w:rFonts w:ascii="Arial" w:cs="Arial" w:eastAsia="Arial" w:hAnsi="Arial"/>
          <w:sz w:val="20"/>
          <w:szCs w:val="20"/>
          <w:color w:val="auto"/>
        </w:rPr>
        <w:t>. The Participant acknowledges that employees are a significant</w:t>
      </w:r>
      <w:r>
        <w:rPr>
          <w:rFonts w:ascii="Arial" w:cs="Arial" w:eastAsia="Arial" w:hAnsi="Arial"/>
          <w:sz w:val="20"/>
          <w:szCs w:val="20"/>
          <w:b w:val="1"/>
          <w:bCs w:val="1"/>
          <w:color w:val="auto"/>
        </w:rPr>
        <w:t xml:space="preserve"> </w:t>
      </w:r>
      <w:r>
        <w:rPr>
          <w:rFonts w:ascii="Arial" w:cs="Arial" w:eastAsia="Arial" w:hAnsi="Arial"/>
          <w:sz w:val="20"/>
          <w:szCs w:val="20"/>
          <w:color w:val="auto"/>
        </w:rPr>
        <w:t>part of the goodwill of the Affiliated Group, such as, without limitation, their relationships and contacts with customers and suppliers as well as the training and knowledge they receive from the Affiliated Group in the course of their employment. The Participant shall not, at any time during the Non-solicitation Period (as defined below), without the prior written consent of the Company, directly or indirectly, solicit, recruit, or employ (whether as an employee, officer, agent, consultant or independent contractor) any person who is or was at any time during the previous 12 months, an employee, representative, officer or director of any member of the Affiliated Group. Further, during the Non-solicitation Period, the Participant shall not take any action that could reasonably be expected to have the effect of directly encouraging or inducing any person to cease their relationship with any member of the Affiliated Group for any reason. A general employment advertisement by an entity of which the Participant is a part will not constitute solicitation or recruitment. The “</w:t>
      </w:r>
      <w:r>
        <w:rPr>
          <w:rFonts w:ascii="Arial" w:cs="Arial" w:eastAsia="Arial" w:hAnsi="Arial"/>
          <w:sz w:val="20"/>
          <w:szCs w:val="20"/>
          <w:b w:val="1"/>
          <w:bCs w:val="1"/>
          <w:color w:val="auto"/>
        </w:rPr>
        <w:t>Non-solicitation Period</w:t>
      </w:r>
      <w:r>
        <w:rPr>
          <w:rFonts w:ascii="Arial" w:cs="Arial" w:eastAsia="Arial" w:hAnsi="Arial"/>
          <w:sz w:val="20"/>
          <w:szCs w:val="20"/>
          <w:color w:val="auto"/>
        </w:rPr>
        <w:t>” shall mean the period from the Date of Grant through the first anniversary of the Participant’s termination of employment.</w:t>
      </w:r>
    </w:p>
    <w:p>
      <w:pPr>
        <w:spacing w:after="0" w:line="174" w:lineRule="exact"/>
        <w:rPr>
          <w:rFonts w:ascii="Arial" w:cs="Arial" w:eastAsia="Arial" w:hAnsi="Arial"/>
          <w:sz w:val="20"/>
          <w:szCs w:val="20"/>
          <w:color w:val="auto"/>
        </w:rPr>
      </w:pPr>
    </w:p>
    <w:p>
      <w:pPr>
        <w:jc w:val="both"/>
        <w:ind w:firstLine="1305"/>
        <w:spacing w:after="0" w:line="330" w:lineRule="auto"/>
        <w:tabs>
          <w:tab w:leader="none" w:pos="1619" w:val="left"/>
        </w:tabs>
        <w:numPr>
          <w:ilvl w:val="0"/>
          <w:numId w:val="129"/>
        </w:numPr>
        <w:rPr>
          <w:rFonts w:ascii="Arial" w:cs="Arial" w:eastAsia="Arial" w:hAnsi="Arial"/>
          <w:sz w:val="19"/>
          <w:szCs w:val="19"/>
          <w:color w:val="auto"/>
        </w:rPr>
      </w:pPr>
      <w:r>
        <w:rPr>
          <w:rFonts w:ascii="Arial" w:cs="Arial" w:eastAsia="Arial" w:hAnsi="Arial"/>
          <w:sz w:val="19"/>
          <w:szCs w:val="19"/>
          <w:b w:val="1"/>
          <w:bCs w:val="1"/>
          <w:u w:val="single" w:color="auto"/>
          <w:color w:val="auto"/>
        </w:rPr>
        <w:t>Non-Competition – Solicitation of Business</w:t>
      </w:r>
      <w:r>
        <w:rPr>
          <w:rFonts w:ascii="Arial" w:cs="Arial" w:eastAsia="Arial" w:hAnsi="Arial"/>
          <w:sz w:val="19"/>
          <w:szCs w:val="19"/>
          <w:color w:val="auto"/>
        </w:rPr>
        <w:t>. Participant recognizes and agrees that the Affiliated Group has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Confidential Information to Participant and has an interest in protecting this information from disclosure. Participant further understands that the goodwill of the Affiliated Group is an interest worthy of protection. For the protection of these and other interests, during the Non-competition Period (as defined below), the Participant shall not, either directly or indirectly, compete with the business of the Affiliated Group by (i) becoming 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 is not publicly traded) in any Competitive Business (as defined below), or (ii) soliciting, servicing, or accepting the business of (A) any active customer of any member of the Affiliated Group, or (B) any person or entity who is or was at any time during the previous twelve months a customer of any member of the Affiliated Group, provided that such business is competitive with any significant business of any member of the Affiliated Group. “</w:t>
      </w:r>
      <w:r>
        <w:rPr>
          <w:rFonts w:ascii="Arial" w:cs="Arial" w:eastAsia="Arial" w:hAnsi="Arial"/>
          <w:sz w:val="19"/>
          <w:szCs w:val="19"/>
          <w:b w:val="1"/>
          <w:bCs w:val="1"/>
          <w:color w:val="auto"/>
        </w:rPr>
        <w:t>Competitive Business</w:t>
      </w:r>
      <w:r>
        <w:rPr>
          <w:rFonts w:ascii="Arial" w:cs="Arial" w:eastAsia="Arial" w:hAnsi="Arial"/>
          <w:sz w:val="19"/>
          <w:szCs w:val="19"/>
          <w:color w:val="auto"/>
        </w:rPr>
        <w:t>” shall mean any person or entity (including any joint venture, partnership, firm, corporation, or limited liability company) that conducts a business that is competitive with any business of the Affiliated Group as of the date of termination (or any business that is being actively pursued as of the date of termination by the Affiliated Group). The Affiliated Group designs, manufactures, sells and licenses its products and technology worldwide. In addition, Competitive Businesses, as defined above, are not tied or limited to any specific geographic location. Accordingly, the scope of this Non-Competition provision 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0"/>
        <w:spacing w:after="0" w:line="324" w:lineRule="auto"/>
        <w:rPr>
          <w:sz w:val="20"/>
          <w:szCs w:val="20"/>
          <w:color w:val="auto"/>
        </w:rPr>
      </w:pPr>
      <w:r>
        <w:rPr>
          <w:rFonts w:ascii="Arial" w:cs="Arial" w:eastAsia="Arial" w:hAnsi="Arial"/>
          <w:sz w:val="21"/>
          <w:szCs w:val="21"/>
          <w:color w:val="auto"/>
        </w:rPr>
        <w:t>worldwide. The “</w:t>
      </w:r>
      <w:r>
        <w:rPr>
          <w:rFonts w:ascii="Arial" w:cs="Arial" w:eastAsia="Arial" w:hAnsi="Arial"/>
          <w:sz w:val="21"/>
          <w:szCs w:val="21"/>
          <w:b w:val="1"/>
          <w:bCs w:val="1"/>
          <w:color w:val="auto"/>
        </w:rPr>
        <w:t>Non-competition Period</w:t>
      </w:r>
      <w:r>
        <w:rPr>
          <w:rFonts w:ascii="Arial" w:cs="Arial" w:eastAsia="Arial" w:hAnsi="Arial"/>
          <w:sz w:val="21"/>
          <w:szCs w:val="21"/>
          <w:color w:val="auto"/>
        </w:rPr>
        <w:t>” shall mean the period from the Date of Grant through the first anniversary of the date of termination of the Participant’s employment.</w:t>
      </w:r>
    </w:p>
    <w:p>
      <w:pPr>
        <w:spacing w:after="0" w:line="158" w:lineRule="exact"/>
        <w:rPr>
          <w:sz w:val="20"/>
          <w:szCs w:val="20"/>
          <w:color w:val="auto"/>
        </w:rPr>
      </w:pPr>
    </w:p>
    <w:p>
      <w:pPr>
        <w:jc w:val="both"/>
        <w:ind w:firstLine="1305"/>
        <w:spacing w:after="0" w:line="314" w:lineRule="auto"/>
        <w:tabs>
          <w:tab w:leader="none" w:pos="1630" w:val="left"/>
        </w:tabs>
        <w:numPr>
          <w:ilvl w:val="0"/>
          <w:numId w:val="130"/>
        </w:numPr>
        <w:rPr>
          <w:rFonts w:ascii="Arial" w:cs="Arial" w:eastAsia="Arial" w:hAnsi="Arial"/>
          <w:sz w:val="20"/>
          <w:szCs w:val="20"/>
          <w:color w:val="auto"/>
        </w:rPr>
      </w:pPr>
      <w:r>
        <w:rPr>
          <w:rFonts w:ascii="Arial" w:cs="Arial" w:eastAsia="Arial" w:hAnsi="Arial"/>
          <w:sz w:val="20"/>
          <w:szCs w:val="20"/>
          <w:b w:val="1"/>
          <w:bCs w:val="1"/>
          <w:u w:val="single" w:color="auto"/>
          <w:color w:val="auto"/>
        </w:rPr>
        <w:t>Remedies</w:t>
      </w:r>
      <w:r>
        <w:rPr>
          <w:rFonts w:ascii="Arial" w:cs="Arial" w:eastAsia="Arial" w:hAnsi="Arial"/>
          <w:sz w:val="20"/>
          <w:szCs w:val="20"/>
          <w:color w:val="auto"/>
        </w:rPr>
        <w:t>. The Participant acknowledges and agrees that the terms of this Appendix A: (i) are reasonable in</w:t>
      </w:r>
      <w:r>
        <w:rPr>
          <w:rFonts w:ascii="Arial" w:cs="Arial" w:eastAsia="Arial" w:hAnsi="Arial"/>
          <w:sz w:val="20"/>
          <w:szCs w:val="20"/>
          <w:b w:val="1"/>
          <w:bCs w:val="1"/>
          <w:color w:val="auto"/>
        </w:rPr>
        <w:t xml:space="preserve"> </w:t>
      </w:r>
      <w:r>
        <w:rPr>
          <w:rFonts w:ascii="Arial" w:cs="Arial" w:eastAsia="Arial" w:hAnsi="Arial"/>
          <w:sz w:val="20"/>
          <w:szCs w:val="20"/>
          <w:color w:val="auto"/>
        </w:rPr>
        <w:t>geographic and temporal scope, (ii) are necessary to protect legitimate proprietary and business interests of the Affiliated Group in, inter alia, customer relationships and confidential information. The Participant further acknowledges and agrees that the Participant’s breach of the provisions of this Appendix A will cause the Affiliated Group irreparable harm, which cannot be adequately compensated by money damages. The Participant consents and agrees that the forfeiture provisions contained in the Agreement are reasonable remedies in the event the Participant commits any such breach. If any of the provisions of this Appendix A are determined to be wholly or partially unenforceable, the Participant hereby agrees that Appendix A or any provision hereof may be reformed so that it is enforceable to the maximum extent permitted by law. If any of the provisions of this Appendix A are determined to be wholly or partially unenforceable in any jurisdiction, such determination shall not be a bar to or in any way diminish the Affiliated Group’s right to enforce any such covenant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34"/>
        </w:trPr>
        <w:tc>
          <w:tcPr>
            <w:tcW w:w="6800" w:type="dxa"/>
            <w:vAlign w:val="bottom"/>
            <w:gridSpan w:val="3"/>
          </w:tcPr>
          <w:p>
            <w:pPr>
              <w:spacing w:after="0"/>
              <w:rPr>
                <w:sz w:val="20"/>
                <w:szCs w:val="20"/>
                <w:color w:val="auto"/>
              </w:rPr>
            </w:pPr>
            <w:r>
              <w:rPr>
                <w:rFonts w:ascii="Arial" w:cs="Arial" w:eastAsia="Arial" w:hAnsi="Arial"/>
                <w:sz w:val="18"/>
                <w:szCs w:val="18"/>
                <w:b w:val="1"/>
                <w:bCs w:val="1"/>
                <w:color w:val="auto"/>
                <w:w w:val="99"/>
              </w:rPr>
              <w:t>CONSOLIDATED SUBSIDIARIES OF THE REGISTRANT AT DECEMBER 31, 2018</w:t>
            </w:r>
          </w:p>
        </w:tc>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Arial" w:cs="Arial" w:eastAsia="Arial" w:hAnsi="Arial"/>
                <w:sz w:val="18"/>
                <w:szCs w:val="18"/>
                <w:b w:val="1"/>
                <w:bCs w:val="1"/>
                <w:color w:val="auto"/>
                <w:w w:val="91"/>
              </w:rPr>
              <w:t>Exhibit 21.1</w:t>
            </w:r>
          </w:p>
        </w:tc>
      </w:tr>
      <w:tr>
        <w:trPr>
          <w:trHeight w:val="419"/>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Itron, Inc. Domestic Subsidiaries</w:t>
            </w:r>
          </w:p>
        </w:tc>
        <w:tc>
          <w:tcPr>
            <w:tcW w:w="42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State of Incorporation</w:t>
            </w:r>
          </w:p>
        </w:tc>
        <w:tc>
          <w:tcPr>
            <w:tcW w:w="2800" w:type="dxa"/>
            <w:vAlign w:val="bottom"/>
            <w:gridSpan w:val="2"/>
          </w:tcPr>
          <w:p>
            <w:pPr>
              <w:spacing w:after="0"/>
              <w:rPr>
                <w:sz w:val="24"/>
                <w:szCs w:val="24"/>
                <w:color w:val="auto"/>
              </w:rPr>
            </w:pPr>
          </w:p>
        </w:tc>
      </w:tr>
      <w:tr>
        <w:trPr>
          <w:trHeight w:val="291"/>
        </w:trPr>
        <w:tc>
          <w:tcPr>
            <w:tcW w:w="6800" w:type="dxa"/>
            <w:vAlign w:val="bottom"/>
            <w:gridSpan w:val="3"/>
          </w:tcPr>
          <w:p>
            <w:pPr>
              <w:spacing w:after="0"/>
              <w:rPr>
                <w:sz w:val="20"/>
                <w:szCs w:val="20"/>
                <w:color w:val="auto"/>
              </w:rPr>
            </w:pPr>
            <w:r>
              <w:rPr>
                <w:rFonts w:ascii="Arial" w:cs="Arial" w:eastAsia="Arial" w:hAnsi="Arial"/>
                <w:sz w:val="18"/>
                <w:szCs w:val="18"/>
                <w:color w:val="auto"/>
              </w:rPr>
              <w:t>Itron International, Inc.</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Networked Solutions, Inc.</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Brazil I, LLC</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Washington</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Brazil II, LLC</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Washington</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Silver Spring Networks Holdings, LLC</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Royal Cautivo Insurance, Inc.</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Utah</w:t>
            </w:r>
          </w:p>
        </w:tc>
      </w:tr>
      <w:tr>
        <w:trPr>
          <w:trHeight w:val="419"/>
        </w:trPr>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Itron, Inc. International Subsidiaries</w:t>
            </w:r>
          </w:p>
        </w:tc>
        <w:tc>
          <w:tcPr>
            <w:tcW w:w="4560" w:type="dxa"/>
            <w:vAlign w:val="bottom"/>
            <w:gridSpan w:val="4"/>
          </w:tcPr>
          <w:p>
            <w:pPr>
              <w:ind w:left="40"/>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291"/>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Itron Argentina S.A.</w:t>
            </w:r>
          </w:p>
        </w:tc>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Argentina</w:t>
            </w:r>
          </w:p>
        </w:tc>
        <w:tc>
          <w:tcPr>
            <w:tcW w:w="1000" w:type="dxa"/>
            <w:vAlign w:val="bottom"/>
          </w:tcPr>
          <w:p>
            <w:pPr>
              <w:spacing w:after="0"/>
              <w:rPr>
                <w:sz w:val="24"/>
                <w:szCs w:val="24"/>
                <w:color w:val="auto"/>
              </w:rPr>
            </w:pP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Australasia Pty Limited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Australia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Austria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Austria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Belgium SA</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Belgium</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Sistemas e Tecnologia Ltda</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Brazil</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Soluções para Energia e Àgua Ltda.</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Brazil</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China Gas Holding Co. Ltd.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British Virgin Islands</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Canada, Inc.</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Canada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Compañía Chilena de Medición S.A.</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Chile</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Metering Solutions (Suzhou) Co., Ltd.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China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Metering Systems (Suzhou) Co., Ltd.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China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Comverge International, Ltd.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Cyprus</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Czech Republic s.r.o.</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Czech Republic</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Denmark ApS</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Denmark</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Asais S.A.S</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Asais Conseil S.A.S.</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France S.A.S.</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Holding France S.A.S.</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Holding Germany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Zähler &amp; Systemtechnik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Unterstutzungskasse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Allmess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Unterstutzungseinrichtung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SEWA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Ganz Meter Company Ltd.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Hungary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Labs Kft</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Hungary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India Private Limited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India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Metering Solutions India Private Limited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India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PT Mecoindo (J.V.)</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Indonesia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Management Services Ireland, Limited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Temetra Limited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Italia SpA</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Italy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Comverge Japan K.K.</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Japan</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Japan Co., Ltd.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Japan</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Metering Solutions Luxembourg SARL</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Luxembourg</w:t>
            </w:r>
          </w:p>
        </w:tc>
      </w:tr>
    </w:tbl>
    <w:p>
      <w:pPr>
        <w:sectPr>
          <w:pgSz w:w="11900" w:h="16838" w:orient="portrait"/>
          <w:cols w:equalWidth="0" w:num="1">
            <w:col w:w="11360"/>
          </w:cols>
          <w:pgMar w:left="280" w:top="743" w:right="259" w:bottom="1440" w:gutter="0" w:footer="0" w:header="0"/>
        </w:sectPr>
      </w:pPr>
    </w:p>
    <w:bookmarkStart w:id="194" w:name="page195"/>
    <w:bookmarkEnd w:id="1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Itron, Inc. International Subsidiaries</w:t>
            </w:r>
          </w:p>
        </w:tc>
        <w:tc>
          <w:tcPr>
            <w:tcW w:w="4640" w:type="dxa"/>
            <w:vAlign w:val="bottom"/>
            <w:gridSpan w:val="2"/>
          </w:tcPr>
          <w:p>
            <w:pPr>
              <w:ind w:left="1120"/>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91"/>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Itron Global SARL</w:t>
            </w:r>
          </w:p>
        </w:tc>
        <w:tc>
          <w:tcPr>
            <w:tcW w:w="2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Luxembourg</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Metertek Sdn Bhd (J.V. 100% indirectly owned)</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Malaysia</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Itron Servicios, S.A. de C.V.</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Mexico</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Itron Distribución S.A. de C.V.</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Mexico</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Itron Nederland B.V.</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Netherlands</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Itron Polska SP ZOO</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Poland</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Itron Portugal, Unipessoal, LDA.</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Portugal</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Itron Imobiliaria, Unipessoal, LDA.</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Portugal</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Itron Sistemas de Medição Lda.</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Portugal</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Itron Middle East LLC</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Qatar</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Comverge South Africa PTY Ltd.</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Republic of South Africa</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Itron Measurement and Systems (Proprietary) Limited</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Republic of South Africa</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Itron LLC</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Russia</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Arabian Metering Company</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Saudi Arabia</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Itron Metering Systems Singapore Pte Ltd.</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Singapore</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Itron Spain SLU</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Spain</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Itron Sweden AB</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Sweden</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Itron Ukraine</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Ukraine</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Itron Ukrgas Meters Company (J.V. Majority)</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Ukraine</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Itron Metering Solutions UK Ltd.</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United Kingdom</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Itron Development UK Ltd.</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United Kingdom</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Itron Metering Solutions (Thailand) Co. Ltd.</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Thailand</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Itron New Zealand Limited</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New Zealand</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Silver Spring Networks Pty Limited</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Australia</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Silver Spring Networks Hong Kong Limited</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Hong Kong</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Silver Spring Networks India LLP</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India</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Silver Spring Networks Mayalsia Sdn. Bhd.</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Malaysia</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Silver Spring Networks Smart Grid, Sociedade Unipessoal Lda.</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Portugal</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Silver Spring Networks FZ-LLC</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Dubai</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Silver Spring Networks Wireless Trading Middle East, LLC</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Dubai</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Silver Spring Networks (UK) Limited</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United Kingdom</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Silver Spring Networks International Limited</w:t>
            </w:r>
          </w:p>
        </w:tc>
        <w:tc>
          <w:tcPr>
            <w:tcW w:w="4640" w:type="dxa"/>
            <w:vAlign w:val="bottom"/>
            <w:gridSpan w:val="2"/>
          </w:tcPr>
          <w:p>
            <w:pPr>
              <w:ind w:left="1120"/>
              <w:spacing w:after="0"/>
              <w:rPr>
                <w:sz w:val="20"/>
                <w:szCs w:val="20"/>
                <w:color w:val="auto"/>
              </w:rPr>
            </w:pPr>
            <w:r>
              <w:rPr>
                <w:rFonts w:ascii="Arial" w:cs="Arial" w:eastAsia="Arial" w:hAnsi="Arial"/>
                <w:sz w:val="18"/>
                <w:szCs w:val="18"/>
                <w:color w:val="auto"/>
              </w:rPr>
              <w:t>Cayman Islands</w:t>
            </w:r>
          </w:p>
        </w:tc>
      </w:tr>
    </w:tbl>
    <w:p>
      <w:pPr>
        <w:sectPr>
          <w:pgSz w:w="11900" w:h="16838" w:orient="portrait"/>
          <w:cols w:equalWidth="0" w:num="1">
            <w:col w:w="10360"/>
          </w:cols>
          <w:pgMar w:left="280" w:top="729" w:right="125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consent to the incorporation by reference in Registration Statement Nos. 333-40356, 333-89966, 333-97571, 333-110703, 333-115987, 333-125461, 333-134749, 333-143048, 333-166601, 333-181685, 333-193970, 333-195633, 333-218086, 333-222480, and 333-226020 on Form S-8 of our reports dated February 28, 2019, relating to the financial statements of Itron, Inc. (which report expresses an unqualified opinion and includes an explanatory paragraph relating to the adoption of Accounting Standards Codification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the effectiveness of the Itron, Inc.’s internal control over financial reporting, appearing in this Annual Report on Form 10-K of Itron, Inc. for the year ended December 31,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ectPr>
          <w:pgSz w:w="11900" w:h="16838" w:orient="portrait"/>
          <w:cols w:equalWidth="0" w:num="1">
            <w:col w:w="11420"/>
          </w:cols>
          <w:pgMar w:left="240" w:top="581"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Philip C. Mezey, certify that:</w:t>
      </w:r>
    </w:p>
    <w:p>
      <w:pPr>
        <w:spacing w:after="0" w:line="171" w:lineRule="exact"/>
        <w:rPr>
          <w:sz w:val="20"/>
          <w:szCs w:val="20"/>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7080"/>
        <w:spacing w:after="0"/>
        <w:tabs>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31750</wp:posOffset>
            </wp:positionV>
            <wp:extent cx="24009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3" w:lineRule="exact"/>
        <w:rPr>
          <w:sz w:val="20"/>
          <w:szCs w:val="20"/>
          <w:color w:val="auto"/>
        </w:rPr>
      </w:pPr>
    </w:p>
    <w:p>
      <w:pPr>
        <w:jc w:val="center"/>
        <w:ind w:left="7640"/>
        <w:spacing w:after="0"/>
        <w:rPr>
          <w:sz w:val="20"/>
          <w:szCs w:val="20"/>
          <w:color w:val="auto"/>
        </w:rPr>
      </w:pPr>
      <w:r>
        <w:rPr>
          <w:rFonts w:ascii="Arial" w:cs="Arial" w:eastAsia="Arial" w:hAnsi="Arial"/>
          <w:sz w:val="17"/>
          <w:szCs w:val="17"/>
          <w:b w:val="1"/>
          <w:bCs w:val="1"/>
          <w:color w:val="auto"/>
        </w:rPr>
        <w:t>Philip C. Mezey President and Chief Executive</w:t>
      </w:r>
    </w:p>
    <w:p>
      <w:pPr>
        <w:spacing w:after="0" w:line="39" w:lineRule="exact"/>
        <w:rPr>
          <w:sz w:val="20"/>
          <w:szCs w:val="20"/>
          <w:color w:val="auto"/>
        </w:rPr>
      </w:pPr>
    </w:p>
    <w:p>
      <w:pPr>
        <w:jc w:val="center"/>
        <w:ind w:left="7640"/>
        <w:spacing w:after="0"/>
        <w:rPr>
          <w:sz w:val="20"/>
          <w:szCs w:val="20"/>
          <w:color w:val="auto"/>
        </w:rPr>
      </w:pPr>
      <w:r>
        <w:rPr>
          <w:rFonts w:ascii="Arial" w:cs="Arial" w:eastAsia="Arial" w:hAnsi="Arial"/>
          <w:sz w:val="18"/>
          <w:szCs w:val="18"/>
          <w:b w:val="1"/>
          <w:b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ectPr>
          <w:pgSz w:w="11900" w:h="16838" w:orient="portrait"/>
          <w:cols w:equalWidth="0" w:num="1">
            <w:col w:w="11420"/>
          </w:cols>
          <w:pgMar w:left="240" w:top="580"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Joan S. Hooper, certify that:</w:t>
      </w:r>
    </w:p>
    <w:p>
      <w:pPr>
        <w:spacing w:after="0" w:line="171" w:lineRule="exact"/>
        <w:rPr>
          <w:sz w:val="20"/>
          <w:szCs w:val="20"/>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580"/>
        <w:spacing w:after="0"/>
        <w:tabs>
          <w:tab w:leader="none" w:pos="7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3">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ectPr>
          <w:pgSz w:w="11900" w:h="16838" w:orient="portrait"/>
          <w:cols w:equalWidth="0" w:num="1">
            <w:col w:w="11420"/>
          </w:cols>
          <w:pgMar w:left="240" w:top="580"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Annual Report of Itron, Inc. (the Company) on Form 10-K for the year ended December 31, 2018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Philip C. Mezey, the Chief Executive Officer and Joan S. Hooper, the Chief Financial Officer of the Company, each certifies that to the best of his or her knowledge:</w:t>
      </w:r>
    </w:p>
    <w:p>
      <w:pPr>
        <w:spacing w:after="0" w:line="170" w:lineRule="exact"/>
        <w:rPr>
          <w:sz w:val="20"/>
          <w:szCs w:val="20"/>
          <w:color w:val="auto"/>
        </w:rPr>
      </w:pPr>
    </w:p>
    <w:p>
      <w:pPr>
        <w:ind w:left="880" w:hanging="467"/>
        <w:spacing w:after="0"/>
        <w:tabs>
          <w:tab w:leader="none" w:pos="8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February 28, 2019</w:t>
      </w:r>
    </w:p>
    <w:p>
      <w:pPr>
        <w:spacing w:after="0" w:line="31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February 28, 2019</w:t>
      </w:r>
    </w:p>
    <w:sectPr>
      <w:pgSz w:w="11900" w:h="16838" w:orient="portrait"/>
      <w:cols w:equalWidth="0" w:num="1">
        <w:col w:w="11420"/>
      </w:cols>
      <w:pgMar w:left="240" w:top="7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x"/>
      <w:numFmt w:val="bullet"/>
      <w:start w:val="1"/>
    </w:lvl>
  </w:abstractNum>
  <w:abstractNum w:abstractNumId="1">
    <w:nsid w:val="1381823A"/>
    <w:multiLevelType w:val="hybridMultilevel"/>
    <w:lvl w:ilvl="0">
      <w:lvlJc w:val="left"/>
      <w:lvlText w:val="o"/>
      <w:numFmt w:val="bullet"/>
      <w:start w:val="1"/>
    </w:lvl>
  </w:abstractNum>
  <w:abstractNum w:abstractNumId="2">
    <w:nsid w:val="5DB70AE5"/>
    <w:multiLevelType w:val="hybridMultilevel"/>
    <w:lvl w:ilvl="0">
      <w:lvlJc w:val="left"/>
      <w:lvlText w:val="(%1)"/>
      <w:numFmt w:val="lowerLetter"/>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1)"/>
      <w:numFmt w:val="decimal"/>
      <w:start w:val="1"/>
    </w:lvl>
  </w:abstractNum>
  <w:abstractNum w:abstractNumId="7">
    <w:nsid w:val="98A3148"/>
    <w:multiLevelType w:val="hybridMultilevel"/>
    <w:lvl w:ilvl="0">
      <w:lvlJc w:val="left"/>
      <w:lvlText w:val="(%1)"/>
      <w:numFmt w:val="decimal"/>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1)"/>
      <w:numFmt w:val="decimal"/>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1)"/>
      <w:numFmt w:val="decimal"/>
      <w:start w:val="1"/>
    </w:lvl>
  </w:abstractNum>
  <w:abstractNum w:abstractNumId="12">
    <w:nsid w:val="1EBA5D23"/>
    <w:multiLevelType w:val="hybridMultilevel"/>
    <w:lvl w:ilvl="0">
      <w:lvlJc w:val="left"/>
      <w:lvlText w:val="(%1)"/>
      <w:numFmt w:val="decimal"/>
      <w:start w:val="1"/>
    </w:lvl>
  </w:abstractNum>
  <w:abstractNum w:abstractNumId="13">
    <w:nsid w:val="661E3F1E"/>
    <w:multiLevelType w:val="hybridMultilevel"/>
    <w:lvl w:ilvl="0">
      <w:lvlJc w:val="left"/>
      <w:lvlText w:val="(%1)"/>
      <w:numFmt w:val="decimal"/>
      <w:start w:val="1"/>
    </w:lvl>
  </w:abstractNum>
  <w:abstractNum w:abstractNumId="14">
    <w:nsid w:val="5DC79EA8"/>
    <w:multiLevelType w:val="hybridMultilevel"/>
    <w:lvl w:ilvl="0">
      <w:lvlJc w:val="left"/>
      <w:lvlText w:val="(%1)"/>
      <w:numFmt w:val="decimal"/>
      <w:start w:val="1"/>
    </w:lvl>
  </w:abstractNum>
  <w:abstractNum w:abstractNumId="15">
    <w:nsid w:val="540A471C"/>
    <w:multiLevelType w:val="hybridMultilevel"/>
    <w:lvl w:ilvl="0">
      <w:lvlJc w:val="left"/>
      <w:lvlText w:val="(%1)"/>
      <w:numFmt w:val="decimal"/>
      <w:start w:val="1"/>
    </w:lvl>
  </w:abstractNum>
  <w:abstractNum w:abstractNumId="16">
    <w:nsid w:val="7BD3EE7B"/>
    <w:multiLevelType w:val="hybridMultilevel"/>
    <w:lvl w:ilvl="0">
      <w:lvlJc w:val="left"/>
      <w:lvlText w:val="(%1)"/>
      <w:numFmt w:val="decimal"/>
      <w:start w:val="1"/>
    </w:lvl>
  </w:abstractNum>
  <w:abstractNum w:abstractNumId="17">
    <w:nsid w:val="51D9C564"/>
    <w:multiLevelType w:val="hybridMultilevel"/>
    <w:lvl w:ilvl="0">
      <w:lvlJc w:val="left"/>
      <w:lvlText w:val="(%1)"/>
      <w:numFmt w:val="decimal"/>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1)"/>
      <w:numFmt w:val="decimal"/>
      <w:start w:val="13"/>
    </w:lvl>
  </w:abstractNum>
  <w:abstractNum w:abstractNumId="20">
    <w:nsid w:val="11447B73"/>
    <w:multiLevelType w:val="hybridMultilevel"/>
    <w:lvl w:ilvl="0">
      <w:lvlJc w:val="left"/>
      <w:lvlText w:val="(%1)"/>
      <w:numFmt w:val="decimal"/>
      <w:start w:val="1"/>
    </w:lvl>
  </w:abstractNum>
  <w:abstractNum w:abstractNumId="21">
    <w:nsid w:val="42963E5A"/>
    <w:multiLevelType w:val="hybridMultilevel"/>
    <w:lvl w:ilvl="0">
      <w:lvlJc w:val="left"/>
      <w:lvlText w:val="(%1)"/>
      <w:numFmt w:val="decimal"/>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1)"/>
      <w:numFmt w:val="decimal"/>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1."/>
      <w:numFmt w:val="decimal"/>
      <w:start w:val="1"/>
    </w:lvl>
  </w:abstractNum>
  <w:abstractNum w:abstractNumId="26">
    <w:nsid w:val="68EB2F63"/>
    <w:multiLevelType w:val="hybridMultilevel"/>
    <w:lvl w:ilvl="0">
      <w:lvlJc w:val="left"/>
      <w:lvlText w:val="%1."/>
      <w:numFmt w:val="decimal"/>
      <w:start w:val="1"/>
    </w:lvl>
  </w:abstractNum>
  <w:abstractNum w:abstractNumId="27">
    <w:nsid w:val="4962813B"/>
    <w:multiLevelType w:val="hybridMultilevel"/>
    <w:lvl w:ilvl="0">
      <w:lvlJc w:val="left"/>
      <w:lvlText w:val="(%1)"/>
      <w:numFmt w:val="lowerLetter"/>
      <w:start w:val="2"/>
    </w:lvl>
  </w:abstractNum>
  <w:abstractNum w:abstractNumId="28">
    <w:nsid w:val="60B6DF70"/>
    <w:multiLevelType w:val="hybridMultilevel"/>
    <w:lvl w:ilvl="0">
      <w:lvlJc w:val="left"/>
      <w:lvlText w:val="%1."/>
      <w:numFmt w:val="decimal"/>
      <w:start w:val="4"/>
    </w:lvl>
    <w:lvl w:ilvl="1">
      <w:lvlJc w:val="left"/>
      <w:lvlText w:val="(%2)"/>
      <w:numFmt w:val="lowerLetter"/>
      <w:start w:val="1"/>
    </w:lvl>
  </w:abstractNum>
  <w:abstractNum w:abstractNumId="29">
    <w:nsid w:val="6A5EE64"/>
    <w:multiLevelType w:val="hybridMultilevel"/>
    <w:lvl w:ilvl="0">
      <w:lvlJc w:val="left"/>
      <w:lvlText w:val="%1."/>
      <w:numFmt w:val="decimal"/>
      <w:start w:val="5"/>
    </w:lvl>
    <w:lvl w:ilvl="1">
      <w:lvlJc w:val="left"/>
      <w:lvlText w:val="(%2)"/>
      <w:numFmt w:val="lowerLetter"/>
      <w:start w:val="1"/>
    </w:lvl>
  </w:abstractNum>
  <w:abstractNum w:abstractNumId="30">
    <w:nsid w:val="14330624"/>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31">
    <w:nsid w:val="7FFFCA11"/>
    <w:multiLevelType w:val="hybridMultilevel"/>
    <w:lvl w:ilvl="0">
      <w:lvlJc w:val="left"/>
      <w:lvlText w:val="(%1)"/>
      <w:numFmt w:val="upperLetter"/>
      <w:start w:val="3"/>
    </w:lvl>
    <w:lvl w:ilvl="1">
      <w:lvlJc w:val="left"/>
      <w:lvlText w:val="(%2)"/>
      <w:numFmt w:val="decimal"/>
      <w:start w:val="1"/>
    </w:lvl>
  </w:abstractNum>
  <w:abstractNum w:abstractNumId="32">
    <w:nsid w:val="1A27709E"/>
    <w:multiLevelType w:val="hybridMultilevel"/>
    <w:lvl w:ilvl="0">
      <w:lvlJc w:val="left"/>
      <w:lvlText w:val="(%1)"/>
      <w:numFmt w:val="decimal"/>
      <w:start w:val="5"/>
    </w:lvl>
  </w:abstractNum>
  <w:abstractNum w:abstractNumId="33">
    <w:nsid w:val="71EA1109"/>
    <w:multiLevelType w:val="hybridMultilevel"/>
    <w:lvl w:ilvl="0">
      <w:lvlJc w:val="left"/>
      <w:lvlText w:val="(%1)"/>
      <w:numFmt w:val="lowerLetter"/>
      <w:start w:val="2"/>
    </w:lvl>
    <w:lvl w:ilvl="1">
      <w:lvlJc w:val="left"/>
      <w:lvlText w:val="(%2)"/>
      <w:numFmt w:val="lowerRoman"/>
      <w:start w:val="1"/>
    </w:lvl>
  </w:abstractNum>
  <w:abstractNum w:abstractNumId="34">
    <w:nsid w:val="100F59DC"/>
    <w:multiLevelType w:val="hybridMultilevel"/>
    <w:lvl w:ilvl="0">
      <w:lvlJc w:val="left"/>
      <w:lvlText w:val="%1."/>
      <w:numFmt w:val="decimal"/>
      <w:start w:val="6"/>
    </w:lvl>
    <w:lvl w:ilvl="1">
      <w:lvlJc w:val="left"/>
      <w:lvlText w:val="(%2)"/>
      <w:numFmt w:val="lowerLetter"/>
      <w:start w:val="1"/>
    </w:lvl>
  </w:abstractNum>
  <w:abstractNum w:abstractNumId="35">
    <w:nsid w:val="7FB7E0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6">
    <w:nsid w:val="6EB5BD4"/>
    <w:multiLevelType w:val="hybridMultilevel"/>
    <w:lvl w:ilvl="0">
      <w:lvlJc w:val="left"/>
      <w:lvlText w:val="%1"/>
      <w:numFmt w:val="decimal"/>
      <w:start w:val="1"/>
    </w:lvl>
    <w:lvl w:ilvl="1">
      <w:lvlJc w:val="left"/>
      <w:lvlText w:val="(%2)"/>
      <w:numFmt w:val="lowerLetter"/>
      <w:start w:val="61"/>
    </w:lvl>
    <w:lvl w:ilvl="2">
      <w:lvlJc w:val="left"/>
      <w:lvlText w:val="(%3)"/>
      <w:numFmt w:val="lowerLetter"/>
      <w:start w:val="3"/>
    </w:lvl>
    <w:lvl w:ilvl="3">
      <w:lvlJc w:val="left"/>
      <w:lvlText w:val="%4"/>
      <w:numFmt w:val="lowerRoman"/>
      <w:start w:val="1"/>
    </w:lvl>
  </w:abstractNum>
  <w:abstractNum w:abstractNumId="37">
    <w:nsid w:val="6F6DD9A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8">
    <w:nsid w:val="94211F2"/>
    <w:multiLevelType w:val="hybridMultilevel"/>
    <w:lvl w:ilvl="0">
      <w:lvlJc w:val="left"/>
      <w:lvlText w:val="%1."/>
      <w:numFmt w:val="decimal"/>
      <w:start w:val="11"/>
    </w:lvl>
  </w:abstractNum>
  <w:abstractNum w:abstractNumId="39">
    <w:nsid w:val="885E1B"/>
    <w:multiLevelType w:val="hybridMultilevel"/>
    <w:lvl w:ilvl="0">
      <w:lvlJc w:val="left"/>
      <w:lvlText w:val="%1."/>
      <w:numFmt w:val="decimal"/>
      <w:start w:val="14"/>
    </w:lvl>
  </w:abstractNum>
  <w:abstractNum w:abstractNumId="40">
    <w:nsid w:val="76272110"/>
    <w:multiLevelType w:val="hybridMultilevel"/>
    <w:lvl w:ilvl="0">
      <w:lvlJc w:val="left"/>
      <w:lvlText w:val="(%1)"/>
      <w:numFmt w:val="lowerLetter"/>
      <w:start w:val="1"/>
    </w:lvl>
  </w:abstractNum>
  <w:abstractNum w:abstractNumId="41">
    <w:nsid w:val="4C04A8AF"/>
    <w:multiLevelType w:val="hybridMultilevel"/>
    <w:lvl w:ilvl="0">
      <w:lvlJc w:val="left"/>
      <w:lvlText w:val="(%1)"/>
      <w:numFmt w:val="lowerLetter"/>
      <w:start w:val="2"/>
    </w:lvl>
  </w:abstractNum>
  <w:abstractNum w:abstractNumId="42">
    <w:nsid w:val="1716703B"/>
    <w:multiLevelType w:val="hybridMultilevel"/>
    <w:lvl w:ilvl="0">
      <w:lvlJc w:val="left"/>
      <w:lvlText w:val="%1."/>
      <w:numFmt w:val="decimal"/>
      <w:start w:val="3"/>
    </w:lvl>
    <w:lvl w:ilvl="1">
      <w:lvlJc w:val="left"/>
      <w:lvlText w:val="(%2)"/>
      <w:numFmt w:val="lowerLetter"/>
      <w:start w:val="1"/>
    </w:lvl>
  </w:abstractNum>
  <w:abstractNum w:abstractNumId="43">
    <w:nsid w:val="14E17E33"/>
    <w:multiLevelType w:val="hybridMultilevel"/>
    <w:lvl w:ilvl="0">
      <w:lvlJc w:val="left"/>
      <w:lvlText w:val="(%1)"/>
      <w:numFmt w:val="lowerLetter"/>
      <w:start w:val="2"/>
    </w:lvl>
  </w:abstractNum>
  <w:abstractNum w:abstractNumId="44">
    <w:nsid w:val="3222E7CD"/>
    <w:multiLevelType w:val="hybridMultilevel"/>
    <w:lvl w:ilvl="0">
      <w:lvlJc w:val="left"/>
      <w:lvlText w:val="%1"/>
      <w:numFmt w:val="upperLetter"/>
      <w:start w:val="1"/>
    </w:lvl>
    <w:lvl w:ilvl="1">
      <w:lvlJc w:val="left"/>
      <w:lvlText w:val="(%2)"/>
      <w:numFmt w:val="lowerLetter"/>
      <w:start w:val="1"/>
    </w:lvl>
  </w:abstractNum>
  <w:abstractNum w:abstractNumId="45">
    <w:nsid w:val="74DE0EE3"/>
    <w:multiLevelType w:val="hybridMultilevel"/>
    <w:lvl w:ilvl="0">
      <w:lvlJc w:val="left"/>
      <w:lvlText w:val="(%1)"/>
      <w:numFmt w:val="upperLetter"/>
      <w:start w:val="2"/>
    </w:lvl>
    <w:lvl w:ilvl="1">
      <w:lvlJc w:val="left"/>
      <w:lvlText w:val="(%2)"/>
      <w:numFmt w:val="lowerLetter"/>
      <w:start w:val="3"/>
    </w:lvl>
  </w:abstractNum>
  <w:abstractNum w:abstractNumId="46">
    <w:nsid w:val="68EBC550"/>
    <w:multiLevelType w:val="hybridMultilevel"/>
    <w:lvl w:ilvl="0">
      <w:lvlJc w:val="left"/>
      <w:lvlText w:val="(%1)"/>
      <w:numFmt w:val="lowerRoman"/>
      <w:start w:val="1"/>
    </w:lvl>
    <w:lvl w:ilvl="1">
      <w:lvlJc w:val="left"/>
      <w:lvlText w:val="(%2)"/>
      <w:numFmt w:val="upperLetter"/>
      <w:start w:val="1"/>
    </w:lvl>
  </w:abstractNum>
  <w:abstractNum w:abstractNumId="47">
    <w:nsid w:val="2DF6D648"/>
    <w:multiLevelType w:val="hybridMultilevel"/>
    <w:lvl w:ilvl="0">
      <w:lvlJc w:val="left"/>
      <w:lvlText w:val="(%1)"/>
      <w:numFmt w:val="upperLetter"/>
      <w:start w:val="4"/>
    </w:lvl>
  </w:abstractNum>
  <w:abstractNum w:abstractNumId="48">
    <w:nsid w:val="46B7D447"/>
    <w:multiLevelType w:val="hybridMultilevel"/>
    <w:lvl w:ilvl="0">
      <w:lvlJc w:val="left"/>
      <w:lvlText w:val="%1"/>
      <w:numFmt w:val="decimal"/>
      <w:start w:val="1"/>
    </w:lvl>
    <w:lvl w:ilvl="1">
      <w:lvlJc w:val="left"/>
      <w:lvlText w:val="(%2)"/>
      <w:numFmt w:val="lowerRoman"/>
      <w:start w:val="5"/>
    </w:lvl>
  </w:abstractNum>
  <w:abstractNum w:abstractNumId="49">
    <w:nsid w:val="4A2AC315"/>
    <w:multiLevelType w:val="hybridMultilevel"/>
    <w:lvl w:ilvl="0">
      <w:lvlJc w:val="left"/>
      <w:lvlText w:val="%1."/>
      <w:numFmt w:val="decimal"/>
      <w:start w:val="4"/>
    </w:lvl>
    <w:lvl w:ilvl="1">
      <w:lvlJc w:val="left"/>
      <w:lvlText w:val="%2"/>
      <w:numFmt w:val="lowerRoman"/>
      <w:start w:val="1"/>
    </w:lvl>
  </w:abstractNum>
  <w:abstractNum w:abstractNumId="50">
    <w:nsid w:val="39EE015C"/>
    <w:multiLevelType w:val="hybridMultilevel"/>
    <w:lvl w:ilvl="0">
      <w:lvlJc w:val="left"/>
      <w:lvlText w:val="(%1)"/>
      <w:numFmt w:val="lowerLetter"/>
      <w:start w:val="1"/>
    </w:lvl>
    <w:lvl w:ilvl="1">
      <w:lvlJc w:val="left"/>
      <w:lvlText w:val="(%2)"/>
      <w:numFmt w:val="lowerRoman"/>
      <w:start w:val="1"/>
    </w:lvl>
  </w:abstractNum>
  <w:abstractNum w:abstractNumId="51">
    <w:nsid w:val="57FC4FBB"/>
    <w:multiLevelType w:val="hybridMultilevel"/>
    <w:lvl w:ilvl="0">
      <w:lvlJc w:val="left"/>
      <w:lvlText w:val="%1"/>
      <w:numFmt w:val="lowerLetter"/>
      <w:start w:val="1"/>
    </w:lvl>
    <w:lvl w:ilvl="1">
      <w:lvlJc w:val="left"/>
      <w:lvlText w:val="(%2)"/>
      <w:numFmt w:val="lowerRoman"/>
      <w:start w:val="4"/>
    </w:lvl>
  </w:abstractNum>
  <w:abstractNum w:abstractNumId="52">
    <w:nsid w:val="CC1016F"/>
    <w:multiLevelType w:val="hybridMultilevel"/>
    <w:lvl w:ilvl="0">
      <w:lvlJc w:val="left"/>
      <w:lvlText w:val="(%1)"/>
      <w:numFmt w:val="lowerLetter"/>
      <w:start w:val="2"/>
    </w:lvl>
    <w:lvl w:ilvl="1">
      <w:lvlJc w:val="left"/>
      <w:lvlText w:val="(%2)"/>
      <w:numFmt w:val="lowerRoman"/>
      <w:start w:val="1"/>
    </w:lvl>
  </w:abstractNum>
  <w:abstractNum w:abstractNumId="53">
    <w:nsid w:val="43F18422"/>
    <w:multiLevelType w:val="hybridMultilevel"/>
    <w:lvl w:ilvl="0">
      <w:lvlJc w:val="left"/>
      <w:lvlText w:val="(%1)"/>
      <w:numFmt w:val="lowerLetter"/>
      <w:start w:val="1"/>
    </w:lvl>
  </w:abstractNum>
  <w:abstractNum w:abstractNumId="54">
    <w:nsid w:val="60EF0119"/>
    <w:multiLevelType w:val="hybridMultilevel"/>
    <w:lvl w:ilvl="0">
      <w:lvlJc w:val="left"/>
      <w:lvlText w:val="%1"/>
      <w:numFmt w:val="decimal"/>
      <w:start w:val="1"/>
    </w:lvl>
    <w:lvl w:ilvl="1">
      <w:lvlJc w:val="left"/>
      <w:lvlText w:val="(%2)"/>
      <w:numFmt w:val="lowerLetter"/>
      <w:start w:val="8"/>
    </w:lvl>
  </w:abstractNum>
  <w:abstractNum w:abstractNumId="55">
    <w:nsid w:val="26F324BA"/>
    <w:multiLevelType w:val="hybridMultilevel"/>
    <w:lvl w:ilvl="0">
      <w:lvlJc w:val="left"/>
      <w:lvlText w:val="%1."/>
      <w:numFmt w:val="decimal"/>
      <w:start w:val="11"/>
    </w:lvl>
    <w:lvl w:ilvl="1">
      <w:lvlJc w:val="left"/>
      <w:lvlText w:val="%2"/>
      <w:numFmt w:val="lowerLetter"/>
      <w:start w:val="1"/>
    </w:lvl>
  </w:abstractNum>
  <w:abstractNum w:abstractNumId="56">
    <w:nsid w:val="7F01579B"/>
    <w:multiLevelType w:val="hybridMultilevel"/>
    <w:lvl w:ilvl="0">
      <w:lvlJc w:val="left"/>
      <w:lvlText w:val="%1."/>
      <w:numFmt w:val="decimal"/>
      <w:start w:val="12"/>
    </w:lvl>
  </w:abstractNum>
  <w:abstractNum w:abstractNumId="57">
    <w:nsid w:val="49DA307D"/>
    <w:multiLevelType w:val="hybridMultilevel"/>
    <w:lvl w:ilvl="0">
      <w:lvlJc w:val="left"/>
      <w:lvlText w:val="(%1)"/>
      <w:numFmt w:val="lowerLetter"/>
      <w:start w:val="1"/>
    </w:lvl>
  </w:abstractNum>
  <w:abstractNum w:abstractNumId="58">
    <w:nsid w:val="7055A5F5"/>
    <w:multiLevelType w:val="hybridMultilevel"/>
    <w:lvl w:ilvl="0">
      <w:lvlJc w:val="left"/>
      <w:lvlText w:val="%1."/>
      <w:numFmt w:val="decimal"/>
      <w:start w:val="16"/>
    </w:lvl>
  </w:abstractNum>
  <w:abstractNum w:abstractNumId="59">
    <w:nsid w:val="5FB8370B"/>
    <w:multiLevelType w:val="hybridMultilevel"/>
    <w:lvl w:ilvl="0">
      <w:lvlJc w:val="left"/>
      <w:lvlText w:val="(%1)"/>
      <w:numFmt w:val="lowerLetter"/>
      <w:start w:val="25"/>
    </w:lvl>
  </w:abstractNum>
  <w:abstractNum w:abstractNumId="60">
    <w:nsid w:val="50801EE1"/>
    <w:multiLevelType w:val="hybridMultilevel"/>
    <w:lvl w:ilvl="0">
      <w:lvlJc w:val="left"/>
      <w:lvlText w:val="•"/>
      <w:numFmt w:val="bullet"/>
      <w:start w:val="1"/>
    </w:lvl>
  </w:abstractNum>
  <w:abstractNum w:abstractNumId="61">
    <w:nsid w:val="488AC1A"/>
    <w:multiLevelType w:val="hybridMultilevel"/>
    <w:lvl w:ilvl="0">
      <w:lvlJc w:val="left"/>
      <w:lvlText w:val="•"/>
      <w:numFmt w:val="bullet"/>
      <w:start w:val="1"/>
    </w:lvl>
  </w:abstractNum>
  <w:abstractNum w:abstractNumId="62">
    <w:nsid w:val="5FB8011C"/>
    <w:multiLevelType w:val="hybridMultilevel"/>
    <w:lvl w:ilvl="0">
      <w:lvlJc w:val="left"/>
      <w:lvlText w:val="(%1)"/>
      <w:numFmt w:val="lowerLetter"/>
      <w:start w:val="1"/>
    </w:lvl>
  </w:abstractNum>
  <w:abstractNum w:abstractNumId="63">
    <w:nsid w:val="6AA78F7F"/>
    <w:multiLevelType w:val="hybridMultilevel"/>
    <w:lvl w:ilvl="0">
      <w:lvlJc w:val="left"/>
      <w:lvlText w:val="(%1)"/>
      <w:numFmt w:val="lowerLetter"/>
      <w:start w:val="2"/>
    </w:lvl>
  </w:abstractNum>
  <w:abstractNum w:abstractNumId="64">
    <w:nsid w:val="7672BD23"/>
    <w:multiLevelType w:val="hybridMultilevel"/>
    <w:lvl w:ilvl="0">
      <w:lvlJc w:val="left"/>
      <w:lvlText w:val="%1."/>
      <w:numFmt w:val="decimal"/>
      <w:start w:val="1"/>
    </w:lvl>
  </w:abstractNum>
  <w:abstractNum w:abstractNumId="65">
    <w:nsid w:val="6FC75AF8"/>
    <w:multiLevelType w:val="hybridMultilevel"/>
    <w:lvl w:ilvl="0">
      <w:lvlJc w:val="left"/>
      <w:lvlText w:val="%1."/>
      <w:numFmt w:val="decimal"/>
      <w:start w:val="2"/>
    </w:lvl>
  </w:abstractNum>
  <w:abstractNum w:abstractNumId="66">
    <w:nsid w:val="6A5F7029"/>
    <w:multiLevelType w:val="hybridMultilevel"/>
    <w:lvl w:ilvl="0">
      <w:lvlJc w:val="left"/>
      <w:lvlText w:val="%1."/>
      <w:numFmt w:val="decimal"/>
      <w:start w:val="3"/>
    </w:lvl>
  </w:abstractNum>
  <w:abstractNum w:abstractNumId="67">
    <w:nsid w:val="7D5E18F8"/>
    <w:multiLevelType w:val="hybridMultilevel"/>
    <w:lvl w:ilvl="0">
      <w:lvlJc w:val="left"/>
      <w:lvlText w:val="(%1)"/>
      <w:numFmt w:val="lowerLetter"/>
      <w:start w:val="1"/>
    </w:lvl>
  </w:abstractNum>
  <w:abstractNum w:abstractNumId="68">
    <w:nsid w:val="5F3534A4"/>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69">
    <w:nsid w:val="73A1821B"/>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70">
    <w:nsid w:val="7DE67713"/>
    <w:multiLevelType w:val="hybridMultilevel"/>
    <w:lvl w:ilvl="0">
      <w:lvlJc w:val="left"/>
      <w:lvlText w:val="%1"/>
      <w:numFmt w:val="decimal"/>
      <w:start w:val="1"/>
    </w:lvl>
    <w:lvl w:ilvl="1">
      <w:lvlJc w:val="left"/>
      <w:lvlText w:val="(%2)"/>
      <w:numFmt w:val="lowerLetter"/>
      <w:start w:val="5"/>
    </w:lvl>
  </w:abstractNum>
  <w:abstractNum w:abstractNumId="71">
    <w:nsid w:val="555C55B5"/>
    <w:multiLevelType w:val="hybridMultilevel"/>
    <w:lvl w:ilvl="0">
      <w:lvlJc w:val="left"/>
      <w:lvlText w:val="%1."/>
      <w:numFmt w:val="decimal"/>
      <w:start w:val="4"/>
    </w:lvl>
    <w:lvl w:ilvl="1">
      <w:lvlJc w:val="left"/>
      <w:lvlText w:val="%2"/>
      <w:numFmt w:val="lowerLetter"/>
      <w:start w:val="1"/>
    </w:lvl>
  </w:abstractNum>
  <w:abstractNum w:abstractNumId="72">
    <w:nsid w:val="3FA62ACA"/>
    <w:multiLevelType w:val="hybridMultilevel"/>
    <w:lvl w:ilvl="0">
      <w:lvlJc w:val="left"/>
      <w:lvlText w:val="%1."/>
      <w:numFmt w:val="decimal"/>
      <w:start w:val="5"/>
    </w:lvl>
  </w:abstractNum>
  <w:abstractNum w:abstractNumId="73">
    <w:nsid w:val="14FCE74E"/>
    <w:multiLevelType w:val="hybridMultilevel"/>
    <w:lvl w:ilvl="0">
      <w:lvlJc w:val="left"/>
      <w:lvlText w:val="%1."/>
      <w:numFmt w:val="decimal"/>
      <w:start w:val="6"/>
    </w:lvl>
  </w:abstractNum>
  <w:abstractNum w:abstractNumId="74">
    <w:nsid w:val="6A3DD3E8"/>
    <w:multiLevelType w:val="hybridMultilevel"/>
    <w:lvl w:ilvl="0">
      <w:lvlJc w:val="left"/>
      <w:lvlText w:val="%1."/>
      <w:numFmt w:val="decimal"/>
      <w:start w:val="7"/>
    </w:lvl>
  </w:abstractNum>
  <w:abstractNum w:abstractNumId="75">
    <w:nsid w:val="71C91298"/>
    <w:multiLevelType w:val="hybridMultilevel"/>
    <w:lvl w:ilvl="0">
      <w:lvlJc w:val="left"/>
      <w:lvlText w:val="%1."/>
      <w:numFmt w:val="decimal"/>
      <w:start w:val="9"/>
    </w:lvl>
  </w:abstractNum>
  <w:abstractNum w:abstractNumId="76">
    <w:nsid w:val="9DAF632"/>
    <w:multiLevelType w:val="hybridMultilevel"/>
    <w:lvl w:ilvl="0">
      <w:lvlJc w:val="left"/>
      <w:lvlText w:val="(%1)"/>
      <w:numFmt w:val="lowerLetter"/>
      <w:start w:val="1"/>
    </w:lvl>
    <w:lvl w:ilvl="1">
      <w:lvlJc w:val="left"/>
      <w:lvlText w:val="(%2)"/>
      <w:numFmt w:val="lowerRoman"/>
      <w:start w:val="1"/>
    </w:lvl>
  </w:abstractNum>
  <w:abstractNum w:abstractNumId="77">
    <w:nsid w:val="53299938"/>
    <w:multiLevelType w:val="hybridMultilevel"/>
    <w:lvl w:ilvl="0">
      <w:lvlJc w:val="left"/>
      <w:lvlText w:val="(%1)"/>
      <w:numFmt w:val="lowerLetter"/>
      <w:start w:val="3"/>
    </w:lvl>
  </w:abstractNum>
  <w:abstractNum w:abstractNumId="78">
    <w:nsid w:val="1FBFE8E0"/>
    <w:multiLevelType w:val="hybridMultilevel"/>
    <w:lvl w:ilvl="0">
      <w:lvlJc w:val="left"/>
      <w:lvlText w:val="%1."/>
      <w:numFmt w:val="decimal"/>
      <w:start w:val="10"/>
    </w:lvl>
    <w:lvl w:ilvl="1">
      <w:lvlJc w:val="left"/>
      <w:lvlText w:val="(%2)"/>
      <w:numFmt w:val="lowerLetter"/>
      <w:start w:val="1"/>
    </w:lvl>
  </w:abstractNum>
  <w:abstractNum w:abstractNumId="79">
    <w:nsid w:val="5092CA79"/>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80">
    <w:nsid w:val="1D545C4D"/>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81">
    <w:nsid w:val="59ADEA3D"/>
    <w:multiLevelType w:val="hybridMultilevel"/>
    <w:lvl w:ilvl="0">
      <w:lvlJc w:val="left"/>
      <w:lvlText w:val="%1."/>
      <w:numFmt w:val="decimal"/>
      <w:start w:val="12"/>
    </w:lvl>
  </w:abstractNum>
  <w:abstractNum w:abstractNumId="82">
    <w:nsid w:val="288F1A34"/>
    <w:multiLevelType w:val="hybridMultilevel"/>
    <w:lvl w:ilvl="0">
      <w:lvlJc w:val="left"/>
      <w:lvlText w:val="(%1)"/>
      <w:numFmt w:val="lowerLetter"/>
      <w:start w:val="1"/>
    </w:lvl>
  </w:abstractNum>
  <w:abstractNum w:abstractNumId="83">
    <w:nsid w:val="2A155DBC"/>
    <w:multiLevelType w:val="hybridMultilevel"/>
    <w:lvl w:ilvl="0">
      <w:lvlJc w:val="left"/>
      <w:lvlText w:val="(%1)"/>
      <w:numFmt w:val="lowerLetter"/>
      <w:start w:val="1"/>
    </w:lvl>
  </w:abstractNum>
  <w:abstractNum w:abstractNumId="84">
    <w:nsid w:val="1D9F6E5F"/>
    <w:multiLevelType w:val="hybridMultilevel"/>
    <w:lvl w:ilvl="0">
      <w:lvlJc w:val="left"/>
      <w:lvlText w:val="(%1)"/>
      <w:numFmt w:val="lowerLetter"/>
      <w:start w:val="2"/>
    </w:lvl>
  </w:abstractNum>
  <w:abstractNum w:abstractNumId="85">
    <w:nsid w:val="97E1B4E"/>
    <w:multiLevelType w:val="hybridMultilevel"/>
    <w:lvl w:ilvl="0">
      <w:lvlJc w:val="left"/>
      <w:lvlText w:val="(%1)"/>
      <w:numFmt w:val="lowerLetter"/>
      <w:start w:val="4"/>
    </w:lvl>
  </w:abstractNum>
  <w:abstractNum w:abstractNumId="86">
    <w:nsid w:val="51088277"/>
    <w:multiLevelType w:val="hybridMultilevel"/>
    <w:lvl w:ilvl="0">
      <w:lvlJc w:val="left"/>
      <w:lvlText w:val="%1."/>
      <w:numFmt w:val="decimal"/>
      <w:start w:val="1"/>
    </w:lvl>
  </w:abstractNum>
  <w:abstractNum w:abstractNumId="87">
    <w:nsid w:val="1CA0C5FA"/>
    <w:multiLevelType w:val="hybridMultilevel"/>
    <w:lvl w:ilvl="0">
      <w:lvlJc w:val="left"/>
      <w:lvlText w:val="%1."/>
      <w:numFmt w:val="decimal"/>
      <w:start w:val="2"/>
    </w:lvl>
  </w:abstractNum>
  <w:abstractNum w:abstractNumId="88">
    <w:nsid w:val="53584BCB"/>
    <w:multiLevelType w:val="hybridMultilevel"/>
    <w:lvl w:ilvl="0">
      <w:lvlJc w:val="left"/>
      <w:lvlText w:val="%1."/>
      <w:numFmt w:val="decimal"/>
      <w:start w:val="3"/>
    </w:lvl>
  </w:abstractNum>
  <w:abstractNum w:abstractNumId="89">
    <w:nsid w:val="415E286C"/>
    <w:multiLevelType w:val="hybridMultilevel"/>
    <w:lvl w:ilvl="0">
      <w:lvlJc w:val="left"/>
      <w:lvlText w:val="(%1)"/>
      <w:numFmt w:val="lowerLetter"/>
      <w:start w:val="1"/>
    </w:lvl>
  </w:abstractNum>
  <w:abstractNum w:abstractNumId="90">
    <w:nsid w:val="7C58FD05"/>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91">
    <w:nsid w:val="23D86AAC"/>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92">
    <w:nsid w:val="45E6D486"/>
    <w:multiLevelType w:val="hybridMultilevel"/>
    <w:lvl w:ilvl="0">
      <w:lvlJc w:val="left"/>
      <w:lvlText w:val="%1"/>
      <w:numFmt w:val="decimal"/>
      <w:start w:val="1"/>
    </w:lvl>
    <w:lvl w:ilvl="1">
      <w:lvlJc w:val="left"/>
      <w:lvlText w:val="(%2)"/>
      <w:numFmt w:val="lowerLetter"/>
      <w:start w:val="5"/>
    </w:lvl>
  </w:abstractNum>
  <w:abstractNum w:abstractNumId="93">
    <w:nsid w:val="5C10FE21"/>
    <w:multiLevelType w:val="hybridMultilevel"/>
    <w:lvl w:ilvl="0">
      <w:lvlJc w:val="left"/>
      <w:lvlText w:val="%1."/>
      <w:numFmt w:val="decimal"/>
      <w:start w:val="4"/>
    </w:lvl>
    <w:lvl w:ilvl="1">
      <w:lvlJc w:val="left"/>
      <w:lvlText w:val="%2"/>
      <w:numFmt w:val="lowerLetter"/>
      <w:start w:val="1"/>
    </w:lvl>
  </w:abstractNum>
  <w:abstractNum w:abstractNumId="94">
    <w:nsid w:val="E7FFA2B"/>
    <w:multiLevelType w:val="hybridMultilevel"/>
    <w:lvl w:ilvl="0">
      <w:lvlJc w:val="left"/>
      <w:lvlText w:val="%1."/>
      <w:numFmt w:val="decimal"/>
      <w:start w:val="5"/>
    </w:lvl>
  </w:abstractNum>
  <w:abstractNum w:abstractNumId="95">
    <w:nsid w:val="3C5991AA"/>
    <w:multiLevelType w:val="hybridMultilevel"/>
    <w:lvl w:ilvl="0">
      <w:lvlJc w:val="left"/>
      <w:lvlText w:val="%1."/>
      <w:numFmt w:val="decimal"/>
      <w:start w:val="6"/>
    </w:lvl>
  </w:abstractNum>
  <w:abstractNum w:abstractNumId="96">
    <w:nsid w:val="4BD8591A"/>
    <w:multiLevelType w:val="hybridMultilevel"/>
    <w:lvl w:ilvl="0">
      <w:lvlJc w:val="left"/>
      <w:lvlText w:val="%1."/>
      <w:numFmt w:val="decimal"/>
      <w:start w:val="7"/>
    </w:lvl>
  </w:abstractNum>
  <w:abstractNum w:abstractNumId="97">
    <w:nsid w:val="78DF6A55"/>
    <w:multiLevelType w:val="hybridMultilevel"/>
    <w:lvl w:ilvl="0">
      <w:lvlJc w:val="left"/>
      <w:lvlText w:val="%1."/>
      <w:numFmt w:val="decimal"/>
      <w:start w:val="9"/>
    </w:lvl>
  </w:abstractNum>
  <w:abstractNum w:abstractNumId="98">
    <w:nsid w:val="39B7AAA2"/>
    <w:multiLevelType w:val="hybridMultilevel"/>
    <w:lvl w:ilvl="0">
      <w:lvlJc w:val="left"/>
      <w:lvlText w:val="(%1)"/>
      <w:numFmt w:val="lowerLetter"/>
      <w:start w:val="1"/>
    </w:lvl>
    <w:lvl w:ilvl="1">
      <w:lvlJc w:val="left"/>
      <w:lvlText w:val="(%2)"/>
      <w:numFmt w:val="lowerRoman"/>
      <w:start w:val="1"/>
    </w:lvl>
  </w:abstractNum>
  <w:abstractNum w:abstractNumId="99">
    <w:nsid w:val="2B0D8DBE"/>
    <w:multiLevelType w:val="hybridMultilevel"/>
    <w:lvl w:ilvl="0">
      <w:lvlJc w:val="left"/>
      <w:lvlText w:val="(%1)"/>
      <w:numFmt w:val="lowerLetter"/>
      <w:start w:val="3"/>
    </w:lvl>
  </w:abstractNum>
  <w:abstractNum w:abstractNumId="100">
    <w:nsid w:val="6C80EC70"/>
    <w:multiLevelType w:val="hybridMultilevel"/>
    <w:lvl w:ilvl="0">
      <w:lvlJc w:val="left"/>
      <w:lvlText w:val="%1."/>
      <w:numFmt w:val="decimal"/>
      <w:start w:val="10"/>
    </w:lvl>
    <w:lvl w:ilvl="1">
      <w:lvlJc w:val="left"/>
      <w:lvlText w:val="(%2)"/>
      <w:numFmt w:val="lowerLetter"/>
      <w:start w:val="1"/>
    </w:lvl>
  </w:abstractNum>
  <w:abstractNum w:abstractNumId="101">
    <w:nsid w:val="379E21B5"/>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102">
    <w:nsid w:val="69E373"/>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03">
    <w:nsid w:val="2C27173B"/>
    <w:multiLevelType w:val="hybridMultilevel"/>
    <w:lvl w:ilvl="0">
      <w:lvlJc w:val="left"/>
      <w:lvlText w:val="%1."/>
      <w:numFmt w:val="decimal"/>
      <w:start w:val="12"/>
    </w:lvl>
  </w:abstractNum>
  <w:abstractNum w:abstractNumId="104">
    <w:nsid w:val="4C9B0904"/>
    <w:multiLevelType w:val="hybridMultilevel"/>
    <w:lvl w:ilvl="0">
      <w:lvlJc w:val="left"/>
      <w:lvlText w:val="(%1)"/>
      <w:numFmt w:val="lowerLetter"/>
      <w:start w:val="1"/>
    </w:lvl>
  </w:abstractNum>
  <w:abstractNum w:abstractNumId="105">
    <w:nsid w:val="6AA7B75C"/>
    <w:multiLevelType w:val="hybridMultilevel"/>
    <w:lvl w:ilvl="0">
      <w:lvlJc w:val="left"/>
      <w:lvlText w:val="(%1)"/>
      <w:numFmt w:val="lowerLetter"/>
      <w:start w:val="1"/>
    </w:lvl>
  </w:abstractNum>
  <w:abstractNum w:abstractNumId="106">
    <w:nsid w:val="1DF029D3"/>
    <w:multiLevelType w:val="hybridMultilevel"/>
    <w:lvl w:ilvl="0">
      <w:lvlJc w:val="left"/>
      <w:lvlText w:val="(%1)"/>
      <w:numFmt w:val="lowerLetter"/>
      <w:start w:val="2"/>
    </w:lvl>
  </w:abstractNum>
  <w:abstractNum w:abstractNumId="107">
    <w:nsid w:val="5675FF36"/>
    <w:multiLevelType w:val="hybridMultilevel"/>
    <w:lvl w:ilvl="0">
      <w:lvlJc w:val="left"/>
      <w:lvlText w:val="(%1)"/>
      <w:numFmt w:val="lowerLetter"/>
      <w:start w:val="4"/>
    </w:lvl>
  </w:abstractNum>
  <w:abstractNum w:abstractNumId="108">
    <w:nsid w:val="3DD15094"/>
    <w:multiLevelType w:val="hybridMultilevel"/>
    <w:lvl w:ilvl="0">
      <w:lvlJc w:val="left"/>
      <w:lvlText w:val="%1."/>
      <w:numFmt w:val="decimal"/>
      <w:start w:val="1"/>
    </w:lvl>
  </w:abstractNum>
  <w:abstractNum w:abstractNumId="109">
    <w:nsid w:val="3DB012B3"/>
    <w:multiLevelType w:val="hybridMultilevel"/>
    <w:lvl w:ilvl="0">
      <w:lvlJc w:val="left"/>
      <w:lvlText w:val="%1."/>
      <w:numFmt w:val="decimal"/>
      <w:start w:val="2"/>
    </w:lvl>
  </w:abstractNum>
  <w:abstractNum w:abstractNumId="110">
    <w:nsid w:val="2708C9AF"/>
    <w:multiLevelType w:val="hybridMultilevel"/>
    <w:lvl w:ilvl="0">
      <w:lvlJc w:val="left"/>
      <w:lvlText w:val="%1."/>
      <w:numFmt w:val="decimal"/>
      <w:start w:val="3"/>
    </w:lvl>
  </w:abstractNum>
  <w:abstractNum w:abstractNumId="111">
    <w:nsid w:val="5B25ACE2"/>
    <w:multiLevelType w:val="hybridMultilevel"/>
    <w:lvl w:ilvl="0">
      <w:lvlJc w:val="left"/>
      <w:lvlText w:val="(%1)"/>
      <w:numFmt w:val="lowerLetter"/>
      <w:start w:val="1"/>
    </w:lvl>
  </w:abstractNum>
  <w:abstractNum w:abstractNumId="112">
    <w:nsid w:val="175DFCF0"/>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113">
    <w:nsid w:val="4F97E3E4"/>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114">
    <w:nsid w:val="53B0A9E"/>
    <w:multiLevelType w:val="hybridMultilevel"/>
    <w:lvl w:ilvl="0">
      <w:lvlJc w:val="left"/>
      <w:lvlText w:val="%1"/>
      <w:numFmt w:val="decimal"/>
      <w:start w:val="1"/>
    </w:lvl>
    <w:lvl w:ilvl="1">
      <w:lvlJc w:val="left"/>
      <w:lvlText w:val="(%2)"/>
      <w:numFmt w:val="lowerLetter"/>
      <w:start w:val="5"/>
    </w:lvl>
  </w:abstractNum>
  <w:abstractNum w:abstractNumId="115">
    <w:nsid w:val="34FD6B4F"/>
    <w:multiLevelType w:val="hybridMultilevel"/>
    <w:lvl w:ilvl="0">
      <w:lvlJc w:val="left"/>
      <w:lvlText w:val="%1."/>
      <w:numFmt w:val="decimal"/>
      <w:start w:val="4"/>
    </w:lvl>
    <w:lvl w:ilvl="1">
      <w:lvlJc w:val="left"/>
      <w:lvlText w:val="%2"/>
      <w:numFmt w:val="lowerLetter"/>
      <w:start w:val="1"/>
    </w:lvl>
  </w:abstractNum>
  <w:abstractNum w:abstractNumId="116">
    <w:nsid w:val="5915FF32"/>
    <w:multiLevelType w:val="hybridMultilevel"/>
    <w:lvl w:ilvl="0">
      <w:lvlJc w:val="left"/>
      <w:lvlText w:val="%1."/>
      <w:numFmt w:val="decimal"/>
      <w:start w:val="5"/>
    </w:lvl>
  </w:abstractNum>
  <w:abstractNum w:abstractNumId="117">
    <w:nsid w:val="56438D15"/>
    <w:multiLevelType w:val="hybridMultilevel"/>
    <w:lvl w:ilvl="0">
      <w:lvlJc w:val="left"/>
      <w:lvlText w:val="%1."/>
      <w:numFmt w:val="decimal"/>
      <w:start w:val="6"/>
    </w:lvl>
  </w:abstractNum>
  <w:abstractNum w:abstractNumId="118">
    <w:nsid w:val="519E3149"/>
    <w:multiLevelType w:val="hybridMultilevel"/>
    <w:lvl w:ilvl="0">
      <w:lvlJc w:val="left"/>
      <w:lvlText w:val="%1."/>
      <w:numFmt w:val="decimal"/>
      <w:start w:val="7"/>
    </w:lvl>
  </w:abstractNum>
  <w:abstractNum w:abstractNumId="119">
    <w:nsid w:val="2C6E4AFD"/>
    <w:multiLevelType w:val="hybridMultilevel"/>
    <w:lvl w:ilvl="0">
      <w:lvlJc w:val="left"/>
      <w:lvlText w:val="%1."/>
      <w:numFmt w:val="decimal"/>
      <w:start w:val="9"/>
    </w:lvl>
  </w:abstractNum>
  <w:abstractNum w:abstractNumId="120">
    <w:nsid w:val="17A1B582"/>
    <w:multiLevelType w:val="hybridMultilevel"/>
    <w:lvl w:ilvl="0">
      <w:lvlJc w:val="left"/>
      <w:lvlText w:val="(%1)"/>
      <w:numFmt w:val="lowerLetter"/>
      <w:start w:val="1"/>
    </w:lvl>
    <w:lvl w:ilvl="1">
      <w:lvlJc w:val="left"/>
      <w:lvlText w:val="(%2)"/>
      <w:numFmt w:val="lowerRoman"/>
      <w:start w:val="1"/>
    </w:lvl>
  </w:abstractNum>
  <w:abstractNum w:abstractNumId="121">
    <w:nsid w:val="4DF72E4E"/>
    <w:multiLevelType w:val="hybridMultilevel"/>
    <w:lvl w:ilvl="0">
      <w:lvlJc w:val="left"/>
      <w:lvlText w:val="(%1)"/>
      <w:numFmt w:val="lowerLetter"/>
      <w:start w:val="3"/>
    </w:lvl>
  </w:abstractNum>
  <w:abstractNum w:abstractNumId="122">
    <w:nsid w:val="5046B5A9"/>
    <w:multiLevelType w:val="hybridMultilevel"/>
    <w:lvl w:ilvl="0">
      <w:lvlJc w:val="left"/>
      <w:lvlText w:val="%1."/>
      <w:numFmt w:val="decimal"/>
      <w:start w:val="10"/>
    </w:lvl>
    <w:lvl w:ilvl="1">
      <w:lvlJc w:val="left"/>
      <w:lvlText w:val="(%2)"/>
      <w:numFmt w:val="lowerLetter"/>
      <w:start w:val="1"/>
    </w:lvl>
  </w:abstractNum>
  <w:abstractNum w:abstractNumId="123">
    <w:nsid w:val="5D888A08"/>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124">
    <w:nsid w:val="2A082C70"/>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25">
    <w:nsid w:val="5EC6AFD4"/>
    <w:multiLevelType w:val="hybridMultilevel"/>
    <w:lvl w:ilvl="0">
      <w:lvlJc w:val="left"/>
      <w:lvlText w:val="%1."/>
      <w:numFmt w:val="decimal"/>
      <w:start w:val="12"/>
    </w:lvl>
  </w:abstractNum>
  <w:abstractNum w:abstractNumId="126">
    <w:nsid w:val="19E21BB2"/>
    <w:multiLevelType w:val="hybridMultilevel"/>
    <w:lvl w:ilvl="0">
      <w:lvlJc w:val="left"/>
      <w:lvlText w:val="(%1)"/>
      <w:numFmt w:val="lowerLetter"/>
      <w:start w:val="1"/>
    </w:lvl>
  </w:abstractNum>
  <w:abstractNum w:abstractNumId="127">
    <w:nsid w:val="75E0858A"/>
    <w:multiLevelType w:val="hybridMultilevel"/>
    <w:lvl w:ilvl="0">
      <w:lvlJc w:val="left"/>
      <w:lvlText w:val="(%1)"/>
      <w:numFmt w:val="lowerLetter"/>
      <w:start w:val="1"/>
    </w:lvl>
  </w:abstractNum>
  <w:abstractNum w:abstractNumId="128">
    <w:nsid w:val="57A61A29"/>
    <w:multiLevelType w:val="hybridMultilevel"/>
    <w:lvl w:ilvl="0">
      <w:lvlJc w:val="left"/>
      <w:lvlText w:val="(%1)"/>
      <w:numFmt w:val="lowerLetter"/>
      <w:start w:val="2"/>
    </w:lvl>
  </w:abstractNum>
  <w:abstractNum w:abstractNumId="129">
    <w:nsid w:val="5399C654"/>
    <w:multiLevelType w:val="hybridMultilevel"/>
    <w:lvl w:ilvl="0">
      <w:lvlJc w:val="left"/>
      <w:lvlText w:val="(%1)"/>
      <w:numFmt w:val="lowerLetter"/>
      <w:start w:val="4"/>
    </w:lvl>
  </w:abstractNum>
  <w:abstractNum w:abstractNumId="130">
    <w:nsid w:val="20EE1348"/>
    <w:multiLevelType w:val="hybridMultilevel"/>
    <w:lvl w:ilvl="0">
      <w:lvlJc w:val="left"/>
      <w:lvlText w:val="%1."/>
      <w:numFmt w:val="decimal"/>
      <w:start w:val="1"/>
    </w:lvl>
    <w:lvl w:ilvl="1">
      <w:lvlJc w:val="left"/>
      <w:lvlText w:val="%2)"/>
      <w:numFmt w:val="lowerLetter"/>
      <w:start w:val="1"/>
    </w:lvl>
  </w:abstractNum>
  <w:abstractNum w:abstractNumId="131">
    <w:nsid w:val="4427069A"/>
    <w:multiLevelType w:val="hybridMultilevel"/>
    <w:lvl w:ilvl="0">
      <w:lvlJc w:val="left"/>
      <w:lvlText w:val="%1."/>
      <w:numFmt w:val="decimal"/>
      <w:start w:val="1"/>
    </w:lvl>
    <w:lvl w:ilvl="1">
      <w:lvlJc w:val="left"/>
      <w:lvlText w:val="%2)"/>
      <w:numFmt w:val="lowerLetter"/>
      <w:start w:val="1"/>
    </w:lvl>
  </w:abstractNum>
  <w:abstractNum w:abstractNumId="132">
    <w:nsid w:val="B37E8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60" Type="http://schemas.openxmlformats.org/officeDocument/2006/relationships/image" Target="media/image43.png"/><Relationship Id="rId76" Type="http://schemas.openxmlformats.org/officeDocument/2006/relationships/image" Target="media/image44.png"/><Relationship Id="rId88" Type="http://schemas.openxmlformats.org/officeDocument/2006/relationships/image" Target="media/image45.png"/><Relationship Id="rId89" Type="http://schemas.openxmlformats.org/officeDocument/2006/relationships/image" Target="media/image46.png"/><Relationship Id="rId90" Type="http://schemas.openxmlformats.org/officeDocument/2006/relationships/image" Target="media/image47.png"/><Relationship Id="rId91" Type="http://schemas.openxmlformats.org/officeDocument/2006/relationships/image" Target="media/image48.png"/><Relationship Id="rId92" Type="http://schemas.openxmlformats.org/officeDocument/2006/relationships/image" Target="media/image49.png"/><Relationship Id="rId93" Type="http://schemas.openxmlformats.org/officeDocument/2006/relationships/image" Target="media/image50.png"/><Relationship Id="rId94" Type="http://schemas.openxmlformats.org/officeDocument/2006/relationships/image" Target="media/image51.png"/><Relationship Id="rId95" Type="http://schemas.openxmlformats.org/officeDocument/2006/relationships/image" Target="media/image52.png"/><Relationship Id="rId50" Type="http://schemas.openxmlformats.org/officeDocument/2006/relationships/hyperlink" Target="http://www.sec.gov/Archives/edgar/data/780571/000119312517286810/d457477dex21.htm" TargetMode="External"/><Relationship Id="rId51" Type="http://schemas.openxmlformats.org/officeDocument/2006/relationships/hyperlink" Target="http://www.sec.gov/Archives/edgar/data/780571/000103221003000460/dex31.txt" TargetMode="External"/><Relationship Id="rId52" Type="http://schemas.openxmlformats.org/officeDocument/2006/relationships/hyperlink" Target="http://www.sec.gov/Archives/edgar/data/780571/000078057116000059/itriex-3212312015.htm" TargetMode="External"/><Relationship Id="rId53" Type="http://schemas.openxmlformats.org/officeDocument/2006/relationships/hyperlink" Target="http://www.sec.gov/Archives/edgar/data/780571/000078057111000007/itriex-428811.htm" TargetMode="External"/><Relationship Id="rId54" Type="http://schemas.openxmlformats.org/officeDocument/2006/relationships/hyperlink" Target="http://www.sec.gov/Archives/edgar/data/780571/000078057115000024/itriex-426232015.htm" TargetMode="External"/><Relationship Id="rId55" Type="http://schemas.openxmlformats.org/officeDocument/2006/relationships/hyperlink" Target="http://www.sec.gov/Archives/edgar/data/780571/000119312517377716/d455839dex41.htm" TargetMode="External"/><Relationship Id="rId56" Type="http://schemas.openxmlformats.org/officeDocument/2006/relationships/hyperlink" Target="http://www.sec.gov/Archives/edgar/data/780571/000078057118000004/ex41secondamendedandrestat.htm" TargetMode="External"/><Relationship Id="rId57" Type="http://schemas.openxmlformats.org/officeDocument/2006/relationships/hyperlink" Target="http://www.sec.gov/Archives/edgar/data/780571/000078057113000004/itriex-101123112.htm" TargetMode="External"/><Relationship Id="rId58" Type="http://schemas.openxmlformats.org/officeDocument/2006/relationships/hyperlink" Target="http://www.sec.gov/Archives/edgar/data/780571/000078057100000013/0000780571-00-000013.txt" TargetMode="External"/><Relationship Id="rId59" Type="http://schemas.openxmlformats.org/officeDocument/2006/relationships/hyperlink" Target="http://www.sec.gov/Archives/edgar/data/780571/000119312514097231/d658410ddef14a.htm#toc658410_80" TargetMode="External"/><Relationship Id="rId61" Type="http://schemas.openxmlformats.org/officeDocument/2006/relationships/hyperlink" Target="http://www.sec.gov/Archives/edgar/data/780571/000119312517095570/d291730ddef14a.htm#toc291730_89" TargetMode="External"/><Relationship Id="rId62" Type="http://schemas.openxmlformats.org/officeDocument/2006/relationships/hyperlink" Target="http://www.sec.gov/Archives/edgar/data/780571/000078057114000027/itriex-10660314.htm" TargetMode="External"/><Relationship Id="rId63" Type="http://schemas.openxmlformats.org/officeDocument/2006/relationships/hyperlink" Target="http://www.sec.gov/Archives/edgar/data/780571/000119312510059539/ddef14a.htm#toc64501_61" TargetMode="External"/><Relationship Id="rId64" Type="http://schemas.openxmlformats.org/officeDocument/2006/relationships/hyperlink" Target="http://www.sec.gov/Archives/edgar/data/780571/000078057108000042/ex_10-4.htm" TargetMode="External"/><Relationship Id="rId65" Type="http://schemas.openxmlformats.org/officeDocument/2006/relationships/hyperlink" Target="http://www.sec.gov/Archives/edgar/data/780571/000078057110000002/exhibit_10-6.htm" TargetMode="External"/><Relationship Id="rId66" Type="http://schemas.openxmlformats.org/officeDocument/2006/relationships/hyperlink" Target="http://www.sec.gov/Archives/edgar/data/780571/000078057110000002/exhibit_10-1.htm" TargetMode="External"/><Relationship Id="rId67" Type="http://schemas.openxmlformats.org/officeDocument/2006/relationships/hyperlink" Target="http://www.sec.gov/Archives/edgar/data/780571/000078057110000002/exhibit_10-2.htm" TargetMode="External"/><Relationship Id="rId68" Type="http://schemas.openxmlformats.org/officeDocument/2006/relationships/hyperlink" Target="http://www.sec.gov/Archives/edgar/data/780571/000078057110000002/exhibit_10-3.htm" TargetMode="External"/><Relationship Id="rId69" Type="http://schemas.openxmlformats.org/officeDocument/2006/relationships/hyperlink" Target="http://www.sec.gov/Archives/edgar/data/780571/000078057110000002/exhibit_10-4.htm" TargetMode="External"/><Relationship Id="rId70" Type="http://schemas.openxmlformats.org/officeDocument/2006/relationships/hyperlink" Target="http://www.sec.gov/Archives/edgar/data/780571/000078057110000002/exhibit_10-5.htm" TargetMode="External"/><Relationship Id="rId71" Type="http://schemas.openxmlformats.org/officeDocument/2006/relationships/hyperlink" Target="http://www.sec.gov/Archives/edgar/data/780571/000078057114000027/itriex-10463014.htm" TargetMode="External"/><Relationship Id="rId72" Type="http://schemas.openxmlformats.org/officeDocument/2006/relationships/hyperlink" Target="http://www.sec.gov/Archives/edgar/data/780571/000119312511045950/dex1019.htm" TargetMode="External"/><Relationship Id="rId73" Type="http://schemas.openxmlformats.org/officeDocument/2006/relationships/hyperlink" Target="http://www.sec.gov/Archives/edgar/data/780571/000078057114000027/itriex-10563014.htm" TargetMode="External"/><Relationship Id="rId74" Type="http://schemas.openxmlformats.org/officeDocument/2006/relationships/hyperlink" Target="http://www.sec.gov/Archives/edgar/data/780571/000078057114000027/itriex-10263014.htm" TargetMode="External"/><Relationship Id="rId75" Type="http://schemas.openxmlformats.org/officeDocument/2006/relationships/hyperlink" Target="http://www.sec.gov/Archives/edgar/data/780571/000078057114000027/itriex-10363014.htm" TargetMode="External"/><Relationship Id="rId77" Type="http://schemas.openxmlformats.org/officeDocument/2006/relationships/hyperlink" Target="http://www.sec.gov/Archives/edgar/data/780571/000078057113000017/itriex-10333113.htm" TargetMode="External"/><Relationship Id="rId78" Type="http://schemas.openxmlformats.org/officeDocument/2006/relationships/hyperlink" Target="http://www.sec.gov/Archives/edgar/data/780571/000078057114000027/itriex-10163014.htm" TargetMode="External"/><Relationship Id="rId79" Type="http://schemas.openxmlformats.org/officeDocument/2006/relationships/hyperlink" Target="http://www.sec.gov/Archives/edgar/data/780571/000078057116000072/itriex-10109302016.htm" TargetMode="External"/><Relationship Id="rId80" Type="http://schemas.openxmlformats.org/officeDocument/2006/relationships/hyperlink" Target="http://www.sec.gov/Archives/edgar/data/780571/000078057109000015/ex_10-20.htm" TargetMode="External"/><Relationship Id="rId81" Type="http://schemas.openxmlformats.org/officeDocument/2006/relationships/hyperlink" Target="http://www.sec.gov/Archives/edgar/data/780571/000078057112000062/ex101ceoofferletter.htm" TargetMode="External"/><Relationship Id="rId82" Type="http://schemas.openxmlformats.org/officeDocument/2006/relationships/hyperlink" Target="http://www.sec.gov/Archives/edgar/data/780571/000078057115000037/itriex101cooperationagreem.htm" TargetMode="External"/><Relationship Id="rId83" Type="http://schemas.openxmlformats.org/officeDocument/2006/relationships/hyperlink" Target="http://www.sec.gov/Archives/edgar/data/780571/000078057116000072/itriex-10209302016.htm" TargetMode="External"/><Relationship Id="rId84" Type="http://schemas.openxmlformats.org/officeDocument/2006/relationships/hyperlink" Target="http://www.sec.gov/Archives/edgar/data/780571/000078057117000031/itriex-1011112017.htm" TargetMode="External"/><Relationship Id="rId85" Type="http://schemas.openxmlformats.org/officeDocument/2006/relationships/hyperlink" Target="http://www.sec.gov/Archives/edgar/data/780571/000078057117000010/itriex-10103312017isonsoop.htm" TargetMode="External"/><Relationship Id="rId86" Type="http://schemas.openxmlformats.org/officeDocument/2006/relationships/hyperlink" Target="http://www.sec.gov/Archives/edgar/data/780571/000078057117000010/itriex-10203312017ltprsuag.htm" TargetMode="External"/><Relationship Id="rId87" Type="http://schemas.openxmlformats.org/officeDocument/2006/relationships/hyperlink" Target="http://www.sec.gov/Archives/edgar/data/780571/000078057117000010/itriex-10303312017rsu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2019-12-28T15:28:07Z</dcterms:created>
  <dcterms:modified xsi:type="dcterms:W3CDTF">2019-12-28T15:28:07Z</dcterms:modified>
</cp:coreProperties>
</file>