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5407025" cy="1333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07025" cy="1333500"/>
                    </a:xfrm>
                    <a:prstGeom prst="rect">
                      <a:avLst/>
                    </a:prstGeom>
                    <a:noFill/>
                  </pic:spPr>
                </pic:pic>
              </a:graphicData>
            </a:graphic>
          </wp:anchor>
        </w:drawing>
        <w:t>UNITED STATES</w:t>
      </w:r>
    </w:p>
    <w:p>
      <w:pPr>
        <w:spacing w:after="0" w:line="206"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18"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br w:type="column"/>
      </w:r>
    </w:p>
    <w:p>
      <w:pPr>
        <w:ind w:left="360"/>
        <w:spacing w:after="0"/>
        <w:rPr>
          <w:sz w:val="20"/>
          <w:szCs w:val="20"/>
          <w:color w:val="auto"/>
        </w:rPr>
      </w:pPr>
      <w:r>
        <w:rPr>
          <w:rFonts w:ascii="Times New Roman" w:cs="Times New Roman" w:eastAsia="Times New Roman" w:hAnsi="Times New Roman"/>
          <w:sz w:val="18"/>
          <w:szCs w:val="18"/>
          <w:color w:val="auto"/>
        </w:rPr>
        <w:t>OMB APPROVAL</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OMB Number: 3235-0145</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Expires: December 31, 2005</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Estimated average burden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hours per response 11</w:t>
      </w:r>
    </w:p>
    <w:p>
      <w:pPr>
        <w:spacing w:after="0" w:line="200" w:lineRule="exact"/>
        <w:rPr>
          <w:sz w:val="24"/>
          <w:szCs w:val="24"/>
          <w:color w:val="auto"/>
        </w:rPr>
      </w:pPr>
    </w:p>
    <w:p>
      <w:pPr>
        <w:sectPr>
          <w:pgSz w:w="11900" w:h="16838" w:orient="portrait"/>
          <w:cols w:equalWidth="0" w:num="2">
            <w:col w:w="5600" w:space="720"/>
            <w:col w:w="5040"/>
          </w:cols>
          <w:pgMar w:left="240" w:top="351" w:right="299" w:bottom="260" w:gutter="0" w:footer="0" w:header="0"/>
        </w:sectPr>
      </w:pPr>
    </w:p>
    <w:p>
      <w:pPr>
        <w:spacing w:after="0" w:line="14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465741106</w:t>
      </w:r>
    </w:p>
    <w:p>
      <w:pPr>
        <w:spacing w:after="0" w:line="2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December 31, 2005</w:t>
      </w:r>
    </w:p>
    <w:p>
      <w:pPr>
        <w:spacing w:after="0" w:line="210"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X</w:t>
      </w:r>
      <w:r>
        <w:rPr>
          <w:rFonts w:ascii="Times New Roman" w:cs="Times New Roman" w:eastAsia="Times New Roman" w:hAnsi="Times New Roman"/>
          <w:sz w:val="22"/>
          <w:szCs w:val="22"/>
          <w:color w:val="auto"/>
        </w:rPr>
        <w:t>] Rule 13d-1(b)</w:t>
      </w:r>
    </w:p>
    <w:p>
      <w:pPr>
        <w:spacing w:after="0" w:line="210" w:lineRule="exact"/>
        <w:rPr>
          <w:sz w:val="24"/>
          <w:szCs w:val="24"/>
          <w:color w:val="auto"/>
        </w:rPr>
      </w:pPr>
    </w:p>
    <w:p>
      <w:pPr>
        <w:ind w:left="140" w:hanging="132"/>
        <w:spacing w:after="0"/>
        <w:tabs>
          <w:tab w:leader="none" w:pos="1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13d-1(c)</w:t>
      </w:r>
    </w:p>
    <w:p>
      <w:pPr>
        <w:spacing w:after="0" w:line="206" w:lineRule="exact"/>
        <w:rPr>
          <w:rFonts w:ascii="Times New Roman" w:cs="Times New Roman" w:eastAsia="Times New Roman" w:hAnsi="Times New Roman"/>
          <w:sz w:val="22"/>
          <w:szCs w:val="22"/>
          <w:color w:val="auto"/>
        </w:rPr>
      </w:pPr>
    </w:p>
    <w:p>
      <w:pPr>
        <w:ind w:left="140" w:hanging="132"/>
        <w:spacing w:after="0"/>
        <w:tabs>
          <w:tab w:leader="none" w:pos="1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13d-1(d)</w:t>
      </w:r>
    </w:p>
    <w:p>
      <w:pPr>
        <w:spacing w:after="0" w:line="206" w:lineRule="exact"/>
        <w:rPr>
          <w:sz w:val="24"/>
          <w:szCs w:val="24"/>
          <w:color w:val="auto"/>
        </w:rPr>
      </w:pPr>
    </w:p>
    <w:p>
      <w:pPr>
        <w:ind w:firstLine="8"/>
        <w:spacing w:after="0" w:line="244" w:lineRule="auto"/>
        <w:tabs>
          <w:tab w:leader="none" w:pos="16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4" w:lineRule="exact"/>
        <w:rPr>
          <w:sz w:val="24"/>
          <w:szCs w:val="24"/>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0" w:lineRule="exact"/>
        <w:rPr>
          <w:sz w:val="24"/>
          <w:szCs w:val="24"/>
          <w:color w:val="auto"/>
        </w:rPr>
      </w:pPr>
    </w:p>
    <w:p>
      <w:pPr>
        <w:ind w:right="380"/>
        <w:spacing w:after="0" w:line="262" w:lineRule="auto"/>
        <w:rPr>
          <w:sz w:val="20"/>
          <w:szCs w:val="20"/>
          <w:color w:val="auto"/>
        </w:rPr>
      </w:pPr>
      <w:r>
        <w:rPr>
          <w:rFonts w:ascii="Times New Roman" w:cs="Times New Roman" w:eastAsia="Times New Roman" w:hAnsi="Times New Roman"/>
          <w:sz w:val="22"/>
          <w:szCs w:val="22"/>
          <w:b w:val="1"/>
          <w:bCs w:val="1"/>
          <w:color w:val="auto"/>
        </w:rPr>
        <w:t>Potential persons who are to respond to the collection of information contained in this form are not required to respond unless the form 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22"/>
          <w:szCs w:val="22"/>
          <w:color w:val="auto"/>
        </w:rPr>
        <w:t>1. Names of Reporting Persons.</w:t>
      </w:r>
    </w:p>
    <w:p>
      <w:pPr>
        <w:spacing w:after="0" w:line="14"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22"/>
          <w:szCs w:val="22"/>
          <w:color w:val="auto"/>
        </w:rPr>
        <w:t>I.R.S. Identification Nos. of above persons (entities only).</w:t>
      </w:r>
    </w:p>
    <w:p>
      <w:pPr>
        <w:spacing w:after="0" w:line="205"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22"/>
          <w:szCs w:val="22"/>
          <w:b w:val="1"/>
          <w:bCs w:val="1"/>
          <w:color w:val="auto"/>
        </w:rPr>
        <w:t>Snyder Capital Management, L.P.</w:t>
      </w:r>
    </w:p>
    <w:p>
      <w:pPr>
        <w:sectPr>
          <w:pgSz w:w="11900" w:h="16838" w:orient="portrait"/>
          <w:cols w:equalWidth="0" w:num="1">
            <w:col w:w="11360"/>
          </w:cols>
          <w:pgMar w:left="240" w:top="351" w:right="299" w:bottom="260" w:gutter="0" w:footer="0" w:header="0"/>
          <w:type w:val="continuous"/>
        </w:sectPr>
      </w:pPr>
    </w:p>
    <w:bookmarkStart w:id="1" w:name="page2"/>
    <w:bookmarkEnd w:id="1"/>
    <w:p>
      <w:pPr>
        <w:ind w:left="2160"/>
        <w:spacing w:after="0"/>
        <w:rPr>
          <w:sz w:val="20"/>
          <w:szCs w:val="20"/>
          <w:color w:val="auto"/>
        </w:rPr>
      </w:pPr>
      <w:r>
        <w:rPr>
          <w:rFonts w:ascii="Times New Roman" w:cs="Times New Roman" w:eastAsia="Times New Roman" w:hAnsi="Times New Roman"/>
          <w:sz w:val="22"/>
          <w:szCs w:val="22"/>
          <w:color w:val="auto"/>
        </w:rPr>
        <w:t>2. Check the Appropriate Box if a Member of a Group (See Instructions)</w:t>
      </w:r>
    </w:p>
    <w:p>
      <w:pPr>
        <w:spacing w:after="0" w:line="230" w:lineRule="exact"/>
        <w:rPr>
          <w:sz w:val="20"/>
          <w:szCs w:val="20"/>
          <w:color w:val="auto"/>
        </w:rPr>
      </w:pPr>
    </w:p>
    <w:p>
      <w:pPr>
        <w:ind w:left="2460" w:hanging="291"/>
        <w:spacing w:after="0"/>
        <w:tabs>
          <w:tab w:leader="none" w:pos="24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X</w:t>
      </w:r>
    </w:p>
    <w:p>
      <w:pPr>
        <w:spacing w:after="0" w:line="237" w:lineRule="exact"/>
        <w:rPr>
          <w:rFonts w:ascii="Times New Roman" w:cs="Times New Roman" w:eastAsia="Times New Roman" w:hAnsi="Times New Roman"/>
          <w:sz w:val="22"/>
          <w:szCs w:val="22"/>
          <w:color w:val="auto"/>
        </w:rPr>
      </w:pPr>
    </w:p>
    <w:p>
      <w:pPr>
        <w:ind w:left="2480" w:hanging="311"/>
        <w:spacing w:after="0"/>
        <w:tabs>
          <w:tab w:leader="none" w:pos="24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w:t>
      </w:r>
    </w:p>
    <w:p>
      <w:pPr>
        <w:spacing w:after="0" w:line="206" w:lineRule="exact"/>
        <w:rPr>
          <w:sz w:val="20"/>
          <w:szCs w:val="20"/>
          <w:color w:val="auto"/>
        </w:rPr>
      </w:pPr>
    </w:p>
    <w:p>
      <w:pPr>
        <w:ind w:left="2380" w:hanging="211"/>
        <w:spacing w:after="0"/>
        <w:tabs>
          <w:tab w:leader="none" w:pos="2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2" w:lineRule="exact"/>
        <w:rPr>
          <w:rFonts w:ascii="Times New Roman" w:cs="Times New Roman" w:eastAsia="Times New Roman" w:hAnsi="Times New Roman"/>
          <w:sz w:val="22"/>
          <w:szCs w:val="22"/>
          <w:color w:val="auto"/>
        </w:rPr>
      </w:pPr>
    </w:p>
    <w:p>
      <w:pPr>
        <w:ind w:left="2380" w:hanging="211"/>
        <w:spacing w:after="0"/>
        <w:tabs>
          <w:tab w:leader="none" w:pos="2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Citizenship or Place of Organization </w:t>
      </w:r>
      <w:r>
        <w:rPr>
          <w:rFonts w:ascii="Times New Roman" w:cs="Times New Roman" w:eastAsia="Times New Roman" w:hAnsi="Times New Roman"/>
          <w:sz w:val="22"/>
          <w:szCs w:val="22"/>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5496560" cy="1809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96560" cy="180911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Number of</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65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 xml:space="preserve">Sole Voting Power </w:t>
            </w:r>
            <w:r>
              <w:rPr>
                <w:rFonts w:ascii="Times New Roman" w:cs="Times New Roman" w:eastAsia="Times New Roman" w:hAnsi="Times New Roman"/>
                <w:sz w:val="22"/>
                <w:szCs w:val="22"/>
                <w:b w:val="1"/>
                <w:bCs w:val="1"/>
                <w:color w:val="auto"/>
              </w:rPr>
              <w:t>-0-</w:t>
            </w:r>
          </w:p>
        </w:tc>
        <w:tc>
          <w:tcPr>
            <w:tcW w:w="0" w:type="dxa"/>
            <w:vAlign w:val="bottom"/>
          </w:tcPr>
          <w:p>
            <w:pPr>
              <w:spacing w:after="0"/>
              <w:rPr>
                <w:sz w:val="1"/>
                <w:szCs w:val="1"/>
                <w:color w:val="auto"/>
              </w:rPr>
            </w:pPr>
          </w:p>
        </w:tc>
      </w:tr>
      <w:tr>
        <w:trPr>
          <w:trHeight w:val="299"/>
        </w:trPr>
        <w:tc>
          <w:tcPr>
            <w:tcW w:w="40" w:type="dxa"/>
            <w:vAlign w:val="bottom"/>
          </w:tcPr>
          <w:p>
            <w:pPr>
              <w:spacing w:after="0"/>
              <w:rPr>
                <w:sz w:val="24"/>
                <w:szCs w:val="24"/>
                <w:color w:val="auto"/>
              </w:rPr>
            </w:pP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Shares</w:t>
            </w:r>
          </w:p>
        </w:tc>
        <w:tc>
          <w:tcPr>
            <w:tcW w:w="300" w:type="dxa"/>
            <w:vAlign w:val="bottom"/>
            <w:tcBorders>
              <w:bottom w:val="single" w:sz="8" w:color="808080"/>
            </w:tcBorders>
          </w:tcPr>
          <w:p>
            <w:pPr>
              <w:spacing w:after="0"/>
              <w:rPr>
                <w:sz w:val="24"/>
                <w:szCs w:val="24"/>
                <w:color w:val="auto"/>
              </w:rPr>
            </w:pPr>
          </w:p>
        </w:tc>
        <w:tc>
          <w:tcPr>
            <w:tcW w:w="6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656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 xml:space="preserve">Shared Voting Power </w:t>
            </w:r>
            <w:r>
              <w:rPr>
                <w:rFonts w:ascii="Times New Roman" w:cs="Times New Roman" w:eastAsia="Times New Roman" w:hAnsi="Times New Roman"/>
                <w:sz w:val="22"/>
                <w:szCs w:val="22"/>
                <w:b w:val="1"/>
                <w:bCs w:val="1"/>
                <w:color w:val="auto"/>
              </w:rPr>
              <w:t>751,310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Beneficially</w:t>
            </w:r>
          </w:p>
        </w:tc>
        <w:tc>
          <w:tcPr>
            <w:tcW w:w="300" w:type="dxa"/>
            <w:vAlign w:val="bottom"/>
            <w:vMerge w:val="continue"/>
          </w:tcPr>
          <w:p>
            <w:pPr>
              <w:spacing w:after="0"/>
              <w:rPr>
                <w:sz w:val="19"/>
                <w:szCs w:val="19"/>
                <w:color w:val="auto"/>
              </w:rPr>
            </w:pPr>
          </w:p>
        </w:tc>
        <w:tc>
          <w:tcPr>
            <w:tcW w:w="6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6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65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 xml:space="preserve">Sole Dispositive Power </w:t>
            </w:r>
            <w:r>
              <w:rPr>
                <w:rFonts w:ascii="Times New Roman" w:cs="Times New Roman" w:eastAsia="Times New Roman" w:hAnsi="Times New Roman"/>
                <w:sz w:val="22"/>
                <w:szCs w:val="22"/>
                <w:b w:val="1"/>
                <w:bCs w:val="1"/>
                <w:color w:val="auto"/>
              </w:rPr>
              <w:t>-0-</w:t>
            </w:r>
          </w:p>
        </w:tc>
        <w:tc>
          <w:tcPr>
            <w:tcW w:w="0" w:type="dxa"/>
            <w:vAlign w:val="bottom"/>
          </w:tcPr>
          <w:p>
            <w:pPr>
              <w:spacing w:after="0"/>
              <w:rPr>
                <w:sz w:val="1"/>
                <w:szCs w:val="1"/>
                <w:color w:val="auto"/>
              </w:rPr>
            </w:pPr>
          </w:p>
        </w:tc>
      </w:tr>
      <w:tr>
        <w:trPr>
          <w:trHeight w:val="299"/>
        </w:trPr>
        <w:tc>
          <w:tcPr>
            <w:tcW w:w="40" w:type="dxa"/>
            <w:vAlign w:val="bottom"/>
          </w:tcPr>
          <w:p>
            <w:pPr>
              <w:spacing w:after="0"/>
              <w:rPr>
                <w:sz w:val="24"/>
                <w:szCs w:val="24"/>
                <w:color w:val="auto"/>
              </w:rPr>
            </w:pP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Each Reporting</w:t>
            </w:r>
          </w:p>
        </w:tc>
        <w:tc>
          <w:tcPr>
            <w:tcW w:w="300" w:type="dxa"/>
            <w:vAlign w:val="bottom"/>
            <w:tcBorders>
              <w:bottom w:val="single" w:sz="8" w:color="808080"/>
            </w:tcBorders>
          </w:tcPr>
          <w:p>
            <w:pPr>
              <w:spacing w:after="0"/>
              <w:rPr>
                <w:sz w:val="24"/>
                <w:szCs w:val="24"/>
                <w:color w:val="auto"/>
              </w:rPr>
            </w:pPr>
          </w:p>
        </w:tc>
        <w:tc>
          <w:tcPr>
            <w:tcW w:w="6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656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 xml:space="preserve">Shared Dispositive Power </w:t>
            </w:r>
            <w:r>
              <w:rPr>
                <w:rFonts w:ascii="Times New Roman" w:cs="Times New Roman" w:eastAsia="Times New Roman" w:hAnsi="Times New Roman"/>
                <w:sz w:val="22"/>
                <w:szCs w:val="22"/>
                <w:b w:val="1"/>
                <w:bCs w:val="1"/>
                <w:color w:val="auto"/>
              </w:rPr>
              <w:t>751,310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Person With:</w:t>
            </w:r>
          </w:p>
        </w:tc>
        <w:tc>
          <w:tcPr>
            <w:tcW w:w="300" w:type="dxa"/>
            <w:vAlign w:val="bottom"/>
            <w:vMerge w:val="continue"/>
          </w:tcPr>
          <w:p>
            <w:pPr>
              <w:spacing w:after="0"/>
              <w:rPr>
                <w:sz w:val="19"/>
                <w:szCs w:val="19"/>
                <w:color w:val="auto"/>
              </w:rPr>
            </w:pPr>
          </w:p>
        </w:tc>
        <w:tc>
          <w:tcPr>
            <w:tcW w:w="6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65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2380" w:hanging="211"/>
        <w:spacing w:after="0"/>
        <w:tabs>
          <w:tab w:leader="none" w:pos="238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Aggregate Amount Beneficially Owned by Each Reporting Person </w:t>
      </w:r>
      <w:r>
        <w:rPr>
          <w:rFonts w:ascii="Times New Roman" w:cs="Times New Roman" w:eastAsia="Times New Roman" w:hAnsi="Times New Roman"/>
          <w:sz w:val="21"/>
          <w:szCs w:val="21"/>
          <w:b w:val="1"/>
          <w:bCs w:val="1"/>
          <w:color w:val="auto"/>
        </w:rPr>
        <w:t>751,310</w:t>
      </w:r>
    </w:p>
    <w:p>
      <w:pPr>
        <w:spacing w:after="0" w:line="221" w:lineRule="exact"/>
        <w:rPr>
          <w:rFonts w:ascii="Times New Roman" w:cs="Times New Roman" w:eastAsia="Times New Roman" w:hAnsi="Times New Roman"/>
          <w:sz w:val="21"/>
          <w:szCs w:val="21"/>
          <w:color w:val="auto"/>
        </w:rPr>
      </w:pPr>
    </w:p>
    <w:p>
      <w:pPr>
        <w:ind w:left="2160" w:right="1359" w:firstLine="9"/>
        <w:spacing w:after="0" w:line="258" w:lineRule="auto"/>
        <w:tabs>
          <w:tab w:leader="none" w:pos="248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Check if the Aggregate Amount in Row (9) Excludes Certain Shares (See Instructions) </w:t>
      </w:r>
      <w:r>
        <w:rPr>
          <w:rFonts w:ascii="Times New Roman" w:cs="Times New Roman" w:eastAsia="Times New Roman" w:hAnsi="Times New Roman"/>
          <w:sz w:val="22"/>
          <w:szCs w:val="22"/>
          <w:b w:val="1"/>
          <w:bCs w:val="1"/>
          <w:color w:val="auto"/>
        </w:rPr>
        <w:t>______</w:t>
      </w:r>
    </w:p>
    <w:p>
      <w:pPr>
        <w:spacing w:after="0" w:line="154" w:lineRule="exact"/>
        <w:rPr>
          <w:rFonts w:ascii="Times New Roman" w:cs="Times New Roman" w:eastAsia="Times New Roman" w:hAnsi="Times New Roman"/>
          <w:sz w:val="22"/>
          <w:szCs w:val="22"/>
          <w:color w:val="auto"/>
        </w:rPr>
      </w:pPr>
    </w:p>
    <w:p>
      <w:pPr>
        <w:ind w:left="2480" w:hanging="311"/>
        <w:spacing w:after="0"/>
        <w:tabs>
          <w:tab w:leader="none" w:pos="24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Percent of Class Represented by Amount in Row (9) </w:t>
      </w:r>
      <w:r>
        <w:rPr>
          <w:rFonts w:ascii="Times New Roman" w:cs="Times New Roman" w:eastAsia="Times New Roman" w:hAnsi="Times New Roman"/>
          <w:sz w:val="22"/>
          <w:szCs w:val="22"/>
          <w:b w:val="1"/>
          <w:bCs w:val="1"/>
          <w:color w:val="auto"/>
        </w:rPr>
        <w:t>3.03%</w:t>
      </w:r>
    </w:p>
    <w:p>
      <w:pPr>
        <w:spacing w:after="0" w:line="210" w:lineRule="exact"/>
        <w:rPr>
          <w:rFonts w:ascii="Times New Roman" w:cs="Times New Roman" w:eastAsia="Times New Roman" w:hAnsi="Times New Roman"/>
          <w:sz w:val="22"/>
          <w:szCs w:val="22"/>
          <w:color w:val="auto"/>
        </w:rPr>
      </w:pPr>
    </w:p>
    <w:p>
      <w:pPr>
        <w:ind w:left="2500" w:hanging="331"/>
        <w:spacing w:after="0"/>
        <w:tabs>
          <w:tab w:leader="none" w:pos="25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b w:val="1"/>
          <w:bCs w:val="1"/>
          <w:color w:val="auto"/>
        </w:rPr>
        <w:t>PN</w:t>
      </w:r>
    </w:p>
    <w:p>
      <w:pPr>
        <w:spacing w:after="0" w:line="20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b w:val="1"/>
          <w:bCs w:val="1"/>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5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1. Names of Reporting Persons.</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I.R.S. Identification Nos. of above persons (entities only).</w:t>
            </w: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4"/>
          </w:tcPr>
          <w:p>
            <w:pPr>
              <w:ind w:left="100"/>
              <w:spacing w:after="0"/>
              <w:rPr>
                <w:sz w:val="20"/>
                <w:szCs w:val="20"/>
                <w:color w:val="auto"/>
              </w:rPr>
            </w:pPr>
            <w:r>
              <w:rPr>
                <w:rFonts w:ascii="Times New Roman" w:cs="Times New Roman" w:eastAsia="Times New Roman" w:hAnsi="Times New Roman"/>
                <w:sz w:val="22"/>
                <w:szCs w:val="22"/>
                <w:b w:val="1"/>
                <w:bCs w:val="1"/>
                <w:color w:val="auto"/>
              </w:rPr>
              <w:t>Snyder Capital Management, Inc.</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2. Check the Appropriate Box if a Member of a Group (See Instructions)</w:t>
            </w:r>
          </w:p>
        </w:tc>
        <w:tc>
          <w:tcPr>
            <w:tcW w:w="0" w:type="dxa"/>
            <w:vAlign w:val="bottom"/>
          </w:tcPr>
          <w:p>
            <w:pPr>
              <w:spacing w:after="0"/>
              <w:rPr>
                <w:sz w:val="1"/>
                <w:szCs w:val="1"/>
                <w:color w:val="auto"/>
              </w:rPr>
            </w:pPr>
          </w:p>
        </w:tc>
      </w:tr>
      <w:tr>
        <w:trPr>
          <w:trHeight w:val="434"/>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b w:val="1"/>
                <w:bCs w:val="1"/>
                <w:color w:val="auto"/>
              </w:rPr>
              <w:t>X</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(b) ______</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3. SEC Use Only</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 xml:space="preserve">4. Citizenship or Place of Organization </w:t>
            </w:r>
            <w:r>
              <w:rPr>
                <w:rFonts w:ascii="Times New Roman" w:cs="Times New Roman" w:eastAsia="Times New Roman" w:hAnsi="Times New Roman"/>
                <w:sz w:val="22"/>
                <w:szCs w:val="22"/>
                <w:b w:val="1"/>
                <w:bCs w:val="1"/>
                <w:color w:val="auto"/>
              </w:rPr>
              <w:t>Delaware</w:t>
            </w:r>
          </w:p>
        </w:tc>
        <w:tc>
          <w:tcPr>
            <w:tcW w:w="0" w:type="dxa"/>
            <w:vAlign w:val="bottom"/>
          </w:tcPr>
          <w:p>
            <w:pPr>
              <w:spacing w:after="0"/>
              <w:rPr>
                <w:sz w:val="1"/>
                <w:szCs w:val="1"/>
                <w:color w:val="auto"/>
              </w:rPr>
            </w:pPr>
          </w:p>
        </w:tc>
      </w:tr>
      <w:tr>
        <w:trPr>
          <w:trHeight w:val="204"/>
        </w:trPr>
        <w:tc>
          <w:tcPr>
            <w:tcW w:w="40" w:type="dxa"/>
            <w:vAlign w:val="bottom"/>
            <w:tcBorders>
              <w:bottom w:val="single" w:sz="8" w:color="808080"/>
            </w:tcBorders>
          </w:tcPr>
          <w:p>
            <w:pPr>
              <w:spacing w:after="0"/>
              <w:rPr>
                <w:sz w:val="17"/>
                <w:szCs w:val="17"/>
                <w:color w:val="auto"/>
              </w:rPr>
            </w:pPr>
          </w:p>
        </w:tc>
        <w:tc>
          <w:tcPr>
            <w:tcW w:w="17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59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Number of</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65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 xml:space="preserve">Sole Voting Power </w:t>
            </w:r>
            <w:r>
              <w:rPr>
                <w:rFonts w:ascii="Times New Roman" w:cs="Times New Roman" w:eastAsia="Times New Roman" w:hAnsi="Times New Roman"/>
                <w:sz w:val="22"/>
                <w:szCs w:val="22"/>
                <w:b w:val="1"/>
                <w:bCs w:val="1"/>
                <w:color w:val="auto"/>
              </w:rPr>
              <w:t>-0-</w:t>
            </w:r>
          </w:p>
        </w:tc>
        <w:tc>
          <w:tcPr>
            <w:tcW w:w="0" w:type="dxa"/>
            <w:vAlign w:val="bottom"/>
          </w:tcPr>
          <w:p>
            <w:pPr>
              <w:spacing w:after="0"/>
              <w:rPr>
                <w:sz w:val="1"/>
                <w:szCs w:val="1"/>
                <w:color w:val="auto"/>
              </w:rPr>
            </w:pPr>
          </w:p>
        </w:tc>
      </w:tr>
      <w:tr>
        <w:trPr>
          <w:trHeight w:val="299"/>
        </w:trPr>
        <w:tc>
          <w:tcPr>
            <w:tcW w:w="40" w:type="dxa"/>
            <w:vAlign w:val="bottom"/>
          </w:tcPr>
          <w:p>
            <w:pPr>
              <w:spacing w:after="0"/>
              <w:rPr>
                <w:sz w:val="24"/>
                <w:szCs w:val="24"/>
                <w:color w:val="auto"/>
              </w:rPr>
            </w:pP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Shares</w:t>
            </w:r>
          </w:p>
        </w:tc>
        <w:tc>
          <w:tcPr>
            <w:tcW w:w="3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9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6560" w:type="dxa"/>
            <w:vAlign w:val="bottom"/>
            <w:gridSpan w:val="4"/>
            <w:vMerge w:val="restart"/>
          </w:tcPr>
          <w:p>
            <w:pPr>
              <w:ind w:left="20"/>
              <w:spacing w:after="0"/>
              <w:rPr>
                <w:sz w:val="20"/>
                <w:szCs w:val="20"/>
                <w:color w:val="auto"/>
              </w:rPr>
            </w:pPr>
            <w:r>
              <w:rPr>
                <w:rFonts w:ascii="Times New Roman" w:cs="Times New Roman" w:eastAsia="Times New Roman" w:hAnsi="Times New Roman"/>
                <w:sz w:val="22"/>
                <w:szCs w:val="22"/>
                <w:color w:val="auto"/>
              </w:rPr>
              <w:t xml:space="preserve">Shared Voting Power </w:t>
            </w:r>
            <w:r>
              <w:rPr>
                <w:rFonts w:ascii="Times New Roman" w:cs="Times New Roman" w:eastAsia="Times New Roman" w:hAnsi="Times New Roman"/>
                <w:sz w:val="22"/>
                <w:szCs w:val="22"/>
                <w:b w:val="1"/>
                <w:bCs w:val="1"/>
                <w:color w:val="auto"/>
              </w:rPr>
              <w:t>751,310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Beneficially</w:t>
            </w:r>
          </w:p>
        </w:tc>
        <w:tc>
          <w:tcPr>
            <w:tcW w:w="300" w:type="dxa"/>
            <w:vAlign w:val="bottom"/>
            <w:vMerge w:val="continue"/>
          </w:tcPr>
          <w:p>
            <w:pPr>
              <w:spacing w:after="0"/>
              <w:rPr>
                <w:sz w:val="19"/>
                <w:szCs w:val="19"/>
                <w:color w:val="auto"/>
              </w:rPr>
            </w:pPr>
          </w:p>
        </w:tc>
        <w:tc>
          <w:tcPr>
            <w:tcW w:w="65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59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65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 xml:space="preserve">Sole Dispositive Power </w:t>
            </w:r>
            <w:r>
              <w:rPr>
                <w:rFonts w:ascii="Times New Roman" w:cs="Times New Roman" w:eastAsia="Times New Roman" w:hAnsi="Times New Roman"/>
                <w:sz w:val="22"/>
                <w:szCs w:val="22"/>
                <w:b w:val="1"/>
                <w:bCs w:val="1"/>
                <w:color w:val="auto"/>
              </w:rPr>
              <w:t>-0-</w:t>
            </w:r>
          </w:p>
        </w:tc>
        <w:tc>
          <w:tcPr>
            <w:tcW w:w="0" w:type="dxa"/>
            <w:vAlign w:val="bottom"/>
          </w:tcPr>
          <w:p>
            <w:pPr>
              <w:spacing w:after="0"/>
              <w:rPr>
                <w:sz w:val="1"/>
                <w:szCs w:val="1"/>
                <w:color w:val="auto"/>
              </w:rPr>
            </w:pPr>
          </w:p>
        </w:tc>
      </w:tr>
      <w:tr>
        <w:trPr>
          <w:trHeight w:val="299"/>
        </w:trPr>
        <w:tc>
          <w:tcPr>
            <w:tcW w:w="40" w:type="dxa"/>
            <w:vAlign w:val="bottom"/>
          </w:tcPr>
          <w:p>
            <w:pPr>
              <w:spacing w:after="0"/>
              <w:rPr>
                <w:sz w:val="24"/>
                <w:szCs w:val="24"/>
                <w:color w:val="auto"/>
              </w:rPr>
            </w:pP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Each Reporting</w:t>
            </w:r>
          </w:p>
        </w:tc>
        <w:tc>
          <w:tcPr>
            <w:tcW w:w="3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9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9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6560" w:type="dxa"/>
            <w:vAlign w:val="bottom"/>
            <w:gridSpan w:val="4"/>
            <w:vMerge w:val="restart"/>
          </w:tcPr>
          <w:p>
            <w:pPr>
              <w:ind w:left="20"/>
              <w:spacing w:after="0"/>
              <w:rPr>
                <w:sz w:val="20"/>
                <w:szCs w:val="20"/>
                <w:color w:val="auto"/>
              </w:rPr>
            </w:pPr>
            <w:r>
              <w:rPr>
                <w:rFonts w:ascii="Times New Roman" w:cs="Times New Roman" w:eastAsia="Times New Roman" w:hAnsi="Times New Roman"/>
                <w:sz w:val="22"/>
                <w:szCs w:val="22"/>
                <w:color w:val="auto"/>
              </w:rPr>
              <w:t xml:space="preserve">Shared Dispositive Power </w:t>
            </w:r>
            <w:r>
              <w:rPr>
                <w:rFonts w:ascii="Times New Roman" w:cs="Times New Roman" w:eastAsia="Times New Roman" w:hAnsi="Times New Roman"/>
                <w:sz w:val="22"/>
                <w:szCs w:val="22"/>
                <w:b w:val="1"/>
                <w:bCs w:val="1"/>
                <w:color w:val="auto"/>
              </w:rPr>
              <w:t>751,310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Person With:</w:t>
            </w:r>
          </w:p>
        </w:tc>
        <w:tc>
          <w:tcPr>
            <w:tcW w:w="300" w:type="dxa"/>
            <w:vAlign w:val="bottom"/>
            <w:vMerge w:val="continue"/>
          </w:tcPr>
          <w:p>
            <w:pPr>
              <w:spacing w:after="0"/>
              <w:rPr>
                <w:sz w:val="19"/>
                <w:szCs w:val="19"/>
                <w:color w:val="auto"/>
              </w:rPr>
            </w:pPr>
          </w:p>
        </w:tc>
        <w:tc>
          <w:tcPr>
            <w:tcW w:w="65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59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-1795780</wp:posOffset>
            </wp:positionV>
            <wp:extent cx="51435" cy="1809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1809115"/>
                    </a:xfrm>
                    <a:prstGeom prst="rect">
                      <a:avLst/>
                    </a:prstGeom>
                    <a:noFill/>
                  </pic:spPr>
                </pic:pic>
              </a:graphicData>
            </a:graphic>
          </wp:anchor>
        </w:drawing>
        <w:drawing>
          <wp:anchor simplePos="0" relativeHeight="251657728" behindDoc="1" locked="0" layoutInCell="0" allowOverlap="1">
            <wp:simplePos x="0" y="0"/>
            <wp:positionH relativeFrom="column">
              <wp:posOffset>5438140</wp:posOffset>
            </wp:positionH>
            <wp:positionV relativeFrom="paragraph">
              <wp:posOffset>-1795780</wp:posOffset>
            </wp:positionV>
            <wp:extent cx="51435" cy="1809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1809115"/>
                    </a:xfrm>
                    <a:prstGeom prst="rect">
                      <a:avLst/>
                    </a:prstGeom>
                    <a:noFill/>
                  </pic:spPr>
                </pic:pic>
              </a:graphicData>
            </a:graphic>
          </wp:anchor>
        </w:drawing>
        <w:drawing>
          <wp:anchor simplePos="0" relativeHeight="251657728" behindDoc="1" locked="0" layoutInCell="0" allowOverlap="1">
            <wp:simplePos x="0" y="0"/>
            <wp:positionH relativeFrom="column">
              <wp:posOffset>1090295</wp:posOffset>
            </wp:positionH>
            <wp:positionV relativeFrom="paragraph">
              <wp:posOffset>-1778635</wp:posOffset>
            </wp:positionV>
            <wp:extent cx="51435" cy="1774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 cy="1774825"/>
                    </a:xfrm>
                    <a:prstGeom prst="rect">
                      <a:avLst/>
                    </a:prstGeom>
                    <a:noFill/>
                  </pic:spPr>
                </pic:pic>
              </a:graphicData>
            </a:graphic>
          </wp:anchor>
        </w:drawing>
      </w:r>
    </w:p>
    <w:p>
      <w:pPr>
        <w:spacing w:after="0" w:line="165"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22"/>
          <w:szCs w:val="22"/>
          <w:color w:val="auto"/>
        </w:rPr>
        <w:t xml:space="preserve">9. Aggregate Amount Beneficially Owned by Each Reporting Person </w:t>
      </w:r>
      <w:r>
        <w:rPr>
          <w:rFonts w:ascii="Times New Roman" w:cs="Times New Roman" w:eastAsia="Times New Roman" w:hAnsi="Times New Roman"/>
          <w:sz w:val="22"/>
          <w:szCs w:val="22"/>
          <w:b w:val="1"/>
          <w:bCs w:val="1"/>
          <w:color w:val="auto"/>
        </w:rPr>
        <w:t>751,310</w:t>
      </w:r>
    </w:p>
    <w:p>
      <w:pPr>
        <w:sectPr>
          <w:pgSz w:w="11900" w:h="16838" w:orient="portrait"/>
          <w:cols w:equalWidth="0" w:num="1">
            <w:col w:w="10219"/>
          </w:cols>
          <w:pgMar w:left="240" w:top="111" w:right="1440" w:bottom="57" w:gutter="0" w:footer="0" w:header="0"/>
        </w:sectPr>
      </w:pPr>
    </w:p>
    <w:bookmarkStart w:id="2" w:name="page3"/>
    <w:bookmarkEnd w:id="2"/>
    <w:p>
      <w:pPr>
        <w:ind w:left="2160" w:right="2540" w:firstLine="9"/>
        <w:spacing w:after="0" w:line="259" w:lineRule="auto"/>
        <w:tabs>
          <w:tab w:leader="none" w:pos="248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Check if the Aggregate Amount in Row (9) Excludes Certain Shares (See Instructions) </w:t>
      </w:r>
      <w:r>
        <w:rPr>
          <w:rFonts w:ascii="Times New Roman" w:cs="Times New Roman" w:eastAsia="Times New Roman" w:hAnsi="Times New Roman"/>
          <w:sz w:val="22"/>
          <w:szCs w:val="22"/>
          <w:b w:val="1"/>
          <w:bCs w:val="1"/>
          <w:color w:val="auto"/>
        </w:rPr>
        <w:t>______</w:t>
      </w:r>
    </w:p>
    <w:p>
      <w:pPr>
        <w:spacing w:after="0" w:line="152" w:lineRule="exact"/>
        <w:rPr>
          <w:rFonts w:ascii="Times New Roman" w:cs="Times New Roman" w:eastAsia="Times New Roman" w:hAnsi="Times New Roman"/>
          <w:sz w:val="22"/>
          <w:szCs w:val="22"/>
          <w:color w:val="auto"/>
        </w:rPr>
      </w:pPr>
    </w:p>
    <w:p>
      <w:pPr>
        <w:ind w:left="2480" w:hanging="311"/>
        <w:spacing w:after="0"/>
        <w:tabs>
          <w:tab w:leader="none" w:pos="24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Percent of Class Represented by Amount in Row (9) </w:t>
      </w:r>
      <w:r>
        <w:rPr>
          <w:rFonts w:ascii="Times New Roman" w:cs="Times New Roman" w:eastAsia="Times New Roman" w:hAnsi="Times New Roman"/>
          <w:sz w:val="22"/>
          <w:szCs w:val="22"/>
          <w:b w:val="1"/>
          <w:bCs w:val="1"/>
          <w:color w:val="auto"/>
        </w:rPr>
        <w:t>3.03%</w:t>
      </w:r>
    </w:p>
    <w:p>
      <w:pPr>
        <w:spacing w:after="0" w:line="210" w:lineRule="exact"/>
        <w:rPr>
          <w:rFonts w:ascii="Times New Roman" w:cs="Times New Roman" w:eastAsia="Times New Roman" w:hAnsi="Times New Roman"/>
          <w:sz w:val="22"/>
          <w:szCs w:val="22"/>
          <w:color w:val="auto"/>
        </w:rPr>
      </w:pPr>
    </w:p>
    <w:p>
      <w:pPr>
        <w:ind w:left="2500" w:hanging="331"/>
        <w:spacing w:after="0"/>
        <w:tabs>
          <w:tab w:leader="none" w:pos="25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b w:val="1"/>
          <w:bCs w:val="1"/>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1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(a) Name of Issuer</w:t>
      </w:r>
    </w:p>
    <w:p>
      <w:pPr>
        <w:spacing w:after="0" w:line="22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1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(b) Address of Issuer's Principal Executive Offices</w:t>
      </w:r>
    </w:p>
    <w:p>
      <w:pPr>
        <w:spacing w:after="0" w:line="22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b w:val="1"/>
          <w:bCs w:val="1"/>
          <w:color w:val="auto"/>
        </w:rPr>
        <w:t>2818 N. Sullivan Road, Spokane, WA 99216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The names of the persons filing this statement 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Snyder Capital Management, L.P. ("SCMLP") and Snyder Capital Management, Inc. ("SCMI") (collectively, the "Filers").</w:t>
      </w:r>
    </w:p>
    <w:p>
      <w:pPr>
        <w:spacing w:after="0" w:line="21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2"/>
          <w:szCs w:val="22"/>
          <w:b w:val="1"/>
          <w:bCs w:val="1"/>
          <w:color w:val="auto"/>
        </w:rPr>
        <w:t>The direct parent company of SMI is IXIS Asset Management North America, L.P. (formerly known as CDC IXIS Asset Management North America, L.P.). IXIS Asset Management North America is ultimately owned principally by three large affiliated French financial services firms: the Caisse des Dépôts et Consignations ("CDC"); the Caisse National des Caisses d'Epargne ("CNCE"), a financial institution owned by the CDC and by the French regional savings banks known as the Caisses d'Epargne; and by CNP Assurances, a leading French life insurance company.</w:t>
      </w:r>
    </w:p>
    <w:p>
      <w:pPr>
        <w:spacing w:after="0" w:line="175"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1"/>
          <w:szCs w:val="21"/>
          <w:b w:val="1"/>
          <w:bCs w:val="1"/>
          <w:color w:val="auto"/>
        </w:rPr>
        <w:t>SCMI and IXIS Asset Management North America operate under an understanding that all investment and voting decisions regarding managed accounts are to be made by SCMI and SCMLP and not by IXIS Asset Management North America or any entity controlling it. Accordingly, SCMI and SCMLP do not consider IXIS Asset Management North America or any entity controlling it to have any direct or indirect control over the securities held in managed accounts.</w:t>
      </w:r>
    </w:p>
    <w:p>
      <w:pPr>
        <w:spacing w:after="0" w:line="16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(b) The principal business office of the Filers is located at:</w:t>
      </w:r>
    </w:p>
    <w:p>
      <w:pPr>
        <w:spacing w:after="0" w:line="22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b w:val="1"/>
          <w:bCs w:val="1"/>
          <w:color w:val="auto"/>
        </w:rPr>
        <w:t>One Market Plaza, Steuart Tower, Suite 1200, San Francisco, CA 94105</w:t>
      </w:r>
    </w:p>
    <w:p>
      <w:pPr>
        <w:spacing w:after="0" w:line="210" w:lineRule="exact"/>
        <w:rPr>
          <w:sz w:val="20"/>
          <w:szCs w:val="20"/>
          <w:color w:val="auto"/>
        </w:rPr>
      </w:pPr>
    </w:p>
    <w:p>
      <w:pPr>
        <w:ind w:left="2460" w:hanging="291"/>
        <w:spacing w:after="0"/>
        <w:tabs>
          <w:tab w:leader="none" w:pos="24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citizenship of Filers, see Item 4 of the cover sheet for each Filer.</w:t>
      </w:r>
    </w:p>
    <w:p>
      <w:pPr>
        <w:spacing w:after="0" w:line="206" w:lineRule="exact"/>
        <w:rPr>
          <w:rFonts w:ascii="Times New Roman" w:cs="Times New Roman" w:eastAsia="Times New Roman" w:hAnsi="Times New Roman"/>
          <w:sz w:val="22"/>
          <w:szCs w:val="22"/>
          <w:color w:val="auto"/>
        </w:rPr>
      </w:pPr>
    </w:p>
    <w:p>
      <w:pPr>
        <w:ind w:left="2480" w:hanging="311"/>
        <w:spacing w:after="0"/>
        <w:tabs>
          <w:tab w:leader="none" w:pos="24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relates to shares of common stock of the Issuer (the "Stock").</w:t>
      </w:r>
    </w:p>
    <w:p>
      <w:pPr>
        <w:spacing w:after="0" w:line="202" w:lineRule="exact"/>
        <w:rPr>
          <w:rFonts w:ascii="Times New Roman" w:cs="Times New Roman" w:eastAsia="Times New Roman" w:hAnsi="Times New Roman"/>
          <w:sz w:val="22"/>
          <w:szCs w:val="22"/>
          <w:color w:val="auto"/>
        </w:rPr>
      </w:pPr>
    </w:p>
    <w:p>
      <w:pPr>
        <w:ind w:left="2460" w:hanging="291"/>
        <w:spacing w:after="0"/>
        <w:tabs>
          <w:tab w:leader="none" w:pos="24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CUSIP number of the Issuer is: </w:t>
      </w:r>
      <w:r>
        <w:rPr>
          <w:rFonts w:ascii="Times New Roman" w:cs="Times New Roman" w:eastAsia="Times New Roman" w:hAnsi="Times New Roman"/>
          <w:sz w:val="22"/>
          <w:szCs w:val="22"/>
          <w:b w:val="1"/>
          <w:bCs w:val="1"/>
          <w:color w:val="auto"/>
        </w:rPr>
        <w:t>465741106</w:t>
      </w:r>
    </w:p>
    <w:p>
      <w:pPr>
        <w:spacing w:after="0" w:line="206" w:lineRule="exact"/>
        <w:rPr>
          <w:sz w:val="20"/>
          <w:szCs w:val="20"/>
          <w:color w:val="auto"/>
        </w:rPr>
      </w:pPr>
    </w:p>
    <w:p>
      <w:pPr>
        <w:ind w:left="2160" w:right="140"/>
        <w:spacing w:after="0" w:line="262" w:lineRule="auto"/>
        <w:rPr>
          <w:sz w:val="20"/>
          <w:szCs w:val="20"/>
          <w:color w:val="auto"/>
        </w:rPr>
      </w:pPr>
      <w:r>
        <w:rPr>
          <w:rFonts w:ascii="Times New Roman" w:cs="Times New Roman" w:eastAsia="Times New Roman" w:hAnsi="Times New Roman"/>
          <w:sz w:val="22"/>
          <w:szCs w:val="22"/>
          <w:b w:val="1"/>
          <w:bCs w:val="1"/>
          <w:color w:val="auto"/>
        </w:rPr>
        <w:t>Item 3. If this statement is filed pursuant to rule 240.13d-1(b) or 240.13d-2(b) or (c), check whether the person filing is a:</w:t>
      </w:r>
    </w:p>
    <w:p>
      <w:pPr>
        <w:spacing w:after="0" w:line="154" w:lineRule="exact"/>
        <w:rPr>
          <w:sz w:val="20"/>
          <w:szCs w:val="20"/>
          <w:color w:val="auto"/>
        </w:rPr>
      </w:pPr>
    </w:p>
    <w:p>
      <w:pPr>
        <w:ind w:left="3540" w:hanging="291"/>
        <w:spacing w:after="0"/>
        <w:tabs>
          <w:tab w:leader="none" w:pos="35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206" w:lineRule="exact"/>
        <w:rPr>
          <w:rFonts w:ascii="Times New Roman" w:cs="Times New Roman" w:eastAsia="Times New Roman" w:hAnsi="Times New Roman"/>
          <w:sz w:val="22"/>
          <w:szCs w:val="22"/>
          <w:color w:val="auto"/>
        </w:rPr>
      </w:pPr>
    </w:p>
    <w:p>
      <w:pPr>
        <w:ind w:left="3560" w:hanging="311"/>
        <w:spacing w:after="0"/>
        <w:tabs>
          <w:tab w:leader="none" w:pos="35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206" w:lineRule="exact"/>
        <w:rPr>
          <w:rFonts w:ascii="Times New Roman" w:cs="Times New Roman" w:eastAsia="Times New Roman" w:hAnsi="Times New Roman"/>
          <w:sz w:val="22"/>
          <w:szCs w:val="22"/>
          <w:color w:val="auto"/>
        </w:rPr>
      </w:pPr>
    </w:p>
    <w:p>
      <w:pPr>
        <w:ind w:left="3540" w:hanging="291"/>
        <w:spacing w:after="0"/>
        <w:tabs>
          <w:tab w:leader="none" w:pos="35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206" w:lineRule="exact"/>
        <w:rPr>
          <w:rFonts w:ascii="Times New Roman" w:cs="Times New Roman" w:eastAsia="Times New Roman" w:hAnsi="Times New Roman"/>
          <w:sz w:val="22"/>
          <w:szCs w:val="22"/>
          <w:color w:val="auto"/>
        </w:rPr>
      </w:pPr>
    </w:p>
    <w:p>
      <w:pPr>
        <w:ind w:left="3240" w:right="440" w:firstLine="9"/>
        <w:spacing w:after="0" w:line="258" w:lineRule="auto"/>
        <w:tabs>
          <w:tab w:leader="none" w:pos="354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154" w:lineRule="exact"/>
        <w:rPr>
          <w:rFonts w:ascii="Times New Roman" w:cs="Times New Roman" w:eastAsia="Times New Roman" w:hAnsi="Times New Roman"/>
          <w:sz w:val="22"/>
          <w:szCs w:val="22"/>
          <w:color w:val="auto"/>
        </w:rPr>
      </w:pPr>
    </w:p>
    <w:p>
      <w:pPr>
        <w:ind w:left="3240" w:right="700" w:firstLine="9"/>
        <w:spacing w:after="0" w:line="262" w:lineRule="auto"/>
        <w:tabs>
          <w:tab w:leader="none" w:pos="353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X</w:t>
      </w:r>
      <w:r>
        <w:rPr>
          <w:rFonts w:ascii="Times New Roman" w:cs="Times New Roman" w:eastAsia="Times New Roman" w:hAnsi="Times New Roman"/>
          <w:sz w:val="22"/>
          <w:szCs w:val="22"/>
          <w:color w:val="auto"/>
        </w:rPr>
        <w:t>] An investment adviser in accordance with section 240.13d-1(b)(1)(ii)(E) (as to SCMLP).</w:t>
      </w:r>
    </w:p>
    <w:p>
      <w:pPr>
        <w:spacing w:after="0" w:line="153" w:lineRule="exact"/>
        <w:rPr>
          <w:rFonts w:ascii="Times New Roman" w:cs="Times New Roman" w:eastAsia="Times New Roman" w:hAnsi="Times New Roman"/>
          <w:sz w:val="22"/>
          <w:szCs w:val="22"/>
          <w:color w:val="auto"/>
        </w:rPr>
      </w:pPr>
    </w:p>
    <w:p>
      <w:pPr>
        <w:ind w:left="3520" w:hanging="271"/>
        <w:spacing w:after="0"/>
        <w:tabs>
          <w:tab w:leader="none" w:pos="35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An employee benefit plan or endowment fund in accordance with section 240.13d-1(b)</w:t>
      </w:r>
    </w:p>
    <w:p>
      <w:pPr>
        <w:spacing w:after="0" w:line="25" w:lineRule="exact"/>
        <w:rPr>
          <w:rFonts w:ascii="Times New Roman" w:cs="Times New Roman" w:eastAsia="Times New Roman" w:hAnsi="Times New Roman"/>
          <w:sz w:val="21"/>
          <w:szCs w:val="21"/>
          <w:color w:val="auto"/>
        </w:rPr>
      </w:pPr>
    </w:p>
    <w:p>
      <w:pPr>
        <w:ind w:left="32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(1)(ii)(F).</w:t>
      </w:r>
    </w:p>
    <w:p>
      <w:pPr>
        <w:spacing w:after="0" w:line="178" w:lineRule="exact"/>
        <w:rPr>
          <w:rFonts w:ascii="Times New Roman" w:cs="Times New Roman" w:eastAsia="Times New Roman" w:hAnsi="Times New Roman"/>
          <w:sz w:val="21"/>
          <w:szCs w:val="21"/>
          <w:color w:val="auto"/>
        </w:rPr>
      </w:pPr>
    </w:p>
    <w:p>
      <w:pPr>
        <w:ind w:left="3560" w:hanging="311"/>
        <w:spacing w:after="0"/>
        <w:tabs>
          <w:tab w:leader="none" w:pos="35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X</w:t>
      </w:r>
      <w:r>
        <w:rPr>
          <w:rFonts w:ascii="Times New Roman" w:cs="Times New Roman" w:eastAsia="Times New Roman" w:hAnsi="Times New Roman"/>
          <w:sz w:val="22"/>
          <w:szCs w:val="22"/>
          <w:color w:val="auto"/>
        </w:rPr>
        <w:t>] A parent holding company or control person in accordance with 240.13d-1(b)(1)(ii)</w:t>
      </w:r>
    </w:p>
    <w:p>
      <w:pPr>
        <w:spacing w:after="0" w:line="18" w:lineRule="exact"/>
        <w:rPr>
          <w:rFonts w:ascii="Times New Roman" w:cs="Times New Roman" w:eastAsia="Times New Roman" w:hAnsi="Times New Roman"/>
          <w:sz w:val="22"/>
          <w:szCs w:val="22"/>
          <w:color w:val="auto"/>
        </w:rPr>
      </w:pPr>
    </w:p>
    <w:p>
      <w:pPr>
        <w:ind w:left="32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 (as to SCMI).</w:t>
      </w:r>
    </w:p>
    <w:p>
      <w:pPr>
        <w:sectPr>
          <w:pgSz w:w="11900" w:h="16838" w:orient="portrait"/>
          <w:cols w:equalWidth="0" w:num="1">
            <w:col w:w="11400"/>
          </w:cols>
          <w:pgMar w:left="240" w:top="111" w:right="259" w:bottom="0" w:gutter="0" w:footer="0" w:header="0"/>
        </w:sectPr>
      </w:pPr>
    </w:p>
    <w:bookmarkStart w:id="3" w:name="page4"/>
    <w:bookmarkEnd w:id="3"/>
    <w:p>
      <w:pPr>
        <w:spacing w:after="0" w:line="1" w:lineRule="exact"/>
        <w:rPr>
          <w:sz w:val="20"/>
          <w:szCs w:val="20"/>
          <w:color w:val="auto"/>
        </w:rPr>
      </w:pPr>
    </w:p>
    <w:p>
      <w:pPr>
        <w:ind w:left="3560" w:hanging="311"/>
        <w:spacing w:after="0"/>
        <w:tabs>
          <w:tab w:leader="none" w:pos="35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w:t>
      </w:r>
    </w:p>
    <w:p>
      <w:pPr>
        <w:spacing w:after="0" w:line="14" w:lineRule="exact"/>
        <w:rPr>
          <w:rFonts w:ascii="Times New Roman" w:cs="Times New Roman" w:eastAsia="Times New Roman" w:hAnsi="Times New Roman"/>
          <w:sz w:val="22"/>
          <w:szCs w:val="22"/>
          <w:color w:val="auto"/>
        </w:rPr>
      </w:pPr>
    </w:p>
    <w:p>
      <w:pPr>
        <w:ind w:left="32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U.S.C. 1813).</w:t>
      </w:r>
    </w:p>
    <w:p>
      <w:pPr>
        <w:spacing w:after="0" w:line="182" w:lineRule="exact"/>
        <w:rPr>
          <w:rFonts w:ascii="Times New Roman" w:cs="Times New Roman" w:eastAsia="Times New Roman" w:hAnsi="Times New Roman"/>
          <w:sz w:val="22"/>
          <w:szCs w:val="22"/>
          <w:color w:val="auto"/>
        </w:rPr>
      </w:pPr>
    </w:p>
    <w:p>
      <w:pPr>
        <w:ind w:left="3240" w:right="400" w:firstLine="9"/>
        <w:spacing w:after="0" w:line="258" w:lineRule="auto"/>
        <w:tabs>
          <w:tab w:leader="none" w:pos="34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154" w:lineRule="exact"/>
        <w:rPr>
          <w:rFonts w:ascii="Times New Roman" w:cs="Times New Roman" w:eastAsia="Times New Roman" w:hAnsi="Times New Roman"/>
          <w:sz w:val="22"/>
          <w:szCs w:val="22"/>
          <w:color w:val="auto"/>
        </w:rPr>
      </w:pPr>
    </w:p>
    <w:p>
      <w:pPr>
        <w:ind w:left="3500" w:hanging="251"/>
        <w:spacing w:after="0"/>
        <w:tabs>
          <w:tab w:leader="none" w:pos="35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X</w:t>
      </w:r>
      <w:r>
        <w:rPr>
          <w:rFonts w:ascii="Times New Roman" w:cs="Times New Roman" w:eastAsia="Times New Roman" w:hAnsi="Times New Roman"/>
          <w:sz w:val="22"/>
          <w:szCs w:val="22"/>
          <w:color w:val="auto"/>
        </w:rPr>
        <w:t>] Group, in accordance with section 240.13d-1(b)(1)(ii)(J) (as to both Filers).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b w:val="1"/>
          <w:bCs w:val="1"/>
          <w:color w:val="auto"/>
        </w:rPr>
        <w:t>Item 4. Ownership.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Items 5-9 and 11 of the cover page for each Filer.</w:t>
      </w:r>
    </w:p>
    <w:p>
      <w:pPr>
        <w:spacing w:after="0" w:line="20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b w:val="1"/>
          <w:bCs w:val="1"/>
          <w:color w:val="auto"/>
        </w:rPr>
        <w:t>Item 5. Ownership of Five Percent or Less of a Class</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[X].</w:t>
      </w:r>
    </w:p>
    <w:p>
      <w:pPr>
        <w:spacing w:after="0" w:line="1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Item 6. Ownership of More than Five Percent on Behalf of Another Person.</w:t>
      </w:r>
    </w:p>
    <w:p>
      <w:pPr>
        <w:spacing w:after="0" w:line="210"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SCMLP is a registered investment adviser whose clients have the right to receive or the power to direct the receipt of dividends from, or the proceeds from the sale of, the Stock. To the best of SCMLP's knowledge, no individual client's holdings of the Stock are more than five percent of the outstanding Stock.</w:t>
      </w:r>
    </w:p>
    <w:p>
      <w:pPr>
        <w:spacing w:after="0" w:line="170" w:lineRule="exact"/>
        <w:rPr>
          <w:sz w:val="20"/>
          <w:szCs w:val="20"/>
          <w:color w:val="auto"/>
        </w:rPr>
      </w:pPr>
    </w:p>
    <w:p>
      <w:pPr>
        <w:ind w:left="2160" w:right="580"/>
        <w:spacing w:after="0" w:line="262" w:lineRule="auto"/>
        <w:rPr>
          <w:sz w:val="20"/>
          <w:szCs w:val="20"/>
          <w:color w:val="auto"/>
        </w:rPr>
      </w:pPr>
      <w:r>
        <w:rPr>
          <w:rFonts w:ascii="Times New Roman" w:cs="Times New Roman" w:eastAsia="Times New Roman" w:hAnsi="Times New Roman"/>
          <w:sz w:val="22"/>
          <w:szCs w:val="22"/>
          <w:b w:val="1"/>
          <w:bCs w:val="1"/>
          <w:color w:val="auto"/>
        </w:rPr>
        <w:t>Item 7. Identification and Classification of the Subsidiary Which Acquired the Security Being Reported on By the Parent Holding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b w:val="1"/>
          <w:bCs w:val="1"/>
          <w:color w:val="auto"/>
        </w:rPr>
        <w:t>Item 8. Identification and Classification of Members of the Group.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SCMLP is a registered investment adviser. SCMI is the general partner of SCMLP.</w:t>
      </w:r>
    </w:p>
    <w:p>
      <w:pPr>
        <w:spacing w:after="0" w:line="20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b w:val="1"/>
          <w:bCs w:val="1"/>
          <w:color w:val="auto"/>
        </w:rPr>
        <w:t>Item 9. Notice of Dissolution of Group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10" w:lineRule="exact"/>
        <w:rPr>
          <w:sz w:val="20"/>
          <w:szCs w:val="20"/>
          <w:color w:val="auto"/>
        </w:rPr>
      </w:pPr>
    </w:p>
    <w:p>
      <w:pPr>
        <w:ind w:left="1080" w:right="10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SIGNATURE</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15, 2006</w:t>
      </w:r>
    </w:p>
    <w:p>
      <w:pPr>
        <w:spacing w:after="0" w:line="3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SNYDER CAPITAL MANAGEMENT, L.P.</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 Snyder Capital Management, Inc.</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Steven J. Block</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Executive Vice President</w:t>
      </w:r>
    </w:p>
    <w:p>
      <w:pPr>
        <w:spacing w:after="0" w:line="1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SNYDER CAPITAL MANAGEMENT, INC.</w:t>
      </w:r>
    </w:p>
    <w:p>
      <w:pPr>
        <w:sectPr>
          <w:pgSz w:w="11900" w:h="16839" w:orient="portrait"/>
          <w:cols w:equalWidth="0" w:num="1">
            <w:col w:w="11360"/>
          </w:cols>
          <w:pgMar w:left="240" w:top="112"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w:t>
      </w:r>
    </w:p>
    <w:p>
      <w:pPr>
        <w:sectPr>
          <w:pgSz w:w="11900" w:h="16839" w:orient="portrait"/>
          <w:cols w:equalWidth="0" w:num="1">
            <w:col w:w="11360"/>
          </w:cols>
          <w:pgMar w:left="240" w:top="112" w:right="2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Steven J. Block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Executive Vice President</w:t>
      </w:r>
    </w:p>
    <w:sectPr>
      <w:pgSz w:w="11900" w:h="16838" w:orient="portrait"/>
      <w:cols w:equalWidth="0" w:num="1">
        <w:col w:w="10119"/>
      </w:cols>
      <w:pgMar w:left="3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9"/>
    </w:lvl>
  </w:abstractNum>
  <w:abstractNum w:abstractNumId="5">
    <w:nsid w:val="79E2A9E3"/>
    <w:multiLevelType w:val="hybridMultilevel"/>
    <w:lvl w:ilvl="0">
      <w:lvlJc w:val="left"/>
      <w:lvlText w:val="%1."/>
      <w:numFmt w:val="decimal"/>
      <w:start w:val="10"/>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2019-12-13T15:40:20Z</dcterms:created>
  <dcterms:modified xsi:type="dcterms:W3CDTF">2019-12-13T15:40:20Z</dcterms:modified>
</cp:coreProperties>
</file>