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24, 2003</w:t>
      </w:r>
    </w:p>
    <w:p>
      <w:pPr>
        <w:spacing w:after="0" w:line="21" w:lineRule="exact"/>
        <w:rPr>
          <w:sz w:val="24"/>
          <w:szCs w:val="24"/>
          <w:color w:val="auto"/>
        </w:rPr>
      </w:pPr>
    </w:p>
    <w:p>
      <w:pPr>
        <w:ind w:left="912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21" w:lineRule="exact"/>
        <w:rPr>
          <w:sz w:val="24"/>
          <w:szCs w:val="24"/>
          <w:color w:val="auto"/>
        </w:rPr>
      </w:pPr>
    </w:p>
    <w:p>
      <w:pPr>
        <w:ind w:left="23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56" w:lineRule="exact"/>
        <w:rPr>
          <w:sz w:val="24"/>
          <w:szCs w:val="24"/>
          <w:color w:val="auto"/>
        </w:rPr>
      </w:pPr>
    </w:p>
    <w:p>
      <w:pPr>
        <w:sectPr>
          <w:pgSz w:w="11900" w:h="16838" w:orient="portrait"/>
          <w:cols w:equalWidth="0" w:num="2">
            <w:col w:w="7500" w:space="720"/>
            <w:col w:w="3200"/>
          </w:cols>
          <w:pgMar w:left="240" w:top="233" w:right="239" w:bottom="1440" w:gutter="0" w:footer="0" w:header="0"/>
          <w:type w:val="continuous"/>
        </w:sectPr>
      </w:pPr>
    </w:p>
    <w:p>
      <w:pPr>
        <w:ind w:left="19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44" w:lineRule="exact"/>
        <w:rPr>
          <w:sz w:val="24"/>
          <w:szCs w:val="24"/>
          <w:color w:val="auto"/>
        </w:rPr>
      </w:pPr>
    </w:p>
    <w:p>
      <w:pPr>
        <w:sectPr>
          <w:pgSz w:w="11900" w:h="16838" w:orient="portrait"/>
          <w:cols w:equalWidth="0" w:num="2">
            <w:col w:w="7400" w:space="720"/>
            <w:col w:w="330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2818 N. Sullivan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Spokane, WA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ITRON, INC. INCENTIVE SAVINGS PLAN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Russell N. Fairbanks, Jr.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2818 N. Sullivan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Spokane, WA 99216-1897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Bor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1201 Third Avenue, Suite 4800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98101-3099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(206)-359-8000</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0"/>
              </w:rPr>
              <w:t>Proposed</w:t>
            </w:r>
          </w:p>
        </w:tc>
        <w:tc>
          <w:tcPr>
            <w:tcW w:w="1120" w:type="dxa"/>
            <w:vAlign w:val="bottom"/>
          </w:tcPr>
          <w:p>
            <w:pPr>
              <w:spacing w:after="0"/>
              <w:rPr>
                <w:sz w:val="14"/>
                <w:szCs w:val="14"/>
                <w:color w:val="auto"/>
              </w:rPr>
            </w:pPr>
          </w:p>
        </w:tc>
      </w:tr>
      <w:tr>
        <w:trPr>
          <w:trHeight w:val="149"/>
        </w:trPr>
        <w:tc>
          <w:tcPr>
            <w:tcW w:w="5120" w:type="dxa"/>
            <w:vAlign w:val="bottom"/>
          </w:tcPr>
          <w:p>
            <w:pPr>
              <w:spacing w:after="0"/>
              <w:rPr>
                <w:sz w:val="12"/>
                <w:szCs w:val="12"/>
                <w:color w:val="auto"/>
              </w:rPr>
            </w:pPr>
          </w:p>
        </w:tc>
        <w:tc>
          <w:tcPr>
            <w:tcW w:w="164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90"/>
              </w:rPr>
              <w:t>Amount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12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5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5"/>
              </w:rPr>
              <w:t>Title of Securities</w:t>
            </w:r>
          </w:p>
        </w:tc>
        <w:tc>
          <w:tcPr>
            <w:tcW w:w="164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83"/>
              </w:rPr>
              <w:t>to be</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12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5120" w:type="dxa"/>
            <w:vAlign w:val="bottom"/>
          </w:tcPr>
          <w:p>
            <w:pPr>
              <w:jc w:val="center"/>
              <w:ind w:right="162"/>
              <w:spacing w:after="0"/>
              <w:rPr>
                <w:sz w:val="20"/>
                <w:szCs w:val="20"/>
                <w:color w:val="auto"/>
              </w:rPr>
            </w:pPr>
            <w:r>
              <w:rPr>
                <w:rFonts w:ascii="Arial" w:cs="Arial" w:eastAsia="Arial" w:hAnsi="Arial"/>
                <w:sz w:val="14"/>
                <w:szCs w:val="14"/>
                <w:b w:val="1"/>
                <w:bCs w:val="1"/>
                <w:color w:val="auto"/>
                <w:w w:val="83"/>
              </w:rPr>
              <w:t>to be Registered</w:t>
            </w:r>
          </w:p>
        </w:tc>
        <w:tc>
          <w:tcPr>
            <w:tcW w:w="1640" w:type="dxa"/>
            <w:vAlign w:val="bottom"/>
          </w:tcPr>
          <w:p>
            <w:pPr>
              <w:jc w:val="center"/>
              <w:ind w:left="47"/>
              <w:spacing w:after="0"/>
              <w:rPr>
                <w:sz w:val="20"/>
                <w:szCs w:val="20"/>
                <w:color w:val="auto"/>
              </w:rPr>
            </w:pPr>
            <w:r>
              <w:rPr>
                <w:rFonts w:ascii="Arial" w:cs="Arial" w:eastAsia="Arial" w:hAnsi="Arial"/>
                <w:sz w:val="14"/>
                <w:szCs w:val="14"/>
                <w:b w:val="1"/>
                <w:bCs w:val="1"/>
                <w:color w:val="auto"/>
                <w:w w:val="84"/>
              </w:rPr>
              <w:t>Registered(1)</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 Share(2)</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 Price(2)</w:t>
            </w:r>
          </w:p>
        </w:tc>
        <w:tc>
          <w:tcPr>
            <w:tcW w:w="1120" w:type="dxa"/>
            <w:vAlign w:val="bottom"/>
          </w:tcPr>
          <w:p>
            <w:pPr>
              <w:jc w:val="center"/>
              <w:ind w:left="327"/>
              <w:spacing w:after="0"/>
              <w:rPr>
                <w:sz w:val="20"/>
                <w:szCs w:val="20"/>
                <w:color w:val="auto"/>
              </w:rPr>
            </w:pPr>
            <w:r>
              <w:rPr>
                <w:rFonts w:ascii="Arial" w:cs="Arial" w:eastAsia="Arial" w:hAnsi="Arial"/>
                <w:sz w:val="14"/>
                <w:szCs w:val="14"/>
                <w:b w:val="1"/>
                <w:bCs w:val="1"/>
                <w:color w:val="auto"/>
                <w:w w:val="82"/>
              </w:rPr>
              <w:t>Fee</w:t>
            </w:r>
          </w:p>
        </w:tc>
      </w:tr>
      <w:tr>
        <w:trPr>
          <w:trHeight w:val="95"/>
        </w:trPr>
        <w:tc>
          <w:tcPr>
            <w:tcW w:w="5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09"/>
        </w:trPr>
        <w:tc>
          <w:tcPr>
            <w:tcW w:w="5120" w:type="dxa"/>
            <w:vAlign w:val="bottom"/>
          </w:tcPr>
          <w:p>
            <w:pPr>
              <w:spacing w:after="0"/>
              <w:rPr>
                <w:sz w:val="20"/>
                <w:szCs w:val="20"/>
                <w:color w:val="auto"/>
              </w:rPr>
            </w:pPr>
            <w:r>
              <w:rPr>
                <w:rFonts w:ascii="Arial" w:cs="Arial" w:eastAsia="Arial" w:hAnsi="Arial"/>
                <w:sz w:val="18"/>
                <w:szCs w:val="18"/>
                <w:color w:val="auto"/>
                <w:w w:val="99"/>
              </w:rPr>
              <w:t>Common Stock, no par value, together with associated common</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w w:val="97"/>
              </w:rPr>
              <w:t>stock purchase rights, under the Itron, Inc. Incentive Savings Plan</w:t>
            </w:r>
          </w:p>
        </w:tc>
        <w:tc>
          <w:tcPr>
            <w:tcW w:w="1640" w:type="dxa"/>
            <w:vAlign w:val="bottom"/>
          </w:tcPr>
          <w:p>
            <w:pPr>
              <w:jc w:val="right"/>
              <w:ind w:right="407"/>
              <w:spacing w:after="0"/>
              <w:rPr>
                <w:sz w:val="20"/>
                <w:szCs w:val="20"/>
                <w:color w:val="auto"/>
              </w:rPr>
            </w:pPr>
            <w:r>
              <w:rPr>
                <w:rFonts w:ascii="Arial" w:cs="Arial" w:eastAsia="Arial" w:hAnsi="Arial"/>
                <w:sz w:val="18"/>
                <w:szCs w:val="18"/>
                <w:color w:val="auto"/>
              </w:rPr>
              <w:t>782,846</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$19.56</w:t>
            </w: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$15,312,467.76</w:t>
            </w:r>
          </w:p>
        </w:tc>
        <w:tc>
          <w:tcPr>
            <w:tcW w:w="1120" w:type="dxa"/>
            <w:vAlign w:val="bottom"/>
          </w:tcPr>
          <w:p>
            <w:pPr>
              <w:jc w:val="center"/>
              <w:ind w:left="347"/>
              <w:spacing w:after="0"/>
              <w:rPr>
                <w:sz w:val="20"/>
                <w:szCs w:val="20"/>
                <w:color w:val="auto"/>
              </w:rPr>
            </w:pPr>
            <w:r>
              <w:rPr>
                <w:rFonts w:ascii="Arial" w:cs="Arial" w:eastAsia="Arial" w:hAnsi="Arial"/>
                <w:sz w:val="18"/>
                <w:szCs w:val="18"/>
                <w:color w:val="auto"/>
                <w:w w:val="87"/>
              </w:rPr>
              <w:t>$1,238.78</w:t>
            </w:r>
          </w:p>
        </w:tc>
      </w:tr>
      <w:tr>
        <w:trPr>
          <w:trHeight w:val="134"/>
        </w:trPr>
        <w:tc>
          <w:tcPr>
            <w:tcW w:w="51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4"/>
          <w:szCs w:val="24"/>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pursuant to Rule 416(c) under the Securities Act of 1933, this Registration Statement also covers an indeterminate amount of interests to be offered or sold pursuant to the plan.</w:t>
      </w:r>
    </w:p>
    <w:p>
      <w:pPr>
        <w:spacing w:after="0" w:line="37" w:lineRule="exact"/>
        <w:rPr>
          <w:sz w:val="24"/>
          <w:szCs w:val="24"/>
          <w:color w:val="auto"/>
        </w:rPr>
      </w:pPr>
    </w:p>
    <w:p>
      <w:pPr>
        <w:ind w:left="460" w:right="14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an indeterminate number of additional shares that may be necessary to adjust the number of shares reserved for issuance pursuant to the plan as a result of any future stock split, stock dividend or similar adjustment of the Registrant’s outstanding Common Stock.</w:t>
      </w:r>
    </w:p>
    <w:p>
      <w:pPr>
        <w:ind w:left="460" w:right="14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 under the Securities Act of 1933, as amended. The Proposed Maximum Offering Price Per Share is estimated to be $19.56 based on the average of the high sales price ($19.78) and the low sales price ($19.33) for the Registrant’s Common Stock as reported by the Nasdaq National Market on November 19,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CERTAIN DOCUMENTS BY REFERENCE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documents filed with the Securities and Exchange Commission (the “Commission”) are hereby incorporated by reference in this Registration Statement:</w:t>
      </w:r>
    </w:p>
    <w:p>
      <w:pPr>
        <w:spacing w:after="0" w:line="3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2002, filed on March 27, 2003.</w:t>
      </w:r>
    </w:p>
    <w:p>
      <w:pPr>
        <w:spacing w:after="0" w:line="76"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Reports on Form 10-Q for the fiscal quarters ended March 31, 2003, June 30, 2003 and September 30, 2003, filed on May 9, 2003, August 13, 2003 and November 13, 2003; and the Registrant’s Current Reports on Form 8-K and 8-K/A, filed on March 19, 2003 and March 26, 2003.</w:t>
      </w:r>
    </w:p>
    <w:p>
      <w:pPr>
        <w:spacing w:after="0" w:line="45"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registration statement on Form 8-A filed on September 18, 1993, under Section 12(g) of the Securities Exchange Act of 1934, as amended (the “Exchange Act”), including any amendments or reports filed for the purpose of updating such description.</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All documents filed by the Registrant pursuant to Sections 13(a), 13(c), 14 and 15(d) of the Exchange Act after the date hereof, and prior to the filing of a post-effective amendment which indicates that the securities offered hereby have been sold or which deregister the securities covered hereby then remaining unsold, shall also be deemed to be incorporated by reference into this Registration Statement and to be a part hereof commencing on the respective dates on which such documents are filed.</w:t>
      </w:r>
    </w:p>
    <w:p>
      <w:pPr>
        <w:spacing w:after="0" w:line="12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4"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76"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Itron’s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restated bylaws,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4" w:right="239" w:bottom="1440" w:gutter="0" w:footer="0" w:header="0"/>
        </w:sectPr>
      </w:pPr>
    </w:p>
    <w:bookmarkStart w:id="2" w:name="page3"/>
    <w:bookmarkEnd w:id="2"/>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to indemnification is a contract right. Itron’s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27"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Itron’s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2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Itron’s restated articles of incorporation do not limit indemnification if the director or officer is wholly successful on the merits of the action.</w:t>
      </w:r>
    </w:p>
    <w:p>
      <w:pPr>
        <w:spacing w:after="0" w:line="12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1"/>
              </w:rPr>
              <w:t>Item 8.</w:t>
            </w:r>
          </w:p>
        </w:tc>
        <w:tc>
          <w:tcPr>
            <w:tcW w:w="6720" w:type="dxa"/>
            <w:vAlign w:val="bottom"/>
            <w:gridSpan w:val="3"/>
          </w:tcPr>
          <w:p>
            <w:pPr>
              <w:ind w:left="400"/>
              <w:spacing w:after="0"/>
              <w:rPr>
                <w:sz w:val="20"/>
                <w:szCs w:val="20"/>
                <w:color w:val="auto"/>
              </w:rPr>
            </w:pPr>
            <w:r>
              <w:rPr>
                <w:rFonts w:ascii="Arial" w:cs="Arial" w:eastAsia="Arial" w:hAnsi="Arial"/>
                <w:sz w:val="18"/>
                <w:szCs w:val="18"/>
                <w:b w:val="1"/>
                <w:bCs w:val="1"/>
                <w:color w:val="auto"/>
              </w:rPr>
              <w:t>EXHIBITS</w:t>
            </w:r>
          </w:p>
        </w:tc>
      </w:tr>
      <w:tr>
        <w:trPr>
          <w:trHeight w:val="205"/>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r>
      <w:tr>
        <w:trPr>
          <w:trHeight w:val="316"/>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w w:val="89"/>
              </w:rPr>
              <w:t xml:space="preserve">Opinion of Perkins Coie </w:t>
            </w:r>
            <w:r>
              <w:rPr>
                <w:rFonts w:ascii="Arial" w:cs="Arial" w:eastAsia="Arial" w:hAnsi="Arial"/>
                <w:sz w:val="14"/>
                <w:szCs w:val="14"/>
                <w:color w:val="auto"/>
                <w:w w:val="89"/>
              </w:rPr>
              <w:t>LLP</w:t>
            </w:r>
            <w:r>
              <w:rPr>
                <w:rFonts w:ascii="Arial" w:cs="Arial" w:eastAsia="Arial" w:hAnsi="Arial"/>
                <w:sz w:val="18"/>
                <w:szCs w:val="18"/>
                <w:color w:val="auto"/>
                <w:w w:val="89"/>
              </w:rPr>
              <w:t xml:space="preserve"> regarding legality of the Common Stock being registered</w:t>
            </w:r>
          </w:p>
        </w:tc>
      </w:tr>
      <w:tr>
        <w:trPr>
          <w:trHeight w:val="324"/>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 xml:space="preserve">Consent of Perkins Coie </w:t>
            </w:r>
            <w:r>
              <w:rPr>
                <w:rFonts w:ascii="Arial" w:cs="Arial" w:eastAsia="Arial" w:hAnsi="Arial"/>
                <w:sz w:val="14"/>
                <w:szCs w:val="14"/>
                <w:color w:val="auto"/>
              </w:rPr>
              <w:t>LLP</w:t>
            </w:r>
            <w:r>
              <w:rPr>
                <w:rFonts w:ascii="Arial" w:cs="Arial" w:eastAsia="Arial" w:hAnsi="Arial"/>
                <w:sz w:val="18"/>
                <w:szCs w:val="18"/>
                <w:color w:val="auto"/>
              </w:rPr>
              <w:t xml:space="preserve"> (included in opinion filed as Exhibit 5.1)</w:t>
            </w:r>
          </w:p>
        </w:tc>
      </w:tr>
      <w:tr>
        <w:trPr>
          <w:trHeight w:val="324"/>
        </w:trPr>
        <w:tc>
          <w:tcPr>
            <w:tcW w:w="620" w:type="dxa"/>
            <w:vAlign w:val="bottom"/>
          </w:tcPr>
          <w:p>
            <w:pPr>
              <w:jc w:val="right"/>
              <w:ind w:right="58"/>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Power of Attorney (see signature page)</w:t>
            </w:r>
          </w:p>
        </w:tc>
      </w:tr>
    </w:tbl>
    <w:p>
      <w:pPr>
        <w:spacing w:after="0" w:line="14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Registrant hereby undertakes that it will submit or has submitted the plan and any amendments thereto to the Internal Revenue Service (“IRS”) in a timely manner and has made or will make all changes required by the IRS in order to qualify the plan.</w:t>
      </w:r>
    </w:p>
    <w:p>
      <w:pPr>
        <w:spacing w:after="0" w:line="1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158"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1993, as amended (the “Securities Act”);</w:t>
      </w:r>
    </w:p>
    <w:p>
      <w:pPr>
        <w:spacing w:after="0" w:line="76" w:lineRule="exact"/>
        <w:rPr>
          <w:rFonts w:ascii="Arial" w:cs="Arial" w:eastAsia="Arial" w:hAnsi="Arial"/>
          <w:sz w:val="18"/>
          <w:szCs w:val="18"/>
          <w:color w:val="auto"/>
        </w:rPr>
      </w:pPr>
    </w:p>
    <w:p>
      <w:pPr>
        <w:ind w:left="460" w:right="20" w:firstLine="443"/>
        <w:spacing w:after="0" w:line="347" w:lineRule="auto"/>
        <w:tabs>
          <w:tab w:leader="none" w:pos="1157" w:val="left"/>
        </w:tabs>
        <w:numPr>
          <w:ilvl w:val="1"/>
          <w:numId w:val="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ind w:left="460" w:right="560" w:firstLine="443"/>
        <w:spacing w:after="0" w:line="268" w:lineRule="auto"/>
        <w:tabs>
          <w:tab w:leader="none" w:pos="120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(1)(i) and (1)(ii)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by the Registrant pursuant to Section 13 or Section 15(d) of the Exchange Act that are incorporated by reference in this Registration Statement.</w:t>
      </w:r>
    </w:p>
    <w:p>
      <w:pPr>
        <w:spacing w:after="0" w:line="127" w:lineRule="exact"/>
        <w:rPr>
          <w:sz w:val="20"/>
          <w:szCs w:val="20"/>
          <w:color w:val="auto"/>
        </w:rPr>
      </w:pPr>
    </w:p>
    <w:p>
      <w:pPr>
        <w:ind w:firstLine="464"/>
        <w:spacing w:after="0" w:line="370" w:lineRule="auto"/>
        <w:tabs>
          <w:tab w:leader="none" w:pos="705" w:val="left"/>
        </w:tabs>
        <w:numPr>
          <w:ilvl w:val="0"/>
          <w:numId w:val="5"/>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80" w:right="259" w:bottom="1440" w:gutter="0" w:footer="0" w:header="0"/>
        </w:sectPr>
      </w:pPr>
    </w:p>
    <w:bookmarkStart w:id="3" w:name="page4"/>
    <w:bookmarkEnd w:id="3"/>
    <w:p>
      <w:pPr>
        <w:ind w:left="-8" w:right="180" w:firstLine="464"/>
        <w:spacing w:after="0" w:line="268" w:lineRule="auto"/>
        <w:tabs>
          <w:tab w:leader="none" w:pos="697"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left="-8" w:right="80" w:firstLine="8"/>
        <w:spacing w:after="0" w:line="298" w:lineRule="auto"/>
        <w:tabs>
          <w:tab w:leader="none" w:pos="19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9" w:lineRule="exact"/>
        <w:rPr>
          <w:rFonts w:ascii="Arial" w:cs="Arial" w:eastAsia="Arial" w:hAnsi="Arial"/>
          <w:sz w:val="16"/>
          <w:szCs w:val="16"/>
          <w:color w:val="auto"/>
        </w:rPr>
      </w:pPr>
    </w:p>
    <w:p>
      <w:pPr>
        <w:ind w:left="-8" w:firstLine="8"/>
        <w:spacing w:after="0" w:line="290" w:lineRule="auto"/>
        <w:tabs>
          <w:tab w:leader="none" w:pos="19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72"/>
          </w:cols>
          <w:pgMar w:left="248" w:top="280"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Spokane, State of Washington, on the 24th day of November, 2003.</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60"/>
        <w:spacing w:after="0"/>
        <w:tabs>
          <w:tab w:leader="none" w:pos="7380" w:val="left"/>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80010</wp:posOffset>
            </wp:positionV>
            <wp:extent cx="2598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3"/>
          <w:szCs w:val="13"/>
          <w:color w:val="auto"/>
        </w:rPr>
        <w:t>LeRoy D. Nosbaum</w:t>
      </w:r>
    </w:p>
    <w:p>
      <w:pPr>
        <w:spacing w:after="0" w:line="2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2"/>
          <w:szCs w:val="12"/>
          <w:color w:val="auto"/>
        </w:rPr>
        <w:t>Chairman of the Board and Chief Executive Officer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person whose individual signature appears below hereby authorizes LeRoy D. Nosbaum and David G. Remington, or either of them, as attorneys-in-fact with full power of substitution, to execute in the name and on the behalf of each person, individually and in each capacity stated below, and to file, any and all post-effective amendments to this Registration Statement.</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24th day of November, 2003.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2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86"/>
              </w:rPr>
              <w:t>Signature</w:t>
            </w:r>
          </w:p>
        </w:tc>
        <w:tc>
          <w:tcPr>
            <w:tcW w:w="2960" w:type="dxa"/>
            <w:vAlign w:val="bottom"/>
          </w:tcPr>
          <w:p>
            <w:pPr>
              <w:spacing w:after="0"/>
              <w:rPr>
                <w:sz w:val="15"/>
                <w:szCs w:val="15"/>
                <w:color w:val="auto"/>
              </w:rPr>
            </w:pPr>
          </w:p>
        </w:tc>
        <w:tc>
          <w:tcPr>
            <w:tcW w:w="27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2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2100" w:type="dxa"/>
            <w:vAlign w:val="bottom"/>
          </w:tcPr>
          <w:p>
            <w:pPr>
              <w:ind w:left="1820"/>
              <w:spacing w:after="0"/>
              <w:rPr>
                <w:sz w:val="20"/>
                <w:szCs w:val="20"/>
                <w:color w:val="auto"/>
              </w:rPr>
            </w:pPr>
            <w:r>
              <w:rPr>
                <w:rFonts w:ascii="Arial" w:cs="Arial" w:eastAsia="Arial" w:hAnsi="Arial"/>
                <w:sz w:val="18"/>
                <w:szCs w:val="18"/>
                <w:color w:val="auto"/>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89"/>
              </w:rPr>
              <w:t>LeRoy D. Nosbaum</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w w:val="89"/>
              </w:rPr>
              <w:t>Chairman of the Board and Chief Executive Officer (Principal Executive</w:t>
            </w:r>
          </w:p>
        </w:tc>
        <w:tc>
          <w:tcPr>
            <w:tcW w:w="0" w:type="dxa"/>
            <w:vAlign w:val="bottom"/>
          </w:tcPr>
          <w:p>
            <w:pPr>
              <w:spacing w:after="0"/>
              <w:rPr>
                <w:sz w:val="1"/>
                <w:szCs w:val="1"/>
                <w:color w:val="auto"/>
              </w:rPr>
            </w:pPr>
          </w:p>
        </w:tc>
      </w:tr>
      <w:tr>
        <w:trPr>
          <w:trHeight w:val="116"/>
        </w:trPr>
        <w:tc>
          <w:tcPr>
            <w:tcW w:w="2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5680" w:type="dxa"/>
            <w:vAlign w:val="bottom"/>
            <w:gridSpan w:val="3"/>
            <w:vMerge w:val="restart"/>
          </w:tcPr>
          <w:p>
            <w:pPr>
              <w:ind w:left="5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6"/>
        </w:trPr>
        <w:tc>
          <w:tcPr>
            <w:tcW w:w="2100" w:type="dxa"/>
            <w:vAlign w:val="bottom"/>
          </w:tcPr>
          <w:p>
            <w:pPr>
              <w:spacing w:after="0"/>
              <w:rPr>
                <w:sz w:val="7"/>
                <w:szCs w:val="7"/>
                <w:color w:val="auto"/>
              </w:rPr>
            </w:pPr>
          </w:p>
        </w:tc>
        <w:tc>
          <w:tcPr>
            <w:tcW w:w="3620" w:type="dxa"/>
            <w:vAlign w:val="bottom"/>
            <w:gridSpan w:val="3"/>
            <w:vMerge w:val="restart"/>
          </w:tcPr>
          <w:p>
            <w:pPr>
              <w:jc w:val="center"/>
              <w:ind w:right="2100"/>
              <w:spacing w:after="0"/>
              <w:rPr>
                <w:sz w:val="20"/>
                <w:szCs w:val="20"/>
                <w:color w:val="auto"/>
              </w:rPr>
            </w:pPr>
            <w:r>
              <w:rPr>
                <w:rFonts w:ascii="Arial" w:cs="Arial" w:eastAsia="Arial" w:hAnsi="Arial"/>
                <w:sz w:val="14"/>
                <w:szCs w:val="14"/>
                <w:color w:val="auto"/>
                <w:w w:val="88"/>
              </w:rPr>
              <w:t>LeRoy D. Nosbaum</w:t>
            </w:r>
          </w:p>
        </w:tc>
        <w:tc>
          <w:tcPr>
            <w:tcW w:w="5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3620" w:type="dxa"/>
            <w:vAlign w:val="bottom"/>
            <w:gridSpan w:val="3"/>
            <w:vMerge w:val="continue"/>
          </w:tcPr>
          <w:p>
            <w:pPr>
              <w:spacing w:after="0"/>
              <w:rPr>
                <w:sz w:val="15"/>
                <w:szCs w:val="15"/>
                <w:color w:val="auto"/>
              </w:rPr>
            </w:pPr>
          </w:p>
        </w:tc>
        <w:tc>
          <w:tcPr>
            <w:tcW w:w="2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2100" w:type="dxa"/>
            <w:vAlign w:val="bottom"/>
          </w:tcPr>
          <w:p>
            <w:pPr>
              <w:ind w:left="1780"/>
              <w:spacing w:after="0"/>
              <w:rPr>
                <w:sz w:val="20"/>
                <w:szCs w:val="20"/>
                <w:color w:val="auto"/>
              </w:rPr>
            </w:pPr>
            <w:r>
              <w:rPr>
                <w:rFonts w:ascii="Arial" w:cs="Arial" w:eastAsia="Arial" w:hAnsi="Arial"/>
                <w:sz w:val="18"/>
                <w:szCs w:val="18"/>
                <w:color w:val="auto"/>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91"/>
              </w:rPr>
              <w:t>David G. Remington</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w w:val="97"/>
              </w:rPr>
              <w:t>Vice President and Chief Financial Officer (Principal Financial and</w:t>
            </w:r>
          </w:p>
        </w:tc>
        <w:tc>
          <w:tcPr>
            <w:tcW w:w="0" w:type="dxa"/>
            <w:vAlign w:val="bottom"/>
          </w:tcPr>
          <w:p>
            <w:pPr>
              <w:spacing w:after="0"/>
              <w:rPr>
                <w:sz w:val="1"/>
                <w:szCs w:val="1"/>
                <w:color w:val="auto"/>
              </w:rPr>
            </w:pPr>
          </w:p>
        </w:tc>
      </w:tr>
      <w:tr>
        <w:trPr>
          <w:trHeight w:val="116"/>
        </w:trPr>
        <w:tc>
          <w:tcPr>
            <w:tcW w:w="2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5680" w:type="dxa"/>
            <w:vAlign w:val="bottom"/>
            <w:gridSpan w:val="3"/>
            <w:vMerge w:val="restart"/>
          </w:tcPr>
          <w:p>
            <w:pPr>
              <w:ind w:left="56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86"/>
        </w:trPr>
        <w:tc>
          <w:tcPr>
            <w:tcW w:w="2100" w:type="dxa"/>
            <w:vAlign w:val="bottom"/>
          </w:tcPr>
          <w:p>
            <w:pPr>
              <w:spacing w:after="0"/>
              <w:rPr>
                <w:sz w:val="7"/>
                <w:szCs w:val="7"/>
                <w:color w:val="auto"/>
              </w:rPr>
            </w:pPr>
          </w:p>
        </w:tc>
        <w:tc>
          <w:tcPr>
            <w:tcW w:w="3620" w:type="dxa"/>
            <w:vAlign w:val="bottom"/>
            <w:gridSpan w:val="3"/>
            <w:vMerge w:val="restart"/>
          </w:tcPr>
          <w:p>
            <w:pPr>
              <w:jc w:val="center"/>
              <w:ind w:right="2100"/>
              <w:spacing w:after="0"/>
              <w:rPr>
                <w:sz w:val="20"/>
                <w:szCs w:val="20"/>
                <w:color w:val="auto"/>
              </w:rPr>
            </w:pPr>
            <w:r>
              <w:rPr>
                <w:rFonts w:ascii="Arial" w:cs="Arial" w:eastAsia="Arial" w:hAnsi="Arial"/>
                <w:sz w:val="14"/>
                <w:szCs w:val="14"/>
                <w:color w:val="auto"/>
                <w:w w:val="88"/>
              </w:rPr>
              <w:t>David G. Remington</w:t>
            </w:r>
          </w:p>
        </w:tc>
        <w:tc>
          <w:tcPr>
            <w:tcW w:w="5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rPr>
                <w:sz w:val="15"/>
                <w:szCs w:val="15"/>
                <w:color w:val="auto"/>
              </w:rPr>
            </w:pPr>
          </w:p>
        </w:tc>
        <w:tc>
          <w:tcPr>
            <w:tcW w:w="3620" w:type="dxa"/>
            <w:vAlign w:val="bottom"/>
            <w:gridSpan w:val="3"/>
            <w:vMerge w:val="continue"/>
          </w:tcPr>
          <w:p>
            <w:pPr>
              <w:spacing w:after="0"/>
              <w:rPr>
                <w:sz w:val="15"/>
                <w:szCs w:val="15"/>
                <w:color w:val="auto"/>
              </w:rPr>
            </w:pPr>
          </w:p>
        </w:tc>
        <w:tc>
          <w:tcPr>
            <w:tcW w:w="2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900"/>
              <w:spacing w:after="0"/>
              <w:rPr>
                <w:sz w:val="20"/>
                <w:szCs w:val="20"/>
                <w:color w:val="auto"/>
              </w:rPr>
            </w:pPr>
            <w:r>
              <w:rPr>
                <w:rFonts w:ascii="Arial" w:cs="Arial" w:eastAsia="Arial" w:hAnsi="Arial"/>
                <w:sz w:val="18"/>
                <w:szCs w:val="18"/>
                <w:color w:val="auto"/>
                <w:w w:val="94"/>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91"/>
              </w:rPr>
              <w:t>Michael B. Bracy</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color w:val="auto"/>
                <w:w w:val="91"/>
              </w:rPr>
              <w:t>Michael B. Bracy</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860"/>
              <w:spacing w:after="0"/>
              <w:rPr>
                <w:sz w:val="20"/>
                <w:szCs w:val="20"/>
                <w:color w:val="auto"/>
              </w:rPr>
            </w:pPr>
            <w:r>
              <w:rPr>
                <w:rFonts w:ascii="Arial" w:cs="Arial" w:eastAsia="Arial" w:hAnsi="Arial"/>
                <w:sz w:val="18"/>
                <w:szCs w:val="18"/>
                <w:color w:val="auto"/>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86"/>
              </w:rPr>
              <w:t>Michael J. Chesser</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080"/>
              <w:spacing w:after="0"/>
              <w:rPr>
                <w:sz w:val="20"/>
                <w:szCs w:val="20"/>
                <w:color w:val="auto"/>
              </w:rPr>
            </w:pPr>
            <w:r>
              <w:rPr>
                <w:rFonts w:ascii="Arial" w:cs="Arial" w:eastAsia="Arial" w:hAnsi="Arial"/>
                <w:sz w:val="14"/>
                <w:szCs w:val="14"/>
                <w:color w:val="auto"/>
                <w:w w:val="85"/>
              </w:rPr>
              <w:t>Michael J. Chesser</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920"/>
              <w:spacing w:after="0"/>
              <w:rPr>
                <w:sz w:val="20"/>
                <w:szCs w:val="20"/>
                <w:color w:val="auto"/>
              </w:rPr>
            </w:pPr>
            <w:r>
              <w:rPr>
                <w:rFonts w:ascii="Arial" w:cs="Arial" w:eastAsia="Arial" w:hAnsi="Arial"/>
                <w:sz w:val="18"/>
                <w:szCs w:val="18"/>
                <w:color w:val="auto"/>
                <w:w w:val="83"/>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90"/>
              </w:rPr>
              <w:t>Ted C. DeMerritt</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080"/>
              <w:spacing w:after="0"/>
              <w:rPr>
                <w:sz w:val="20"/>
                <w:szCs w:val="20"/>
                <w:color w:val="auto"/>
              </w:rPr>
            </w:pPr>
            <w:r>
              <w:rPr>
                <w:rFonts w:ascii="Arial" w:cs="Arial" w:eastAsia="Arial" w:hAnsi="Arial"/>
                <w:sz w:val="14"/>
                <w:szCs w:val="14"/>
                <w:color w:val="auto"/>
                <w:w w:val="90"/>
              </w:rPr>
              <w:t>Ted C. DeMerritt</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5720" w:type="dxa"/>
            <w:vAlign w:val="bottom"/>
            <w:gridSpan w:val="4"/>
          </w:tcPr>
          <w:p>
            <w:pPr>
              <w:ind w:left="1980"/>
              <w:spacing w:after="0"/>
              <w:rPr>
                <w:sz w:val="20"/>
                <w:szCs w:val="20"/>
                <w:color w:val="auto"/>
              </w:rPr>
            </w:pPr>
            <w:r>
              <w:rPr>
                <w:rFonts w:ascii="Arial" w:cs="Arial" w:eastAsia="Arial" w:hAnsi="Arial"/>
                <w:sz w:val="18"/>
                <w:szCs w:val="18"/>
                <w:color w:val="auto"/>
              </w:rPr>
              <w:t>/s/  Jon E. Eliassen</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080"/>
              <w:spacing w:after="0"/>
              <w:rPr>
                <w:sz w:val="20"/>
                <w:szCs w:val="20"/>
                <w:color w:val="auto"/>
              </w:rPr>
            </w:pPr>
            <w:r>
              <w:rPr>
                <w:rFonts w:ascii="Arial" w:cs="Arial" w:eastAsia="Arial" w:hAnsi="Arial"/>
                <w:sz w:val="14"/>
                <w:szCs w:val="14"/>
                <w:color w:val="auto"/>
                <w:w w:val="84"/>
              </w:rPr>
              <w:t>Jon E. Eliassen</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920"/>
              <w:spacing w:after="0"/>
              <w:rPr>
                <w:sz w:val="20"/>
                <w:szCs w:val="20"/>
                <w:color w:val="auto"/>
              </w:rPr>
            </w:pPr>
            <w:r>
              <w:rPr>
                <w:rFonts w:ascii="Arial" w:cs="Arial" w:eastAsia="Arial" w:hAnsi="Arial"/>
                <w:sz w:val="18"/>
                <w:szCs w:val="18"/>
                <w:color w:val="auto"/>
                <w:w w:val="83"/>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88"/>
              </w:rPr>
              <w:t>Thomas S. Foley</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color w:val="auto"/>
                <w:w w:val="86"/>
              </w:rPr>
              <w:t>Thomas S. Foley</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780"/>
              <w:spacing w:after="0"/>
              <w:rPr>
                <w:sz w:val="20"/>
                <w:szCs w:val="20"/>
                <w:color w:val="auto"/>
              </w:rPr>
            </w:pPr>
            <w:r>
              <w:rPr>
                <w:rFonts w:ascii="Arial" w:cs="Arial" w:eastAsia="Arial" w:hAnsi="Arial"/>
                <w:sz w:val="18"/>
                <w:szCs w:val="18"/>
                <w:color w:val="auto"/>
              </w:rPr>
              <w:t>/s/</w:t>
            </w:r>
          </w:p>
        </w:tc>
        <w:tc>
          <w:tcPr>
            <w:tcW w:w="3620" w:type="dxa"/>
            <w:vAlign w:val="bottom"/>
            <w:gridSpan w:val="3"/>
          </w:tcPr>
          <w:p>
            <w:pPr>
              <w:jc w:val="center"/>
              <w:ind w:right="2060"/>
              <w:spacing w:after="0"/>
              <w:rPr>
                <w:sz w:val="20"/>
                <w:szCs w:val="20"/>
                <w:color w:val="auto"/>
              </w:rPr>
            </w:pPr>
            <w:r>
              <w:rPr>
                <w:rFonts w:ascii="Arial" w:cs="Arial" w:eastAsia="Arial" w:hAnsi="Arial"/>
                <w:sz w:val="18"/>
                <w:szCs w:val="18"/>
                <w:color w:val="auto"/>
                <w:w w:val="89"/>
              </w:rPr>
              <w:t>Thomas S. Glanville</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color w:val="auto"/>
                <w:w w:val="89"/>
              </w:rPr>
              <w:t>Thomas S. Glanville</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880"/>
              <w:spacing w:after="0"/>
              <w:rPr>
                <w:sz w:val="20"/>
                <w:szCs w:val="20"/>
                <w:color w:val="auto"/>
              </w:rPr>
            </w:pPr>
            <w:r>
              <w:rPr>
                <w:rFonts w:ascii="Arial" w:cs="Arial" w:eastAsia="Arial" w:hAnsi="Arial"/>
                <w:sz w:val="18"/>
                <w:szCs w:val="18"/>
                <w:color w:val="auto"/>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90"/>
              </w:rPr>
              <w:t>Robert D. Neilson</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080"/>
              <w:spacing w:after="0"/>
              <w:rPr>
                <w:sz w:val="20"/>
                <w:szCs w:val="20"/>
                <w:color w:val="auto"/>
              </w:rPr>
            </w:pPr>
            <w:r>
              <w:rPr>
                <w:rFonts w:ascii="Arial" w:cs="Arial" w:eastAsia="Arial" w:hAnsi="Arial"/>
                <w:sz w:val="14"/>
                <w:szCs w:val="14"/>
                <w:color w:val="auto"/>
                <w:w w:val="88"/>
              </w:rPr>
              <w:t>Robert D. Neilson</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900"/>
              <w:spacing w:after="0"/>
              <w:rPr>
                <w:sz w:val="20"/>
                <w:szCs w:val="20"/>
                <w:color w:val="auto"/>
              </w:rPr>
            </w:pPr>
            <w:r>
              <w:rPr>
                <w:rFonts w:ascii="Arial" w:cs="Arial" w:eastAsia="Arial" w:hAnsi="Arial"/>
                <w:sz w:val="18"/>
                <w:szCs w:val="18"/>
                <w:color w:val="auto"/>
                <w:w w:val="94"/>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89"/>
              </w:rPr>
              <w:t>Sharon L. Nelson</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color w:val="auto"/>
                <w:w w:val="88"/>
              </w:rPr>
              <w:t>Sharon L. Nelson</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920"/>
              <w:spacing w:after="0"/>
              <w:rPr>
                <w:sz w:val="20"/>
                <w:szCs w:val="20"/>
                <w:color w:val="auto"/>
              </w:rPr>
            </w:pPr>
            <w:r>
              <w:rPr>
                <w:rFonts w:ascii="Arial" w:cs="Arial" w:eastAsia="Arial" w:hAnsi="Arial"/>
                <w:sz w:val="18"/>
                <w:szCs w:val="18"/>
                <w:color w:val="auto"/>
                <w:w w:val="83"/>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89"/>
              </w:rPr>
              <w:t>Mary Ann Peters</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color w:val="auto"/>
                <w:w w:val="88"/>
              </w:rPr>
              <w:t>Mary Ann Peters</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920"/>
              <w:spacing w:after="0"/>
              <w:rPr>
                <w:sz w:val="20"/>
                <w:szCs w:val="20"/>
                <w:color w:val="auto"/>
              </w:rPr>
            </w:pPr>
            <w:r>
              <w:rPr>
                <w:rFonts w:ascii="Arial" w:cs="Arial" w:eastAsia="Arial" w:hAnsi="Arial"/>
                <w:sz w:val="18"/>
                <w:szCs w:val="18"/>
                <w:color w:val="auto"/>
                <w:w w:val="83"/>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89"/>
              </w:rPr>
              <w:t>S. Edward White</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gridSpan w:val="3"/>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3620" w:type="dxa"/>
            <w:vAlign w:val="bottom"/>
            <w:gridSpan w:val="3"/>
          </w:tcPr>
          <w:p>
            <w:pPr>
              <w:jc w:val="center"/>
              <w:ind w:right="2100"/>
              <w:spacing w:after="0"/>
              <w:rPr>
                <w:sz w:val="20"/>
                <w:szCs w:val="20"/>
                <w:color w:val="auto"/>
              </w:rPr>
            </w:pPr>
            <w:r>
              <w:rPr>
                <w:rFonts w:ascii="Arial" w:cs="Arial" w:eastAsia="Arial" w:hAnsi="Arial"/>
                <w:sz w:val="14"/>
                <w:szCs w:val="14"/>
                <w:color w:val="auto"/>
                <w:w w:val="88"/>
              </w:rPr>
              <w:t>S. Edward White</w:t>
            </w:r>
          </w:p>
        </w:tc>
        <w:tc>
          <w:tcPr>
            <w:tcW w:w="2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2100" w:type="dxa"/>
            <w:vAlign w:val="bottom"/>
          </w:tcPr>
          <w:p>
            <w:pPr>
              <w:ind w:left="1840"/>
              <w:spacing w:after="0"/>
              <w:rPr>
                <w:sz w:val="20"/>
                <w:szCs w:val="20"/>
                <w:color w:val="auto"/>
              </w:rPr>
            </w:pPr>
            <w:r>
              <w:rPr>
                <w:rFonts w:ascii="Arial" w:cs="Arial" w:eastAsia="Arial" w:hAnsi="Arial"/>
                <w:sz w:val="18"/>
                <w:szCs w:val="18"/>
                <w:color w:val="auto"/>
              </w:rPr>
              <w:t>/s/</w:t>
            </w:r>
          </w:p>
        </w:tc>
        <w:tc>
          <w:tcPr>
            <w:tcW w:w="3620" w:type="dxa"/>
            <w:vAlign w:val="bottom"/>
            <w:gridSpan w:val="3"/>
          </w:tcPr>
          <w:p>
            <w:pPr>
              <w:jc w:val="center"/>
              <w:ind w:right="2100"/>
              <w:spacing w:after="0"/>
              <w:rPr>
                <w:sz w:val="20"/>
                <w:szCs w:val="20"/>
                <w:color w:val="auto"/>
              </w:rPr>
            </w:pPr>
            <w:r>
              <w:rPr>
                <w:rFonts w:ascii="Arial" w:cs="Arial" w:eastAsia="Arial" w:hAnsi="Arial"/>
                <w:sz w:val="18"/>
                <w:szCs w:val="18"/>
                <w:color w:val="auto"/>
                <w:w w:val="91"/>
              </w:rPr>
              <w:t>Graham M. Wilson</w:t>
            </w:r>
          </w:p>
        </w:tc>
        <w:tc>
          <w:tcPr>
            <w:tcW w:w="5680" w:type="dxa"/>
            <w:vAlign w:val="bottom"/>
            <w:gridSpan w:val="3"/>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Graham M. Wilson</w:t>
      </w:r>
    </w:p>
    <w:p>
      <w:pPr>
        <w:sectPr>
          <w:pgSz w:w="11900" w:h="16838" w:orient="portrait"/>
          <w:cols w:equalWidth="0" w:num="1">
            <w:col w:w="11400"/>
          </w:cols>
          <w:pgMar w:left="240" w:top="274" w:right="259" w:bottom="9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400"/>
          </w:cols>
          <w:pgMar w:left="240" w:top="274" w:right="259" w:bottom="9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 INCENTIVE SAVINGS PLAN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persons who administer the Itron, Inc. Incentive Savings Plan have duly caused this Registration Statement to be signed on its behalf by the undersigned thereunto duly authorized in the City of Spokane, State of Washington, on the 24th day of November, 2003.</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 INCENTIVE SAVINGS PLAN</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ITRON, INC. ADVISORY COMMITTEE</w:t>
      </w:r>
    </w:p>
    <w:p>
      <w:pPr>
        <w:spacing w:after="0" w:line="225" w:lineRule="exact"/>
        <w:rPr>
          <w:sz w:val="20"/>
          <w:szCs w:val="20"/>
          <w:color w:val="auto"/>
        </w:rPr>
      </w:pPr>
    </w:p>
    <w:p>
      <w:pPr>
        <w:ind w:left="6860"/>
        <w:spacing w:after="0"/>
        <w:tabs>
          <w:tab w:leader="none" w:pos="7380" w:val="left"/>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Russell N. Fairbanks,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80010</wp:posOffset>
            </wp:positionV>
            <wp:extent cx="2598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3"/>
          <w:szCs w:val="13"/>
          <w:color w:val="auto"/>
        </w:rPr>
        <w:t>Russell N. Fairbanks, Jr.</w:t>
      </w:r>
    </w:p>
    <w:p>
      <w:pPr>
        <w:spacing w:after="0" w:line="2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1"/>
          <w:szCs w:val="11"/>
          <w:color w:val="auto"/>
        </w:rPr>
        <w:t>Vice President and General Counsel</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274" w:right="2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160" w:type="dxa"/>
            <w:vAlign w:val="bottom"/>
          </w:tcPr>
          <w:p>
            <w:pPr>
              <w:ind w:left="2660"/>
              <w:spacing w:after="0"/>
              <w:rPr>
                <w:sz w:val="20"/>
                <w:szCs w:val="20"/>
                <w:color w:val="auto"/>
              </w:rPr>
            </w:pPr>
            <w:r>
              <w:rPr>
                <w:rFonts w:ascii="Arial" w:cs="Arial" w:eastAsia="Arial" w:hAnsi="Arial"/>
                <w:sz w:val="18"/>
                <w:szCs w:val="18"/>
                <w:b w:val="1"/>
                <w:bCs w:val="1"/>
                <w:color w:val="auto"/>
              </w:rPr>
              <w:t>INDEX TO EXHIBITS</w:t>
            </w:r>
          </w:p>
        </w:tc>
      </w:tr>
      <w:tr>
        <w:trPr>
          <w:trHeight w:val="286"/>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r>
      <w:tr>
        <w:trPr>
          <w:trHeight w:val="424"/>
        </w:trPr>
        <w:tc>
          <w:tcPr>
            <w:tcW w:w="620" w:type="dxa"/>
            <w:vAlign w:val="bottom"/>
          </w:tcPr>
          <w:p>
            <w:pPr>
              <w:jc w:val="right"/>
              <w:ind w:right="59"/>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w w:val="89"/>
              </w:rPr>
              <w:t xml:space="preserve">Opinion of Perkins Coie </w:t>
            </w:r>
            <w:r>
              <w:rPr>
                <w:rFonts w:ascii="Arial" w:cs="Arial" w:eastAsia="Arial" w:hAnsi="Arial"/>
                <w:sz w:val="14"/>
                <w:szCs w:val="14"/>
                <w:color w:val="auto"/>
                <w:w w:val="89"/>
              </w:rPr>
              <w:t>LLP</w:t>
            </w:r>
            <w:r>
              <w:rPr>
                <w:rFonts w:ascii="Arial" w:cs="Arial" w:eastAsia="Arial" w:hAnsi="Arial"/>
                <w:sz w:val="18"/>
                <w:szCs w:val="18"/>
                <w:color w:val="auto"/>
                <w:w w:val="89"/>
              </w:rPr>
              <w:t xml:space="preserve"> regarding legality of the Common Stock being registered</w:t>
            </w:r>
          </w:p>
        </w:tc>
      </w:tr>
      <w:tr>
        <w:trPr>
          <w:trHeight w:val="324"/>
        </w:trPr>
        <w:tc>
          <w:tcPr>
            <w:tcW w:w="620" w:type="dxa"/>
            <w:vAlign w:val="bottom"/>
          </w:tcPr>
          <w:p>
            <w:pPr>
              <w:jc w:val="right"/>
              <w:ind w:right="59"/>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20" w:type="dxa"/>
            <w:vAlign w:val="bottom"/>
          </w:tcPr>
          <w:p>
            <w:pPr>
              <w:jc w:val="right"/>
              <w:ind w:right="59"/>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 xml:space="preserve">Consent of Perkins Coie </w:t>
            </w:r>
            <w:r>
              <w:rPr>
                <w:rFonts w:ascii="Arial" w:cs="Arial" w:eastAsia="Arial" w:hAnsi="Arial"/>
                <w:sz w:val="14"/>
                <w:szCs w:val="14"/>
                <w:color w:val="auto"/>
              </w:rPr>
              <w:t>LLP</w:t>
            </w:r>
            <w:r>
              <w:rPr>
                <w:rFonts w:ascii="Arial" w:cs="Arial" w:eastAsia="Arial" w:hAnsi="Arial"/>
                <w:sz w:val="18"/>
                <w:szCs w:val="18"/>
                <w:color w:val="auto"/>
              </w:rPr>
              <w:t xml:space="preserve"> (included in opinion filed as Exhibit 5.1)</w:t>
            </w:r>
          </w:p>
        </w:tc>
      </w:tr>
      <w:tr>
        <w:trPr>
          <w:trHeight w:val="324"/>
        </w:trPr>
        <w:tc>
          <w:tcPr>
            <w:tcW w:w="620" w:type="dxa"/>
            <w:vAlign w:val="bottom"/>
          </w:tcPr>
          <w:p>
            <w:pPr>
              <w:jc w:val="right"/>
              <w:ind w:right="59"/>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Power of Attorney (see signature page)</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219"/>
          </w:cols>
          <w:pgMar w:left="240" w:top="27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105410</wp:posOffset>
            </wp:positionV>
            <wp:extent cx="1466215" cy="1551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2818 N. 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99216-1897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up to 782,846 shares of Common Stock, no par value (the “Shares”), which may be issued under the Itron, Inc. Incentive Savings Plan (the “401(k) Plan”).</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examined the Registration Statement and such documents and records of Itron, Inc. and other documents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Based upon and subject to the foregoing, we are of the opinion that any Shares that may be issued and sold to the 401(k) Plan by the Company have been duly authorized and that, upon the due execution by Itron, Inc. of certificates representing such Shares, the registration by its registrar of such Shares and the sale thereof, and the receipt of consideration therefor, by Itron, Inc. in accordance with the terms of the 401(k) Plan, such Shares will be validly issued, fully paid and nonassessable.</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PERKINS COIE LLP</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of Itron, Inc. on Form S-8 of our report dated February 5, 2003 (March 4, 2003, as to Note 20), which expresses an unqualified opinion and includes an explanatory paragraph relating to a change in method of accounting for goodwill and other intangible assets in 2002 and revenues in 2000, appearing in the Annual Report on Form 10-K of Itron, Inc. for the year ended December 31, 2002.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November 24, 2003</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upperLetter"/>
      <w:start w:val="1"/>
    </w:lvl>
    <w:lvl w:ilvl="1">
      <w:lvlJc w:val="left"/>
      <w:lvlText w:val="(%2)"/>
      <w:numFmt w:val="decimal"/>
      <w:start w:val="3"/>
    </w:lvl>
  </w:abstractNum>
  <w:abstractNum w:abstractNumId="6">
    <w:nsid w:val="41B71EF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2019-12-13T15:41:10Z</dcterms:created>
  <dcterms:modified xsi:type="dcterms:W3CDTF">2019-12-13T15:41:10Z</dcterms:modified>
</cp:coreProperties>
</file>