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81915</wp:posOffset>
            </wp:positionV>
            <wp:extent cx="10807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May 12,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31115</wp:posOffset>
            </wp:positionV>
            <wp:extent cx="2126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(Date of Earliest Event Reported)</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31115</wp:posOffset>
            </wp:positionV>
            <wp:extent cx="4004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0" w:lineRule="exact"/>
        <w:rPr>
          <w:sz w:val="24"/>
          <w:szCs w:val="24"/>
          <w:color w:val="auto"/>
        </w:rPr>
      </w:pPr>
    </w:p>
    <w:p>
      <w:pPr>
        <w:spacing w:after="0" w:line="205" w:lineRule="exact"/>
        <w:rPr>
          <w:sz w:val="24"/>
          <w:szCs w:val="24"/>
          <w:color w:val="auto"/>
        </w:rPr>
      </w:pPr>
    </w:p>
    <w:tbl>
      <w:tblPr>
        <w:tblLayout w:type="fixed"/>
        <w:tblInd w:w="1220" w:type="dxa"/>
        <w:tblCellMar>
          <w:top w:w="0" w:type="dxa"/>
          <w:left w:w="0" w:type="dxa"/>
          <w:bottom w:w="0" w:type="dxa"/>
          <w:right w:w="0" w:type="dxa"/>
        </w:tblCellMar>
      </w:tblPr>
      <w:tr>
        <w:trPr>
          <w:trHeight w:val="256"/>
        </w:trPr>
        <w:tc>
          <w:tcPr>
            <w:tcW w:w="316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7"/>
              </w:rPr>
              <w:t>Washington</w:t>
            </w:r>
          </w:p>
        </w:tc>
        <w:tc>
          <w:tcPr>
            <w:tcW w:w="2780" w:type="dxa"/>
            <w:vAlign w:val="bottom"/>
          </w:tcPr>
          <w:p>
            <w:pPr>
              <w:jc w:val="right"/>
              <w:ind w:right="861"/>
              <w:spacing w:after="0"/>
              <w:rPr>
                <w:sz w:val="20"/>
                <w:szCs w:val="20"/>
                <w:color w:val="auto"/>
              </w:rPr>
            </w:pPr>
            <w:r>
              <w:rPr>
                <w:rFonts w:ascii="Arial" w:cs="Arial" w:eastAsia="Arial" w:hAnsi="Arial"/>
                <w:sz w:val="20"/>
                <w:szCs w:val="20"/>
                <w:b w:val="1"/>
                <w:bCs w:val="1"/>
                <w:color w:val="auto"/>
              </w:rPr>
              <w:t>000-22418</w:t>
            </w: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20"/>
                <w:szCs w:val="20"/>
                <w:b w:val="1"/>
                <w:bCs w:val="1"/>
                <w:color w:val="auto"/>
                <w:w w:val="88"/>
              </w:rPr>
              <w:t>91-1011792</w:t>
            </w:r>
          </w:p>
        </w:tc>
      </w:tr>
      <w:tr>
        <w:trPr>
          <w:trHeight w:val="23"/>
        </w:trPr>
        <w:tc>
          <w:tcPr>
            <w:tcW w:w="2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33"/>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(State or Other Jurisdiction</w:t>
            </w:r>
          </w:p>
        </w:tc>
        <w:tc>
          <w:tcPr>
            <w:tcW w:w="304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(Commission File No.)</w:t>
            </w:r>
          </w:p>
        </w:tc>
        <w:tc>
          <w:tcPr>
            <w:tcW w:w="2780" w:type="dxa"/>
            <w:vAlign w:val="bottom"/>
          </w:tcPr>
          <w:p>
            <w:pPr>
              <w:jc w:val="center"/>
              <w:spacing w:after="0"/>
              <w:rPr>
                <w:sz w:val="20"/>
                <w:szCs w:val="20"/>
                <w:color w:val="auto"/>
              </w:rPr>
            </w:pPr>
            <w:r>
              <w:rPr>
                <w:rFonts w:ascii="Arial" w:cs="Arial" w:eastAsia="Arial" w:hAnsi="Arial"/>
                <w:sz w:val="20"/>
                <w:szCs w:val="20"/>
                <w:color w:val="auto"/>
                <w:w w:val="92"/>
              </w:rPr>
              <w:t>(IRS Employer</w:t>
            </w:r>
          </w:p>
        </w:tc>
      </w:tr>
      <w:tr>
        <w:trPr>
          <w:trHeight w:val="250"/>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3"/>
              </w:rPr>
              <w:t>of Incorporation)</w:t>
            </w:r>
          </w:p>
        </w:tc>
        <w:tc>
          <w:tcPr>
            <w:tcW w:w="2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5"/>
              </w:rPr>
              <w:t>Identification No.)</w:t>
            </w:r>
          </w:p>
        </w:tc>
      </w:tr>
    </w:tbl>
    <w:p>
      <w:pPr>
        <w:spacing w:after="0" w:line="378" w:lineRule="exact"/>
        <w:rPr>
          <w:sz w:val="24"/>
          <w:szCs w:val="24"/>
          <w:color w:val="auto"/>
        </w:rPr>
      </w:pPr>
    </w:p>
    <w:p>
      <w:pPr>
        <w:ind w:left="3760"/>
        <w:spacing w:after="0"/>
        <w:rPr>
          <w:sz w:val="20"/>
          <w:szCs w:val="20"/>
          <w:color w:val="auto"/>
        </w:rPr>
      </w:pPr>
      <w:r>
        <w:rPr>
          <w:rFonts w:ascii="Arial" w:cs="Arial" w:eastAsia="Arial" w:hAnsi="Arial"/>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ind w:left="3680"/>
        <w:spacing w:after="0"/>
        <w:rPr>
          <w:sz w:val="20"/>
          <w:szCs w:val="20"/>
          <w:color w:val="auto"/>
        </w:rPr>
      </w:pPr>
      <w:r>
        <w:rPr>
          <w:rFonts w:ascii="Arial" w:cs="Arial" w:eastAsia="Arial" w:hAnsi="Arial"/>
          <w:sz w:val="20"/>
          <w:szCs w:val="20"/>
          <w:color w:val="auto"/>
        </w:rPr>
        <w:t>(Address of Principal Executive Offices, Zip Code)</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456565</wp:posOffset>
            </wp:positionV>
            <wp:extent cx="5986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59"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Written communications pursuant to Rule 425 under Securities Act (17 CFR 230.425)</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Soliciting material pursuant to Rule 14a-12 under the Exchange Act (17 CFR 240.14a-12)</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94"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(17 CFR §230.405) or Rule 12b-2 of the Securities Exchange Act of 1934 (17 CFR §240.12b-2).</w:t>
      </w:r>
    </w:p>
    <w:p>
      <w:pPr>
        <w:spacing w:after="0" w:line="86"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307" w:lineRule="exact"/>
        <w:rPr>
          <w:sz w:val="24"/>
          <w:szCs w:val="24"/>
          <w:color w:val="auto"/>
        </w:rPr>
      </w:pPr>
    </w:p>
    <w:p>
      <w:pPr>
        <w:spacing w:after="0" w:line="251" w:lineRule="exact"/>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ectPr>
          <w:pgSz w:w="11900" w:h="16838" w:orient="portrait"/>
          <w:cols w:equalWidth="0" w:num="1">
            <w:col w:w="11420"/>
          </w:cols>
          <w:pgMar w:left="240" w:top="693" w:right="239" w:bottom="1440" w:gutter="0" w:footer="0" w:header="0"/>
        </w:sectPr>
      </w:pPr>
    </w:p>
    <w:bookmarkStart w:id="1" w:name="page2"/>
    <w:bookmarkEnd w:id="1"/>
    <w:p>
      <w:pPr>
        <w:ind w:left="1060" w:right="660" w:hanging="1296"/>
        <w:spacing w:after="0" w:line="267" w:lineRule="auto"/>
        <w:tabs>
          <w:tab w:leader="none" w:pos="1040" w:val="left"/>
        </w:tabs>
        <w:rPr>
          <w:sz w:val="20"/>
          <w:szCs w:val="20"/>
          <w:color w:val="auto"/>
        </w:rPr>
      </w:pPr>
      <w:r>
        <w:rPr>
          <w:rFonts w:ascii="Arial" w:cs="Arial" w:eastAsia="Arial" w:hAnsi="Arial"/>
          <w:sz w:val="20"/>
          <w:szCs w:val="20"/>
          <w:b w:val="1"/>
          <w:bCs w:val="1"/>
          <w:color w:val="auto"/>
        </w:rPr>
        <w:t>Item 5.02</w:t>
        <w:tab/>
        <w:t>Departure of Directors or Certain Officers; Election of Directors; Appointment of Certain Officers; Compensatory Arrangements of Certain Officers.</w:t>
      </w:r>
    </w:p>
    <w:p>
      <w:pPr>
        <w:spacing w:after="0" w:line="183" w:lineRule="exact"/>
        <w:rPr>
          <w:sz w:val="20"/>
          <w:szCs w:val="20"/>
          <w:color w:val="auto"/>
        </w:rPr>
      </w:pPr>
    </w:p>
    <w:p>
      <w:pPr>
        <w:jc w:val="both"/>
        <w:ind w:firstLine="8"/>
        <w:spacing w:after="0" w:line="246" w:lineRule="auto"/>
        <w:tabs>
          <w:tab w:leader="none" w:pos="435" w:val="left"/>
        </w:tabs>
        <w:numPr>
          <w:ilvl w:val="0"/>
          <w:numId w:val="2"/>
        </w:numPr>
        <w:rPr>
          <w:rFonts w:ascii="Arial" w:cs="Arial" w:eastAsia="Arial" w:hAnsi="Arial"/>
          <w:sz w:val="20"/>
          <w:szCs w:val="20"/>
          <w:color w:val="auto"/>
        </w:rPr>
      </w:pPr>
      <w:r>
        <w:rPr>
          <w:rFonts w:ascii="Arial" w:cs="Arial" w:eastAsia="Arial" w:hAnsi="Arial"/>
          <w:sz w:val="20"/>
          <w:szCs w:val="20"/>
          <w:color w:val="auto"/>
        </w:rPr>
        <w:t>Itron, Inc. (the Company) held its 2017 Annual Meeting of Shareholders (the Annual Meeting) on May 12, 2017. At the Annual Meeting, the Company's shareholders approved the Itron, Inc. Second Amended and Restated 2010 Stock Incentive Plan (the Second Amended and Restated Plan). The Second Amended and Restated Plan was previously approved and adopted by the Company's Board of Directors on March 16, 2017, subject to shareholder approval.</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 description of the material terms of the Second Amended and Restated Plan was provided on pages 17 through 28 in the Company's definitive proxy statement on Schedule 14A filed with the Securities and Exchange Commission on March 24, 2017 (the Proxy Statement) and is incorporated herein by reference. The description of the Second Amended and Restated Plan in the Proxy Statement is qualified in its entirety by reference to the full text of the Second Amended and Restated Plan, a copy of which is set forth as Appendix A to the Proxy Statement and is incorporated by reference as Exhibit 10.1 to this Current Report on Form 8-K.</w:t>
      </w:r>
    </w:p>
    <w:p>
      <w:pPr>
        <w:sectPr>
          <w:pgSz w:w="11900" w:h="16838" w:orient="portrait"/>
          <w:cols w:equalWidth="0" w:num="1">
            <w:col w:w="11420"/>
          </w:cols>
          <w:pgMar w:left="240" w:top="576" w:right="239" w:bottom="1440" w:gutter="0" w:footer="0" w:header="0"/>
        </w:sectPr>
      </w:pPr>
    </w:p>
    <w:bookmarkStart w:id="2" w:name="page3"/>
    <w:bookmarkEnd w:id="2"/>
    <w:p>
      <w:pPr>
        <w:spacing w:after="0"/>
        <w:tabs>
          <w:tab w:leader="none" w:pos="104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held its Annual Meeting on May 12, 2017. Five proposals were voted upon at the Annual Meeting. The proposals are described in detail in the Company's proxy statement filed with the Securities and Exchange Commission on March 24, 2017. All of the proposals passed. The final results for the votes regarding each proposal are set forth below.</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Proposal One: The following nominees for Director were elected until their successors are duly elected and qualified: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BROKER</w:t>
            </w:r>
          </w:p>
        </w:tc>
      </w:tr>
      <w:tr>
        <w:trPr>
          <w:trHeight w:val="234"/>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NOMINEE</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VOTES FOR</w:t>
            </w:r>
          </w:p>
        </w:tc>
        <w:tc>
          <w:tcPr>
            <w:tcW w:w="2160" w:type="dxa"/>
            <w:vAlign w:val="bottom"/>
            <w:gridSpan w:val="2"/>
          </w:tcPr>
          <w:p>
            <w:pPr>
              <w:ind w:left="300"/>
              <w:spacing w:after="0"/>
              <w:rPr>
                <w:sz w:val="20"/>
                <w:szCs w:val="20"/>
                <w:color w:val="auto"/>
              </w:rPr>
            </w:pPr>
            <w:r>
              <w:rPr>
                <w:rFonts w:ascii="Arial" w:cs="Arial" w:eastAsia="Arial" w:hAnsi="Arial"/>
                <w:sz w:val="18"/>
                <w:szCs w:val="18"/>
                <w:b w:val="1"/>
                <w:bCs w:val="1"/>
                <w:color w:val="auto"/>
              </w:rPr>
              <w:t>VOTES AGAINST</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ABSTENTIONS</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NON-VOTES</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Frank M. Jaehnert</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33,886,694</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254,235</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8,262</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2,004,594</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Jerome J. Lande</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31,771,069</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2,369,759</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8,363</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2,004,594</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Timothy M. Leyden</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33,620,076</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520,752</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8,363</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2,004,594</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Gary E. Pruitt</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33,212,980</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927,698</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8,513</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2,004,594</w:t>
            </w:r>
          </w:p>
        </w:tc>
      </w:tr>
    </w:tbl>
    <w:p>
      <w:pPr>
        <w:spacing w:after="0" w:line="240" w:lineRule="exact"/>
        <w:rPr>
          <w:sz w:val="20"/>
          <w:szCs w:val="20"/>
          <w:color w:val="auto"/>
        </w:rPr>
      </w:pPr>
    </w:p>
    <w:p>
      <w:pPr>
        <w:ind w:left="60"/>
        <w:spacing w:after="0"/>
        <w:rPr>
          <w:sz w:val="20"/>
          <w:szCs w:val="20"/>
          <w:color w:val="auto"/>
        </w:rPr>
      </w:pPr>
      <w:r>
        <w:rPr>
          <w:rFonts w:ascii="Arial" w:cs="Arial" w:eastAsia="Arial" w:hAnsi="Arial"/>
          <w:sz w:val="20"/>
          <w:szCs w:val="20"/>
          <w:color w:val="auto"/>
        </w:rPr>
        <w:t>All nominees are to hold office in Class 1 for a three year term until the Company’s 2020 Annual Meeting.</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Each independent Director serves on at least one committee of the Board of Directors. For further information regarding the composition of such committees, refer to Itron's investor relations website, at http://investors.itron.com/committees.cfm.</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Proposal Two: Approval of the advisory (non-binding) resolution on executive compensation.</w:t>
      </w:r>
    </w:p>
    <w:p>
      <w:pPr>
        <w:spacing w:after="0" w:line="160"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9"/>
              </w:rPr>
              <w:t>BROKER</w:t>
            </w:r>
          </w:p>
        </w:tc>
      </w:tr>
      <w:tr>
        <w:trPr>
          <w:trHeight w:val="234"/>
        </w:trPr>
        <w:tc>
          <w:tcPr>
            <w:tcW w:w="2180" w:type="dxa"/>
            <w:vAlign w:val="bottom"/>
            <w:gridSpan w:val="2"/>
          </w:tcPr>
          <w:p>
            <w:pPr>
              <w:ind w:left="500"/>
              <w:spacing w:after="0"/>
              <w:rPr>
                <w:sz w:val="20"/>
                <w:szCs w:val="20"/>
                <w:color w:val="auto"/>
              </w:rPr>
            </w:pPr>
            <w:r>
              <w:rPr>
                <w:rFonts w:ascii="Arial" w:cs="Arial" w:eastAsia="Arial" w:hAnsi="Arial"/>
                <w:sz w:val="18"/>
                <w:szCs w:val="18"/>
                <w:b w:val="1"/>
                <w:bCs w:val="1"/>
                <w:color w:val="auto"/>
              </w:rPr>
              <w:t>VOTES FOR</w:t>
            </w:r>
          </w:p>
        </w:tc>
        <w:tc>
          <w:tcPr>
            <w:tcW w:w="2180" w:type="dxa"/>
            <w:vAlign w:val="bottom"/>
            <w:gridSpan w:val="2"/>
          </w:tcPr>
          <w:p>
            <w:pPr>
              <w:ind w:left="300"/>
              <w:spacing w:after="0"/>
              <w:rPr>
                <w:sz w:val="20"/>
                <w:szCs w:val="20"/>
                <w:color w:val="auto"/>
              </w:rPr>
            </w:pPr>
            <w:r>
              <w:rPr>
                <w:rFonts w:ascii="Arial" w:cs="Arial" w:eastAsia="Arial" w:hAnsi="Arial"/>
                <w:sz w:val="18"/>
                <w:szCs w:val="18"/>
                <w:b w:val="1"/>
                <w:bCs w:val="1"/>
                <w:color w:val="auto"/>
              </w:rPr>
              <w:t>VOTES AGAINST</w:t>
            </w:r>
          </w:p>
        </w:tc>
        <w:tc>
          <w:tcPr>
            <w:tcW w:w="2140" w:type="dxa"/>
            <w:vAlign w:val="bottom"/>
            <w:gridSpan w:val="2"/>
          </w:tcPr>
          <w:p>
            <w:pPr>
              <w:ind w:left="380"/>
              <w:spacing w:after="0"/>
              <w:rPr>
                <w:sz w:val="20"/>
                <w:szCs w:val="20"/>
                <w:color w:val="auto"/>
              </w:rPr>
            </w:pPr>
            <w:r>
              <w:rPr>
                <w:rFonts w:ascii="Arial" w:cs="Arial" w:eastAsia="Arial" w:hAnsi="Arial"/>
                <w:sz w:val="18"/>
                <w:szCs w:val="18"/>
                <w:b w:val="1"/>
                <w:bCs w:val="1"/>
                <w:color w:val="auto"/>
              </w:rPr>
              <w:t>ABSTENTIONS</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rPr>
              <w:t>NON-VOTES</w:t>
            </w:r>
          </w:p>
        </w:tc>
      </w:tr>
      <w:tr>
        <w:trPr>
          <w:trHeight w:val="27"/>
        </w:trPr>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2060" w:type="dxa"/>
            <w:vAlign w:val="bottom"/>
          </w:tcPr>
          <w:p>
            <w:pPr>
              <w:jc w:val="right"/>
              <w:ind w:right="30"/>
              <w:spacing w:after="0"/>
              <w:rPr>
                <w:sz w:val="20"/>
                <w:szCs w:val="20"/>
                <w:color w:val="auto"/>
              </w:rPr>
            </w:pPr>
            <w:r>
              <w:rPr>
                <w:rFonts w:ascii="Arial" w:cs="Arial" w:eastAsia="Arial" w:hAnsi="Arial"/>
                <w:sz w:val="18"/>
                <w:szCs w:val="18"/>
                <w:color w:val="auto"/>
              </w:rPr>
              <w:t>32,603,413</w:t>
            </w:r>
          </w:p>
        </w:tc>
        <w:tc>
          <w:tcPr>
            <w:tcW w:w="120" w:type="dxa"/>
            <w:vAlign w:val="bottom"/>
          </w:tcPr>
          <w:p>
            <w:pPr>
              <w:spacing w:after="0"/>
              <w:rPr>
                <w:sz w:val="20"/>
                <w:szCs w:val="20"/>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1,531,741</w:t>
            </w:r>
          </w:p>
        </w:tc>
        <w:tc>
          <w:tcPr>
            <w:tcW w:w="120" w:type="dxa"/>
            <w:vAlign w:val="bottom"/>
          </w:tcPr>
          <w:p>
            <w:pPr>
              <w:spacing w:after="0"/>
              <w:rPr>
                <w:sz w:val="20"/>
                <w:szCs w:val="20"/>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14,037</w:t>
            </w:r>
          </w:p>
        </w:tc>
        <w:tc>
          <w:tcPr>
            <w:tcW w:w="100" w:type="dxa"/>
            <w:vAlign w:val="bottom"/>
          </w:tcPr>
          <w:p>
            <w:pPr>
              <w:spacing w:after="0"/>
              <w:rPr>
                <w:sz w:val="20"/>
                <w:szCs w:val="20"/>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2,004,594</w:t>
            </w:r>
          </w:p>
        </w:tc>
      </w:tr>
    </w:tbl>
    <w:p>
      <w:pPr>
        <w:spacing w:after="0" w:line="200" w:lineRule="exact"/>
        <w:rPr>
          <w:sz w:val="20"/>
          <w:szCs w:val="20"/>
          <w:color w:val="auto"/>
        </w:rPr>
      </w:pPr>
    </w:p>
    <w:p>
      <w:pPr>
        <w:spacing w:after="0" w:line="25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Proposal Three: Determination of the advisory (non-binding) resolution on how often a non-binding advisory vote on executive compensation should be held.</w:t>
      </w:r>
    </w:p>
    <w:p>
      <w:pPr>
        <w:spacing w:after="0" w:line="121"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Choice 1</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Choice 2</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Choice 3</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9"/>
              </w:rPr>
              <w:t>BROKER</w:t>
            </w:r>
          </w:p>
        </w:tc>
      </w:tr>
      <w:tr>
        <w:trPr>
          <w:trHeight w:val="234"/>
        </w:trPr>
        <w:tc>
          <w:tcPr>
            <w:tcW w:w="2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Every year</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Every two years</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Every three years</w:t>
            </w:r>
          </w:p>
        </w:tc>
        <w:tc>
          <w:tcPr>
            <w:tcW w:w="2140" w:type="dxa"/>
            <w:vAlign w:val="bottom"/>
            <w:gridSpan w:val="2"/>
          </w:tcPr>
          <w:p>
            <w:pPr>
              <w:ind w:left="380"/>
              <w:spacing w:after="0"/>
              <w:rPr>
                <w:sz w:val="20"/>
                <w:szCs w:val="20"/>
                <w:color w:val="auto"/>
              </w:rPr>
            </w:pPr>
            <w:r>
              <w:rPr>
                <w:rFonts w:ascii="Arial" w:cs="Arial" w:eastAsia="Arial" w:hAnsi="Arial"/>
                <w:sz w:val="18"/>
                <w:szCs w:val="18"/>
                <w:b w:val="1"/>
                <w:bCs w:val="1"/>
                <w:color w:val="auto"/>
              </w:rPr>
              <w:t>ABSTENTIONS</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rPr>
              <w:t>NON-VOTES</w:t>
            </w:r>
          </w:p>
        </w:tc>
      </w:tr>
      <w:tr>
        <w:trPr>
          <w:trHeight w:val="27"/>
        </w:trPr>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2060" w:type="dxa"/>
            <w:vAlign w:val="bottom"/>
          </w:tcPr>
          <w:p>
            <w:pPr>
              <w:jc w:val="right"/>
              <w:ind w:right="30"/>
              <w:spacing w:after="0"/>
              <w:rPr>
                <w:sz w:val="20"/>
                <w:szCs w:val="20"/>
                <w:color w:val="auto"/>
              </w:rPr>
            </w:pPr>
            <w:r>
              <w:rPr>
                <w:rFonts w:ascii="Arial" w:cs="Arial" w:eastAsia="Arial" w:hAnsi="Arial"/>
                <w:sz w:val="18"/>
                <w:szCs w:val="18"/>
                <w:color w:val="auto"/>
              </w:rPr>
              <w:t>28,019,807</w:t>
            </w:r>
          </w:p>
        </w:tc>
        <w:tc>
          <w:tcPr>
            <w:tcW w:w="120" w:type="dxa"/>
            <w:vAlign w:val="bottom"/>
          </w:tcPr>
          <w:p>
            <w:pPr>
              <w:spacing w:after="0"/>
              <w:rPr>
                <w:sz w:val="20"/>
                <w:szCs w:val="20"/>
                <w:color w:val="auto"/>
              </w:rPr>
            </w:pP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14,516</w:t>
            </w:r>
          </w:p>
        </w:tc>
        <w:tc>
          <w:tcPr>
            <w:tcW w:w="120" w:type="dxa"/>
            <w:vAlign w:val="bottom"/>
          </w:tcPr>
          <w:p>
            <w:pPr>
              <w:spacing w:after="0"/>
              <w:rPr>
                <w:sz w:val="20"/>
                <w:szCs w:val="20"/>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6,110,912</w:t>
            </w:r>
          </w:p>
        </w:tc>
        <w:tc>
          <w:tcPr>
            <w:tcW w:w="120" w:type="dxa"/>
            <w:vAlign w:val="bottom"/>
          </w:tcPr>
          <w:p>
            <w:pPr>
              <w:spacing w:after="0"/>
              <w:rPr>
                <w:sz w:val="20"/>
                <w:szCs w:val="20"/>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3,956</w:t>
            </w:r>
          </w:p>
        </w:tc>
        <w:tc>
          <w:tcPr>
            <w:tcW w:w="100" w:type="dxa"/>
            <w:vAlign w:val="bottom"/>
          </w:tcPr>
          <w:p>
            <w:pPr>
              <w:spacing w:after="0"/>
              <w:rPr>
                <w:sz w:val="20"/>
                <w:szCs w:val="20"/>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2,004,594</w:t>
            </w:r>
          </w:p>
        </w:tc>
      </w:tr>
    </w:tbl>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Proposal Four: Approval of the Itron, Inc. Second Amended and Restated 2010 Stock Incentive Plan, including to increase the shares authorized for issuance thereunder and approval of the material terms required under Internal Revenue Code Section 162(m).</w:t>
      </w:r>
    </w:p>
    <w:p>
      <w:pPr>
        <w:spacing w:after="0" w:line="97"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9"/>
              </w:rPr>
              <w:t>BROKER</w:t>
            </w:r>
          </w:p>
        </w:tc>
      </w:tr>
      <w:tr>
        <w:trPr>
          <w:trHeight w:val="234"/>
        </w:trPr>
        <w:tc>
          <w:tcPr>
            <w:tcW w:w="2180" w:type="dxa"/>
            <w:vAlign w:val="bottom"/>
            <w:gridSpan w:val="2"/>
          </w:tcPr>
          <w:p>
            <w:pPr>
              <w:ind w:left="500"/>
              <w:spacing w:after="0"/>
              <w:rPr>
                <w:sz w:val="20"/>
                <w:szCs w:val="20"/>
                <w:color w:val="auto"/>
              </w:rPr>
            </w:pPr>
            <w:r>
              <w:rPr>
                <w:rFonts w:ascii="Arial" w:cs="Arial" w:eastAsia="Arial" w:hAnsi="Arial"/>
                <w:sz w:val="18"/>
                <w:szCs w:val="18"/>
                <w:b w:val="1"/>
                <w:bCs w:val="1"/>
                <w:color w:val="auto"/>
              </w:rPr>
              <w:t>VOTES FOR</w:t>
            </w:r>
          </w:p>
        </w:tc>
        <w:tc>
          <w:tcPr>
            <w:tcW w:w="2180" w:type="dxa"/>
            <w:vAlign w:val="bottom"/>
            <w:gridSpan w:val="2"/>
          </w:tcPr>
          <w:p>
            <w:pPr>
              <w:ind w:left="300"/>
              <w:spacing w:after="0"/>
              <w:rPr>
                <w:sz w:val="20"/>
                <w:szCs w:val="20"/>
                <w:color w:val="auto"/>
              </w:rPr>
            </w:pPr>
            <w:r>
              <w:rPr>
                <w:rFonts w:ascii="Arial" w:cs="Arial" w:eastAsia="Arial" w:hAnsi="Arial"/>
                <w:sz w:val="18"/>
                <w:szCs w:val="18"/>
                <w:b w:val="1"/>
                <w:bCs w:val="1"/>
                <w:color w:val="auto"/>
              </w:rPr>
              <w:t>VOTES AGAINST</w:t>
            </w:r>
          </w:p>
        </w:tc>
        <w:tc>
          <w:tcPr>
            <w:tcW w:w="2140" w:type="dxa"/>
            <w:vAlign w:val="bottom"/>
            <w:gridSpan w:val="2"/>
          </w:tcPr>
          <w:p>
            <w:pPr>
              <w:ind w:left="380"/>
              <w:spacing w:after="0"/>
              <w:rPr>
                <w:sz w:val="20"/>
                <w:szCs w:val="20"/>
                <w:color w:val="auto"/>
              </w:rPr>
            </w:pPr>
            <w:r>
              <w:rPr>
                <w:rFonts w:ascii="Arial" w:cs="Arial" w:eastAsia="Arial" w:hAnsi="Arial"/>
                <w:sz w:val="18"/>
                <w:szCs w:val="18"/>
                <w:b w:val="1"/>
                <w:bCs w:val="1"/>
                <w:color w:val="auto"/>
              </w:rPr>
              <w:t>ABSTENTIONS</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rPr>
              <w:t>NON-VOTES</w:t>
            </w:r>
          </w:p>
        </w:tc>
      </w:tr>
      <w:tr>
        <w:trPr>
          <w:trHeight w:val="27"/>
        </w:trPr>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2060" w:type="dxa"/>
            <w:vAlign w:val="bottom"/>
          </w:tcPr>
          <w:p>
            <w:pPr>
              <w:jc w:val="right"/>
              <w:ind w:right="30"/>
              <w:spacing w:after="0"/>
              <w:rPr>
                <w:sz w:val="20"/>
                <w:szCs w:val="20"/>
                <w:color w:val="auto"/>
              </w:rPr>
            </w:pPr>
            <w:r>
              <w:rPr>
                <w:rFonts w:ascii="Arial" w:cs="Arial" w:eastAsia="Arial" w:hAnsi="Arial"/>
                <w:sz w:val="18"/>
                <w:szCs w:val="18"/>
                <w:color w:val="auto"/>
              </w:rPr>
              <w:t>29,941,751</w:t>
            </w:r>
          </w:p>
        </w:tc>
        <w:tc>
          <w:tcPr>
            <w:tcW w:w="120" w:type="dxa"/>
            <w:vAlign w:val="bottom"/>
          </w:tcPr>
          <w:p>
            <w:pPr>
              <w:spacing w:after="0"/>
              <w:rPr>
                <w:sz w:val="20"/>
                <w:szCs w:val="20"/>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4,199,747</w:t>
            </w:r>
          </w:p>
        </w:tc>
        <w:tc>
          <w:tcPr>
            <w:tcW w:w="120" w:type="dxa"/>
            <w:vAlign w:val="bottom"/>
          </w:tcPr>
          <w:p>
            <w:pPr>
              <w:spacing w:after="0"/>
              <w:rPr>
                <w:sz w:val="20"/>
                <w:szCs w:val="20"/>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7,693</w:t>
            </w:r>
          </w:p>
        </w:tc>
        <w:tc>
          <w:tcPr>
            <w:tcW w:w="100" w:type="dxa"/>
            <w:vAlign w:val="bottom"/>
          </w:tcPr>
          <w:p>
            <w:pPr>
              <w:spacing w:after="0"/>
              <w:rPr>
                <w:sz w:val="20"/>
                <w:szCs w:val="20"/>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2,004,594</w:t>
            </w:r>
          </w:p>
        </w:tc>
      </w:tr>
    </w:tbl>
    <w:p>
      <w:pPr>
        <w:spacing w:after="0" w:line="200" w:lineRule="exact"/>
        <w:rPr>
          <w:sz w:val="20"/>
          <w:szCs w:val="20"/>
          <w:color w:val="auto"/>
        </w:rPr>
      </w:pPr>
    </w:p>
    <w:p>
      <w:pPr>
        <w:spacing w:after="0" w:line="2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Proposal Five: Ratification of the appointment of Deloitte &amp; Touche LLP as the Company's independent registered public accounting firm for the 2017 fiscal year.</w:t>
      </w:r>
    </w:p>
    <w:p>
      <w:pPr>
        <w:spacing w:after="0" w:line="121"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9"/>
              </w:rPr>
              <w:t>BROKER</w:t>
            </w:r>
          </w:p>
        </w:tc>
      </w:tr>
      <w:tr>
        <w:trPr>
          <w:trHeight w:val="234"/>
        </w:trPr>
        <w:tc>
          <w:tcPr>
            <w:tcW w:w="2180" w:type="dxa"/>
            <w:vAlign w:val="bottom"/>
            <w:gridSpan w:val="2"/>
          </w:tcPr>
          <w:p>
            <w:pPr>
              <w:ind w:left="500"/>
              <w:spacing w:after="0"/>
              <w:rPr>
                <w:sz w:val="20"/>
                <w:szCs w:val="20"/>
                <w:color w:val="auto"/>
              </w:rPr>
            </w:pPr>
            <w:r>
              <w:rPr>
                <w:rFonts w:ascii="Arial" w:cs="Arial" w:eastAsia="Arial" w:hAnsi="Arial"/>
                <w:sz w:val="18"/>
                <w:szCs w:val="18"/>
                <w:b w:val="1"/>
                <w:bCs w:val="1"/>
                <w:color w:val="auto"/>
              </w:rPr>
              <w:t>VOTES FOR</w:t>
            </w:r>
          </w:p>
        </w:tc>
        <w:tc>
          <w:tcPr>
            <w:tcW w:w="2180" w:type="dxa"/>
            <w:vAlign w:val="bottom"/>
            <w:gridSpan w:val="2"/>
          </w:tcPr>
          <w:p>
            <w:pPr>
              <w:ind w:left="300"/>
              <w:spacing w:after="0"/>
              <w:rPr>
                <w:sz w:val="20"/>
                <w:szCs w:val="20"/>
                <w:color w:val="auto"/>
              </w:rPr>
            </w:pPr>
            <w:r>
              <w:rPr>
                <w:rFonts w:ascii="Arial" w:cs="Arial" w:eastAsia="Arial" w:hAnsi="Arial"/>
                <w:sz w:val="18"/>
                <w:szCs w:val="18"/>
                <w:b w:val="1"/>
                <w:bCs w:val="1"/>
                <w:color w:val="auto"/>
              </w:rPr>
              <w:t>VOTES AGAINST</w:t>
            </w:r>
          </w:p>
        </w:tc>
        <w:tc>
          <w:tcPr>
            <w:tcW w:w="2140" w:type="dxa"/>
            <w:vAlign w:val="bottom"/>
            <w:gridSpan w:val="2"/>
          </w:tcPr>
          <w:p>
            <w:pPr>
              <w:ind w:left="380"/>
              <w:spacing w:after="0"/>
              <w:rPr>
                <w:sz w:val="20"/>
                <w:szCs w:val="20"/>
                <w:color w:val="auto"/>
              </w:rPr>
            </w:pPr>
            <w:r>
              <w:rPr>
                <w:rFonts w:ascii="Arial" w:cs="Arial" w:eastAsia="Arial" w:hAnsi="Arial"/>
                <w:sz w:val="18"/>
                <w:szCs w:val="18"/>
                <w:b w:val="1"/>
                <w:bCs w:val="1"/>
                <w:color w:val="auto"/>
              </w:rPr>
              <w:t>ABSTENTIONS</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rPr>
              <w:t>NON-VOTES</w:t>
            </w:r>
          </w:p>
        </w:tc>
      </w:tr>
      <w:tr>
        <w:trPr>
          <w:trHeight w:val="27"/>
        </w:trPr>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2060" w:type="dxa"/>
            <w:vAlign w:val="bottom"/>
          </w:tcPr>
          <w:p>
            <w:pPr>
              <w:jc w:val="right"/>
              <w:ind w:right="30"/>
              <w:spacing w:after="0"/>
              <w:rPr>
                <w:sz w:val="20"/>
                <w:szCs w:val="20"/>
                <w:color w:val="auto"/>
              </w:rPr>
            </w:pPr>
            <w:r>
              <w:rPr>
                <w:rFonts w:ascii="Arial" w:cs="Arial" w:eastAsia="Arial" w:hAnsi="Arial"/>
                <w:sz w:val="18"/>
                <w:szCs w:val="18"/>
                <w:color w:val="auto"/>
              </w:rPr>
              <w:t>35,185,098</w:t>
            </w:r>
          </w:p>
        </w:tc>
        <w:tc>
          <w:tcPr>
            <w:tcW w:w="120" w:type="dxa"/>
            <w:vAlign w:val="bottom"/>
          </w:tcPr>
          <w:p>
            <w:pPr>
              <w:spacing w:after="0"/>
              <w:rPr>
                <w:sz w:val="20"/>
                <w:szCs w:val="20"/>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959,350</w:t>
            </w:r>
          </w:p>
        </w:tc>
        <w:tc>
          <w:tcPr>
            <w:tcW w:w="120" w:type="dxa"/>
            <w:vAlign w:val="bottom"/>
          </w:tcPr>
          <w:p>
            <w:pPr>
              <w:spacing w:after="0"/>
              <w:rPr>
                <w:sz w:val="20"/>
                <w:szCs w:val="20"/>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9,337</w:t>
            </w:r>
          </w:p>
        </w:tc>
        <w:tc>
          <w:tcPr>
            <w:tcW w:w="100" w:type="dxa"/>
            <w:vAlign w:val="bottom"/>
          </w:tcPr>
          <w:p>
            <w:pPr>
              <w:spacing w:after="0"/>
              <w:rPr>
                <w:sz w:val="20"/>
                <w:szCs w:val="20"/>
                <w:color w:val="auto"/>
              </w:rPr>
            </w:pPr>
          </w:p>
        </w:tc>
        <w:tc>
          <w:tcPr>
            <w:tcW w:w="2040" w:type="dxa"/>
            <w:vAlign w:val="bottom"/>
          </w:tcPr>
          <w:p>
            <w:pPr>
              <w:ind w:left="176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576" w:right="23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p>
      <w:pPr>
        <w:ind w:left="440" w:hanging="432"/>
        <w:spacing w:after="0"/>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color w:val="auto"/>
        </w:rPr>
        <w:t>Exhibits.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10.1</w:t>
            </w:r>
          </w:p>
        </w:tc>
        <w:tc>
          <w:tcPr>
            <w:tcW w:w="9660" w:type="dxa"/>
            <w:vAlign w:val="bottom"/>
          </w:tcPr>
          <w:p>
            <w:pPr>
              <w:ind w:left="640"/>
              <w:spacing w:after="0"/>
              <w:rPr>
                <w:sz w:val="20"/>
                <w:szCs w:val="20"/>
                <w:color w:val="auto"/>
              </w:rPr>
            </w:pPr>
            <w:r>
              <w:rPr>
                <w:rFonts w:ascii="Arial" w:cs="Arial" w:eastAsia="Arial" w:hAnsi="Arial"/>
                <w:sz w:val="18"/>
                <w:szCs w:val="18"/>
                <w:color w:val="auto"/>
                <w:w w:val="90"/>
              </w:rPr>
              <w:t>Itron, Inc. Second Amended and Restated 2010 Stock Incentive Plan (incorporated by reference to Appendix A to Itron, Inc's</w:t>
            </w:r>
          </w:p>
        </w:tc>
      </w:tr>
      <w:tr>
        <w:trPr>
          <w:trHeight w:val="230"/>
        </w:trPr>
        <w:tc>
          <w:tcPr>
            <w:tcW w:w="960" w:type="dxa"/>
            <w:vAlign w:val="bottom"/>
          </w:tcPr>
          <w:p>
            <w:pPr>
              <w:spacing w:after="0"/>
              <w:rPr>
                <w:sz w:val="20"/>
                <w:szCs w:val="20"/>
                <w:color w:val="auto"/>
              </w:rPr>
            </w:pPr>
          </w:p>
        </w:tc>
        <w:tc>
          <w:tcPr>
            <w:tcW w:w="9660" w:type="dxa"/>
            <w:vAlign w:val="bottom"/>
          </w:tcPr>
          <w:p>
            <w:pPr>
              <w:ind w:left="640"/>
              <w:spacing w:after="0"/>
              <w:rPr>
                <w:sz w:val="20"/>
                <w:szCs w:val="20"/>
                <w:color w:val="auto"/>
              </w:rPr>
            </w:pPr>
            <w:r>
              <w:rPr>
                <w:rFonts w:ascii="Arial" w:cs="Arial" w:eastAsia="Arial" w:hAnsi="Arial"/>
                <w:sz w:val="18"/>
                <w:szCs w:val="18"/>
                <w:color w:val="auto"/>
                <w:w w:val="96"/>
              </w:rPr>
              <w:t>Definitive Proxy Statement on Schedule 14A filed with the Securities and Exchange Commission on March 24, 2017).</w:t>
            </w: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42"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7"/>
              </w:rPr>
              <w:t>ITRON, INC.</w:t>
            </w:r>
          </w:p>
        </w:tc>
      </w:tr>
      <w:tr>
        <w:trPr>
          <w:trHeight w:val="594"/>
        </w:trPr>
        <w:tc>
          <w:tcPr>
            <w:tcW w:w="3940" w:type="dxa"/>
            <w:vAlign w:val="bottom"/>
          </w:tcPr>
          <w:p>
            <w:pPr>
              <w:ind w:left="3340"/>
              <w:spacing w:after="0"/>
              <w:rPr>
                <w:sz w:val="20"/>
                <w:szCs w:val="20"/>
                <w:color w:val="auto"/>
              </w:rPr>
            </w:pPr>
            <w:r>
              <w:rPr>
                <w:rFonts w:ascii="Arial" w:cs="Arial" w:eastAsia="Arial" w:hAnsi="Arial"/>
                <w:sz w:val="18"/>
                <w:szCs w:val="18"/>
                <w:color w:val="auto"/>
              </w:rPr>
              <w:t>By:</w:t>
            </w:r>
          </w:p>
        </w:tc>
        <w:tc>
          <w:tcPr>
            <w:tcW w:w="5260" w:type="dxa"/>
            <w:vAlign w:val="bottom"/>
          </w:tcPr>
          <w:p>
            <w:pPr>
              <w:jc w:val="center"/>
              <w:spacing w:after="0"/>
              <w:rPr>
                <w:sz w:val="20"/>
                <w:szCs w:val="20"/>
                <w:color w:val="auto"/>
              </w:rPr>
            </w:pPr>
            <w:r>
              <w:rPr>
                <w:rFonts w:ascii="Arial" w:cs="Arial" w:eastAsia="Arial" w:hAnsi="Arial"/>
                <w:sz w:val="18"/>
                <w:szCs w:val="18"/>
                <w:color w:val="auto"/>
                <w:w w:val="96"/>
              </w:rPr>
              <w:t>/s/ SHANNON M. VOTAVA</w:t>
            </w:r>
          </w:p>
        </w:tc>
      </w:tr>
      <w:tr>
        <w:trPr>
          <w:trHeight w:val="27"/>
        </w:trPr>
        <w:tc>
          <w:tcPr>
            <w:tcW w:w="394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Dated: May 16, 2017</w:t>
            </w:r>
          </w:p>
        </w:tc>
        <w:tc>
          <w:tcPr>
            <w:tcW w:w="5260" w:type="dxa"/>
            <w:vAlign w:val="bottom"/>
          </w:tcPr>
          <w:p>
            <w:pPr>
              <w:jc w:val="center"/>
              <w:spacing w:after="0"/>
              <w:rPr>
                <w:sz w:val="20"/>
                <w:szCs w:val="20"/>
                <w:color w:val="auto"/>
              </w:rPr>
            </w:pPr>
            <w:r>
              <w:rPr>
                <w:rFonts w:ascii="Arial" w:cs="Arial" w:eastAsia="Arial" w:hAnsi="Arial"/>
                <w:sz w:val="18"/>
                <w:szCs w:val="18"/>
                <w:color w:val="auto"/>
                <w:w w:val="89"/>
              </w:rPr>
              <w:t>Shannon M. Votava</w:t>
            </w:r>
          </w:p>
        </w:tc>
      </w:tr>
      <w:tr>
        <w:trPr>
          <w:trHeight w:val="270"/>
        </w:trPr>
        <w:tc>
          <w:tcPr>
            <w:tcW w:w="3940" w:type="dxa"/>
            <w:vAlign w:val="bottom"/>
          </w:tcPr>
          <w:p>
            <w:pPr>
              <w:spacing w:after="0"/>
              <w:rPr>
                <w:sz w:val="23"/>
                <w:szCs w:val="23"/>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89"/>
              </w:rPr>
              <w:t>Senior Vice President, General Counsel and Corporate Secretary</w:t>
            </w: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0" w:type="dxa"/>
            <w:vAlign w:val="bottom"/>
          </w:tcPr>
          <w:p>
            <w:pPr>
              <w:ind w:left="3320"/>
              <w:spacing w:after="0"/>
              <w:rPr>
                <w:sz w:val="20"/>
                <w:szCs w:val="20"/>
                <w:color w:val="auto"/>
              </w:rPr>
            </w:pPr>
            <w:r>
              <w:rPr>
                <w:rFonts w:ascii="Arial" w:cs="Arial" w:eastAsia="Arial" w:hAnsi="Arial"/>
                <w:sz w:val="20"/>
                <w:szCs w:val="20"/>
                <w:b w:val="1"/>
                <w:bCs w:val="1"/>
                <w:color w:val="auto"/>
              </w:rPr>
              <w:t>EXHIBIT INDEX</w:t>
            </w:r>
          </w:p>
        </w:tc>
      </w:tr>
      <w:tr>
        <w:trPr>
          <w:trHeight w:val="495"/>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24"/>
                <w:szCs w:val="24"/>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19"/>
        </w:trPr>
        <w:tc>
          <w:tcPr>
            <w:tcW w:w="150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8"/>
              </w:rPr>
              <w:t>Itron, Inc. Second Amended and Restated 2010 Stock Incentive Plan (incorporated by reference to Appendix A to Itron, Inc's</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Definitive Proxy Statement on Schedule 14A filed with the Securities and Exchange Commission on March 24, 2017).</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2019-12-05T13:30:53Z</dcterms:created>
  <dcterms:modified xsi:type="dcterms:W3CDTF">2019-12-05T13:30:53Z</dcterms:modified>
</cp:coreProperties>
</file>