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0"/>
        <w:spacing w:after="0"/>
        <w:rPr>
          <w:sz w:val="20"/>
          <w:szCs w:val="20"/>
          <w:color w:val="auto"/>
        </w:rPr>
      </w:pPr>
      <w:r>
        <w:rPr>
          <w:rFonts w:ascii="Arial" w:cs="Arial" w:eastAsia="Arial" w:hAnsi="Arial"/>
          <w:sz w:val="22"/>
          <w:szCs w:val="22"/>
          <w:color w:val="auto"/>
        </w:rPr>
        <w:t>_________________________________________________________</w:t>
      </w:r>
    </w:p>
    <w:p>
      <w:pPr>
        <w:spacing w:after="0" w:line="200" w:lineRule="exact"/>
        <w:rPr>
          <w:sz w:val="24"/>
          <w:szCs w:val="24"/>
          <w:color w:val="auto"/>
        </w:rPr>
      </w:pPr>
    </w:p>
    <w:p>
      <w:pPr>
        <w:spacing w:after="0" w:line="27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37"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_________________________________________________________</w:t>
      </w:r>
    </w:p>
    <w:p>
      <w:pPr>
        <w:spacing w:after="0" w:line="200" w:lineRule="exact"/>
        <w:rPr>
          <w:sz w:val="24"/>
          <w:szCs w:val="24"/>
          <w:color w:val="auto"/>
        </w:rPr>
      </w:pPr>
    </w:p>
    <w:p>
      <w:pPr>
        <w:spacing w:after="0" w:line="36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18)*</w:t>
      </w:r>
    </w:p>
    <w:p>
      <w:pPr>
        <w:spacing w:after="0" w:line="337" w:lineRule="exact"/>
        <w:rPr>
          <w:sz w:val="24"/>
          <w:szCs w:val="24"/>
          <w:color w:val="auto"/>
        </w:rPr>
      </w:pPr>
    </w:p>
    <w:p>
      <w:pPr>
        <w:ind w:left="2680"/>
        <w:spacing w:after="0"/>
        <w:rPr>
          <w:sz w:val="20"/>
          <w:szCs w:val="20"/>
          <w:color w:val="auto"/>
        </w:rPr>
      </w:pPr>
      <w:r>
        <w:rPr>
          <w:rFonts w:ascii="Arial" w:cs="Arial" w:eastAsia="Arial" w:hAnsi="Arial"/>
          <w:sz w:val="22"/>
          <w:szCs w:val="22"/>
          <w:color w:val="auto"/>
        </w:rPr>
        <w:t>_________________________________________________________</w:t>
      </w:r>
    </w:p>
    <w:p>
      <w:pPr>
        <w:spacing w:after="0" w:line="200" w:lineRule="exact"/>
        <w:rPr>
          <w:sz w:val="24"/>
          <w:szCs w:val="24"/>
          <w:color w:val="auto"/>
        </w:rPr>
      </w:pPr>
    </w:p>
    <w:p>
      <w:pPr>
        <w:spacing w:after="0" w:line="37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Itron, Inc.</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(Name of Issuer)</w:t>
      </w:r>
    </w:p>
    <w:p>
      <w:pPr>
        <w:spacing w:after="0" w:line="39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Common Stock, no par value per share</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and Class of Securities)</w:t>
      </w:r>
    </w:p>
    <w:p>
      <w:pPr>
        <w:spacing w:after="0" w:line="39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465741106</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9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Samantha Nasello</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Scopia Capital Management LP</w:t>
      </w:r>
    </w:p>
    <w:p>
      <w:pPr>
        <w:jc w:val="center"/>
        <w:ind w:right="-99"/>
        <w:spacing w:after="0" w:line="230" w:lineRule="auto"/>
        <w:rPr>
          <w:sz w:val="20"/>
          <w:szCs w:val="20"/>
          <w:color w:val="auto"/>
        </w:rPr>
      </w:pPr>
      <w:r>
        <w:rPr>
          <w:rFonts w:ascii="Arial" w:cs="Arial" w:eastAsia="Arial" w:hAnsi="Arial"/>
          <w:sz w:val="22"/>
          <w:szCs w:val="22"/>
          <w:b w:val="1"/>
          <w:bCs w:val="1"/>
          <w:color w:val="auto"/>
        </w:rPr>
        <w:t>152 West 57th St., 33rd Floor</w:t>
      </w:r>
    </w:p>
    <w:p>
      <w:pPr>
        <w:jc w:val="center"/>
        <w:ind w:right="-99"/>
        <w:spacing w:after="0" w:line="231" w:lineRule="auto"/>
        <w:rPr>
          <w:sz w:val="20"/>
          <w:szCs w:val="20"/>
          <w:color w:val="auto"/>
        </w:rPr>
      </w:pPr>
      <w:r>
        <w:rPr>
          <w:rFonts w:ascii="Arial" w:cs="Arial" w:eastAsia="Arial" w:hAnsi="Arial"/>
          <w:sz w:val="22"/>
          <w:szCs w:val="22"/>
          <w:b w:val="1"/>
          <w:bCs w:val="1"/>
          <w:color w:val="auto"/>
        </w:rPr>
        <w:t>New York, NY 10019</w:t>
      </w:r>
    </w:p>
    <w:p>
      <w:pPr>
        <w:jc w:val="center"/>
        <w:ind w:right="-99"/>
        <w:spacing w:after="0" w:line="227" w:lineRule="auto"/>
        <w:rPr>
          <w:sz w:val="20"/>
          <w:szCs w:val="20"/>
          <w:color w:val="auto"/>
        </w:rPr>
      </w:pPr>
      <w:r>
        <w:rPr>
          <w:rFonts w:ascii="Arial" w:cs="Arial" w:eastAsia="Arial" w:hAnsi="Arial"/>
          <w:sz w:val="22"/>
          <w:szCs w:val="22"/>
          <w:b w:val="1"/>
          <w:bCs w:val="1"/>
          <w:color w:val="auto"/>
        </w:rPr>
        <w:t>(212) 370-0303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9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September 11, 2019</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Statement)</w:t>
      </w:r>
    </w:p>
    <w:p>
      <w:pPr>
        <w:spacing w:after="0" w:line="337"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_________________________________________________________</w:t>
      </w:r>
    </w:p>
    <w:p>
      <w:pPr>
        <w:spacing w:after="0" w:line="200" w:lineRule="exact"/>
        <w:rPr>
          <w:sz w:val="24"/>
          <w:szCs w:val="24"/>
          <w:color w:val="auto"/>
        </w:rPr>
      </w:pPr>
    </w:p>
    <w:p>
      <w:pPr>
        <w:spacing w:after="0" w:line="398" w:lineRule="exact"/>
        <w:rPr>
          <w:sz w:val="24"/>
          <w:szCs w:val="24"/>
          <w:color w:val="auto"/>
        </w:rPr>
      </w:pPr>
    </w:p>
    <w:p>
      <w:pPr>
        <w:ind w:right="240"/>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26" w:lineRule="exact"/>
        <w:rPr>
          <w:sz w:val="24"/>
          <w:szCs w:val="24"/>
          <w:color w:val="auto"/>
        </w:rPr>
      </w:pPr>
    </w:p>
    <w:p>
      <w:pPr>
        <w:ind w:right="340"/>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 all exhibits. See</w:t>
      </w:r>
      <w:r>
        <w:rPr>
          <w:rFonts w:ascii="Arial" w:cs="Arial" w:eastAsia="Arial" w:hAnsi="Arial"/>
          <w:sz w:val="22"/>
          <w:szCs w:val="22"/>
          <w:b w:val="1"/>
          <w:bCs w:val="1"/>
          <w:color w:val="auto"/>
        </w:rPr>
        <w:t xml:space="preserve"> </w:t>
      </w:r>
      <w:r>
        <w:rPr>
          <w:rFonts w:ascii="Arial" w:cs="Arial" w:eastAsia="Arial" w:hAnsi="Arial"/>
          <w:sz w:val="22"/>
          <w:szCs w:val="22"/>
          <w:color w:val="auto"/>
        </w:rPr>
        <w:t>Rule 13d-7(b) for other parties to whom copies are to be sent.</w:t>
      </w:r>
    </w:p>
    <w:p>
      <w:pPr>
        <w:spacing w:after="0" w:line="203" w:lineRule="exact"/>
        <w:rPr>
          <w:sz w:val="24"/>
          <w:szCs w:val="24"/>
          <w:color w:val="auto"/>
        </w:rPr>
      </w:pPr>
    </w:p>
    <w:p>
      <w:pPr>
        <w:ind w:left="460" w:right="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71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378" w:lineRule="exact"/>
        <w:rPr>
          <w:sz w:val="20"/>
          <w:szCs w:val="20"/>
          <w:color w:val="auto"/>
        </w:rPr>
      </w:pPr>
    </w:p>
    <w:p>
      <w:pPr>
        <w:ind w:left="1080" w:hanging="98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Scopia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80"/>
        <w:spacing w:after="0" w:line="207"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1080" w:hanging="98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1080" w:hanging="98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982"/>
        <w:spacing w:after="0" w:line="207" w:lineRule="exact"/>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98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9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40" w:type="dxa"/>
            <w:vAlign w:val="bottom"/>
          </w:tcPr>
          <w:p>
            <w:pPr>
              <w:jc w:val="right"/>
              <w:ind w:right="270"/>
              <w:spacing w:after="0" w:line="162" w:lineRule="exact"/>
              <w:rPr>
                <w:sz w:val="20"/>
                <w:szCs w:val="20"/>
                <w:color w:val="auto"/>
              </w:rPr>
            </w:pPr>
            <w:r>
              <w:rPr>
                <w:rFonts w:ascii="Arial" w:cs="Arial" w:eastAsia="Arial" w:hAnsi="Arial"/>
                <w:sz w:val="18"/>
                <w:szCs w:val="18"/>
                <w:color w:val="auto"/>
              </w:rPr>
              <w:t>(8)</w:t>
            </w:r>
          </w:p>
        </w:tc>
        <w:tc>
          <w:tcPr>
            <w:tcW w:w="8620" w:type="dxa"/>
            <w:vAlign w:val="bottom"/>
          </w:tcPr>
          <w:p>
            <w:pPr>
              <w:ind w:left="36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96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2,219,710</w:t>
            </w: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97"/>
        </w:trPr>
        <w:tc>
          <w:tcPr>
            <w:tcW w:w="1960" w:type="dxa"/>
            <w:vAlign w:val="bottom"/>
          </w:tcPr>
          <w:p>
            <w:pPr>
              <w:jc w:val="center"/>
              <w:spacing w:after="0" w:line="190" w:lineRule="exact"/>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7"/>
                <w:szCs w:val="17"/>
                <w:color w:val="auto"/>
              </w:rPr>
            </w:pPr>
          </w:p>
        </w:tc>
        <w:tc>
          <w:tcPr>
            <w:tcW w:w="8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2,219,710</w:t>
      </w:r>
    </w:p>
    <w:p>
      <w:pPr>
        <w:spacing w:after="0" w:line="13" w:lineRule="exact"/>
        <w:rPr>
          <w:sz w:val="20"/>
          <w:szCs w:val="20"/>
          <w:color w:val="auto"/>
        </w:rPr>
      </w:pPr>
    </w:p>
    <w:p>
      <w:pPr>
        <w:ind w:left="1080" w:hanging="107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2,219,710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1072"/>
        <w:spacing w:after="0" w:line="207" w:lineRule="exact"/>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107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ind w:left="240" w:hanging="232"/>
        <w:spacing w:after="0" w:line="277"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39,458,595 shares of Common Stock of Itron, Inc. (the “Issuer”) outstanding as of July 31, 2019, as reported in the Issuer’s Form 10-Q filed with the Securities and Exchange Commission (“SEC”) on August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Schedule 13D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378" w:lineRule="exact"/>
        <w:rPr>
          <w:sz w:val="20"/>
          <w:szCs w:val="20"/>
          <w:color w:val="auto"/>
        </w:rPr>
      </w:pPr>
    </w:p>
    <w:p>
      <w:pPr>
        <w:ind w:left="1080" w:hanging="98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Scopia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98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80"/>
        <w:spacing w:after="0" w:line="207"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1080" w:hanging="98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1080" w:hanging="98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982"/>
        <w:spacing w:after="0" w:line="207" w:lineRule="exact"/>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98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New York</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9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40" w:type="dxa"/>
            <w:vAlign w:val="bottom"/>
          </w:tcPr>
          <w:p>
            <w:pPr>
              <w:jc w:val="right"/>
              <w:ind w:right="270"/>
              <w:spacing w:after="0" w:line="162" w:lineRule="exact"/>
              <w:rPr>
                <w:sz w:val="20"/>
                <w:szCs w:val="20"/>
                <w:color w:val="auto"/>
              </w:rPr>
            </w:pPr>
            <w:r>
              <w:rPr>
                <w:rFonts w:ascii="Arial" w:cs="Arial" w:eastAsia="Arial" w:hAnsi="Arial"/>
                <w:sz w:val="18"/>
                <w:szCs w:val="18"/>
                <w:color w:val="auto"/>
              </w:rPr>
              <w:t>(8)</w:t>
            </w:r>
          </w:p>
        </w:tc>
        <w:tc>
          <w:tcPr>
            <w:tcW w:w="8620" w:type="dxa"/>
            <w:vAlign w:val="bottom"/>
          </w:tcPr>
          <w:p>
            <w:pPr>
              <w:ind w:left="36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96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2,219,710</w:t>
            </w: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97"/>
        </w:trPr>
        <w:tc>
          <w:tcPr>
            <w:tcW w:w="1960" w:type="dxa"/>
            <w:vAlign w:val="bottom"/>
          </w:tcPr>
          <w:p>
            <w:pPr>
              <w:jc w:val="center"/>
              <w:spacing w:after="0" w:line="190" w:lineRule="exact"/>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7"/>
                <w:szCs w:val="17"/>
                <w:color w:val="auto"/>
              </w:rPr>
            </w:pPr>
          </w:p>
        </w:tc>
        <w:tc>
          <w:tcPr>
            <w:tcW w:w="8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2,219,710</w:t>
      </w:r>
    </w:p>
    <w:p>
      <w:pPr>
        <w:spacing w:after="0" w:line="13" w:lineRule="exact"/>
        <w:rPr>
          <w:sz w:val="20"/>
          <w:szCs w:val="20"/>
          <w:color w:val="auto"/>
        </w:rPr>
      </w:pPr>
    </w:p>
    <w:p>
      <w:pPr>
        <w:ind w:left="1080" w:hanging="107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2,219,710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1072"/>
        <w:spacing w:after="0" w:line="207" w:lineRule="exact"/>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107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ind w:left="240" w:right="180" w:hanging="232"/>
        <w:spacing w:after="0" w:line="277"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39,458,595 shares of Common Stock of the Issuer outstanding as of July 31, 2019, as reported in the Issuer’s Form 10-Q filed with the SEC on August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Schedule 13D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378" w:lineRule="exact"/>
        <w:rPr>
          <w:sz w:val="20"/>
          <w:szCs w:val="20"/>
          <w:color w:val="auto"/>
        </w:rPr>
      </w:pPr>
    </w:p>
    <w:p>
      <w:pPr>
        <w:ind w:left="1080" w:hanging="98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Matthew Sirovich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98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80"/>
        <w:spacing w:after="0" w:line="207"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1080" w:hanging="98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1080" w:hanging="98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982"/>
        <w:spacing w:after="0" w:line="207" w:lineRule="exact"/>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98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United States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9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22"/>
                <w:szCs w:val="22"/>
                <w:color w:val="auto"/>
              </w:rPr>
              <w:t>1,202</w:t>
            </w:r>
          </w:p>
        </w:tc>
        <w:tc>
          <w:tcPr>
            <w:tcW w:w="0" w:type="dxa"/>
            <w:vAlign w:val="bottom"/>
          </w:tcPr>
          <w:p>
            <w:pPr>
              <w:spacing w:after="0"/>
              <w:rPr>
                <w:sz w:val="1"/>
                <w:szCs w:val="1"/>
                <w:color w:val="auto"/>
              </w:rPr>
            </w:pPr>
          </w:p>
        </w:tc>
      </w:tr>
      <w:tr>
        <w:trPr>
          <w:trHeight w:val="3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40" w:type="dxa"/>
            <w:vAlign w:val="bottom"/>
          </w:tcPr>
          <w:p>
            <w:pPr>
              <w:jc w:val="right"/>
              <w:ind w:right="270"/>
              <w:spacing w:after="0" w:line="162" w:lineRule="exact"/>
              <w:rPr>
                <w:sz w:val="20"/>
                <w:szCs w:val="20"/>
                <w:color w:val="auto"/>
              </w:rPr>
            </w:pPr>
            <w:r>
              <w:rPr>
                <w:rFonts w:ascii="Arial" w:cs="Arial" w:eastAsia="Arial" w:hAnsi="Arial"/>
                <w:sz w:val="18"/>
                <w:szCs w:val="18"/>
                <w:color w:val="auto"/>
              </w:rPr>
              <w:t>(8)</w:t>
            </w:r>
          </w:p>
        </w:tc>
        <w:tc>
          <w:tcPr>
            <w:tcW w:w="8620" w:type="dxa"/>
            <w:vAlign w:val="bottom"/>
          </w:tcPr>
          <w:p>
            <w:pPr>
              <w:ind w:left="36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96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2,219,710</w:t>
            </w: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1,202</w:t>
            </w:r>
          </w:p>
        </w:tc>
        <w:tc>
          <w:tcPr>
            <w:tcW w:w="0" w:type="dxa"/>
            <w:vAlign w:val="bottom"/>
          </w:tcPr>
          <w:p>
            <w:pPr>
              <w:spacing w:after="0"/>
              <w:rPr>
                <w:sz w:val="1"/>
                <w:szCs w:val="1"/>
                <w:color w:val="auto"/>
              </w:rPr>
            </w:pPr>
          </w:p>
        </w:tc>
      </w:tr>
      <w:tr>
        <w:trPr>
          <w:trHeight w:val="197"/>
        </w:trPr>
        <w:tc>
          <w:tcPr>
            <w:tcW w:w="1960" w:type="dxa"/>
            <w:vAlign w:val="bottom"/>
          </w:tcPr>
          <w:p>
            <w:pPr>
              <w:jc w:val="center"/>
              <w:spacing w:after="0" w:line="190" w:lineRule="exact"/>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7"/>
                <w:szCs w:val="17"/>
                <w:color w:val="auto"/>
              </w:rPr>
            </w:pPr>
          </w:p>
        </w:tc>
        <w:tc>
          <w:tcPr>
            <w:tcW w:w="8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2,219,710</w:t>
      </w:r>
    </w:p>
    <w:p>
      <w:pPr>
        <w:spacing w:after="0" w:line="13" w:lineRule="exact"/>
        <w:rPr>
          <w:sz w:val="20"/>
          <w:szCs w:val="20"/>
          <w:color w:val="auto"/>
        </w:rPr>
      </w:pPr>
    </w:p>
    <w:p>
      <w:pPr>
        <w:ind w:left="1080" w:hanging="107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2,220,912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1072"/>
        <w:spacing w:after="0" w:line="207" w:lineRule="exact"/>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107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ind w:left="240" w:right="180" w:hanging="232"/>
        <w:spacing w:after="0" w:line="277"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39,458,595 shares of Common Stock of the Issuer outstanding as of July 31, 2019, as reported in the Issuer’s Form 10-Q filed with the SEC on August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Schedule 13D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378" w:lineRule="exact"/>
        <w:rPr>
          <w:sz w:val="20"/>
          <w:szCs w:val="20"/>
          <w:color w:val="auto"/>
        </w:rPr>
      </w:pPr>
    </w:p>
    <w:p>
      <w:pPr>
        <w:ind w:left="1080" w:hanging="98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98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80"/>
        <w:spacing w:after="0" w:line="207"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1080" w:hanging="98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1080" w:hanging="98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982"/>
        <w:spacing w:after="0" w:line="207" w:lineRule="exact"/>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98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United States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9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22"/>
                <w:szCs w:val="22"/>
                <w:color w:val="auto"/>
              </w:rPr>
              <w:t>653</w:t>
            </w:r>
          </w:p>
        </w:tc>
        <w:tc>
          <w:tcPr>
            <w:tcW w:w="0" w:type="dxa"/>
            <w:vAlign w:val="bottom"/>
          </w:tcPr>
          <w:p>
            <w:pPr>
              <w:spacing w:after="0"/>
              <w:rPr>
                <w:sz w:val="1"/>
                <w:szCs w:val="1"/>
                <w:color w:val="auto"/>
              </w:rPr>
            </w:pPr>
          </w:p>
        </w:tc>
      </w:tr>
      <w:tr>
        <w:trPr>
          <w:trHeight w:val="3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40" w:type="dxa"/>
            <w:vAlign w:val="bottom"/>
          </w:tcPr>
          <w:p>
            <w:pPr>
              <w:jc w:val="right"/>
              <w:ind w:right="270"/>
              <w:spacing w:after="0" w:line="162" w:lineRule="exact"/>
              <w:rPr>
                <w:sz w:val="20"/>
                <w:szCs w:val="20"/>
                <w:color w:val="auto"/>
              </w:rPr>
            </w:pPr>
            <w:r>
              <w:rPr>
                <w:rFonts w:ascii="Arial" w:cs="Arial" w:eastAsia="Arial" w:hAnsi="Arial"/>
                <w:sz w:val="18"/>
                <w:szCs w:val="18"/>
                <w:color w:val="auto"/>
              </w:rPr>
              <w:t>(8)</w:t>
            </w:r>
          </w:p>
        </w:tc>
        <w:tc>
          <w:tcPr>
            <w:tcW w:w="8620" w:type="dxa"/>
            <w:vAlign w:val="bottom"/>
          </w:tcPr>
          <w:p>
            <w:pPr>
              <w:ind w:left="36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96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2,219,710</w:t>
            </w: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653</w:t>
            </w:r>
          </w:p>
        </w:tc>
        <w:tc>
          <w:tcPr>
            <w:tcW w:w="0" w:type="dxa"/>
            <w:vAlign w:val="bottom"/>
          </w:tcPr>
          <w:p>
            <w:pPr>
              <w:spacing w:after="0"/>
              <w:rPr>
                <w:sz w:val="1"/>
                <w:szCs w:val="1"/>
                <w:color w:val="auto"/>
              </w:rPr>
            </w:pPr>
          </w:p>
        </w:tc>
      </w:tr>
      <w:tr>
        <w:trPr>
          <w:trHeight w:val="197"/>
        </w:trPr>
        <w:tc>
          <w:tcPr>
            <w:tcW w:w="1960" w:type="dxa"/>
            <w:vAlign w:val="bottom"/>
          </w:tcPr>
          <w:p>
            <w:pPr>
              <w:jc w:val="center"/>
              <w:spacing w:after="0" w:line="190" w:lineRule="exact"/>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7"/>
                <w:szCs w:val="17"/>
                <w:color w:val="auto"/>
              </w:rPr>
            </w:pPr>
          </w:p>
        </w:tc>
        <w:tc>
          <w:tcPr>
            <w:tcW w:w="8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2,219,710</w:t>
      </w:r>
    </w:p>
    <w:p>
      <w:pPr>
        <w:spacing w:after="0" w:line="13" w:lineRule="exact"/>
        <w:rPr>
          <w:sz w:val="20"/>
          <w:szCs w:val="20"/>
          <w:color w:val="auto"/>
        </w:rPr>
      </w:pPr>
    </w:p>
    <w:p>
      <w:pPr>
        <w:ind w:left="1080" w:hanging="107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2,220,363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1072"/>
        <w:spacing w:after="0" w:line="207" w:lineRule="exact"/>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107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ind w:left="240" w:right="180" w:hanging="232"/>
        <w:spacing w:after="0" w:line="277"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39,458,595 shares of Common Stock of the Issuer outstanding as of July 31, 2019, as reported in the Issuer’s Form 10-Q filed with the SEC on August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Amendment No. 18 to Schedule 13D</w:t>
      </w:r>
    </w:p>
    <w:p>
      <w:pPr>
        <w:spacing w:after="0" w:line="212"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The following constitutes Amendment No. 18 to the Schedule 13D filed by the undersigned (“Amendment No. 18”). This Amendment No. 18 amends the Schedule 13D as specifically set forth herein.</w:t>
      </w:r>
    </w:p>
    <w:p>
      <w:pPr>
        <w:spacing w:after="0" w:line="173"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All capitalized terms contained herein but not otherwise defined shall have the meanings ascribed to such terms in the Schedule 13D, as amended. Information given in response to each item shall be deemed incorporated by reference in all other items, as applicable.</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Item 3 of the Schedule 13D is hereby amended and restated as follows:</w:t>
      </w:r>
    </w:p>
    <w:p>
      <w:pPr>
        <w:spacing w:after="0" w:line="98"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The aggregate purchase price of the shares of common stock, no par value per share, of the Issuer (“Common Stock”) directly held by the Investment Vehicles reported herein was $81,089,839.28. The shares of Common Stock directly held by the Investment Vehicles were purchased with the working capital of the Investment Vehicles (which may, at any given time, include margin loans made by brokerage firms in the ordinary course of business). All shares of Common Stock reported herein were purchased in open market transactions through a broker unless as otherwise previously disclosed in this Schedule 13D, as amended.</w:t>
      </w:r>
    </w:p>
    <w:p>
      <w:pPr>
        <w:spacing w:after="0" w:line="30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Item 4 of Schedule 13D is supplemented and superseded, as the case may be, as follows:</w:t>
      </w:r>
    </w:p>
    <w:p>
      <w:pPr>
        <w:spacing w:after="0" w:line="9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This Amendment No. 18 is being filed to report that on September 11, 2019, Scopia Capital entered into a Non-Discretionary Plan (the “Sales Plan”) with Morgan Stanley &amp; Co. LLC (“Morgan Stanley”) pursuant to which Morgan Stanley will effect sales of up to a total of 328,070 shares of Common Stock on behalf of Scopia Capital in compliance with the requirements of Rule 10b5-1(c). Pursuant to the Sales Plan, sales commenced on September 12, 2019 and will continue until December 10, 2019 or until all of the shares of Common Stock to be sold under the Sales Plan are sold or the Sales Plan is otherwise terminated.</w:t>
      </w:r>
    </w:p>
    <w:p>
      <w:pPr>
        <w:spacing w:after="0" w:line="148"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The Reporting Persons intend to review their investment in the Issuer on a continuing basis and may from time to time and at any time in the future depending on various factors, including, without limitation, the outcome of any discussions with directors and officers of the Issuer, the Issuer’s financial position and strategic direction, actions taken by the Board, price levels of the Issuer’s securities, other investment opportunities available to the Reporting Persons, conditions in the securities market and general economic and industry conditions, take such actions with respect to the investment in the Issuer as they deem appropriate. These actions may include: (i) acquiring additional shares of Common Stock and/or other equity, debt, notes, other securities, or derivative or other instruments that are based upon or relate to the value of securities of the Issuer (collectively, “Securities”) in the open market or otherwise; (ii) disposing of any or all of their Securities in the open market or otherwise; (iii) engaging in any hedging or similar transactions with respect to the Securities; or (iv) proposing or considering one or more of the actions described in subsections (a) through (j) of Item 4 of Schedule 13D.</w:t>
      </w:r>
    </w:p>
    <w:p>
      <w:pPr>
        <w:spacing w:after="0" w:line="16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Except as set forth herein or previously disclosed in the Schedule 13D, the Reporting Persons do not have present plans or proposals at this time that relate to or would result in any of the transactions described in subparagraphs (a) through (j) of Item 4 of Schedule 13D.</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Item 5 of the Schedule 13D is hereby amended and restated as follows:</w:t>
      </w:r>
    </w:p>
    <w:p>
      <w:pPr>
        <w:spacing w:after="0" w:line="98" w:lineRule="exact"/>
        <w:rPr>
          <w:sz w:val="20"/>
          <w:szCs w:val="20"/>
          <w:color w:val="auto"/>
        </w:rPr>
      </w:pPr>
    </w:p>
    <w:p>
      <w:pPr>
        <w:ind w:right="260" w:firstLine="8"/>
        <w:spacing w:after="0"/>
        <w:tabs>
          <w:tab w:leader="none" w:pos="294"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and (b) Items 7 through 11 and 13 of each of the cover pages of this Schedule 13D are incorporated herein by reference. Such information is based on 39,458,595 shares of Common Stock of the Issuer outstanding as of July 31, 2019, as reported in the Issuer’s Form 10-Q filed with SEC on August 6, 2019.</w:t>
      </w:r>
    </w:p>
    <w:p>
      <w:pPr>
        <w:spacing w:after="0" w:line="78" w:lineRule="exact"/>
        <w:rPr>
          <w:sz w:val="20"/>
          <w:szCs w:val="20"/>
          <w:color w:val="auto"/>
        </w:rPr>
      </w:pPr>
    </w:p>
    <w:p>
      <w:pPr>
        <w:ind w:right="780"/>
        <w:spacing w:after="0" w:line="328" w:lineRule="auto"/>
        <w:rPr>
          <w:sz w:val="20"/>
          <w:szCs w:val="20"/>
          <w:color w:val="auto"/>
        </w:rPr>
      </w:pPr>
      <w:r>
        <w:rPr>
          <w:rFonts w:ascii="Arial" w:cs="Arial" w:eastAsia="Arial" w:hAnsi="Arial"/>
          <w:sz w:val="19"/>
          <w:szCs w:val="19"/>
          <w:color w:val="auto"/>
        </w:rPr>
        <w:t>The Investment Vehicles have delegated to Scopia Capital sole voting and investment power over the securities held by the Investment Vehicles pursuant to their respective Investment Management Agreements with Scopia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p>
      <w:pPr>
        <w:ind w:right="80"/>
        <w:spacing w:after="0" w:line="249" w:lineRule="auto"/>
        <w:rPr>
          <w:sz w:val="20"/>
          <w:szCs w:val="20"/>
          <w:color w:val="auto"/>
        </w:rPr>
      </w:pPr>
      <w:r>
        <w:rPr>
          <w:rFonts w:ascii="Arial" w:cs="Arial" w:eastAsia="Arial" w:hAnsi="Arial"/>
          <w:sz w:val="21"/>
          <w:szCs w:val="21"/>
          <w:color w:val="auto"/>
        </w:rPr>
        <w:t>As a result, each of Scopia Capital, Scopia Management, as the general partner of Scopia Capital, and Messrs. Sirovich and Mindich, as Managing Directors of Scopia Management, may be deemed to exercise voting and investment power over the shares of Common Stock directly held by the Investment Vehicles. The Investment Vehicles specifically disclaim beneficial ownership of the securities of the Issuer directly held by them by virtue of their inability to vote or dispose of such securities as a result of their respective Investment Management Agreements with Scopia Capital.</w:t>
      </w:r>
    </w:p>
    <w:p>
      <w:pPr>
        <w:spacing w:after="0" w:line="200" w:lineRule="exact"/>
        <w:rPr>
          <w:sz w:val="20"/>
          <w:szCs w:val="20"/>
          <w:color w:val="auto"/>
        </w:rPr>
      </w:pPr>
    </w:p>
    <w:p>
      <w:pPr>
        <w:spacing w:after="0" w:line="222" w:lineRule="exact"/>
        <w:rPr>
          <w:sz w:val="20"/>
          <w:szCs w:val="20"/>
          <w:color w:val="auto"/>
        </w:rPr>
      </w:pPr>
    </w:p>
    <w:p>
      <w:pPr>
        <w:jc w:val="both"/>
        <w:ind w:right="100" w:firstLine="8"/>
        <w:spacing w:after="0"/>
        <w:tabs>
          <w:tab w:leader="none" w:pos="294"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attached hereto or previously disclosed in the Schedule 13D, there have been no transactions in shares of Common Stock during the 60 days prior to the date hereof by any of the Reporting Persons. The information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is incorporated herein by reference.</w:t>
      </w:r>
    </w:p>
    <w:p>
      <w:pPr>
        <w:spacing w:after="0" w:line="186" w:lineRule="exact"/>
        <w:rPr>
          <w:rFonts w:ascii="Arial" w:cs="Arial" w:eastAsia="Arial" w:hAnsi="Arial"/>
          <w:sz w:val="22"/>
          <w:szCs w:val="22"/>
          <w:color w:val="auto"/>
        </w:rPr>
      </w:pPr>
    </w:p>
    <w:p>
      <w:pPr>
        <w:ind w:firstLine="8"/>
        <w:spacing w:after="0" w:line="248" w:lineRule="auto"/>
        <w:tabs>
          <w:tab w:leader="none" w:pos="306" w:val="left"/>
        </w:tabs>
        <w:numPr>
          <w:ilvl w:val="0"/>
          <w:numId w:val="35"/>
        </w:numPr>
        <w:rPr>
          <w:rFonts w:ascii="Arial" w:cs="Arial" w:eastAsia="Arial" w:hAnsi="Arial"/>
          <w:sz w:val="21"/>
          <w:szCs w:val="21"/>
          <w:color w:val="auto"/>
        </w:rPr>
      </w:pPr>
      <w:r>
        <w:rPr>
          <w:rFonts w:ascii="Arial" w:cs="Arial" w:eastAsia="Arial" w:hAnsi="Arial"/>
          <w:sz w:val="21"/>
          <w:szCs w:val="21"/>
          <w:color w:val="auto"/>
        </w:rPr>
        <w:t>Except as otherwise disclosed, all securities reported in this Schedule 13D are directly held by the Investment Vehicles, all of which are investment management clients of Scopia Capital. None of the Investment Vehicles individually directly holds more than 5% of the Issuer’s outstanding shares of Common Stock. The limited partners of (or investors in) each of the Investment Vehicles have the right to participate in the receipt of dividends from, or proceeds from the sale of, the shares of Common Stock held for the accounts of their respective Investment Vehicles in accordance with their respective limited partnership interests (or investment percentages) in their respective Investment Vehicles.</w:t>
      </w:r>
    </w:p>
    <w:p>
      <w:pPr>
        <w:spacing w:after="0" w:line="177" w:lineRule="exact"/>
        <w:rPr>
          <w:rFonts w:ascii="Arial" w:cs="Arial" w:eastAsia="Arial" w:hAnsi="Arial"/>
          <w:sz w:val="21"/>
          <w:szCs w:val="21"/>
          <w:color w:val="auto"/>
        </w:rPr>
      </w:pPr>
    </w:p>
    <w:p>
      <w:pPr>
        <w:ind w:left="300" w:hanging="292"/>
        <w:spacing w:after="0"/>
        <w:tabs>
          <w:tab w:leader="none" w:pos="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as of September 13, 2019</w:t>
      </w:r>
    </w:p>
    <w:p>
      <w:pPr>
        <w:spacing w:after="0" w:line="200" w:lineRule="exact"/>
        <w:rPr>
          <w:sz w:val="20"/>
          <w:szCs w:val="20"/>
          <w:color w:val="auto"/>
        </w:rPr>
      </w:pPr>
    </w:p>
    <w:p>
      <w:pPr>
        <w:spacing w:after="0" w:line="2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SCOPIA CAPITAL MANAGEMENT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ind w:left="1720"/>
              <w:spacing w:after="0"/>
              <w:rPr>
                <w:sz w:val="20"/>
                <w:szCs w:val="20"/>
                <w:color w:val="auto"/>
              </w:rPr>
            </w:pPr>
            <w:r>
              <w:rPr>
                <w:rFonts w:ascii="Arial" w:cs="Arial" w:eastAsia="Arial" w:hAnsi="Arial"/>
                <w:sz w:val="18"/>
                <w:szCs w:val="18"/>
                <w:color w:val="auto"/>
              </w:rPr>
              <w:t>By:</w:t>
            </w:r>
          </w:p>
        </w:tc>
        <w:tc>
          <w:tcPr>
            <w:tcW w:w="8900" w:type="dxa"/>
            <w:vAlign w:val="bottom"/>
            <w:gridSpan w:val="4"/>
          </w:tcPr>
          <w:p>
            <w:pPr>
              <w:spacing w:after="0"/>
              <w:rPr>
                <w:sz w:val="20"/>
                <w:szCs w:val="20"/>
                <w:color w:val="auto"/>
              </w:rPr>
            </w:pPr>
            <w:r>
              <w:rPr>
                <w:rFonts w:ascii="Arial" w:cs="Arial" w:eastAsia="Arial" w:hAnsi="Arial"/>
                <w:sz w:val="18"/>
                <w:szCs w:val="18"/>
                <w:color w:val="auto"/>
              </w:rPr>
              <w:t>Scopia Management, Inc., its general partner</w:t>
            </w:r>
          </w:p>
        </w:tc>
      </w:tr>
      <w:tr>
        <w:trPr>
          <w:trHeight w:val="392"/>
        </w:trPr>
        <w:tc>
          <w:tcPr>
            <w:tcW w:w="2520" w:type="dxa"/>
            <w:vAlign w:val="bottom"/>
          </w:tcPr>
          <w:p>
            <w:pPr>
              <w:ind w:left="1720"/>
              <w:spacing w:after="0"/>
              <w:rPr>
                <w:sz w:val="20"/>
                <w:szCs w:val="20"/>
                <w:color w:val="auto"/>
              </w:rPr>
            </w:pPr>
            <w:r>
              <w:rPr>
                <w:rFonts w:ascii="Arial" w:cs="Arial" w:eastAsia="Arial" w:hAnsi="Arial"/>
                <w:sz w:val="18"/>
                <w:szCs w:val="18"/>
                <w:color w:val="auto"/>
              </w:rPr>
              <w:t>By:</w:t>
            </w: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 Matthew Sirovich</w:t>
            </w:r>
          </w:p>
        </w:tc>
        <w:tc>
          <w:tcPr>
            <w:tcW w:w="7340" w:type="dxa"/>
            <w:vAlign w:val="bottom"/>
          </w:tcPr>
          <w:p>
            <w:pPr>
              <w:spacing w:after="0"/>
              <w:rPr>
                <w:sz w:val="24"/>
                <w:szCs w:val="24"/>
                <w:color w:val="auto"/>
              </w:rPr>
            </w:pPr>
          </w:p>
        </w:tc>
      </w:tr>
      <w:tr>
        <w:trPr>
          <w:trHeight w:val="222"/>
        </w:trPr>
        <w:tc>
          <w:tcPr>
            <w:tcW w:w="2520" w:type="dxa"/>
            <w:vAlign w:val="bottom"/>
          </w:tcPr>
          <w:p>
            <w:pPr>
              <w:ind w:left="1720"/>
              <w:spacing w:after="0"/>
              <w:rPr>
                <w:sz w:val="20"/>
                <w:szCs w:val="20"/>
                <w:color w:val="auto"/>
              </w:rPr>
            </w:pPr>
            <w:r>
              <w:rPr>
                <w:rFonts w:ascii="Arial" w:cs="Arial" w:eastAsia="Arial" w:hAnsi="Arial"/>
                <w:sz w:val="18"/>
                <w:szCs w:val="18"/>
                <w:color w:val="auto"/>
              </w:rPr>
              <w:t>Name:</w:t>
            </w:r>
          </w:p>
        </w:tc>
        <w:tc>
          <w:tcPr>
            <w:tcW w:w="8900" w:type="dxa"/>
            <w:vAlign w:val="bottom"/>
            <w:gridSpan w:val="4"/>
          </w:tcPr>
          <w:p>
            <w:pPr>
              <w:spacing w:after="0"/>
              <w:rPr>
                <w:sz w:val="20"/>
                <w:szCs w:val="20"/>
                <w:color w:val="auto"/>
              </w:rPr>
            </w:pPr>
            <w:r>
              <w:rPr>
                <w:rFonts w:ascii="Arial" w:cs="Arial" w:eastAsia="Arial" w:hAnsi="Arial"/>
                <w:sz w:val="18"/>
                <w:szCs w:val="18"/>
                <w:color w:val="auto"/>
              </w:rPr>
              <w:t>Matthew Sirovich</w:t>
            </w:r>
          </w:p>
        </w:tc>
      </w:tr>
      <w:tr>
        <w:trPr>
          <w:trHeight w:val="230"/>
        </w:trPr>
        <w:tc>
          <w:tcPr>
            <w:tcW w:w="2520" w:type="dxa"/>
            <w:vAlign w:val="bottom"/>
          </w:tcPr>
          <w:p>
            <w:pPr>
              <w:ind w:left="1720"/>
              <w:spacing w:after="0"/>
              <w:rPr>
                <w:sz w:val="20"/>
                <w:szCs w:val="20"/>
                <w:color w:val="auto"/>
              </w:rPr>
            </w:pPr>
            <w:r>
              <w:rPr>
                <w:rFonts w:ascii="Arial" w:cs="Arial" w:eastAsia="Arial" w:hAnsi="Arial"/>
                <w:sz w:val="18"/>
                <w:szCs w:val="18"/>
                <w:color w:val="auto"/>
              </w:rPr>
              <w:t>Title:</w:t>
            </w:r>
          </w:p>
        </w:tc>
        <w:tc>
          <w:tcPr>
            <w:tcW w:w="8900" w:type="dxa"/>
            <w:vAlign w:val="bottom"/>
            <w:gridSpan w:val="4"/>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11420" w:type="dxa"/>
            <w:vAlign w:val="bottom"/>
            <w:gridSpan w:val="5"/>
          </w:tcPr>
          <w:p>
            <w:pPr>
              <w:ind w:left="1720"/>
              <w:spacing w:after="0"/>
              <w:rPr>
                <w:sz w:val="20"/>
                <w:szCs w:val="20"/>
                <w:color w:val="auto"/>
              </w:rPr>
            </w:pPr>
            <w:r>
              <w:rPr>
                <w:rFonts w:ascii="Arial" w:cs="Arial" w:eastAsia="Arial" w:hAnsi="Arial"/>
                <w:sz w:val="18"/>
                <w:szCs w:val="18"/>
                <w:b w:val="1"/>
                <w:bCs w:val="1"/>
                <w:color w:val="auto"/>
              </w:rPr>
              <w:t>SCOPIA MANAGEMENT, INC.</w:t>
            </w:r>
          </w:p>
        </w:tc>
      </w:tr>
      <w:tr>
        <w:trPr>
          <w:trHeight w:val="392"/>
        </w:trPr>
        <w:tc>
          <w:tcPr>
            <w:tcW w:w="2520" w:type="dxa"/>
            <w:vAlign w:val="bottom"/>
          </w:tcPr>
          <w:p>
            <w:pPr>
              <w:ind w:left="1720"/>
              <w:spacing w:after="0"/>
              <w:rPr>
                <w:sz w:val="20"/>
                <w:szCs w:val="20"/>
                <w:color w:val="auto"/>
              </w:rPr>
            </w:pPr>
            <w:r>
              <w:rPr>
                <w:rFonts w:ascii="Arial" w:cs="Arial" w:eastAsia="Arial" w:hAnsi="Arial"/>
                <w:sz w:val="18"/>
                <w:szCs w:val="18"/>
                <w:color w:val="auto"/>
              </w:rPr>
              <w:t>By:</w:t>
            </w:r>
          </w:p>
        </w:tc>
        <w:tc>
          <w:tcPr>
            <w:tcW w:w="8900" w:type="dxa"/>
            <w:vAlign w:val="bottom"/>
            <w:gridSpan w:val="4"/>
          </w:tcPr>
          <w:p>
            <w:pPr>
              <w:spacing w:after="0"/>
              <w:rPr>
                <w:sz w:val="20"/>
                <w:szCs w:val="20"/>
                <w:color w:val="auto"/>
              </w:rPr>
            </w:pPr>
            <w:r>
              <w:rPr>
                <w:rFonts w:ascii="Arial" w:cs="Arial" w:eastAsia="Arial" w:hAnsi="Arial"/>
                <w:sz w:val="18"/>
                <w:szCs w:val="18"/>
                <w:color w:val="auto"/>
              </w:rPr>
              <w:t>/s/ Matthew Sirovich</w:t>
            </w:r>
          </w:p>
        </w:tc>
      </w:tr>
      <w:tr>
        <w:trPr>
          <w:trHeight w:val="222"/>
        </w:trPr>
        <w:tc>
          <w:tcPr>
            <w:tcW w:w="2520" w:type="dxa"/>
            <w:vAlign w:val="bottom"/>
          </w:tcPr>
          <w:p>
            <w:pPr>
              <w:ind w:left="1720"/>
              <w:spacing w:after="0"/>
              <w:rPr>
                <w:sz w:val="20"/>
                <w:szCs w:val="20"/>
                <w:color w:val="auto"/>
              </w:rPr>
            </w:pPr>
            <w:r>
              <w:rPr>
                <w:rFonts w:ascii="Arial" w:cs="Arial" w:eastAsia="Arial" w:hAnsi="Arial"/>
                <w:sz w:val="18"/>
                <w:szCs w:val="18"/>
                <w:color w:val="auto"/>
              </w:rPr>
              <w:t>Name:</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Sirovich</w:t>
            </w:r>
          </w:p>
        </w:tc>
        <w:tc>
          <w:tcPr>
            <w:tcW w:w="7400" w:type="dxa"/>
            <w:vAlign w:val="bottom"/>
            <w:gridSpan w:val="2"/>
          </w:tcPr>
          <w:p>
            <w:pPr>
              <w:spacing w:after="0"/>
              <w:rPr>
                <w:sz w:val="19"/>
                <w:szCs w:val="19"/>
                <w:color w:val="auto"/>
              </w:rPr>
            </w:pPr>
          </w:p>
        </w:tc>
      </w:tr>
      <w:tr>
        <w:trPr>
          <w:trHeight w:val="230"/>
        </w:trPr>
        <w:tc>
          <w:tcPr>
            <w:tcW w:w="2520" w:type="dxa"/>
            <w:vAlign w:val="bottom"/>
          </w:tcPr>
          <w:p>
            <w:pPr>
              <w:ind w:left="1720"/>
              <w:spacing w:after="0"/>
              <w:rPr>
                <w:sz w:val="20"/>
                <w:szCs w:val="20"/>
                <w:color w:val="auto"/>
              </w:rPr>
            </w:pPr>
            <w:r>
              <w:rPr>
                <w:rFonts w:ascii="Arial" w:cs="Arial" w:eastAsia="Arial" w:hAnsi="Arial"/>
                <w:sz w:val="18"/>
                <w:szCs w:val="18"/>
                <w:color w:val="auto"/>
              </w:rPr>
              <w:t>Title:</w:t>
            </w:r>
          </w:p>
        </w:tc>
        <w:tc>
          <w:tcPr>
            <w:tcW w:w="8900" w:type="dxa"/>
            <w:vAlign w:val="bottom"/>
            <w:gridSpan w:val="4"/>
          </w:tcPr>
          <w:p>
            <w:pPr>
              <w:spacing w:after="0"/>
              <w:rPr>
                <w:sz w:val="20"/>
                <w:szCs w:val="20"/>
                <w:color w:val="auto"/>
              </w:rPr>
            </w:pPr>
            <w:r>
              <w:rPr>
                <w:rFonts w:ascii="Arial" w:cs="Arial" w:eastAsia="Arial" w:hAnsi="Arial"/>
                <w:sz w:val="18"/>
                <w:szCs w:val="18"/>
                <w:color w:val="auto"/>
              </w:rPr>
              <w:t>Managing Director</w:t>
            </w:r>
          </w:p>
        </w:tc>
      </w:tr>
      <w:tr>
        <w:trPr>
          <w:trHeight w:val="392"/>
        </w:trPr>
        <w:tc>
          <w:tcPr>
            <w:tcW w:w="2520" w:type="dxa"/>
            <w:vAlign w:val="bottom"/>
          </w:tcPr>
          <w:p>
            <w:pPr>
              <w:ind w:left="1720"/>
              <w:spacing w:after="0"/>
              <w:rPr>
                <w:sz w:val="20"/>
                <w:szCs w:val="20"/>
                <w:color w:val="auto"/>
              </w:rPr>
            </w:pPr>
            <w:r>
              <w:rPr>
                <w:rFonts w:ascii="Arial" w:cs="Arial" w:eastAsia="Arial" w:hAnsi="Arial"/>
                <w:sz w:val="18"/>
                <w:szCs w:val="18"/>
                <w:color w:val="auto"/>
              </w:rPr>
              <w:t>By:</w:t>
            </w:r>
          </w:p>
        </w:tc>
        <w:tc>
          <w:tcPr>
            <w:tcW w:w="8900" w:type="dxa"/>
            <w:vAlign w:val="bottom"/>
            <w:gridSpan w:val="4"/>
          </w:tcPr>
          <w:p>
            <w:pPr>
              <w:spacing w:after="0"/>
              <w:rPr>
                <w:sz w:val="20"/>
                <w:szCs w:val="20"/>
                <w:color w:val="auto"/>
              </w:rPr>
            </w:pPr>
            <w:r>
              <w:rPr>
                <w:rFonts w:ascii="Arial" w:cs="Arial" w:eastAsia="Arial" w:hAnsi="Arial"/>
                <w:sz w:val="18"/>
                <w:szCs w:val="18"/>
                <w:color w:val="auto"/>
              </w:rPr>
              <w:t>/s/ Matthew Sirovich</w:t>
            </w:r>
          </w:p>
        </w:tc>
      </w:tr>
      <w:tr>
        <w:trPr>
          <w:trHeight w:val="412"/>
        </w:trPr>
        <w:tc>
          <w:tcPr>
            <w:tcW w:w="2520" w:type="dxa"/>
            <w:vAlign w:val="bottom"/>
          </w:tcPr>
          <w:p>
            <w:pPr>
              <w:ind w:left="1720"/>
              <w:spacing w:after="0"/>
              <w:rPr>
                <w:sz w:val="20"/>
                <w:szCs w:val="20"/>
                <w:color w:val="auto"/>
              </w:rPr>
            </w:pPr>
            <w:r>
              <w:rPr>
                <w:rFonts w:ascii="Arial" w:cs="Arial" w:eastAsia="Arial" w:hAnsi="Arial"/>
                <w:sz w:val="18"/>
                <w:szCs w:val="18"/>
                <w:color w:val="auto"/>
              </w:rPr>
              <w:t>By:</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/s/ Jeremy Mindich</w:t>
            </w:r>
          </w:p>
        </w:tc>
        <w:tc>
          <w:tcPr>
            <w:tcW w:w="7400" w:type="dxa"/>
            <w:vAlign w:val="bottom"/>
            <w:gridSpan w:val="2"/>
          </w:tcPr>
          <w:p>
            <w:pPr>
              <w:spacing w:after="0"/>
              <w:rPr>
                <w:sz w:val="24"/>
                <w:szCs w:val="24"/>
                <w:color w:val="auto"/>
              </w:rPr>
            </w:pPr>
          </w:p>
        </w:tc>
      </w:tr>
      <w:tr>
        <w:trPr>
          <w:trHeight w:val="554"/>
        </w:trPr>
        <w:tc>
          <w:tcPr>
            <w:tcW w:w="2520" w:type="dxa"/>
            <w:vAlign w:val="bottom"/>
            <w:tcBorders>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8" w:name="page9"/>
    <w:bookmarkEnd w:id="8"/>
    <w:p>
      <w:pPr>
        <w:ind w:left="5040"/>
        <w:spacing w:after="0"/>
        <w:rPr>
          <w:sz w:val="20"/>
          <w:szCs w:val="20"/>
          <w:color w:val="auto"/>
        </w:rPr>
      </w:pPr>
      <w:r>
        <w:rPr>
          <w:rFonts w:ascii="Arial" w:cs="Arial" w:eastAsia="Arial" w:hAnsi="Arial"/>
          <w:sz w:val="22"/>
          <w:szCs w:val="22"/>
          <w:b w:val="1"/>
          <w:bCs w:val="1"/>
          <w:color w:val="auto"/>
        </w:rPr>
        <w:t>SCHEDULE A</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TRANSACTIONS</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Except as previously disclosed in the Schedule 13D, the following table sets forth all transactions by the Reporting Persons (on behalf of the Investment Vehicles) with respect to shares of Common Stock effected in the last 60 days, inclusive of any transactions effected through 4:00 p.m., New York City time, on September 12, 2019. Except as otherwise noted below, all such transactions were sales of Common Stock effected in the open market, and the table excludes commissions paid in per share prices.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Scopia Capital Management LP</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Shares of Common</w:t>
            </w:r>
          </w:p>
        </w:tc>
        <w:tc>
          <w:tcPr>
            <w:tcW w:w="4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4"/>
                <w:szCs w:val="14"/>
                <w:b w:val="1"/>
                <w:bCs w:val="1"/>
                <w:color w:val="auto"/>
              </w:rPr>
              <w:t>Price Per</w:t>
            </w:r>
          </w:p>
        </w:tc>
        <w:tc>
          <w:tcPr>
            <w:tcW w:w="44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9"/>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Nature of Transaction</w:t>
            </w:r>
          </w:p>
        </w:tc>
        <w:tc>
          <w:tcPr>
            <w:tcW w:w="36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6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Purchased/(Sold)</w:t>
            </w:r>
          </w:p>
        </w:tc>
        <w:tc>
          <w:tcPr>
            <w:tcW w:w="420" w:type="dxa"/>
            <w:vAlign w:val="bottom"/>
          </w:tcPr>
          <w:p>
            <w:pPr>
              <w:spacing w:after="0"/>
              <w:rPr>
                <w:sz w:val="15"/>
                <w:szCs w:val="15"/>
                <w:color w:val="auto"/>
              </w:rPr>
            </w:pPr>
          </w:p>
        </w:tc>
        <w:tc>
          <w:tcPr>
            <w:tcW w:w="16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Share ($)</w:t>
            </w:r>
          </w:p>
        </w:tc>
        <w:tc>
          <w:tcPr>
            <w:tcW w:w="44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Purchase / Sale</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(26,690)</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87"/>
              </w:rPr>
              <w:t>$68.1652</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8/20/2019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(44,675)</w:t>
            </w:r>
          </w:p>
        </w:tc>
        <w:tc>
          <w:tcPr>
            <w:tcW w:w="204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$68.5071</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8/21/2019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(25,000)</w:t>
            </w:r>
          </w:p>
        </w:tc>
        <w:tc>
          <w:tcPr>
            <w:tcW w:w="204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$68.8942</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8/22/2019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(2,300)</w:t>
            </w:r>
          </w:p>
        </w:tc>
        <w:tc>
          <w:tcPr>
            <w:tcW w:w="204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$68.2628</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8/23/2019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(1,809)</w:t>
            </w:r>
          </w:p>
        </w:tc>
        <w:tc>
          <w:tcPr>
            <w:tcW w:w="204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$68.0930</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8/24/2019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(800)</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87"/>
              </w:rPr>
              <w:t>$68.2743</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8/27/2019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(27,164)</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87"/>
              </w:rPr>
              <w:t>$72.4274</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9/10/2019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(23,141)</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87"/>
              </w:rPr>
              <w:t>$73.1011</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9/11/2019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(28,900)</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87"/>
              </w:rPr>
              <w:t>$73.1634</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9/12/2019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1)"/>
      <w:numFmt w:val="decimal"/>
      <w:start w:val="5"/>
    </w:lvl>
  </w:abstractNum>
  <w:abstractNum w:abstractNumId="5">
    <w:nsid w:val="436C6125"/>
    <w:multiLevelType w:val="hybridMultilevel"/>
    <w:lvl w:ilvl="0">
      <w:lvlJc w:val="left"/>
      <w:lvlText w:val="(%1)"/>
      <w:numFmt w:val="decimal"/>
      <w:start w:val="11"/>
    </w:lvl>
  </w:abstractNum>
  <w:abstractNum w:abstractNumId="6">
    <w:nsid w:val="628C895D"/>
    <w:multiLevelType w:val="hybridMultilevel"/>
    <w:lvl w:ilvl="0">
      <w:lvlJc w:val="left"/>
      <w:lvlText w:val="(%1)"/>
      <w:numFmt w:val="decimal"/>
      <w:start w:val="12"/>
    </w:lvl>
  </w:abstractNum>
  <w:abstractNum w:abstractNumId="7">
    <w:nsid w:val="333AB105"/>
    <w:multiLevelType w:val="hybridMultilevel"/>
    <w:lvl w:ilvl="0">
      <w:lvlJc w:val="left"/>
      <w:lvlText w:val="(%1)"/>
      <w:numFmt w:val="decimal"/>
      <w:start w:val="14"/>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1)"/>
      <w:numFmt w:val="decimal"/>
      <w:start w:val="3"/>
    </w:lvl>
  </w:abstractNum>
  <w:abstractNum w:abstractNumId="12">
    <w:nsid w:val="75A2A8D4"/>
    <w:multiLevelType w:val="hybridMultilevel"/>
    <w:lvl w:ilvl="0">
      <w:lvlJc w:val="left"/>
      <w:lvlText w:val="(%1)"/>
      <w:numFmt w:val="decimal"/>
      <w:start w:val="5"/>
    </w:lvl>
  </w:abstractNum>
  <w:abstractNum w:abstractNumId="13">
    <w:nsid w:val="8EDBDAB"/>
    <w:multiLevelType w:val="hybridMultilevel"/>
    <w:lvl w:ilvl="0">
      <w:lvlJc w:val="left"/>
      <w:lvlText w:val="(%1)"/>
      <w:numFmt w:val="decimal"/>
      <w:start w:val="11"/>
    </w:lvl>
  </w:abstractNum>
  <w:abstractNum w:abstractNumId="14">
    <w:nsid w:val="79838CB2"/>
    <w:multiLevelType w:val="hybridMultilevel"/>
    <w:lvl w:ilvl="0">
      <w:lvlJc w:val="left"/>
      <w:lvlText w:val="(%1)"/>
      <w:numFmt w:val="decimal"/>
      <w:start w:val="12"/>
    </w:lvl>
  </w:abstractNum>
  <w:abstractNum w:abstractNumId="15">
    <w:nsid w:val="4353D0CD"/>
    <w:multiLevelType w:val="hybridMultilevel"/>
    <w:lvl w:ilvl="0">
      <w:lvlJc w:val="left"/>
      <w:lvlText w:val="(%1)"/>
      <w:numFmt w:val="decimal"/>
      <w:start w:val="14"/>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2"/>
    </w:lvl>
  </w:abstractNum>
  <w:abstractNum w:abstractNumId="19">
    <w:nsid w:val="71F32454"/>
    <w:multiLevelType w:val="hybridMultilevel"/>
    <w:lvl w:ilvl="0">
      <w:lvlJc w:val="left"/>
      <w:lvlText w:val="(%1)"/>
      <w:numFmt w:val="decimal"/>
      <w:start w:val="3"/>
    </w:lvl>
  </w:abstractNum>
  <w:abstractNum w:abstractNumId="20">
    <w:nsid w:val="2CA88611"/>
    <w:multiLevelType w:val="hybridMultilevel"/>
    <w:lvl w:ilvl="0">
      <w:lvlJc w:val="left"/>
      <w:lvlText w:val="(%1)"/>
      <w:numFmt w:val="decimal"/>
      <w:start w:val="5"/>
    </w:lvl>
  </w:abstractNum>
  <w:abstractNum w:abstractNumId="21">
    <w:nsid w:val="836C40E"/>
    <w:multiLevelType w:val="hybridMultilevel"/>
    <w:lvl w:ilvl="0">
      <w:lvlJc w:val="left"/>
      <w:lvlText w:val="(%1)"/>
      <w:numFmt w:val="decimal"/>
      <w:start w:val="11"/>
    </w:lvl>
  </w:abstractNum>
  <w:abstractNum w:abstractNumId="22">
    <w:nsid w:val="2901D82"/>
    <w:multiLevelType w:val="hybridMultilevel"/>
    <w:lvl w:ilvl="0">
      <w:lvlJc w:val="left"/>
      <w:lvlText w:val="(%1)"/>
      <w:numFmt w:val="decimal"/>
      <w:start w:val="12"/>
    </w:lvl>
  </w:abstractNum>
  <w:abstractNum w:abstractNumId="23">
    <w:nsid w:val="3A95F874"/>
    <w:multiLevelType w:val="hybridMultilevel"/>
    <w:lvl w:ilvl="0">
      <w:lvlJc w:val="left"/>
      <w:lvlText w:val="(%1)"/>
      <w:numFmt w:val="decimal"/>
      <w:start w:val="14"/>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2"/>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1)"/>
      <w:numFmt w:val="decimal"/>
      <w:start w:val="11"/>
    </w:lvl>
  </w:abstractNum>
  <w:abstractNum w:abstractNumId="30">
    <w:nsid w:val="4516DDE9"/>
    <w:multiLevelType w:val="hybridMultilevel"/>
    <w:lvl w:ilvl="0">
      <w:lvlJc w:val="left"/>
      <w:lvlText w:val="(%1)"/>
      <w:numFmt w:val="decimal"/>
      <w:start w:val="12"/>
    </w:lvl>
  </w:abstractNum>
  <w:abstractNum w:abstractNumId="31">
    <w:nsid w:val="3006C83E"/>
    <w:multiLevelType w:val="hybridMultilevel"/>
    <w:lvl w:ilvl="0">
      <w:lvlJc w:val="left"/>
      <w:lvlText w:val="(%1)"/>
      <w:numFmt w:val="decimal"/>
      <w:start w:val="14"/>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2019-12-04T23:56:51Z</dcterms:created>
  <dcterms:modified xsi:type="dcterms:W3CDTF">2019-12-04T23:56:51Z</dcterms:modified>
</cp:coreProperties>
</file>