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000-22418 </w:t>
      </w:r>
    </w:p>
    <w:p>
      <w:pPr>
        <w:pStyle w:val="TextBody"/>
        <w:bidi w:val="0"/>
        <w:spacing w:lineRule="auto" w:line="288" w:before="60" w:after="283"/>
        <w:jc w:val="center"/>
        <w:rPr>
          <w:rFonts w:ascii="Times New Roman;serif" w:hAnsi="Times New Roman;serif"/>
          <w:b/>
          <w:color w:val="CB2C30"/>
          <w:sz w:val="44"/>
        </w:rPr>
      </w:pPr>
      <w:r>
        <w:rPr>
          <w:rFonts w:ascii="Times New Roman;serif" w:hAnsi="Times New Roman;serif"/>
          <w:b/>
          <w:color w:val="CB2C30"/>
          <w:sz w:val="44"/>
        </w:rPr>
        <w:t>Itron,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before="160" w:after="160"/>
        <w:jc w:val="center"/>
        <w:rPr/>
      </w:pPr>
      <w:r>
        <w:rPr/>
        <w:drawing>
          <wp:inline distT="0" distB="0" distL="0" distR="0">
            <wp:extent cx="11811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81100" cy="495300"/>
                    </a:xfrm>
                    <a:prstGeom prst="rect">
                      <a:avLst/>
                    </a:prstGeom>
                  </pic:spPr>
                </pic:pic>
              </a:graphicData>
            </a:graphic>
          </wp:inline>
        </w:drawing>
      </w:r>
      <w:bookmarkStart w:id="0" w:name="i-1"/>
      <w:bookmarkEnd w:id="0"/>
    </w:p>
    <w:tbl>
      <w:tblPr>
        <w:tblW w:w="5575" w:type="dxa"/>
        <w:jc w:val="center"/>
        <w:tblInd w:w="0" w:type="dxa"/>
        <w:tblLayout w:type="fixed"/>
        <w:tblCellMar>
          <w:top w:w="28" w:type="dxa"/>
          <w:left w:w="28" w:type="dxa"/>
          <w:bottom w:w="28" w:type="dxa"/>
          <w:right w:w="28" w:type="dxa"/>
        </w:tblCellMar>
      </w:tblPr>
      <w:tblGrid>
        <w:gridCol w:w="765"/>
        <w:gridCol w:w="672"/>
        <w:gridCol w:w="677"/>
        <w:gridCol w:w="109"/>
        <w:gridCol w:w="109"/>
        <w:gridCol w:w="109"/>
        <w:gridCol w:w="915"/>
        <w:gridCol w:w="915"/>
        <w:gridCol w:w="1304"/>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Washington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91-1011792</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2111 N Molter Road, Liberty Lake, Washington 99019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(509) 924-9900 </w:t>
      </w:r>
    </w:p>
    <w:p>
      <w:pPr>
        <w:pStyle w:val="TextBody"/>
        <w:bidi w:val="0"/>
        <w:spacing w:lineRule="auto" w:line="288" w:before="0" w:after="0"/>
        <w:jc w:val="center"/>
        <w:rPr/>
      </w:pPr>
      <w:r>
        <w:rPr>
          <w:rFonts w:ascii="Times New Roman;serif" w:hAnsi="Times New Roman;serif"/>
          <w:b/>
          <w:color w:val="000000"/>
          <w:sz w:val="16"/>
        </w:rPr>
        <w:t>(Address and telephone number of registrant's principal executive offices)</w:t>
      </w: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617" w:type="dxa"/>
        <w:jc w:val="center"/>
        <w:tblInd w:w="0" w:type="dxa"/>
        <w:tblLayout w:type="fixed"/>
        <w:tblCellMar>
          <w:top w:w="28" w:type="dxa"/>
          <w:left w:w="28" w:type="dxa"/>
          <w:bottom w:w="28" w:type="dxa"/>
          <w:right w:w="28" w:type="dxa"/>
        </w:tblCellMar>
      </w:tblPr>
      <w:tblGrid>
        <w:gridCol w:w="883"/>
        <w:gridCol w:w="776"/>
        <w:gridCol w:w="785"/>
        <w:gridCol w:w="109"/>
        <w:gridCol w:w="109"/>
        <w:gridCol w:w="109"/>
        <w:gridCol w:w="564"/>
        <w:gridCol w:w="564"/>
        <w:gridCol w:w="566"/>
        <w:gridCol w:w="109"/>
        <w:gridCol w:w="109"/>
        <w:gridCol w:w="109"/>
        <w:gridCol w:w="1118"/>
        <w:gridCol w:w="1118"/>
        <w:gridCol w:w="1589"/>
      </w:tblGrid>
      <w:tr>
        <w:trPr/>
        <w:tc>
          <w:tcPr>
            <w:tcW w:w="88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4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10" w:type="dxa"/>
        <w:jc w:val="left"/>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109"/>
        <w:gridCol w:w="109"/>
        <w:gridCol w:w="109"/>
        <w:gridCol w:w="769"/>
        <w:gridCol w:w="769"/>
        <w:gridCol w:w="773"/>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both"/>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July 24, 2026, there were outstanding 43,786,753 shares of the registrant's common stock, no par value, which is the only class of common stock of the registrant.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Itron,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8941" w:type="dxa"/>
        <w:jc w:val="left"/>
        <w:tblInd w:w="0" w:type="dxa"/>
        <w:tblLayout w:type="fixed"/>
        <w:tblCellMar>
          <w:top w:w="28" w:type="dxa"/>
          <w:left w:w="28" w:type="dxa"/>
          <w:bottom w:w="28" w:type="dxa"/>
          <w:right w:w="28" w:type="dxa"/>
        </w:tblCellMar>
      </w:tblPr>
      <w:tblGrid>
        <w:gridCol w:w="3032"/>
        <w:gridCol w:w="2662"/>
        <w:gridCol w:w="2676"/>
        <w:gridCol w:w="167"/>
        <w:gridCol w:w="167"/>
        <w:gridCol w:w="237"/>
      </w:tblGrid>
      <w:tr>
        <w:trPr/>
        <w:tc>
          <w:tcPr>
            <w:tcW w:w="3032"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f8d38b2d204b95a1b87d5d527da1bd_10">
              <w:r>
                <w:rPr>
                  <w:rStyle w:val="InternetLink"/>
                  <w:rFonts w:ascii="Times New Roman;serif" w:hAnsi="Times New Roman;serif"/>
                  <w:b/>
                  <w:color w:val="0000FF"/>
                  <w:sz w:val="20"/>
                  <w:u w:val="single"/>
                </w:rPr>
                <w:t>PART I: FINANCIAL INFORMATION</w:t>
              </w:r>
            </w:hyperlink>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405"/>
              <w:jc w:val="left"/>
              <w:rPr/>
            </w:pPr>
            <w:r>
              <w:rPr>
                <w:rFonts w:ascii="Times New Roman;serif" w:hAnsi="Times New Roman;serif"/>
                <w:b w:val="false"/>
                <w:color w:val="000000"/>
                <w:sz w:val="20"/>
              </w:rPr>
              <w:t xml:space="preserve">Item 1: </w:t>
            </w:r>
            <w:hyperlink w:anchor="ib6f8d38b2d204b95a1b87d5d527da1bd_13">
              <w:r>
                <w:rPr>
                  <w:rStyle w:val="InternetLink"/>
                  <w:rFonts w:ascii="Times New Roman;serif" w:hAnsi="Times New Roman;serif"/>
                  <w:b w:val="false"/>
                  <w:color w:val="0000FF"/>
                  <w:sz w:val="20"/>
                  <w:u w:val="single"/>
                </w:rPr>
                <w:t>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f8d38b2d204b95a1b87d5d527da1bd_16">
              <w:r>
                <w:rPr>
                  <w:rStyle w:val="InternetLink"/>
                  <w:rFonts w:ascii="Times New Roman;serif" w:hAnsi="Times New Roman;serif"/>
                  <w:b w:val="false"/>
                  <w:color w:val="0000FF"/>
                  <w:sz w:val="20"/>
                  <w:u w:val="single"/>
                </w:rPr>
                <w:t>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f8d38b2d204b95a1b87d5d527da1bd_16">
              <w:r>
                <w:rPr>
                  <w:rStyle w:val="InternetLink"/>
                  <w:rFonts w:ascii="Times New Roman;serif" w:hAnsi="Times New Roman;serif"/>
                  <w:b w:val="false"/>
                  <w:color w:val="0000FF"/>
                  <w:sz w:val="20"/>
                  <w:u w:val="single"/>
                </w:rPr>
                <w:t>1</w:t>
              </w:r>
            </w:hyperlink>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f8d38b2d204b95a1b87d5d527da1bd_19">
              <w:r>
                <w:rPr>
                  <w:rStyle w:val="InternetLink"/>
                  <w:rFonts w:ascii="Times New Roman;serif" w:hAnsi="Times New Roman;serif"/>
                  <w:b w:val="false"/>
                  <w:color w:val="0000FF"/>
                  <w:sz w:val="20"/>
                  <w:u w:val="single"/>
                </w:rPr>
                <w:t>Consolidated Statements of Comprehensive Income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f8d38b2d204b95a1b87d5d527da1bd_19">
              <w:r>
                <w:rPr>
                  <w:rStyle w:val="InternetLink"/>
                  <w:rFonts w:ascii="Times New Roman;serif" w:hAnsi="Times New Roman;serif"/>
                  <w:b w:val="false"/>
                  <w:color w:val="0000FF"/>
                  <w:sz w:val="20"/>
                  <w:u w:val="single"/>
                </w:rPr>
                <w:t>2</w:t>
              </w:r>
            </w:hyperlink>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f8d38b2d204b95a1b87d5d527da1bd_22">
              <w:r>
                <w:rPr>
                  <w:rStyle w:val="InternetLink"/>
                  <w:rFonts w:ascii="Times New Roman;serif" w:hAnsi="Times New Roman;serif"/>
                  <w:b w:val="false"/>
                  <w:color w:val="0000FF"/>
                  <w:sz w:val="20"/>
                  <w:u w:val="singl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f8d38b2d204b95a1b87d5d527da1bd_22">
              <w:r>
                <w:rPr>
                  <w:rStyle w:val="InternetLink"/>
                  <w:rFonts w:ascii="Times New Roman;serif" w:hAnsi="Times New Roman;serif"/>
                  <w:b w:val="false"/>
                  <w:color w:val="0000FF"/>
                  <w:sz w:val="20"/>
                  <w:u w:val="single"/>
                </w:rPr>
                <w:t>3</w:t>
              </w:r>
            </w:hyperlink>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f8d38b2d204b95a1b87d5d527da1bd_25">
              <w:r>
                <w:rPr>
                  <w:rStyle w:val="InternetLink"/>
                  <w:rFonts w:ascii="Times New Roman;serif" w:hAnsi="Times New Roman;serif"/>
                  <w:b w:val="false"/>
                  <w:color w:val="0000FF"/>
                  <w:sz w:val="20"/>
                  <w:u w:val="single"/>
                </w:rPr>
                <w:t>Consolidated Statements of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f8d38b2d204b95a1b87d5d527da1bd_25">
              <w:r>
                <w:rPr>
                  <w:rStyle w:val="InternetLink"/>
                  <w:rFonts w:ascii="Times New Roman;serif" w:hAnsi="Times New Roman;serif"/>
                  <w:b w:val="false"/>
                  <w:color w:val="0000FF"/>
                  <w:sz w:val="20"/>
                  <w:u w:val="single"/>
                </w:rPr>
                <w:t>4</w:t>
              </w:r>
            </w:hyperlink>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f8d38b2d204b95a1b87d5d527da1bd_28">
              <w:r>
                <w:rPr>
                  <w:rStyle w:val="InternetLink"/>
                  <w:rFonts w:ascii="Times New Roman;serif" w:hAnsi="Times New Roman;serif"/>
                  <w:b w:val="false"/>
                  <w:color w:val="0000FF"/>
                  <w:sz w:val="20"/>
                  <w:u w:val="singl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f8d38b2d204b95a1b87d5d527da1bd_28">
              <w:r>
                <w:rPr>
                  <w:rStyle w:val="InternetLink"/>
                  <w:rFonts w:ascii="Times New Roman;serif" w:hAnsi="Times New Roman;serif"/>
                  <w:b w:val="false"/>
                  <w:color w:val="0000FF"/>
                  <w:sz w:val="20"/>
                  <w:u w:val="single"/>
                </w:rPr>
                <w:t>5</w:t>
              </w:r>
            </w:hyperlink>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f8d38b2d204b95a1b87d5d527da1bd_31">
              <w:r>
                <w:rPr>
                  <w:rStyle w:val="InternetLink"/>
                  <w:rFonts w:ascii="Times New Roman;serif" w:hAnsi="Times New Roman;serif"/>
                  <w:b w:val="false"/>
                  <w:color w:val="0000FF"/>
                  <w:sz w:val="20"/>
                  <w:u w:val="single"/>
                </w:rPr>
                <w:t>Notes to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f8d38b2d204b95a1b87d5d527da1bd_31">
              <w:r>
                <w:rPr>
                  <w:rStyle w:val="InternetLink"/>
                  <w:rFonts w:ascii="Times New Roman;serif" w:hAnsi="Times New Roman;serif"/>
                  <w:b w:val="false"/>
                  <w:color w:val="0000FF"/>
                  <w:sz w:val="20"/>
                  <w:u w:val="single"/>
                </w:rPr>
                <w:t>6</w:t>
              </w:r>
            </w:hyperlink>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405"/>
              <w:jc w:val="left"/>
              <w:rPr/>
            </w:pPr>
            <w:r>
              <w:rPr>
                <w:rFonts w:ascii="Times New Roman;serif" w:hAnsi="Times New Roman;serif"/>
                <w:b w:val="false"/>
                <w:color w:val="000000"/>
                <w:sz w:val="20"/>
              </w:rPr>
              <w:t xml:space="preserve">Item 2: </w:t>
            </w:r>
            <w:hyperlink w:anchor="ib6f8d38b2d204b95a1b87d5d527da1bd_12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f8d38b2d204b95a1b87d5d527da1bd_121">
              <w:r>
                <w:rPr>
                  <w:rStyle w:val="InternetLink"/>
                  <w:rFonts w:ascii="Times New Roman;serif" w:hAnsi="Times New Roman;serif"/>
                  <w:b w:val="false"/>
                  <w:color w:val="0000FF"/>
                  <w:sz w:val="20"/>
                  <w:u w:val="single"/>
                </w:rPr>
                <w:t>29</w:t>
              </w:r>
            </w:hyperlink>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405"/>
              <w:jc w:val="left"/>
              <w:rPr/>
            </w:pPr>
            <w:r>
              <w:rPr>
                <w:rFonts w:ascii="Times New Roman;serif" w:hAnsi="Times New Roman;serif"/>
                <w:b w:val="false"/>
                <w:color w:val="000000"/>
                <w:sz w:val="20"/>
              </w:rPr>
              <w:t xml:space="preserve">Item 3: </w:t>
            </w:r>
            <w:hyperlink w:anchor="ib6f8d38b2d204b95a1b87d5d527da1bd_193">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f8d38b2d204b95a1b87d5d527da1bd_193">
              <w:r>
                <w:rPr>
                  <w:rStyle w:val="InternetLink"/>
                  <w:rFonts w:ascii="Times New Roman;serif" w:hAnsi="Times New Roman;serif"/>
                  <w:b w:val="false"/>
                  <w:color w:val="0000FF"/>
                  <w:sz w:val="20"/>
                  <w:u w:val="single"/>
                </w:rPr>
                <w:t>51</w:t>
              </w:r>
            </w:hyperlink>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405"/>
              <w:jc w:val="left"/>
              <w:rPr/>
            </w:pPr>
            <w:r>
              <w:rPr>
                <w:rFonts w:ascii="Times New Roman;serif" w:hAnsi="Times New Roman;serif"/>
                <w:b w:val="false"/>
                <w:color w:val="000000"/>
                <w:sz w:val="20"/>
              </w:rPr>
              <w:t xml:space="preserve">Item 4: </w:t>
            </w:r>
            <w:hyperlink w:anchor="ib6f8d38b2d204b95a1b87d5d527da1bd_196">
              <w:r>
                <w:rPr>
                  <w:rStyle w:val="InternetLink"/>
                  <w:rFonts w:ascii="Times New Roman;serif" w:hAnsi="Times New Roman;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f8d38b2d204b95a1b87d5d527da1bd_196">
              <w:r>
                <w:rPr>
                  <w:rStyle w:val="InternetLink"/>
                  <w:rFonts w:ascii="Times New Roman;serif" w:hAnsi="Times New Roman;serif"/>
                  <w:b w:val="false"/>
                  <w:color w:val="0000FF"/>
                  <w:sz w:val="20"/>
                  <w:u w:val="single"/>
                </w:rPr>
                <w:t>52</w:t>
              </w:r>
            </w:hyperlink>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f8d38b2d204b95a1b87d5d527da1bd_199">
              <w:r>
                <w:rPr>
                  <w:rStyle w:val="InternetLink"/>
                  <w:rFonts w:ascii="Times New Roman;serif" w:hAnsi="Times New Roman;serif"/>
                  <w:b/>
                  <w:color w:val="0000FF"/>
                  <w:sz w:val="20"/>
                  <w:u w:val="single"/>
                </w:rPr>
                <w:t>PART II: OTHER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405"/>
              <w:jc w:val="left"/>
              <w:rPr/>
            </w:pPr>
            <w:r>
              <w:rPr>
                <w:rFonts w:ascii="Times New Roman;serif" w:hAnsi="Times New Roman;serif"/>
                <w:b w:val="false"/>
                <w:color w:val="000000"/>
                <w:sz w:val="20"/>
              </w:rPr>
              <w:t xml:space="preserve">Item 1: </w:t>
            </w:r>
            <w:hyperlink w:anchor="ib6f8d38b2d204b95a1b87d5d527da1bd_202">
              <w:r>
                <w:rPr>
                  <w:rStyle w:val="InternetLink"/>
                  <w:rFonts w:ascii="Times New Roman;serif" w:hAnsi="Times New Roman;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f8d38b2d204b95a1b87d5d527da1bd_202">
              <w:r>
                <w:rPr>
                  <w:rStyle w:val="InternetLink"/>
                  <w:rFonts w:ascii="Times New Roman;serif" w:hAnsi="Times New Roman;serif"/>
                  <w:b w:val="false"/>
                  <w:color w:val="0000FF"/>
                  <w:sz w:val="20"/>
                  <w:u w:val="single"/>
                </w:rPr>
                <w:t>53</w:t>
              </w:r>
            </w:hyperlink>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405"/>
              <w:jc w:val="left"/>
              <w:rPr/>
            </w:pPr>
            <w:r>
              <w:rPr>
                <w:rFonts w:ascii="Times New Roman;serif" w:hAnsi="Times New Roman;serif"/>
                <w:b w:val="false"/>
                <w:color w:val="000000"/>
                <w:sz w:val="20"/>
              </w:rPr>
              <w:t xml:space="preserve">Item 1A: </w:t>
            </w:r>
            <w:hyperlink w:anchor="ib6f8d38b2d204b95a1b87d5d527da1bd_205">
              <w:r>
                <w:rPr>
                  <w:rStyle w:val="InternetLink"/>
                  <w:rFonts w:ascii="Times New Roman;serif" w:hAnsi="Times New Roman;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f8d38b2d204b95a1b87d5d527da1bd_205">
              <w:r>
                <w:rPr>
                  <w:rStyle w:val="InternetLink"/>
                  <w:rFonts w:ascii="Times New Roman;serif" w:hAnsi="Times New Roman;serif"/>
                  <w:b w:val="false"/>
                  <w:color w:val="0000FF"/>
                  <w:sz w:val="20"/>
                  <w:u w:val="single"/>
                </w:rPr>
                <w:t>53</w:t>
              </w:r>
            </w:hyperlink>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405"/>
              <w:jc w:val="left"/>
              <w:rPr/>
            </w:pPr>
            <w:r>
              <w:rPr>
                <w:rFonts w:ascii="Times New Roman;serif" w:hAnsi="Times New Roman;serif"/>
                <w:b w:val="false"/>
                <w:color w:val="000000"/>
                <w:sz w:val="20"/>
              </w:rPr>
              <w:t xml:space="preserve">Item 2: </w:t>
            </w:r>
            <w:hyperlink w:anchor="ib6f8d38b2d204b95a1b87d5d527da1bd_208">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f8d38b2d204b95a1b87d5d527da1bd_208">
              <w:r>
                <w:rPr>
                  <w:rStyle w:val="InternetLink"/>
                  <w:rFonts w:ascii="Times New Roman;serif" w:hAnsi="Times New Roman;serif"/>
                  <w:b w:val="false"/>
                  <w:color w:val="0000FF"/>
                  <w:sz w:val="20"/>
                  <w:u w:val="single"/>
                </w:rPr>
                <w:t>53</w:t>
              </w:r>
            </w:hyperlink>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405"/>
              <w:jc w:val="left"/>
              <w:rPr/>
            </w:pPr>
            <w:r>
              <w:rPr>
                <w:rFonts w:ascii="Times New Roman;serif" w:hAnsi="Times New Roman;serif"/>
                <w:b w:val="false"/>
                <w:color w:val="000000"/>
                <w:sz w:val="20"/>
              </w:rPr>
              <w:t xml:space="preserve">Item 5: </w:t>
            </w:r>
            <w:hyperlink w:anchor="ib6f8d38b2d204b95a1b87d5d527da1bd_211">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f8d38b2d204b95a1b87d5d527da1bd_211">
              <w:r>
                <w:rPr>
                  <w:rStyle w:val="InternetLink"/>
                  <w:rFonts w:ascii="Times New Roman;serif" w:hAnsi="Times New Roman;serif"/>
                  <w:b w:val="false"/>
                  <w:color w:val="0000FF"/>
                  <w:sz w:val="20"/>
                  <w:u w:val="single"/>
                </w:rPr>
                <w:t>53</w:t>
              </w:r>
            </w:hyperlink>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160" w:after="160"/>
              <w:ind w:left="0" w:right="0" w:firstLine="405"/>
              <w:jc w:val="left"/>
              <w:rPr/>
            </w:pPr>
            <w:r>
              <w:rPr>
                <w:rFonts w:ascii="Times New Roman;serif" w:hAnsi="Times New Roman;serif"/>
                <w:b w:val="false"/>
                <w:color w:val="000000"/>
                <w:sz w:val="20"/>
              </w:rPr>
              <w:t xml:space="preserve">Item 6: </w:t>
            </w:r>
            <w:hyperlink w:anchor="ib6f8d38b2d204b95a1b87d5d527da1bd_217">
              <w:r>
                <w:rPr>
                  <w:rStyle w:val="InternetLink"/>
                  <w:rFonts w:ascii="Times New Roman;serif" w:hAnsi="Times New Roman;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f8d38b2d204b95a1b87d5d527da1bd_217">
              <w:r>
                <w:rPr>
                  <w:rStyle w:val="InternetLink"/>
                  <w:rFonts w:ascii="Times New Roman;serif" w:hAnsi="Times New Roman;serif"/>
                  <w:b w:val="false"/>
                  <w:color w:val="0000FF"/>
                  <w:sz w:val="20"/>
                  <w:u w:val="single"/>
                </w:rPr>
                <w:t>54</w:t>
              </w:r>
            </w:hyperlink>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f8d38b2d204b95a1b87d5d527da1bd_220">
              <w:r>
                <w:rPr>
                  <w:rStyle w:val="InternetLink"/>
                  <w:rFonts w:ascii="Times New Roman;serif" w:hAnsi="Times New Roman;serif"/>
                  <w:b/>
                  <w:color w:val="0000FF"/>
                  <w:sz w:val="20"/>
                  <w:u w:val="single"/>
                </w:rPr>
                <w:t>SIGNATURE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f8d38b2d204b95a1b87d5d527da1bd_220">
              <w:r>
                <w:rPr>
                  <w:rStyle w:val="InternetLink"/>
                  <w:rFonts w:ascii="Times New Roman;serif" w:hAnsi="Times New Roman;serif"/>
                  <w:b w:val="false"/>
                  <w:color w:val="0000FF"/>
                  <w:sz w:val="20"/>
                  <w:u w:val="single"/>
                </w:rPr>
                <w:t>55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ITRON,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23"/>
        <w:gridCol w:w="1406"/>
        <w:gridCol w:w="141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5"/>
      </w:tblGrid>
      <w:tr>
        <w:trPr/>
        <w:tc>
          <w:tcPr>
            <w:tcW w:w="1623"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1,040,325 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606,761 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1,149,884 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1,213,912 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683,836 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773,075 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440,837 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288,211 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134,102 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Itron, Inc.</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133,814 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 - 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ITRON,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11"/>
        <w:gridCol w:w="1490"/>
        <w:gridCol w:w="1497"/>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11"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134,102 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Pension benefit obligation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net of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noncontrolling interests, net of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Itron, Inc.</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183,876 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ITRON,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72"/>
        <w:gridCol w:w="2167"/>
        <w:gridCol w:w="2179"/>
        <w:gridCol w:w="211"/>
        <w:gridCol w:w="976"/>
        <w:gridCol w:w="109"/>
        <w:gridCol w:w="109"/>
        <w:gridCol w:w="109"/>
        <w:gridCol w:w="109"/>
        <w:gridCol w:w="261"/>
        <w:gridCol w:w="1210"/>
        <w:gridCol w:w="193"/>
      </w:tblGrid>
      <w:tr>
        <w:trPr/>
        <w:tc>
          <w:tcPr>
            <w:tcW w:w="257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6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1,020,397 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367,794 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242,886 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191,241 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1,549,521 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1,822,318 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112,193 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265,183 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63,352 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83,337 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1,344,983 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3,993,544 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3,720,707 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156,288 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58,864 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Wages and benefits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122,245 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debt,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459,522 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warranty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187,822 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1,012,227 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788,805 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warranty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benefit obligation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61,998 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91,885 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2,355,417 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1,982,511 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691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no par value, 10,000 shares authorized, no shares issued or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no par value, 150,000 shares authorized, 43,774 and 44,929 shares issued and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1,661,350 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(56,505)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111,751 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Itron, Inc. shareholders'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1,616,199 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1,716,596 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1,738,196 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3,993,544 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3,720,707 </w:t>
            </w:r>
          </w:p>
        </w:tc>
        <w:tc>
          <w:tcPr>
            <w:tcW w:w="1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ITRON,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1076" w:type="dxa"/>
        <w:jc w:val="center"/>
        <w:tblInd w:w="0" w:type="dxa"/>
        <w:tblLayout w:type="fixed"/>
        <w:tblCellMar>
          <w:top w:w="28" w:type="dxa"/>
          <w:left w:w="28" w:type="dxa"/>
          <w:bottom w:w="28" w:type="dxa"/>
          <w:right w:w="28" w:type="dxa"/>
        </w:tblCellMar>
      </w:tblPr>
      <w:tblGrid>
        <w:gridCol w:w="644"/>
        <w:gridCol w:w="263"/>
        <w:gridCol w:w="264"/>
        <w:gridCol w:w="323"/>
        <w:gridCol w:w="323"/>
        <w:gridCol w:w="196"/>
        <w:gridCol w:w="109"/>
        <w:gridCol w:w="109"/>
        <w:gridCol w:w="109"/>
        <w:gridCol w:w="196"/>
        <w:gridCol w:w="871"/>
        <w:gridCol w:w="109"/>
        <w:gridCol w:w="109"/>
        <w:gridCol w:w="109"/>
        <w:gridCol w:w="109"/>
        <w:gridCol w:w="246"/>
        <w:gridCol w:w="832"/>
        <w:gridCol w:w="138"/>
        <w:gridCol w:w="109"/>
        <w:gridCol w:w="109"/>
        <w:gridCol w:w="109"/>
        <w:gridCol w:w="209"/>
        <w:gridCol w:w="785"/>
        <w:gridCol w:w="117"/>
        <w:gridCol w:w="109"/>
        <w:gridCol w:w="109"/>
        <w:gridCol w:w="109"/>
        <w:gridCol w:w="196"/>
        <w:gridCol w:w="871"/>
        <w:gridCol w:w="109"/>
        <w:gridCol w:w="109"/>
        <w:gridCol w:w="109"/>
        <w:gridCol w:w="109"/>
        <w:gridCol w:w="247"/>
        <w:gridCol w:w="815"/>
        <w:gridCol w:w="139"/>
        <w:gridCol w:w="109"/>
        <w:gridCol w:w="109"/>
        <w:gridCol w:w="109"/>
        <w:gridCol w:w="196"/>
        <w:gridCol w:w="871"/>
        <w:gridCol w:w="154"/>
      </w:tblGrid>
      <w:tr>
        <w:trPr/>
        <w:tc>
          <w:tcPr>
            <w:tcW w:w="6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Itron, Inc.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8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January 1, 2026</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44,929 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1,661,350 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(56,505)</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111,751 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1,716,596 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21,600 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1,738,196 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tax</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stock issued and repurchased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Stock repurchased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Payments on call spread for convertible offering, net of tax</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related to shares repurchased</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March 31, 2026</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44,322 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1,511,342 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(69,331)</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165,210 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1,607,221 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21,727 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1,628,948 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tax</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stock issued and repurchased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Stock repurchased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Contingent share issuance to affiliate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related to shares repurchased</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June 30, 2026</w:t>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43,774 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1,472,138 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(74,421)</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218,482 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1,616,199 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21,928 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1,638,127 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tbl>
      <w:tblPr>
        <w:tblW w:w="11076" w:type="dxa"/>
        <w:jc w:val="center"/>
        <w:tblInd w:w="0" w:type="dxa"/>
        <w:tblLayout w:type="fixed"/>
        <w:tblCellMar>
          <w:top w:w="28" w:type="dxa"/>
          <w:left w:w="28" w:type="dxa"/>
          <w:bottom w:w="28" w:type="dxa"/>
          <w:right w:w="28" w:type="dxa"/>
        </w:tblCellMar>
      </w:tblPr>
      <w:tblGrid>
        <w:gridCol w:w="644"/>
        <w:gridCol w:w="263"/>
        <w:gridCol w:w="264"/>
        <w:gridCol w:w="323"/>
        <w:gridCol w:w="323"/>
        <w:gridCol w:w="196"/>
        <w:gridCol w:w="109"/>
        <w:gridCol w:w="109"/>
        <w:gridCol w:w="109"/>
        <w:gridCol w:w="196"/>
        <w:gridCol w:w="871"/>
        <w:gridCol w:w="109"/>
        <w:gridCol w:w="109"/>
        <w:gridCol w:w="109"/>
        <w:gridCol w:w="109"/>
        <w:gridCol w:w="225"/>
        <w:gridCol w:w="864"/>
        <w:gridCol w:w="127"/>
        <w:gridCol w:w="109"/>
        <w:gridCol w:w="109"/>
        <w:gridCol w:w="109"/>
        <w:gridCol w:w="196"/>
        <w:gridCol w:w="806"/>
        <w:gridCol w:w="109"/>
        <w:gridCol w:w="109"/>
        <w:gridCol w:w="109"/>
        <w:gridCol w:w="109"/>
        <w:gridCol w:w="196"/>
        <w:gridCol w:w="871"/>
        <w:gridCol w:w="109"/>
        <w:gridCol w:w="109"/>
        <w:gridCol w:w="109"/>
        <w:gridCol w:w="109"/>
        <w:gridCol w:w="247"/>
        <w:gridCol w:w="815"/>
        <w:gridCol w:w="139"/>
        <w:gridCol w:w="109"/>
        <w:gridCol w:w="109"/>
        <w:gridCol w:w="109"/>
        <w:gridCol w:w="196"/>
        <w:gridCol w:w="871"/>
        <w:gridCol w:w="154"/>
      </w:tblGrid>
      <w:tr>
        <w:trPr/>
        <w:tc>
          <w:tcPr>
            <w:tcW w:w="6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Itron, Inc.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8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January 1, 2025</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45,131 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1,689,835 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(109,931)</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1,390,600 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20,828 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1,411,428 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stock issued and repurchased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March 31, 2025</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45,572 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1,708,588 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(96,383)</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1,488,375 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20,704 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1,509,079 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tax</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36,514 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stock issued and repurchased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June 30, 2025</w:t>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45,710 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1,728,667 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(59,869)</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(55,490)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1,613,308 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21,116 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1,634,424 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ITRON,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304" w:type="dxa"/>
        <w:jc w:val="center"/>
        <w:tblInd w:w="0" w:type="dxa"/>
        <w:tblLayout w:type="fixed"/>
        <w:tblCellMar>
          <w:top w:w="28" w:type="dxa"/>
          <w:left w:w="28" w:type="dxa"/>
          <w:bottom w:w="28" w:type="dxa"/>
          <w:right w:w="28" w:type="dxa"/>
        </w:tblCellMar>
      </w:tblPr>
      <w:tblGrid>
        <w:gridCol w:w="2067"/>
        <w:gridCol w:w="1820"/>
        <w:gridCol w:w="1828"/>
        <w:gridCol w:w="196"/>
        <w:gridCol w:w="736"/>
        <w:gridCol w:w="109"/>
        <w:gridCol w:w="109"/>
        <w:gridCol w:w="109"/>
        <w:gridCol w:w="109"/>
        <w:gridCol w:w="196"/>
        <w:gridCol w:w="871"/>
        <w:gridCol w:w="154"/>
      </w:tblGrid>
      <w:tr>
        <w:trPr/>
        <w:tc>
          <w:tcPr>
            <w:tcW w:w="206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activities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operating lease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prepaid debt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sale of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non-cash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adjustments,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 net of acquisition and sale of business: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other current liabilities, and taxes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Wages and benefits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Unearned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Warranty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173,592 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168,802 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of property, plant,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Business acquisitions, net of cash and cash equivalents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(525,099)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borrowings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call spread for convertible offering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debt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foreign exchange rate changes on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cash and cash equivalents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(275,168)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173,020 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745,229 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1,224,257 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Supplemental disclosure of cash flow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during the period for: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Non-cash operating, investing and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effect of call spread offering</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ITRON,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this Quarterly Report on Form 10-Q, the terms "we", "us", "our", "Itron", and the "Company" refer to Itron, Inc. and its subsidiaries.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Summary of Significant Accounting Policies</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Financial Statement Preparation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presented in this Quarterly Report on Form 10-Q are unaudited and reflect entries necessary for the fair presentation of the Consolidated Statements of Operations and the Consolidated Statements of Comprehensive Income for the three and six months ended June 30, 2026 and 2025, Consolidated Statements of Equity for the three months ended June 30, 2026 and 2025 and March 31, 2026 and 2025, the Consolidated Statements of Cash Flows for the six months ended June 30, 2026 and 2025, and the Consolidated Balance Sheets as of June 30, 2026 and December 31, 2025, of Itron, Inc. and its subsidiaries. All entries required for the fair presentation of the financial statements are of a normal recurring nature, except as disclosed. The results of operations for the three and six months ended June 30, 2026 are not necessarily indicative of the results expected for the full year or for any other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information and notes normally included in financial statements prepared in accordance with U.S. generally accepted accounting principles (GAAP) have been partially or completely omitted pursuant to the rules and regulations of the U.S. Securities and Exchange Commission (SEC) regarding interim results. These consolidated financial statements should be read in conjunction with the consolidated financial statements and the notes thereto for the fiscal year ended December 31, 2025 filed with the SEC in our Annual Report on Form 10-K on February 17, 2026 (2025 Annual Report). There have been no significant changes in financial statement preparation or significant accounting policies since December 31, 2025.</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Risks and Uncertainties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Global economic impacts, such as pandemics and various ongoing conflicts around the world, may create disruption in customer demand and global supply chains, resulting in market volatility, which our management continues to monitor. In the aftermath of these types of events, global supply chains, including labor, may struggle to keep pace with rapidly changing demand. Temporary imbalance in supply and demand may create business uncertainties that include increased costs and lack of availability. Efforts continue with suppliers to improve supply resiliency, including the approval of alternative sources. Additionally, inflation in our raw materials and component costs, freight charges, sanctions, tariffs, and labor costs may increase above historical levels due to, among other things, the continuing impacts of an uncertain economic environment. We may or may not be able to fully recover these increased costs through pricing actions with our customers. Currently, we have not identified any significant decrease in long-term customer demand for our products and services.</w:t>
      </w:r>
    </w:p>
    <w:p>
      <w:pPr>
        <w:pStyle w:val="TextBody"/>
        <w:bidi w:val="0"/>
        <w:spacing w:before="0" w:after="0"/>
        <w:ind w:left="0" w:right="0" w:firstLine="225"/>
        <w:jc w:val="both"/>
        <w:rPr/>
      </w:pPr>
      <w:r>
        <w:rPr/>
      </w:r>
    </w:p>
    <w:p>
      <w:pPr>
        <w:pStyle w:val="TextBody"/>
        <w:bidi w:val="0"/>
        <w:spacing w:lineRule="auto" w:line="288" w:before="0" w:after="0"/>
        <w:jc w:val="both"/>
        <w:rPr/>
      </w:pPr>
      <w:r>
        <w:rPr>
          <w:rFonts w:ascii="Times New Roman;serif" w:hAnsi="Times New Roman;serif"/>
          <w:b w:val="false"/>
          <w:color w:val="000000"/>
          <w:sz w:val="20"/>
        </w:rPr>
        <w:t>While we have limited direct business exposure in areas with current conflict, such as Ukraine or the Middle East, military actions globally and any resulting sanctions or tariffs could adversely affect the global economy, as well as further disrupt the supply chain. A major disruption in the global economy and supply chain could have a material adverse effect on our business, prospects, financial condition, results of operations, and cash flows. The extent and duration of military action, sanctions, tariffs, and resulting market and/or supply disruptions are impossible to predict but could be substantial, and our management continues to monitor these events closely</w:t>
      </w:r>
      <w:r>
        <w:rPr>
          <w:rFonts w:ascii="Times New Roman;serif" w:hAnsi="Times New Roman;serif"/>
          <w:b w:val="false"/>
          <w:color w:val="333333"/>
          <w:sz w:val="20"/>
          <w:shd w:fill="FFFFFF" w:val="clear"/>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25"/>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Recently Adopted Accounting Standards</w:t>
      </w:r>
    </w:p>
    <w:p>
      <w:pPr>
        <w:pStyle w:val="TextBody"/>
        <w:bidi w:val="0"/>
        <w:spacing w:lineRule="auto" w:line="288" w:before="0" w:after="0"/>
        <w:jc w:val="both"/>
        <w:rPr/>
      </w:pPr>
      <w:r>
        <w:rPr>
          <w:rFonts w:ascii="Times New Roman;serif" w:hAnsi="Times New Roman;serif"/>
          <w:b w:val="false"/>
          <w:color w:val="000000"/>
          <w:sz w:val="20"/>
        </w:rPr>
        <w:t xml:space="preserve">In November 2024, the Financial Accounting Standards Board (FASB) issued Accounting Standards Update (ASU) 2024-04, </w:t>
      </w:r>
      <w:r>
        <w:rPr>
          <w:rFonts w:ascii="Times New Roman;serif" w:hAnsi="Times New Roman;serif"/>
          <w:b w:val="false"/>
          <w:i/>
          <w:color w:val="000000"/>
          <w:sz w:val="20"/>
        </w:rPr>
        <w:t>Debt—Debt with Conversion and Other Options (Subtopic 470-20): Induced Conversions of Convertible Debt Instruments.</w:t>
      </w:r>
      <w:r>
        <w:rPr>
          <w:color w:val="000000"/>
        </w:rPr>
        <w:t xml:space="preserve"> </w:t>
      </w:r>
      <w:r>
        <w:rPr>
          <w:rFonts w:ascii="Times New Roman;serif" w:hAnsi="Times New Roman;serif"/>
          <w:b w:val="false"/>
          <w:color w:val="000000"/>
          <w:sz w:val="20"/>
        </w:rPr>
        <w:t>The new guidance clarifies the accounting for modifications to conversion features when evaluating whether a transaction should be accounted for as an induced conversion or extinguishment of convertible debt. The ASU is effective for fiscal years beginning after December 15, 2025, including interim periods within those fiscal years. We will utilize this guidance for any future induced conversions or extinguishments of our convertible notes. At this time, we do not expect the adoption of this ASU to have a material impact on our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rFonts w:ascii="Times New Roman;serif" w:hAnsi="Times New Roman;serif"/>
          <w:b w:val="false"/>
          <w:color w:val="000000"/>
          <w:sz w:val="20"/>
        </w:rPr>
        <w:t>, which modernizes the internal-use software guidance that is accounted for under Subtopic 350-40. The amendments eliminate the previous stage-based model (preliminary project stage, application development stage, and post-implementation stage) and replaces it with a principles-based approach that better aligns with modern software development practice, including agile and iterative methodologies. Under the new guidance, entities may begin capitalizing internal-use software development costs when (1) management has authorized and committed to funding the software project, and (2) it is probable that the project will be completed and the software will be used to perform the function intended. The Accounting Standards Codification (ASC) also supersedes the separate guidance on website development costs guidance and incorporate it into the internal-use software framework. While effective for fiscal years beginning after December 31, 2027, we early adopted ASU 2025-06 on a prospective basis for our fiscal year beginning January 1, 2026, including interim periods. This standard has not had a material impact and is not expected to have a material impact on our consolidated financial statements or related disclosures.</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Recent Accounting Standards Not Yet Adopted</w:t>
      </w:r>
    </w:p>
    <w:p>
      <w:pPr>
        <w:pStyle w:val="TextBody"/>
        <w:bidi w:val="0"/>
        <w:spacing w:lineRule="auto" w:line="288" w:before="0" w:after="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20"/>
        </w:rPr>
        <w:t>The new guidance is intended to enhance transparency and disclosures by requiring public business entities to disclose additional information about specific expense categories in the notes to financial statements at interim and annual reporting periods. The FASB further clarified the effective date in January 2025 with the issuance of ASU 2025-01,</w:t>
      </w:r>
      <w:r>
        <w:rPr>
          <w:color w:val="000000"/>
        </w:rPr>
        <w:t xml:space="preserve"> </w:t>
      </w:r>
      <w:r>
        <w:rPr>
          <w:rFonts w:ascii="Times New Roman;serif" w:hAnsi="Times New Roman;serif"/>
          <w:b w:val="false"/>
          <w:i/>
          <w:color w:val="000000"/>
          <w:sz w:val="20"/>
        </w:rPr>
        <w:t>Income Statement—Reporting Comprehensive Income—Expense Disaggregation Disclosures (Subtopic 220-40): Clarifying the Effective Date.</w:t>
      </w:r>
      <w:r>
        <w:rPr>
          <w:color w:val="000000"/>
        </w:rPr>
        <w:t xml:space="preserve"> </w:t>
      </w:r>
      <w:r>
        <w:rPr>
          <w:rFonts w:ascii="Times New Roman;serif" w:hAnsi="Times New Roman;serif"/>
          <w:b w:val="false"/>
          <w:color w:val="000000"/>
          <w:sz w:val="20"/>
        </w:rPr>
        <w:t>The ASU is effective for our Annual Report on Form 10-K as of December 31, 2027, and for interim reporting periods beginning in the first quarter of 2028, with early adoption permitted. We are in the process of evaluating the impact that the adoption of this ASU will have on our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September 2025, the FASB issued ASU 2025-07, </w:t>
      </w:r>
      <w:r>
        <w:rPr>
          <w:rFonts w:ascii="Times New Roman;serif" w:hAnsi="Times New Roman;serif"/>
          <w:b w:val="false"/>
          <w:i/>
          <w:color w:val="000000"/>
          <w:sz w:val="20"/>
        </w:rPr>
        <w:t>Derivatives and Hedging (Topic 815) and Revenue from Contracts with Customers (Topic 606): Derivatives Scope Refinements and Scope Clarification for Share-Based Noncash Consideration from a Customer in a Revenue Contract</w:t>
      </w:r>
      <w:r>
        <w:rPr>
          <w:rFonts w:ascii="Times New Roman;serif" w:hAnsi="Times New Roman;serif"/>
          <w:b w:val="false"/>
          <w:color w:val="000000"/>
          <w:sz w:val="20"/>
        </w:rPr>
        <w:t>. The ASU adds a new scope exception from derivative accounting for non-exchange-traded contracts with underlyings that are based on operations or activities specific to one of the parties to the contract. The ASU also clarifies that when an entity has a right to receive a share-based payment from its customer in exchange for the transfer of goods or services, the share-based payment should be accounted for as noncash consideration within the scope of ASC 606. ASU 2025-07 is effective for us beginning with our interim financial reports for the first quarter of 2027. This standard is not expected to have any significant impact on our results of operations, financial position, cash flow, or related disclosures.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December 2025</w:t>
      </w:r>
      <w:r>
        <w:rPr>
          <w:rFonts w:ascii="Times New Roman;serif" w:hAnsi="Times New Roman;serif"/>
          <w:b w:val="false"/>
          <w:i/>
          <w:color w:val="000000"/>
          <w:sz w:val="2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FASB issued</w:t>
      </w:r>
      <w:r>
        <w:rPr>
          <w:color w:val="000000"/>
        </w:rPr>
        <w:t xml:space="preserve"> </w:t>
      </w:r>
      <w:r>
        <w:rPr>
          <w:rFonts w:ascii="Times New Roman;serif" w:hAnsi="Times New Roman;serif"/>
          <w:b w:val="false"/>
          <w:color w:val="000000"/>
          <w:sz w:val="20"/>
        </w:rPr>
        <w:t xml:space="preserve">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xml:space="preserve">, which is intended to improve the navigability of the guidance in ASC 270, </w:t>
      </w:r>
      <w:r>
        <w:rPr>
          <w:rFonts w:ascii="Times New Roman;serif" w:hAnsi="Times New Roman;serif"/>
          <w:b w:val="false"/>
          <w:i/>
          <w:color w:val="000000"/>
          <w:sz w:val="20"/>
        </w:rPr>
        <w:t>Interim Reporting</w:t>
      </w:r>
      <w:r>
        <w:rPr>
          <w:rFonts w:ascii="Times New Roman;serif" w:hAnsi="Times New Roman;serif"/>
          <w:b w:val="false"/>
          <w:color w:val="000000"/>
          <w:sz w:val="20"/>
        </w:rPr>
        <w:t>, and clarify when it applies. Under the amendment, an entity is subject to ASC 270 if it provides interim financial statements and notes in accordance with GAAP. The amendment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our interim financial reports for the first quarter of 2028, with early adoption permitted. We are currently evaluating the impact this standard will have on our consolidated financial statements and related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Earnings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 (EPS):</w:t>
      </w:r>
    </w:p>
    <w:tbl>
      <w:tblPr>
        <w:tblW w:w="9301" w:type="dxa"/>
        <w:jc w:val="left"/>
        <w:tblInd w:w="0" w:type="dxa"/>
        <w:tblLayout w:type="fixed"/>
        <w:tblCellMar>
          <w:top w:w="28" w:type="dxa"/>
          <w:left w:w="28" w:type="dxa"/>
          <w:bottom w:w="28" w:type="dxa"/>
          <w:right w:w="28" w:type="dxa"/>
        </w:tblCellMar>
      </w:tblPr>
      <w:tblGrid>
        <w:gridCol w:w="1476"/>
        <w:gridCol w:w="1300"/>
        <w:gridCol w:w="1303"/>
        <w:gridCol w:w="215"/>
        <w:gridCol w:w="708"/>
        <w:gridCol w:w="119"/>
        <w:gridCol w:w="119"/>
        <w:gridCol w:w="119"/>
        <w:gridCol w:w="119"/>
        <w:gridCol w:w="215"/>
        <w:gridCol w:w="708"/>
        <w:gridCol w:w="119"/>
        <w:gridCol w:w="109"/>
        <w:gridCol w:w="109"/>
        <w:gridCol w:w="109"/>
        <w:gridCol w:w="196"/>
        <w:gridCol w:w="736"/>
        <w:gridCol w:w="109"/>
        <w:gridCol w:w="109"/>
        <w:gridCol w:w="109"/>
        <w:gridCol w:w="109"/>
        <w:gridCol w:w="196"/>
        <w:gridCol w:w="736"/>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 share data</w:t>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available to common shareholders</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53,272 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68,340 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Basic</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45,633 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effect of stock-based awards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effect of convertible notes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Diluted</w:t>
            </w:r>
          </w:p>
        </w:tc>
        <w:tc>
          <w:tcPr>
            <w:tcW w:w="9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44,608 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46,380 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46,276 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per common share - Basic</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per common share - Diluted</w:t>
            </w:r>
          </w:p>
        </w:tc>
        <w:tc>
          <w:tcPr>
            <w:tcW w:w="21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1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1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25"/>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Stock-based Awards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our common stock at the average market price during the period. Related proceeds include the amount the employee must pay upon exercise and the future compensation cost associated with the stock award. Approximately 496,000 and 308,000 stock-based awards were excluded from the calculation of diluted EPS for the three and six months ended June 30, 2026 because they were anti-dilutive. Approximately 33,000 and 24,000 stock-based awards were excluded from the calculation of diluted EPS for the three and six months ended June 30, 2025 because they were anti-dilutive. These stock-based awards could be dilutive in future periods.</w:t>
      </w:r>
    </w:p>
    <w:p>
      <w:pPr>
        <w:pStyle w:val="TextBody"/>
        <w:bidi w:val="0"/>
        <w:spacing w:before="0" w:after="0"/>
        <w:jc w:val="both"/>
        <w:rPr/>
      </w:pPr>
      <w:r>
        <w:rPr/>
      </w: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Convertible Notes and Share Hedges</w:t>
      </w:r>
    </w:p>
    <w:p>
      <w:pPr>
        <w:pStyle w:val="TextBody"/>
        <w:bidi w:val="0"/>
        <w:spacing w:before="0" w:after="0"/>
        <w:ind w:left="0" w:right="0" w:firstLine="225"/>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2021 Notes and Warrants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conjunction with the issuance of our 2021 Notes, which were fully repaid on March 16, 2026, we sold warrants to purchase 3.7 million shares of Itron common stock. The warrants have a strike price of $180.00 per share. For calculating the dilutive effect of the warrants, we use the treasury stock method. With this method, we assume exercise of the warrants at the beginning of the period, or at time of issuance if later, and the issuance of common stock upon exercise. Proceeds from the exercise of the warrants are assumed to be used to repurchase shares of our stock at the average market price during the period. The incremental shares, representing the number of shares assumed to be exercised with the warrants less the number of shares repurchased, are included in diluted weighted average common shares outstanding. For periods where the warrants strike price of $180.00 per share is greater than the average share price of Itron stock for the period, the warrants would be anti-dilutive. For the three and six months ended June 30, 2026, the quarterly average closing prices of our common stock did not exceed the warrant strike price, and therefore 3.7 million shares were considered anti-dilutive. The warrants will fully expire in October 2026.</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2024 Notes and Capped Call Transactions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our convertible notes issued in June 2024 (the 2024 Notes), the dilutive effect is calculated using the if-converted method. We are required, pursuant to the indenture governing our convertible notes, to settle the principal amount of the convertible notes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convertible notes were converted. The average closing prices of our common stock for the quarter ended June 30, 2026 were used as the basis for determining the dilutive effect on EPS. The quarterly average closing prices for our common stock did not exceed the conversion price of $131.24, and therefore all associated shares were anti-dilutive.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issuance of the 2024 Notes, we entered into privately negotiated capped call transactions (the 2024 capped call transactions) on our common stock with certain commercial banks. The 2024 capped call transactions cover, subject to anti-dilution adjustments substantially similar to those in the 2024 Notes, approximately 6.1 million shares of our common stock, the same number of shares initially underlying the convertible notes, at a strike price of approximately $131.2353, subject to customary adjustments. The cap price of the 2024 capped call transactions will initially be $205.86 per share, which represents a premium of 100% over the last reported stock price per share of the Company's common stock on June 17,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is subject to certain adjustments under the terms of the 2024 capped call transactions. The 2024 capped call transactions will expire upon the maturity of the 2024 Notes, subject to earlier exercise or termination. Exercise of the 2024 capped call transactions would reduce the number of shares of our common stock outstanding and therefore would be anti-dilutive.</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2026 Notes and Capped Call Transactions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our convertible notes issued in February 2026 (the 2026 Notes), the dilutive effect is calculated using the if-converted method. We are required, pursuant to the indenture governing our convertible notes, to settle the principal amount of the convertible notes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convertible notes were converted. The average closing prices of our common stock for the quarter ended June 30, 2026 were used as the basis for determining the dilutive effect on EPS. The quarterly average closing prices for our common stock did not exceed the conversion price of $123.77, and therefore all associated shares were anti-dilutive.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2026 Notes, we entered into privately negotiated capped call transactions (the 2026 capped call transactions) on our common stock with certain commercial banks. The 2026 capped call transactions cover, subject to anti-dilution adjustments substantially similar to those in the 2026 Notes, approximately 6.5 million shares of our common stock, the same number of shares initially underlying the convertible notes, at a strike price of approximately $123.77, subject to customary adjustments. The cap price of the 2026 capped call transactions will initially be $190.42 per share, which represents a premium of 100% over the last reported stock price per share of the Company's common stock on February 23, 2026, and is subject to certain adjustments under the terms of the 2026 capped call transactions. The 2026 capped call transactions will expire upon the maturity of the 2026 Notes, subject to earlier exercise or termination. Exercise of the 2026 capped call transactions would reduce the number of shares of our common stock outstanding and therefore would be anti-dilutive.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Certain Balance Sheet Components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summary of accounts receivable from contracts with customers is as follows:</w:t>
      </w:r>
    </w:p>
    <w:tbl>
      <w:tblPr>
        <w:tblW w:w="7317" w:type="dxa"/>
        <w:jc w:val="left"/>
        <w:tblInd w:w="0" w:type="dxa"/>
        <w:tblLayout w:type="fixed"/>
        <w:tblCellMar>
          <w:top w:w="28" w:type="dxa"/>
          <w:left w:w="28" w:type="dxa"/>
          <w:bottom w:w="28" w:type="dxa"/>
          <w:right w:w="28" w:type="dxa"/>
        </w:tblCellMar>
      </w:tblPr>
      <w:tblGrid>
        <w:gridCol w:w="1539"/>
        <w:gridCol w:w="1351"/>
        <w:gridCol w:w="1355"/>
        <w:gridCol w:w="217"/>
        <w:gridCol w:w="817"/>
        <w:gridCol w:w="121"/>
        <w:gridCol w:w="109"/>
        <w:gridCol w:w="109"/>
        <w:gridCol w:w="109"/>
        <w:gridCol w:w="287"/>
        <w:gridCol w:w="1078"/>
        <w:gridCol w:w="225"/>
      </w:tblGrid>
      <w:tr>
        <w:trPr/>
        <w:tc>
          <w:tcPr>
            <w:tcW w:w="153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Accounts receivable, net</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2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Trade receivables (net of allowance of $1,077 and $1,113)</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315,927 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342,491 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receivables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accounts receivable, net</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351,109 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367,794 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223" w:type="dxa"/>
        <w:jc w:val="left"/>
        <w:tblInd w:w="0" w:type="dxa"/>
        <w:tblLayout w:type="fixed"/>
        <w:tblCellMar>
          <w:top w:w="28" w:type="dxa"/>
          <w:left w:w="28" w:type="dxa"/>
          <w:bottom w:w="28" w:type="dxa"/>
          <w:right w:w="28" w:type="dxa"/>
        </w:tblCellMar>
      </w:tblPr>
      <w:tblGrid>
        <w:gridCol w:w="1151"/>
        <w:gridCol w:w="1010"/>
        <w:gridCol w:w="1018"/>
        <w:gridCol w:w="233"/>
        <w:gridCol w:w="663"/>
        <w:gridCol w:w="130"/>
        <w:gridCol w:w="130"/>
        <w:gridCol w:w="130"/>
        <w:gridCol w:w="130"/>
        <w:gridCol w:w="233"/>
        <w:gridCol w:w="663"/>
        <w:gridCol w:w="130"/>
        <w:gridCol w:w="109"/>
        <w:gridCol w:w="109"/>
        <w:gridCol w:w="109"/>
        <w:gridCol w:w="213"/>
        <w:gridCol w:w="605"/>
        <w:gridCol w:w="118"/>
        <w:gridCol w:w="118"/>
        <w:gridCol w:w="118"/>
        <w:gridCol w:w="118"/>
        <w:gridCol w:w="213"/>
        <w:gridCol w:w="605"/>
        <w:gridCol w:w="167"/>
      </w:tblGrid>
      <w:tr>
        <w:trPr/>
        <w:tc>
          <w:tcPr>
            <w:tcW w:w="115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Allowance for credit losses account activity</w:t>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doubtful accounts, net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recovered (written-off), net</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change in exchange rates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1,814 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1,814 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377" w:type="dxa"/>
        <w:jc w:val="left"/>
        <w:tblInd w:w="0" w:type="dxa"/>
        <w:tblLayout w:type="fixed"/>
        <w:tblCellMar>
          <w:top w:w="28" w:type="dxa"/>
          <w:left w:w="28" w:type="dxa"/>
          <w:bottom w:w="28" w:type="dxa"/>
          <w:right w:w="28" w:type="dxa"/>
        </w:tblCellMar>
      </w:tblPr>
      <w:tblGrid>
        <w:gridCol w:w="472"/>
        <w:gridCol w:w="415"/>
        <w:gridCol w:w="418"/>
        <w:gridCol w:w="217"/>
        <w:gridCol w:w="817"/>
        <w:gridCol w:w="121"/>
        <w:gridCol w:w="109"/>
        <w:gridCol w:w="109"/>
        <w:gridCol w:w="109"/>
        <w:gridCol w:w="287"/>
        <w:gridCol w:w="1078"/>
        <w:gridCol w:w="225"/>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i/>
                <w:color w:val="000000"/>
                <w:sz w:val="18"/>
              </w:rPr>
            </w:pPr>
            <w:r>
              <w:rPr>
                <w:rFonts w:ascii="Times New Roman;serif" w:hAnsi="Times New Roman;serif"/>
                <w:b w:val="false"/>
                <w:i/>
                <w:color w:val="000000"/>
                <w:sz w:val="18"/>
              </w:rPr>
              <w:t>Inventories</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3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200,429 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184,727 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45,368 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44,617 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inventories</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258,727 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242,886 </w:t>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tbl>
      <w:tblPr>
        <w:tblW w:w="7242" w:type="dxa"/>
        <w:jc w:val="left"/>
        <w:tblInd w:w="0" w:type="dxa"/>
        <w:tblLayout w:type="fixed"/>
        <w:tblCellMar>
          <w:top w:w="28" w:type="dxa"/>
          <w:left w:w="28" w:type="dxa"/>
          <w:bottom w:w="28" w:type="dxa"/>
          <w:right w:w="28" w:type="dxa"/>
        </w:tblCellMar>
      </w:tblPr>
      <w:tblGrid>
        <w:gridCol w:w="1509"/>
        <w:gridCol w:w="1328"/>
        <w:gridCol w:w="1333"/>
        <w:gridCol w:w="217"/>
        <w:gridCol w:w="817"/>
        <w:gridCol w:w="121"/>
        <w:gridCol w:w="109"/>
        <w:gridCol w:w="109"/>
        <w:gridCol w:w="109"/>
        <w:gridCol w:w="287"/>
        <w:gridCol w:w="1078"/>
        <w:gridCol w:w="225"/>
      </w:tblGrid>
      <w:tr>
        <w:trPr/>
        <w:tc>
          <w:tcPr>
            <w:tcW w:w="1509"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i/>
                <w:color w:val="000000"/>
                <w:sz w:val="18"/>
              </w:rPr>
            </w:pPr>
            <w:r>
              <w:rPr>
                <w:rFonts w:ascii="Times New Roman;serif" w:hAnsi="Times New Roman;serif"/>
                <w:b w:val="false"/>
                <w:i/>
                <w:color w:val="000000"/>
                <w:sz w:val="18"/>
              </w:rPr>
              <w:t>Property, plant, and equipment, net</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1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and equipment</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310,814 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310,271 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Computers and software</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123,339 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furniture, and improvements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107,254 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 including purchased equipment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w:t>
            </w:r>
          </w:p>
        </w:tc>
        <w:tc>
          <w:tcPr>
            <w:tcW w:w="10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563,713 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569,744 </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(442,123)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(457,551)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121,590 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112,193 </w:t>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6694" w:type="dxa"/>
        <w:jc w:val="left"/>
        <w:tblInd w:w="0" w:type="dxa"/>
        <w:tblLayout w:type="fixed"/>
        <w:tblCellMar>
          <w:top w:w="28" w:type="dxa"/>
          <w:left w:w="28" w:type="dxa"/>
          <w:bottom w:w="28" w:type="dxa"/>
          <w:right w:w="28" w:type="dxa"/>
        </w:tblCellMar>
      </w:tblPr>
      <w:tblGrid>
        <w:gridCol w:w="598"/>
        <w:gridCol w:w="524"/>
        <w:gridCol w:w="527"/>
        <w:gridCol w:w="233"/>
        <w:gridCol w:w="663"/>
        <w:gridCol w:w="130"/>
        <w:gridCol w:w="130"/>
        <w:gridCol w:w="130"/>
        <w:gridCol w:w="130"/>
        <w:gridCol w:w="233"/>
        <w:gridCol w:w="663"/>
        <w:gridCol w:w="130"/>
        <w:gridCol w:w="109"/>
        <w:gridCol w:w="109"/>
        <w:gridCol w:w="109"/>
        <w:gridCol w:w="196"/>
        <w:gridCol w:w="647"/>
        <w:gridCol w:w="109"/>
        <w:gridCol w:w="109"/>
        <w:gridCol w:w="109"/>
        <w:gridCol w:w="109"/>
        <w:gridCol w:w="196"/>
        <w:gridCol w:w="647"/>
        <w:gridCol w:w="154"/>
      </w:tblGrid>
      <w:tr>
        <w:trPr/>
        <w:tc>
          <w:tcPr>
            <w:tcW w:w="59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Depreciation expense</w:t>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6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7,578 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7,571 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Intangible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gross carrying amount and accumulated amortization of our intangible assets, other than goodwill, were as follows:</w:t>
      </w:r>
    </w:p>
    <w:tbl>
      <w:tblPr>
        <w:tblW w:w="10205" w:type="dxa"/>
        <w:jc w:val="left"/>
        <w:tblInd w:w="0" w:type="dxa"/>
        <w:tblLayout w:type="fixed"/>
        <w:tblCellMar>
          <w:top w:w="28" w:type="dxa"/>
          <w:left w:w="28" w:type="dxa"/>
          <w:bottom w:w="28" w:type="dxa"/>
          <w:right w:w="28" w:type="dxa"/>
        </w:tblCellMar>
      </w:tblPr>
      <w:tblGrid>
        <w:gridCol w:w="791"/>
        <w:gridCol w:w="692"/>
        <w:gridCol w:w="701"/>
        <w:gridCol w:w="196"/>
        <w:gridCol w:w="736"/>
        <w:gridCol w:w="109"/>
        <w:gridCol w:w="109"/>
        <w:gridCol w:w="109"/>
        <w:gridCol w:w="109"/>
        <w:gridCol w:w="208"/>
        <w:gridCol w:w="806"/>
        <w:gridCol w:w="118"/>
        <w:gridCol w:w="109"/>
        <w:gridCol w:w="109"/>
        <w:gridCol w:w="109"/>
        <w:gridCol w:w="196"/>
        <w:gridCol w:w="736"/>
        <w:gridCol w:w="109"/>
        <w:gridCol w:w="109"/>
        <w:gridCol w:w="109"/>
        <w:gridCol w:w="109"/>
        <w:gridCol w:w="196"/>
        <w:gridCol w:w="736"/>
        <w:gridCol w:w="109"/>
        <w:gridCol w:w="109"/>
        <w:gridCol w:w="109"/>
        <w:gridCol w:w="109"/>
        <w:gridCol w:w="208"/>
        <w:gridCol w:w="806"/>
        <w:gridCol w:w="118"/>
        <w:gridCol w:w="109"/>
        <w:gridCol w:w="109"/>
        <w:gridCol w:w="109"/>
        <w:gridCol w:w="196"/>
        <w:gridCol w:w="646"/>
        <w:gridCol w:w="157"/>
      </w:tblGrid>
      <w:tr>
        <w:trPr/>
        <w:tc>
          <w:tcPr>
            <w:tcW w:w="79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Core-developed technology</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(38,101)</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(32,993)</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21,175 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contracts and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(311,446)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(299,893)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 and trade names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(26,059)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(25,858)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intangible assets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641,682 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(375,606)</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266,076 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442,081 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(358,744)</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83,337 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60"/>
        <w:jc w:val="both"/>
        <w:rPr/>
      </w:pPr>
      <w:r>
        <w:rPr>
          <w:rFonts w:ascii="Times New Roman;serif" w:hAnsi="Times New Roman;serif"/>
          <w:b w:val="false"/>
          <w:color w:val="222222"/>
          <w:sz w:val="20"/>
        </w:rPr>
        <w:t xml:space="preserve">On January 5, 2026, we completed the acquisition of </w:t>
      </w:r>
      <w:r>
        <w:rPr>
          <w:rFonts w:ascii="Times New Roman;serif" w:hAnsi="Times New Roman;serif"/>
          <w:b w:val="false"/>
          <w:color w:val="000000"/>
          <w:sz w:val="20"/>
        </w:rPr>
        <w:t>100%</w:t>
      </w:r>
      <w:r>
        <w:rPr>
          <w:color w:val="222222"/>
        </w:rPr>
        <w:t xml:space="preserve"> </w:t>
      </w:r>
      <w:r>
        <w:rPr>
          <w:rFonts w:ascii="Times New Roman;serif" w:hAnsi="Times New Roman;serif"/>
          <w:b w:val="false"/>
          <w:color w:val="222222"/>
          <w:sz w:val="20"/>
        </w:rPr>
        <w:t xml:space="preserve">of the outstanding equity of Locusview, Ltd. and subsidiaries (collectively, Locusview) a privately held utility-focused software and services company that is based in the United States and Israel. The purchase resulted in the addition of intangible assets of </w:t>
      </w:r>
      <w:r>
        <w:rPr>
          <w:rFonts w:ascii="Times New Roman;serif" w:hAnsi="Times New Roman;serif"/>
          <w:b w:val="false"/>
          <w:color w:val="000000"/>
          <w:sz w:val="20"/>
        </w:rPr>
        <w:t>$204.5 million including $179.0 million identified customer contracts and relationships and $25.5 million of core-developed technology. The customer contracts and relationships and core-developed technology will be amortized over the ten-year and five-year useful lives, respectively, using the straight-line method. Refer to Note 5: Goodwill and Note 16: Business Combinations for additional information.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Estimated future annual amortization is as follows:</w:t>
      </w:r>
    </w:p>
    <w:tbl>
      <w:tblPr>
        <w:tblW w:w="6701" w:type="dxa"/>
        <w:jc w:val="left"/>
        <w:tblInd w:w="0" w:type="dxa"/>
        <w:tblLayout w:type="fixed"/>
        <w:tblCellMar>
          <w:top w:w="28" w:type="dxa"/>
          <w:left w:w="28" w:type="dxa"/>
          <w:bottom w:w="28" w:type="dxa"/>
          <w:right w:w="28" w:type="dxa"/>
        </w:tblCellMar>
      </w:tblPr>
      <w:tblGrid>
        <w:gridCol w:w="1199"/>
        <w:gridCol w:w="1056"/>
        <w:gridCol w:w="1059"/>
        <w:gridCol w:w="109"/>
        <w:gridCol w:w="109"/>
        <w:gridCol w:w="109"/>
        <w:gridCol w:w="485"/>
        <w:gridCol w:w="1824"/>
        <w:gridCol w:w="270"/>
        <w:gridCol w:w="109"/>
        <w:gridCol w:w="109"/>
        <w:gridCol w:w="109"/>
        <w:gridCol w:w="154"/>
      </w:tblGrid>
      <w:tr>
        <w:trPr/>
        <w:tc>
          <w:tcPr>
            <w:tcW w:w="119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Annual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(amount remaining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20,406 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38,622 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33,030 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30,925 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29,999 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113,094 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 subject to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266,076 </w:t>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6737" w:type="dxa"/>
        <w:jc w:val="center"/>
        <w:tblInd w:w="0" w:type="dxa"/>
        <w:tblLayout w:type="fixed"/>
        <w:tblCellMar>
          <w:top w:w="28" w:type="dxa"/>
          <w:left w:w="28" w:type="dxa"/>
          <w:bottom w:w="28" w:type="dxa"/>
          <w:right w:w="28" w:type="dxa"/>
        </w:tblCellMar>
      </w:tblPr>
      <w:tblGrid>
        <w:gridCol w:w="614"/>
        <w:gridCol w:w="539"/>
        <w:gridCol w:w="542"/>
        <w:gridCol w:w="224"/>
        <w:gridCol w:w="738"/>
        <w:gridCol w:w="124"/>
        <w:gridCol w:w="124"/>
        <w:gridCol w:w="124"/>
        <w:gridCol w:w="124"/>
        <w:gridCol w:w="224"/>
        <w:gridCol w:w="635"/>
        <w:gridCol w:w="124"/>
        <w:gridCol w:w="109"/>
        <w:gridCol w:w="109"/>
        <w:gridCol w:w="109"/>
        <w:gridCol w:w="204"/>
        <w:gridCol w:w="674"/>
        <w:gridCol w:w="113"/>
        <w:gridCol w:w="113"/>
        <w:gridCol w:w="113"/>
        <w:gridCol w:w="113"/>
        <w:gridCol w:w="204"/>
        <w:gridCol w:w="580"/>
        <w:gridCol w:w="160"/>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Amortization Expense</w:t>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6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11,048 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4,543 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21,715 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40" w:after="40"/>
        <w:jc w:val="both"/>
        <w:rPr>
          <w:rFonts w:ascii="Times New Roman;serif" w:hAnsi="Times New Roman;serif"/>
          <w:b w:val="false"/>
          <w:color w:val="000000"/>
          <w:sz w:val="20"/>
        </w:rPr>
      </w:pPr>
      <w:r>
        <w:rPr>
          <w:rFonts w:ascii="Times New Roman;serif" w:hAnsi="Times New Roman;serif"/>
          <w:b w:val="false"/>
          <w:color w:val="000000"/>
          <w:sz w:val="20"/>
        </w:rPr>
        <w:t>We recognize all amortization expense within amortization of intangible assets in the Consolidated Statements of Operations, except core-developed technology, which is included in cost of revenues. These expenses relate to intangible assets acquired as part of business combinations.</w:t>
      </w:r>
    </w:p>
    <w:p>
      <w:pPr>
        <w:pStyle w:val="TextBody"/>
        <w:bidi w:val="0"/>
        <w:spacing w:before="40" w:after="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Goodwill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changes in the carrying amount of goodwill for the six months ended June 30, 2026:</w:t>
      </w:r>
    </w:p>
    <w:tbl>
      <w:tblPr>
        <w:tblW w:w="10205" w:type="dxa"/>
        <w:jc w:val="left"/>
        <w:tblInd w:w="0" w:type="dxa"/>
        <w:tblLayout w:type="fixed"/>
        <w:tblCellMar>
          <w:top w:w="28" w:type="dxa"/>
          <w:left w:w="28" w:type="dxa"/>
          <w:bottom w:w="28" w:type="dxa"/>
          <w:right w:w="28" w:type="dxa"/>
        </w:tblCellMar>
      </w:tblPr>
      <w:tblGrid>
        <w:gridCol w:w="816"/>
        <w:gridCol w:w="715"/>
        <w:gridCol w:w="721"/>
        <w:gridCol w:w="338"/>
        <w:gridCol w:w="701"/>
        <w:gridCol w:w="190"/>
        <w:gridCol w:w="109"/>
        <w:gridCol w:w="109"/>
        <w:gridCol w:w="109"/>
        <w:gridCol w:w="292"/>
        <w:gridCol w:w="1100"/>
        <w:gridCol w:w="162"/>
        <w:gridCol w:w="109"/>
        <w:gridCol w:w="109"/>
        <w:gridCol w:w="109"/>
        <w:gridCol w:w="196"/>
        <w:gridCol w:w="736"/>
        <w:gridCol w:w="109"/>
        <w:gridCol w:w="109"/>
        <w:gridCol w:w="109"/>
        <w:gridCol w:w="109"/>
        <w:gridCol w:w="280"/>
        <w:gridCol w:w="1051"/>
        <w:gridCol w:w="155"/>
        <w:gridCol w:w="109"/>
        <w:gridCol w:w="109"/>
        <w:gridCol w:w="109"/>
        <w:gridCol w:w="213"/>
        <w:gridCol w:w="948"/>
        <w:gridCol w:w="174"/>
      </w:tblGrid>
      <w:tr>
        <w:trPr/>
        <w:tc>
          <w:tcPr>
            <w:tcW w:w="81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Device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Networked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Outcomes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Resiliency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Company</w:t>
            </w:r>
          </w:p>
        </w:tc>
      </w:tr>
      <w:tr>
        <w:trPr/>
        <w:tc>
          <w:tcPr>
            <w:tcW w:w="22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balance at January 1, 2026</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927,720 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254,937 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1,344,983 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Goodwill acquired </w:t>
            </w:r>
            <w:r>
              <w:rPr>
                <w:rFonts w:ascii="Times New Roman;serif" w:hAnsi="Times New Roman;serif"/>
                <w:b w:val="false"/>
                <w:color w:val="000000"/>
                <w:sz w:val="12"/>
              </w:rPr>
              <w:t>(1)</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356,515 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356,515 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change in exchange rates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balance at June 30, 2026</w:t>
            </w:r>
          </w:p>
        </w:tc>
        <w:tc>
          <w:tcPr>
            <w:tcW w:w="3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918,489 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611,384 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1,690,791 </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On January 5, 2026, we acquired Locusview, Ltd. The purchase resulted in the recognition of $357 million in goodwill allocated to our Resiliency Solutions reportable segment. Refer to Note 4: Intangible Assets and Note 16: Business Combinations for additional information on the transaction.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Debt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our borrowings were as follows:</w:t>
      </w:r>
    </w:p>
    <w:tbl>
      <w:tblPr>
        <w:tblW w:w="7487" w:type="dxa"/>
        <w:jc w:val="left"/>
        <w:tblInd w:w="0" w:type="dxa"/>
        <w:tblLayout w:type="fixed"/>
        <w:tblCellMar>
          <w:top w:w="28" w:type="dxa"/>
          <w:left w:w="28" w:type="dxa"/>
          <w:bottom w:w="28" w:type="dxa"/>
          <w:right w:w="28" w:type="dxa"/>
        </w:tblCellMar>
      </w:tblPr>
      <w:tblGrid>
        <w:gridCol w:w="1588"/>
        <w:gridCol w:w="1394"/>
        <w:gridCol w:w="1413"/>
        <w:gridCol w:w="196"/>
        <w:gridCol w:w="871"/>
        <w:gridCol w:w="109"/>
        <w:gridCol w:w="109"/>
        <w:gridCol w:w="109"/>
        <w:gridCol w:w="109"/>
        <w:gridCol w:w="255"/>
        <w:gridCol w:w="1134"/>
        <w:gridCol w:w="200"/>
      </w:tblGrid>
      <w:tr>
        <w:trPr/>
        <w:tc>
          <w:tcPr>
            <w:tcW w:w="158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Credit facility</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Multicurrency revolving line of credit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2021 Convertible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460,000 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2024 Convertible notes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805,000 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Convertible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1,265,000 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portion of debt, gross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460,000 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unamortized prepaid debt fees - current portion of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portion of debt, net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459,522 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Long-term debt, gross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805,000 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unamortized prepaid debt fees - 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16,195 </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Long-term debt, net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1,575,242 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788,805 </w:t>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25"/>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2025 Credit Facility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On September 25, 2025, we entered into a third amended and restated credit agreement (the 2025 credit facility) providing for committed credit facilities in the amount of </w:t>
      </w:r>
      <w:r>
        <w:rPr>
          <w:rFonts w:ascii="Times New Roman;serif" w:hAnsi="Times New Roman;serif"/>
          <w:b w:val="false"/>
          <w:color w:val="000000"/>
          <w:sz w:val="20"/>
        </w:rPr>
        <w:t>$750 million</w:t>
      </w:r>
      <w:r>
        <w:rPr>
          <w:rFonts w:ascii="Times New Roman;serif" w:hAnsi="Times New Roman;serif"/>
          <w:b w:val="false"/>
          <w:color w:val="000000"/>
          <w:sz w:val="20"/>
          <w:shd w:fill="FFFFFF" w:val="clear"/>
        </w:rPr>
        <w:t xml:space="preserve">. The 2025 credit facility consists of a multi-currency revolving line of credit (the revolver) in the amount of </w:t>
      </w:r>
      <w:r>
        <w:rPr>
          <w:rFonts w:ascii="Times New Roman;serif" w:hAnsi="Times New Roman;serif"/>
          <w:b w:val="false"/>
          <w:color w:val="000000"/>
          <w:sz w:val="20"/>
        </w:rPr>
        <w:t>$750 million</w:t>
      </w:r>
      <w:r>
        <w:rPr>
          <w:rFonts w:ascii="Times New Roman;serif" w:hAnsi="Times New Roman;serif"/>
          <w:b w:val="false"/>
          <w:color w:val="000000"/>
          <w:sz w:val="20"/>
          <w:shd w:fill="FFFFFF" w:val="clear"/>
        </w:rPr>
        <w:t xml:space="preserve">. The revolver includes a standby letter of credit sub-facility in the amount of </w:t>
      </w:r>
      <w:r>
        <w:rPr>
          <w:rFonts w:ascii="Times New Roman;serif" w:hAnsi="Times New Roman;serif"/>
          <w:b w:val="false"/>
          <w:color w:val="000000"/>
          <w:sz w:val="20"/>
        </w:rPr>
        <w:t>$300 million</w:t>
      </w:r>
      <w:r>
        <w:rPr>
          <w:rFonts w:ascii="Times New Roman;serif" w:hAnsi="Times New Roman;serif"/>
          <w:b w:val="false"/>
          <w:color w:val="000000"/>
          <w:sz w:val="20"/>
          <w:shd w:fill="FFFFFF" w:val="clear"/>
        </w:rPr>
        <w:t xml:space="preserve">, and a swingline sub-facility in the amount of </w:t>
      </w:r>
      <w:r>
        <w:rPr>
          <w:rFonts w:ascii="Times New Roman;serif" w:hAnsi="Times New Roman;serif"/>
          <w:b w:val="false"/>
          <w:color w:val="000000"/>
          <w:sz w:val="20"/>
        </w:rPr>
        <w:t>$50 million</w:t>
      </w:r>
      <w:r>
        <w:rPr>
          <w:rFonts w:ascii="Times New Roman;serif" w:hAnsi="Times New Roman;serif"/>
          <w:b w:val="false"/>
          <w:color w:val="000000"/>
          <w:sz w:val="20"/>
          <w:shd w:fill="FFFFFF" w:val="clear"/>
        </w:rPr>
        <w:t>. Any outstanding principal under the revolver is due at maturity on September 25, 2030. Principal amounts paid prior to the maturity date may be reborrowed prior to such date. However, that date may be advanced to April 15, 2030 if we do not settle or extend a sufficient portion of our outstanding convertible notes, as detailed in the credit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2025 credit facility, we may elect applicable market interest rates for any outstanding revolving loans. We also pay an applicable margin, which is based on its total net leverage ratio as defined in the credit agreement. The applicable rates per annum may be based on the following: (1) the Term Secured Overnight Financing Rate (SOFR), plus an applicable margin or (2) the Alternate Base Rate, plus an applicable margin. The Alternate Base Rate election is equal to the greatest of three rates: (i) the prime rate, (ii) the Federal Reserve effective rate plus 0.50%, or (iii) SOFR plus 1.00%. Committed amounts not borrowed under the revolver are subject to a commitment fee (paid quarterly in arrears). The spreads applicable to SOFR and the annual committee fee rates are, as follows:</w:t>
      </w:r>
    </w:p>
    <w:p>
      <w:pPr>
        <w:pStyle w:val="TextBody"/>
        <w:bidi w:val="0"/>
        <w:spacing w:before="0" w:after="0"/>
        <w:jc w:val="both"/>
        <w:rPr/>
      </w:pPr>
      <w:r>
        <w:rPr/>
      </w:r>
    </w:p>
    <w:tbl>
      <w:tblPr>
        <w:tblW w:w="5632" w:type="dxa"/>
        <w:jc w:val="left"/>
        <w:tblInd w:w="0" w:type="dxa"/>
        <w:tblLayout w:type="fixed"/>
        <w:tblCellMar>
          <w:top w:w="28" w:type="dxa"/>
          <w:left w:w="28" w:type="dxa"/>
          <w:bottom w:w="28" w:type="dxa"/>
          <w:right w:w="28" w:type="dxa"/>
        </w:tblCellMar>
      </w:tblPr>
      <w:tblGrid>
        <w:gridCol w:w="739"/>
        <w:gridCol w:w="649"/>
        <w:gridCol w:w="651"/>
        <w:gridCol w:w="109"/>
        <w:gridCol w:w="109"/>
        <w:gridCol w:w="109"/>
        <w:gridCol w:w="489"/>
        <w:gridCol w:w="489"/>
        <w:gridCol w:w="492"/>
        <w:gridCol w:w="109"/>
        <w:gridCol w:w="109"/>
        <w:gridCol w:w="109"/>
        <w:gridCol w:w="430"/>
        <w:gridCol w:w="430"/>
        <w:gridCol w:w="609"/>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Net Leverage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 Fee</w:t>
            </w:r>
          </w:p>
        </w:tc>
      </w:tr>
      <w:tr>
        <w:trPr/>
        <w:tc>
          <w:tcPr>
            <w:tcW w:w="20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Greater than 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SOFR + 175.0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30.0 bps</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2.51 to 3.50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SOFR + 150.0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25.0 bps</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1.51 to 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SOFR + 137.5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20.0 bps</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than or equal to 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SOFR + 125.0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17.5 bps</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2025 credit facility permits us and certain of our foreign subsidiaries to borrow in U.S. dollars, euros, or, with lender approval, other currencies readily convertible into U.S. dollars. All obligations under the 2025 credit facility are guaranteed by Itron, Inc. and material U.S. domestic subsidiaries and are secured by a pledge of substantially all of the assets of Itron, Inc. and material U.S. domestic subsidiaries. This included a pledge of 100% of the capital stock of material U.S. domestic subsidiaries and up to 66% of the voting stock (100% of the non-voting stock) of first-tier foreign subsidiaries. In addition, the obligations of any foreign subsidiary who is a foreign borrower, as defined by the 2025 credit facility, are guaranteed by the foreign subsidiary and by its direct and indirect foreign parents. The 2025 credit facility includes debt covenants, which contained certain financial thresholds and placed certain restrictions on the incurrence of debt, investments, and the issuance of dividends. We are in compliance with the debt covenants under the 2025 credit facility at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no outstanding loan balances under the 2025 credit facility and $43.1 million was utilized by outstanding standby letters of credit, resulting in $706.9 million available for additional borrowings. As of June 30, 2026, $256.9 million was available for additional standby letters of credit under the letter of credit sub-facility and no amounts were outstanding under the swingline sub-facility.</w:t>
      </w:r>
    </w:p>
    <w:p>
      <w:pPr>
        <w:pStyle w:val="TextBody"/>
        <w:bidi w:val="0"/>
        <w:spacing w:before="0" w:after="0"/>
        <w:ind w:left="0" w:right="0" w:firstLine="225"/>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Convertible Notes</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2021 Notes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12, 2021, we closed the sale of $460 million of convertible notes in a private placement to qualified institutional buyers, resulting in net proceeds to us of $448.5 million after deducting initial purchasers' discounts of the offering. The 2021 Notes did not bear regular interest, and the principal amount did not accrete. The 2021 Notes matured on March 15, 2026 and were repaid in full on March 16, 2026. </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2024 Notes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21, 2024, we closed the sale of $805 million of convertible notes in a private placement to qualified institutional buyers, resulting in net proceeds to us of $784 million after deducting initial purchasers' discounts of the offering. The 2024 Notes accrue interest at a rate of 1.375% per annum, payable semi-annually in arrears on January 15 and July 15 of each year, beginning on January 15, 2025. The 2024 Notes mature on July 15, 2030, unless earlier repurchased, redeemed, or converted in accordance with their terms.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initial conversion rate of the 2024 Notes is 7.6199 shares of our common stock per $1,000 principal amount of notes, which is equivalent to an initial conversion price of approximately $131.24 per share. The conversion rate of the notes is subject to adjustment upon the occurrence of certain specified events. In addition, upon the occurrence of a make-whole fundamental change (as defined in the indenture governing the convertible notes) or upon a notice of redemption, we will, in certain circumstances, increase the conversion rate for a holder that elects to convert its notes in connection with such make-whole fundamental change or notice of redemption, as the case may be.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the close of business on the business day immediately preceding April 15, 2030, the 2024 Notes are convertible at the option of the holders only under the following circumstances: (1) during any calendar quarter commencing after the calendar quarter ending on September 30, 2024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the notes for each trading day of the measurement period was less than 98% of the product of the last reported sale price of the common stock and the conversion rate on each such trading day; (3) upon the occurrence of specified corporate events; or (4) upon redemption by us. On or after April 15, 2030, until the close of business on the second scheduled trading day immediately preceding July 15, 2030, holders of the notes may convert all or a portion of their notes at any time. Upon conversion, we will pay cash up to the aggregate principal amount of the notes to be converted and pay and/or deliver, as the case may be, cash, shares of common stock or a combination of cash and shares of common stock, at our election, in respect of the remainder, if any, of our conversion obligation in excess of the aggregate principal amount of the notes being converted.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Subsequent to July 20, 2028 and prior to April 15, 2030, we may redeem for cash all or part of the 2024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However, we may not redeem less than all of the outstanding notes unless at least $100.0 million aggregate principal amount of notes are outstanding and not called for redemption as of the time we send related redemption notices. The redemption price of each note to be redeemed will be the principal amount of such note, plus accrued and unpaid special interest, if any. Upon the occurrence of a fundamental change (as defined in the indenture governing the 2024 Notes), subject to a limited exception described in the indenture governing the notes, holders may require us to repurchase all or a portion of their notes for cash at a price equal to plus accrued and unpaid special interest to, but not including, the fundamental change repurchase date (as defined in the indenture governing the 2024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2024 Notes are senior unsecured obligations and rank equally in right of payment with all of our existing and future unsubordinated debt and senior in right of payment to any future debt that is expressly subordinated in right of payment to the notes. The notes will be effectively subordinated to any of our existing and future secured debt to the extent of the assets securing such indebtedness. The notes will be structurally subordinated to all existing debt and any future debt and any other liabilities of our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2026 Notes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23, 2026, we closed the sale of $805 million of convertible notes in a private placement to qualified institutional buyers, resulting in net proceeds to us of $784 million after deducting initial purchasers' discounts of the offering. The 2026 Notes do not bear regular interest, and the principal amount does not accrete. The 2026 Notes mature on March 15, 2032, unless earlier repurchased, redeemed, or converted in accordance with their terms.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initial conversion rate of the 2026 Notes is 8.0793 shares of our common stock per $1,000 principal amount of notes, which is equivalent to an initial conversion price of approximately $123.77 per share. The conversion rate of the notes is subject to adjustment upon the occurrence of certain specified events. In addition, upon the occurrence of a make-whole fundamental change (as defined in the indenture) or upon delivery of a notice of redemption, we will, in certain circumstances, increase the conversion rate for a holder that elects to convert its notes in connection with such make-whole fundamental change or notice of redemption, as the case may be.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the close of business on the business day immediately preceding December 15, 2031, the 2026 Notes are convertible at the option of the holders only under the following circumstances: (1) during any calendar quarter commencing after the calendar quarter ending on June 30, 2026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the notes for each trading day of the measurement period was less than 98% of the product of the last reported sale price of the common stock and the conversion rate on each such trading day; (3) upon the occurrence of specified corporate events; or (4) upon redemption by us. On or after December 15, 2031, until the close of business on the second scheduled trading day immediately preceding March 15, 2032, holders of the notes may convert all or a portion of their notes at any time. Upon conversion, we will pay cash up to the aggregate principal amount of the notes to be converted and pay and/or deliver, as the case may be, cash, shares of common stock or a combination of cash and shares of common stock, at our election, in respect of the remainder, if any, of our conversion obligation in excess of the aggregate principal amount of the notes being converted.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 sinking fund is provided for the 2026 Notes. Subsequent to March 20, 2030 and prior to December 15, 2031, we may redeem for cash all or part of the 2026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However, we may not redeem less than all of the outstanding notes unless at least $100.0 million aggregate principal amount of notes are outstanding and not called for redemption as of the time we send related redemption notices. The redemption price of each note to be redeemed will be the principal amount of such note, plus accrued and unpaid additional interest, if any. Upon the occurrence of a fundamental change (as defined in the indenture governing the 2026 Notes), subject to a limited exception described in the indenture governing the notes, holders may require us to repurchase all or a portion of their notes for cash at a price equal to 100% of the principal amounts of the 2026 Notes plus accrued and unpaid additional interest to, but not including, the fundamental change repurchase date (as defined in the indenture governing the 2026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2026 Notes are senior unsecured obligations and rank equally in right of payment with all of our existing and future unsubordinated debt and senior in right of payment to any future debt that is expressly subordinated in right of payment to the notes. The notes will be effectively subordinated to any of our existing and future secured debt to the extent of the assets securing such indebtedness. The notes will be structurally subordinated to all existing debt and any future debt and any other liabilities of our subsidiaries.</w:t>
      </w:r>
    </w:p>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Debt Maturities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amount of required minimum principal payments on our debt in aggregate over the next five years is as follows:</w:t>
      </w:r>
    </w:p>
    <w:tbl>
      <w:tblPr>
        <w:tblW w:w="4846" w:type="dxa"/>
        <w:jc w:val="left"/>
        <w:tblInd w:w="0" w:type="dxa"/>
        <w:tblLayout w:type="fixed"/>
        <w:tblCellMar>
          <w:top w:w="28" w:type="dxa"/>
          <w:left w:w="28" w:type="dxa"/>
          <w:bottom w:w="28" w:type="dxa"/>
          <w:right w:w="28" w:type="dxa"/>
        </w:tblCellMar>
      </w:tblPr>
      <w:tblGrid>
        <w:gridCol w:w="1136"/>
        <w:gridCol w:w="998"/>
        <w:gridCol w:w="1001"/>
        <w:gridCol w:w="274"/>
        <w:gridCol w:w="1220"/>
        <w:gridCol w:w="217"/>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Ending December 31,</w:t>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Minimum Payments</w:t>
            </w:r>
          </w:p>
        </w:tc>
      </w:tr>
      <w:tr>
        <w:trPr/>
        <w:tc>
          <w:tcPr>
            <w:tcW w:w="3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(amount remaining at June 30, 2026)</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805,000 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805,000 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minimum payments on debt</w:t>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1,610,000 </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Derivative Financial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part of our risk management strategy, we use derivative instruments to hedge certain foreign currency and interest rate exposures. Refer to Note 12: Shareholders' Equity for additional disclosures on our derivative instruments.</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Derivatives Not Designated as Hedging Relationships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June 30, 2026, a total of 36 contracts were offsetting our exposures from the euro, pound sterling, Indonesian rupiah, Canadian dollar, Australian dollar, and various other currencies, with notional amounts ranging from $118,850 to $26.6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will continue to monitor and assess our interest rate and foreign exchange risk and may institute additional derivative instruments to manage such risk in the future.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Defined Benefit Pension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sponsor both funded and unfunded defined benefit pension plans offering death and disability, retirement, and special termination benefits for certain of our international employees, primarily in Germany, France, India, and Indonesia. The defined benefit obligation is calculated annually by using the projected unit credit method. The measurement date for the pension plans was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recognized on the Consolidated Balance Sheets consist of:</w:t>
      </w:r>
    </w:p>
    <w:tbl>
      <w:tblPr>
        <w:tblW w:w="8516" w:type="dxa"/>
        <w:jc w:val="left"/>
        <w:tblInd w:w="0" w:type="dxa"/>
        <w:tblLayout w:type="fixed"/>
        <w:tblCellMar>
          <w:top w:w="28" w:type="dxa"/>
          <w:left w:w="28" w:type="dxa"/>
          <w:bottom w:w="28" w:type="dxa"/>
          <w:right w:w="28" w:type="dxa"/>
        </w:tblCellMar>
      </w:tblPr>
      <w:tblGrid>
        <w:gridCol w:w="1973"/>
        <w:gridCol w:w="1728"/>
        <w:gridCol w:w="1744"/>
        <w:gridCol w:w="238"/>
        <w:gridCol w:w="785"/>
        <w:gridCol w:w="132"/>
        <w:gridCol w:w="109"/>
        <w:gridCol w:w="109"/>
        <w:gridCol w:w="109"/>
        <w:gridCol w:w="313"/>
        <w:gridCol w:w="1031"/>
        <w:gridCol w:w="245"/>
      </w:tblGrid>
      <w:tr>
        <w:trPr/>
        <w:tc>
          <w:tcPr>
            <w:tcW w:w="1973"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4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Plan assets in other long-term assets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pension benefit obligation in wages and benefits payable</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portion of pension benefit obligation</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59,874 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61,998 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benefit obligation, net</w:t>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64,464 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66,040 </w:t>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periodic pension benefit cost for our plans include the following components:</w:t>
      </w:r>
    </w:p>
    <w:tbl>
      <w:tblPr>
        <w:tblW w:w="7732" w:type="dxa"/>
        <w:jc w:val="left"/>
        <w:tblInd w:w="0" w:type="dxa"/>
        <w:tblLayout w:type="fixed"/>
        <w:tblCellMar>
          <w:top w:w="28" w:type="dxa"/>
          <w:left w:w="28" w:type="dxa"/>
          <w:bottom w:w="28" w:type="dxa"/>
          <w:right w:w="28" w:type="dxa"/>
        </w:tblCellMar>
      </w:tblPr>
      <w:tblGrid>
        <w:gridCol w:w="934"/>
        <w:gridCol w:w="819"/>
        <w:gridCol w:w="826"/>
        <w:gridCol w:w="109"/>
        <w:gridCol w:w="233"/>
        <w:gridCol w:w="663"/>
        <w:gridCol w:w="130"/>
        <w:gridCol w:w="130"/>
        <w:gridCol w:w="130"/>
        <w:gridCol w:w="130"/>
        <w:gridCol w:w="233"/>
        <w:gridCol w:w="663"/>
        <w:gridCol w:w="130"/>
        <w:gridCol w:w="109"/>
        <w:gridCol w:w="109"/>
        <w:gridCol w:w="109"/>
        <w:gridCol w:w="213"/>
        <w:gridCol w:w="605"/>
        <w:gridCol w:w="118"/>
        <w:gridCol w:w="118"/>
        <w:gridCol w:w="118"/>
        <w:gridCol w:w="118"/>
        <w:gridCol w:w="213"/>
        <w:gridCol w:w="605"/>
        <w:gridCol w:w="167"/>
      </w:tblGrid>
      <w:tr>
        <w:trPr/>
        <w:tc>
          <w:tcPr>
            <w:tcW w:w="93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cost</w:t>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cost</w:t>
            </w:r>
          </w:p>
        </w:tc>
        <w:tc>
          <w:tcPr>
            <w:tcW w:w="109" w:type="dxa"/>
            <w:tcBorders/>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return on plan assets</w:t>
            </w:r>
          </w:p>
        </w:tc>
        <w:tc>
          <w:tcPr>
            <w:tcW w:w="109" w:type="dxa"/>
            <w:tcBorders/>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prior service costs</w:t>
            </w:r>
          </w:p>
        </w:tc>
        <w:tc>
          <w:tcPr>
            <w:tcW w:w="109" w:type="dxa"/>
            <w:tcBorders/>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actuarial net loss</w:t>
            </w:r>
          </w:p>
        </w:tc>
        <w:tc>
          <w:tcPr>
            <w:tcW w:w="109" w:type="dxa"/>
            <w:tcBorders/>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periodic benefit cost</w:t>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2,499 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2,544 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net periodic benefit cost, other than the service cost component, are included in total other income (expense) on the Consolidated Statements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Stock-Based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grant stock-based compensation awards, including restricted stock units, phantom stock, and unrestricted stock units, under the Second Amended and Restated 2010 Stock Incentive Plan (Stock Incentive Plan). Prior to December 31, 2020, stock options were also granted as part of the stock-based compensation awards. In the Stock Incentive Plan, we have 13,991,273 shares of common stock authorized for issuance subject to stock splits, dividends, and other similar events, and at June 30, 2026, 2,818,822 shares were available for grant. We issue new shares of common stock upon the exercise of stock options or when vesting conditions on restricted stock units are fully satisfied. These shares are subject to a fungible share provision such that the authorized share available for grant under the Plan is reduced by (i) one share for every one share subject to a stock option or share appreciation right granted and (ii) 1.7 shares for every one share of common stock that was subject to an award other than an option or share appreciation right.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award phantom stock units, which are settled in cash upon vesting and accounted for as liability-based awards, with no impact to the shares available for grant.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maintain the Employee Stock Purchase Plan (ESPP), for which 418,671 shares of common stock were available for future issuance at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ESPP activity and stock-based grants other than restricted stock units were not significant for the three and six months ended June 30, 2026 and 2025.</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erif" w:hAnsi="Times New Roman;serif"/>
          <w:b w:val="false"/>
          <w:i/>
          <w:color w:val="000000"/>
          <w:sz w:val="20"/>
        </w:rPr>
      </w:pPr>
      <w:r>
        <w:rPr>
          <w:rFonts w:ascii="Times New Roman;serif" w:hAnsi="Times New Roman;serif"/>
          <w:b w:val="false"/>
          <w:i/>
          <w:color w:val="000000"/>
          <w:sz w:val="20"/>
        </w:rPr>
        <w:t>Stock-Based Compensation Expense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stock-based compensation expense and the related tax benefit were as follows:</w:t>
      </w:r>
    </w:p>
    <w:tbl>
      <w:tblPr>
        <w:tblW w:w="7428" w:type="dxa"/>
        <w:jc w:val="left"/>
        <w:tblInd w:w="0" w:type="dxa"/>
        <w:tblLayout w:type="fixed"/>
        <w:tblCellMar>
          <w:top w:w="28" w:type="dxa"/>
          <w:left w:w="28" w:type="dxa"/>
          <w:bottom w:w="28" w:type="dxa"/>
          <w:right w:w="28" w:type="dxa"/>
        </w:tblCellMar>
      </w:tblPr>
      <w:tblGrid>
        <w:gridCol w:w="863"/>
        <w:gridCol w:w="757"/>
        <w:gridCol w:w="764"/>
        <w:gridCol w:w="215"/>
        <w:gridCol w:w="708"/>
        <w:gridCol w:w="119"/>
        <w:gridCol w:w="119"/>
        <w:gridCol w:w="119"/>
        <w:gridCol w:w="119"/>
        <w:gridCol w:w="215"/>
        <w:gridCol w:w="708"/>
        <w:gridCol w:w="119"/>
        <w:gridCol w:w="109"/>
        <w:gridCol w:w="109"/>
        <w:gridCol w:w="109"/>
        <w:gridCol w:w="196"/>
        <w:gridCol w:w="647"/>
        <w:gridCol w:w="109"/>
        <w:gridCol w:w="109"/>
        <w:gridCol w:w="109"/>
        <w:gridCol w:w="109"/>
        <w:gridCol w:w="196"/>
        <w:gridCol w:w="647"/>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16,618 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Unrestricted stock awards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Phantom stock units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stock-based compensation</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13,519 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18,705 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35,962 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tax benefit</w:t>
            </w:r>
          </w:p>
        </w:tc>
        <w:tc>
          <w:tcPr>
            <w:tcW w:w="2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2,970 </w:t>
            </w:r>
          </w:p>
        </w:tc>
        <w:tc>
          <w:tcPr>
            <w:tcW w:w="1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4,140 </w:t>
            </w:r>
          </w:p>
        </w:tc>
        <w:tc>
          <w:tcPr>
            <w:tcW w:w="1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8,212 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our stock option activity is as follows:</w:t>
      </w:r>
    </w:p>
    <w:tbl>
      <w:tblPr>
        <w:tblW w:w="10117" w:type="dxa"/>
        <w:jc w:val="left"/>
        <w:tblInd w:w="0" w:type="dxa"/>
        <w:tblLayout w:type="fixed"/>
        <w:tblCellMar>
          <w:top w:w="28" w:type="dxa"/>
          <w:left w:w="28" w:type="dxa"/>
          <w:bottom w:w="28" w:type="dxa"/>
          <w:right w:w="28" w:type="dxa"/>
        </w:tblCellMar>
      </w:tblPr>
      <w:tblGrid>
        <w:gridCol w:w="803"/>
        <w:gridCol w:w="707"/>
        <w:gridCol w:w="709"/>
        <w:gridCol w:w="344"/>
        <w:gridCol w:w="344"/>
        <w:gridCol w:w="348"/>
        <w:gridCol w:w="109"/>
        <w:gridCol w:w="109"/>
        <w:gridCol w:w="109"/>
        <w:gridCol w:w="321"/>
        <w:gridCol w:w="911"/>
        <w:gridCol w:w="179"/>
        <w:gridCol w:w="109"/>
        <w:gridCol w:w="109"/>
        <w:gridCol w:w="109"/>
        <w:gridCol w:w="505"/>
        <w:gridCol w:w="505"/>
        <w:gridCol w:w="506"/>
        <w:gridCol w:w="109"/>
        <w:gridCol w:w="109"/>
        <w:gridCol w:w="109"/>
        <w:gridCol w:w="259"/>
        <w:gridCol w:w="856"/>
        <w:gridCol w:w="146"/>
        <w:gridCol w:w="109"/>
        <w:gridCol w:w="109"/>
        <w:gridCol w:w="109"/>
        <w:gridCol w:w="354"/>
        <w:gridCol w:w="733"/>
        <w:gridCol w:w="279"/>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 Exercise</w:t>
              <w:b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br/>
              <w:t>Remaining</w:t>
              <w:br/>
              <w:t>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 Grant</w:t>
              <w:br/>
              <w:t>Date Fair Value</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January 1, 2025</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Canceled</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June 30, 2025</w:t>
            </w:r>
          </w:p>
        </w:tc>
        <w:tc>
          <w:tcPr>
            <w:tcW w:w="6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3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January 1, 2026</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Canceled</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June 30, 2026</w:t>
            </w:r>
          </w:p>
        </w:tc>
        <w:tc>
          <w:tcPr>
            <w:tcW w:w="6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Exercisable, June 30, 2026</w:t>
            </w:r>
          </w:p>
        </w:tc>
        <w:tc>
          <w:tcPr>
            <w:tcW w:w="68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34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75.89 </w:t>
            </w:r>
          </w:p>
        </w:tc>
        <w:tc>
          <w:tcPr>
            <w:tcW w:w="17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2,031 </w:t>
            </w:r>
          </w:p>
        </w:tc>
        <w:tc>
          <w:tcPr>
            <w:tcW w:w="1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2026, all stock-based compensation expense related to nonvested stock options has been recognized.</w:t>
      </w:r>
    </w:p>
    <w:p>
      <w:pPr>
        <w:pStyle w:val="TextBody"/>
        <w:bidi w:val="0"/>
        <w:spacing w:before="0" w:after="0"/>
        <w:jc w:val="left"/>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stock unit activity:</w:t>
      </w:r>
    </w:p>
    <w:tbl>
      <w:tblPr>
        <w:tblW w:w="7976" w:type="dxa"/>
        <w:jc w:val="left"/>
        <w:tblInd w:w="0" w:type="dxa"/>
        <w:tblLayout w:type="fixed"/>
        <w:tblCellMar>
          <w:top w:w="28" w:type="dxa"/>
          <w:left w:w="28" w:type="dxa"/>
          <w:bottom w:w="28" w:type="dxa"/>
          <w:right w:w="28" w:type="dxa"/>
        </w:tblCellMar>
      </w:tblPr>
      <w:tblGrid>
        <w:gridCol w:w="1036"/>
        <w:gridCol w:w="913"/>
        <w:gridCol w:w="915"/>
        <w:gridCol w:w="610"/>
        <w:gridCol w:w="610"/>
        <w:gridCol w:w="611"/>
        <w:gridCol w:w="109"/>
        <w:gridCol w:w="109"/>
        <w:gridCol w:w="109"/>
        <w:gridCol w:w="300"/>
        <w:gridCol w:w="853"/>
        <w:gridCol w:w="168"/>
        <w:gridCol w:w="109"/>
        <w:gridCol w:w="109"/>
        <w:gridCol w:w="109"/>
        <w:gridCol w:w="257"/>
        <w:gridCol w:w="847"/>
        <w:gridCol w:w="202"/>
      </w:tblGrid>
      <w:tr>
        <w:trPr/>
        <w:tc>
          <w:tcPr>
            <w:tcW w:w="103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fair value</w:t>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b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 Grant</w:t>
              <w:br/>
              <w: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 Value</w:t>
            </w:r>
          </w:p>
        </w:tc>
      </w:tr>
      <w:tr>
        <w:trPr/>
        <w:tc>
          <w:tcPr>
            <w:tcW w:w="28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January 1, 2025</w:t>
            </w:r>
          </w:p>
        </w:tc>
        <w:tc>
          <w:tcPr>
            <w:tcW w:w="12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831 </w:t>
            </w:r>
          </w:p>
        </w:tc>
        <w:tc>
          <w:tcPr>
            <w:tcW w:w="6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Released </w:t>
            </w:r>
            <w:r>
              <w:rPr>
                <w:rFonts w:ascii="Times New Roman;serif" w:hAnsi="Times New Roman;serif"/>
                <w:b w:val="false"/>
                <w:color w:val="000000"/>
                <w:sz w:val="12"/>
              </w:rPr>
              <w:t>(1)</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46,091 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June 30, 2025</w:t>
            </w:r>
          </w:p>
        </w:tc>
        <w:tc>
          <w:tcPr>
            <w:tcW w:w="12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658 </w:t>
            </w:r>
          </w:p>
        </w:tc>
        <w:tc>
          <w:tcPr>
            <w:tcW w:w="6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January 1, 2026</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Released </w:t>
            </w:r>
            <w:r>
              <w:rPr>
                <w:rFonts w:ascii="Times New Roman;serif" w:hAnsi="Times New Roman;serif"/>
                <w:b w:val="false"/>
                <w:color w:val="000000"/>
                <w:sz w:val="12"/>
              </w:rPr>
              <w:t>(1)</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47,870 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June 30, 2026</w:t>
            </w:r>
          </w:p>
        </w:tc>
        <w:tc>
          <w:tcPr>
            <w:tcW w:w="12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6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 but not released, June 30, 2026</w:t>
            </w:r>
          </w:p>
        </w:tc>
        <w:tc>
          <w:tcPr>
            <w:tcW w:w="122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6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1,718 </w:t>
            </w:r>
          </w:p>
        </w:tc>
        <w:tc>
          <w:tcPr>
            <w:tcW w:w="20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Shares released is presented as gross shares and does not reflect shares withheld by us for employee payroll tax obligations.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2026, total unrecognized compensation expense on restricted stock units was $63.5 million, which is expected to be recognized over a weighted average period of approximately 1.7 years.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weighted average assumptions used to estimate the fair value of performance-based restricted stock units granted with a service and market condition and the resulting weighted average fair value are as follows:</w:t>
      </w:r>
    </w:p>
    <w:tbl>
      <w:tblPr>
        <w:tblW w:w="6006" w:type="dxa"/>
        <w:jc w:val="left"/>
        <w:tblInd w:w="0" w:type="dxa"/>
        <w:tblLayout w:type="fixed"/>
        <w:tblCellMar>
          <w:top w:w="28" w:type="dxa"/>
          <w:left w:w="28" w:type="dxa"/>
          <w:bottom w:w="28" w:type="dxa"/>
          <w:right w:w="28" w:type="dxa"/>
        </w:tblCellMar>
      </w:tblPr>
      <w:tblGrid>
        <w:gridCol w:w="754"/>
        <w:gridCol w:w="664"/>
        <w:gridCol w:w="666"/>
        <w:gridCol w:w="109"/>
        <w:gridCol w:w="109"/>
        <w:gridCol w:w="185"/>
        <w:gridCol w:w="185"/>
        <w:gridCol w:w="333"/>
        <w:gridCol w:w="1097"/>
        <w:gridCol w:w="434"/>
        <w:gridCol w:w="109"/>
        <w:gridCol w:w="109"/>
        <w:gridCol w:w="109"/>
        <w:gridCol w:w="196"/>
        <w:gridCol w:w="646"/>
        <w:gridCol w:w="30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470" w:type="dxa"/>
            <w:gridSpan w:val="6"/>
            <w:tcBorders/>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4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term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110.31 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determine the interim tax benefit (provision) by applying an estimate of the annual effective tax rate to the year-to-date pretax book income (loss) and adjusting for discrete items during the reporting period, if any. Tax jurisdictions with losses for which tax benefits cannot be realized, as well as significant unusual or infrequently occurring items that are separately reported, are excluded from the annual effective tax 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tax rate for the three and six months ended June 30, 2026 of 33% and 27% differed from the federal statutory rate of 21% due to the impact of valuation allowances on deferred tax assets, the forecasted mix of earnings in domestic and international jurisdictions, an intra-entity asset transfer, the effect of cross-border tax laws, nondeductible executive compensation, a benefit related to stock-based compensation, tax credits, state taxes, and uncertain tax positions. During the second quarter we completed an intra-entity asset transfer, resulting in an increase in our tax rate compared with the first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tax rate for the three and six months ended June 30, 2025 of 18% and 19% differed from with the federal statutory rate of 21% and overall was impacted by the effect of valuation allowances on deferred tax assets, the forecasted mix of earnings in domestic and international jurisdictions, the effect of cross-border tax laws, nondeductible executive compensation, a benefit related to stock-based compensation, tax credits, state taxes, and uncertain tax positions.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sweeping legislative package formally titled "An act to provide for reconciliation pursuant to title II of H. Con. Res. 14" (the "Act"), and commonly referred to as the One Big Beautiful Bill Act, was signed into law on July 4, 2025. The legislation included numerous changes to existing tax law that took effect in 2026. There were also changes that were retroactive to the beginning of 2025, including the deductibility of current and previously capitalized domestic research and development costs. These changes did not have a significant impact on our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Organization for Economic Cooperation and Development (OECD) guidance under the Base Erosion and Profit Shifting (BEPS) initiative aims to minimize perceived tax abuses and modernize global tax policy, including the implementation of a global minimum effective tax rate of 15%. In December 2022, the Council of the European Union adopted OECD Pillar 2 for implementation by European Union member states by December 31, 2023. The resulting legislation in most countries where Itron has significant operations took effect for calendar year 2024. We filed our Global Information Return relating to tax year 2024, which resulted in no material top-up taxes. The OECD released further guidance on January 6, 2026, which included new and revised safe harbor rules, including a new permanent safe harbor, and the framework for a "side-by-side" agreement that would exempt US-based multinational companies from all top-up taxes, other than qualified domestic top-up taxes imposed on subsidiaries in their countries of residence. Enactment through legislation will be required in order for this additional guidance to be effective and is expected to only be effective for years after 2025. These enactments or amendments could adversely affect our tax rate and ultimately result in a negative impact on our operating results and cash flows. Consistent with calculations for calendar years 2024 and 2025, the Company anticipates it will meet the safe harbors in most jurisdictions in 2026, and any remaining top-up tax should be immaterial.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classify interest expense and penalties related to unrecognized tax benefits and interest income on tax overpayments as components of income tax expense. The net interest and penalties expense recognized were as follows:</w:t>
      </w:r>
    </w:p>
    <w:tbl>
      <w:tblPr>
        <w:tblW w:w="7545" w:type="dxa"/>
        <w:jc w:val="left"/>
        <w:tblInd w:w="0" w:type="dxa"/>
        <w:tblLayout w:type="fixed"/>
        <w:tblCellMar>
          <w:top w:w="28" w:type="dxa"/>
          <w:left w:w="28" w:type="dxa"/>
          <w:bottom w:w="28" w:type="dxa"/>
          <w:right w:w="28" w:type="dxa"/>
        </w:tblCellMar>
      </w:tblPr>
      <w:tblGrid>
        <w:gridCol w:w="907"/>
        <w:gridCol w:w="795"/>
        <w:gridCol w:w="802"/>
        <w:gridCol w:w="269"/>
        <w:gridCol w:w="578"/>
        <w:gridCol w:w="149"/>
        <w:gridCol w:w="149"/>
        <w:gridCol w:w="149"/>
        <w:gridCol w:w="149"/>
        <w:gridCol w:w="269"/>
        <w:gridCol w:w="578"/>
        <w:gridCol w:w="149"/>
        <w:gridCol w:w="109"/>
        <w:gridCol w:w="109"/>
        <w:gridCol w:w="109"/>
        <w:gridCol w:w="213"/>
        <w:gridCol w:w="605"/>
        <w:gridCol w:w="118"/>
        <w:gridCol w:w="118"/>
        <w:gridCol w:w="118"/>
        <w:gridCol w:w="118"/>
        <w:gridCol w:w="213"/>
        <w:gridCol w:w="605"/>
        <w:gridCol w:w="167"/>
      </w:tblGrid>
      <w:tr>
        <w:trPr/>
        <w:tc>
          <w:tcPr>
            <w:tcW w:w="90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and penalties expense</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interest and penalties recognized were as follows:</w:t>
      </w:r>
    </w:p>
    <w:tbl>
      <w:tblPr>
        <w:tblW w:w="4450" w:type="dxa"/>
        <w:jc w:val="left"/>
        <w:tblInd w:w="0" w:type="dxa"/>
        <w:tblLayout w:type="fixed"/>
        <w:tblCellMar>
          <w:top w:w="28" w:type="dxa"/>
          <w:left w:w="28" w:type="dxa"/>
          <w:bottom w:w="28" w:type="dxa"/>
          <w:right w:w="28" w:type="dxa"/>
        </w:tblCellMar>
      </w:tblPr>
      <w:tblGrid>
        <w:gridCol w:w="500"/>
        <w:gridCol w:w="438"/>
        <w:gridCol w:w="441"/>
        <w:gridCol w:w="263"/>
        <w:gridCol w:w="746"/>
        <w:gridCol w:w="146"/>
        <w:gridCol w:w="109"/>
        <w:gridCol w:w="109"/>
        <w:gridCol w:w="109"/>
        <w:gridCol w:w="343"/>
        <w:gridCol w:w="976"/>
        <w:gridCol w:w="270"/>
      </w:tblGrid>
      <w:tr>
        <w:trPr/>
        <w:tc>
          <w:tcPr>
            <w:tcW w:w="50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3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5,188 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3,909 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penalties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Unrecognized tax benefits related to uncertain tax positions and the amount of unrecognized tax benefits that, if recognized, would affect our effective tax rate were as follows:</w:t>
      </w:r>
    </w:p>
    <w:tbl>
      <w:tblPr>
        <w:tblW w:w="9836" w:type="dxa"/>
        <w:jc w:val="left"/>
        <w:tblInd w:w="0" w:type="dxa"/>
        <w:tblLayout w:type="fixed"/>
        <w:tblCellMar>
          <w:top w:w="28" w:type="dxa"/>
          <w:left w:w="28" w:type="dxa"/>
          <w:bottom w:w="28" w:type="dxa"/>
          <w:right w:w="28" w:type="dxa"/>
        </w:tblCellMar>
      </w:tblPr>
      <w:tblGrid>
        <w:gridCol w:w="2448"/>
        <w:gridCol w:w="2150"/>
        <w:gridCol w:w="2167"/>
        <w:gridCol w:w="238"/>
        <w:gridCol w:w="785"/>
        <w:gridCol w:w="132"/>
        <w:gridCol w:w="109"/>
        <w:gridCol w:w="109"/>
        <w:gridCol w:w="109"/>
        <w:gridCol w:w="313"/>
        <w:gridCol w:w="1031"/>
        <w:gridCol w:w="245"/>
      </w:tblGrid>
      <w:tr>
        <w:trPr/>
        <w:tc>
          <w:tcPr>
            <w:tcW w:w="2448"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7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Unrecognized tax benefits related to uncertain tax positions</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69,021 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68,926 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The amount of unrecognized tax benefits that, if recognized, would affect our effective tax rate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69,008 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68,913 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2026,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file income tax returns in various jurisdictions. The material jurisdictions where we are subject to examination include, among others, the United States, Canada, France, Germany, India, Italy, Indonesia, Israel, and the United Kingdom.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Commitments and Contingencies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Guarantees and Indemnifications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often required to obtain standby letters of credit (LOCs) or bonds in support of our obligations for customer contracts. These standby LOCs or bonds typically provide a guarantee to the customer for our future performance, which typically covers the installation phase of a contract and may, on occasion, cover the operations and maintenance phase of outsourcing contracts.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available lines of credit, outstanding standby LOCs, and bonds were as follows:</w:t>
      </w:r>
    </w:p>
    <w:tbl>
      <w:tblPr>
        <w:tblW w:w="9342" w:type="dxa"/>
        <w:jc w:val="left"/>
        <w:tblInd w:w="0" w:type="dxa"/>
        <w:tblLayout w:type="fixed"/>
        <w:tblCellMar>
          <w:top w:w="28" w:type="dxa"/>
          <w:left w:w="28" w:type="dxa"/>
          <w:bottom w:w="28" w:type="dxa"/>
          <w:right w:w="28" w:type="dxa"/>
        </w:tblCellMar>
      </w:tblPr>
      <w:tblGrid>
        <w:gridCol w:w="2266"/>
        <w:gridCol w:w="1989"/>
        <w:gridCol w:w="2015"/>
        <w:gridCol w:w="217"/>
        <w:gridCol w:w="817"/>
        <w:gridCol w:w="121"/>
        <w:gridCol w:w="109"/>
        <w:gridCol w:w="109"/>
        <w:gridCol w:w="109"/>
        <w:gridCol w:w="287"/>
        <w:gridCol w:w="1078"/>
        <w:gridCol w:w="225"/>
      </w:tblGrid>
      <w:tr>
        <w:trPr/>
        <w:tc>
          <w:tcPr>
            <w:tcW w:w="2266"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2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facility</w:t>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Multicurrency revolving line of credit</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Standby LOCs issued and outstanding</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(43,115)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(43,824)</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available for additional borrowings under the multicurrency revolving line of credit</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706,885 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706,176 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available for additional standby LOCs under sub-facility</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256,885 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256,176 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Unsecured multicurrency revolving lines of credit with various financial institutions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Multicurrency revolving lines of credit</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98,128 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Standby LOCs issued and outstanding</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(25,815)</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available for additional borrowings and LOCs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72,313 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Unsecured surety bonds in force</w:t>
            </w:r>
          </w:p>
        </w:tc>
        <w:tc>
          <w:tcPr>
            <w:tcW w:w="2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658,127 </w:t>
            </w:r>
          </w:p>
        </w:tc>
        <w:tc>
          <w:tcPr>
            <w:tcW w:w="1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522,098 </w:t>
            </w:r>
          </w:p>
        </w:tc>
        <w:tc>
          <w:tcPr>
            <w:tcW w:w="22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event any such standby LOC or bond were called, we would be obligated to reimburse the issuer of the standby LOC or bond. As of July 28, 2026, we are not aware of any valid claims against our outstanding standby LOCs or bonds.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Legal Matters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would be recognized and charged to operating expense when we determine that a loss is probable and the amount can be reasonably estimated. Additionally, we disclose contingencies for which a material loss is reasonably possible, but not probable.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Warranty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the warranty accrual account activity is as follows:</w:t>
      </w:r>
    </w:p>
    <w:tbl>
      <w:tblPr>
        <w:tblW w:w="7879" w:type="dxa"/>
        <w:jc w:val="left"/>
        <w:tblInd w:w="0" w:type="dxa"/>
        <w:tblLayout w:type="fixed"/>
        <w:tblCellMar>
          <w:top w:w="28" w:type="dxa"/>
          <w:left w:w="28" w:type="dxa"/>
          <w:bottom w:w="28" w:type="dxa"/>
          <w:right w:w="28" w:type="dxa"/>
        </w:tblCellMar>
      </w:tblPr>
      <w:tblGrid>
        <w:gridCol w:w="1027"/>
        <w:gridCol w:w="900"/>
        <w:gridCol w:w="908"/>
        <w:gridCol w:w="215"/>
        <w:gridCol w:w="708"/>
        <w:gridCol w:w="119"/>
        <w:gridCol w:w="119"/>
        <w:gridCol w:w="119"/>
        <w:gridCol w:w="119"/>
        <w:gridCol w:w="215"/>
        <w:gridCol w:w="708"/>
        <w:gridCol w:w="119"/>
        <w:gridCol w:w="109"/>
        <w:gridCol w:w="109"/>
        <w:gridCol w:w="109"/>
        <w:gridCol w:w="196"/>
        <w:gridCol w:w="647"/>
        <w:gridCol w:w="109"/>
        <w:gridCol w:w="109"/>
        <w:gridCol w:w="109"/>
        <w:gridCol w:w="109"/>
        <w:gridCol w:w="196"/>
        <w:gridCol w:w="647"/>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8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20,311 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22,517 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product warranties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 and expirations, net</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Claims activity</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change in exchange rates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9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17,949 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20,767 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 of warranty</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warranty</w:t>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7,078 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7,455 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Total warranty expense is classified within cost of revenues and consists of new product warranties issued, costs related to insurance and supplier recoveries, other changes and adjustments to warranties, and customer claims.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Warranty expense was as follows:</w:t>
      </w:r>
    </w:p>
    <w:tbl>
      <w:tblPr>
        <w:tblW w:w="6816" w:type="dxa"/>
        <w:jc w:val="left"/>
        <w:tblInd w:w="0" w:type="dxa"/>
        <w:tblLayout w:type="fixed"/>
        <w:tblCellMar>
          <w:top w:w="28" w:type="dxa"/>
          <w:left w:w="28" w:type="dxa"/>
          <w:bottom w:w="28" w:type="dxa"/>
          <w:right w:w="28" w:type="dxa"/>
        </w:tblCellMar>
      </w:tblPr>
      <w:tblGrid>
        <w:gridCol w:w="641"/>
        <w:gridCol w:w="562"/>
        <w:gridCol w:w="567"/>
        <w:gridCol w:w="241"/>
        <w:gridCol w:w="609"/>
        <w:gridCol w:w="134"/>
        <w:gridCol w:w="134"/>
        <w:gridCol w:w="134"/>
        <w:gridCol w:w="134"/>
        <w:gridCol w:w="241"/>
        <w:gridCol w:w="683"/>
        <w:gridCol w:w="134"/>
        <w:gridCol w:w="109"/>
        <w:gridCol w:w="109"/>
        <w:gridCol w:w="109"/>
        <w:gridCol w:w="213"/>
        <w:gridCol w:w="605"/>
        <w:gridCol w:w="118"/>
        <w:gridCol w:w="118"/>
        <w:gridCol w:w="118"/>
        <w:gridCol w:w="118"/>
        <w:gridCol w:w="213"/>
        <w:gridCol w:w="605"/>
        <w:gridCol w:w="167"/>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7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warranty expense</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4,058 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3,892 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Shareholders' Equity</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Preferred Stock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authorized the issuance of 10 million shares of preferred stock with no par value. In the event of a liquidation, dissolution, or winding up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June 30, 2026 or December 31, 2025.</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Stock Repurchase Programs</w:t>
      </w:r>
    </w:p>
    <w:p>
      <w:pPr>
        <w:pStyle w:val="TextBody"/>
        <w:bidi w:val="0"/>
        <w:spacing w:lineRule="auto" w:line="288" w:before="0" w:after="60"/>
        <w:jc w:val="both"/>
        <w:rPr>
          <w:rFonts w:ascii="Times New Roman;serif" w:hAnsi="Times New Roman;serif"/>
          <w:b w:val="false"/>
          <w:color w:val="222222"/>
          <w:sz w:val="20"/>
        </w:rPr>
      </w:pPr>
      <w:r>
        <w:rPr>
          <w:rFonts w:ascii="Times New Roman;serif" w:hAnsi="Times New Roman;serif"/>
          <w:b w:val="false"/>
          <w:color w:val="222222"/>
          <w:sz w:val="20"/>
        </w:rPr>
        <w:t>On May 6, 2026, the Company's Board of Directors authorized a new share repurchase program of up to $200 million of Itron's common stock over an 18-month period, effective May 8, 2026 (the 2026 Stock Repurchase Program). Repurchases will be made in the open market and pursuant to the terms of any Rule 10b5-1 plans that Itron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 No repurchases to date under the 2026 Stock Repurchase Program.</w:t>
      </w:r>
    </w:p>
    <w:p>
      <w:pPr>
        <w:pStyle w:val="TextBody"/>
        <w:bidi w:val="0"/>
        <w:spacing w:before="0" w:after="6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Effective November 10, 2025, Itron's Board of Directors authorized a repurchase up to $250 million of our common stock over an 18-month period (the 2025 Stock Repurchase Program). Repurchases will be made in the open market and pursuant to the terms of any Rule 10b5-1 plans that Itron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 </w:t>
      </w:r>
      <w:r>
        <w:rPr>
          <w:rFonts w:ascii="Times New Roman;serif" w:hAnsi="Times New Roman;serif"/>
          <w:b w:val="false"/>
          <w:color w:val="222222"/>
          <w:sz w:val="20"/>
        </w:rPr>
        <w:t xml:space="preserve">In February 2026, we repurchased </w:t>
      </w:r>
      <w:r>
        <w:rPr>
          <w:rFonts w:ascii="Times New Roman;serif" w:hAnsi="Times New Roman;serif"/>
          <w:b w:val="false"/>
          <w:color w:val="000000"/>
          <w:sz w:val="20"/>
        </w:rPr>
        <w:t>1,050,309</w:t>
      </w:r>
      <w:r>
        <w:rPr>
          <w:color w:val="222222"/>
        </w:rPr>
        <w:t xml:space="preserve"> </w:t>
      </w:r>
      <w:r>
        <w:rPr>
          <w:rFonts w:ascii="Times New Roman;serif" w:hAnsi="Times New Roman;serif"/>
          <w:b w:val="false"/>
          <w:color w:val="222222"/>
          <w:sz w:val="20"/>
        </w:rPr>
        <w:t xml:space="preserve">shares of common stock for a total of </w:t>
      </w:r>
      <w:r>
        <w:rPr>
          <w:rFonts w:ascii="Times New Roman;serif" w:hAnsi="Times New Roman;serif"/>
          <w:b w:val="false"/>
          <w:color w:val="000000"/>
          <w:sz w:val="20"/>
        </w:rPr>
        <w:t>$100 million</w:t>
      </w:r>
      <w:r>
        <w:rPr>
          <w:rFonts w:ascii="Times New Roman;serif" w:hAnsi="Times New Roman;serif"/>
          <w:b w:val="false"/>
          <w:color w:val="222222"/>
          <w:sz w:val="20"/>
        </w:rPr>
        <w:t>. F</w:t>
      </w:r>
      <w:r>
        <w:rPr>
          <w:rFonts w:ascii="Times New Roman;serif" w:hAnsi="Times New Roman;serif"/>
          <w:b w:val="false"/>
          <w:color w:val="000000"/>
          <w:sz w:val="20"/>
        </w:rPr>
        <w:t>or the second quarter of 2026, we repurchased 644,188 shares of common stock for a total of $52.2 million.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2021 Call Option Transactions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paid an aggregate amount of $84.1 million for the 2021 call option transactions. The 2021 call option transactions covered, subject to anti-dilution adjustments substantially similar to those in the 2021 Notes, approximately 3.7 million shares of our common stock, the same number of shares initially underlying the 2021 Notes, at a strike price of approximately $126.00, subject to customary adjustments. The 2021 call option transactions expired upon the maturity of the 2021 Notes. The 2021 call option transactions met the criteria in ASC 815-40 to be classified within Stockholders' Equity, and therefore were not revalued after their issuance. We made a tax election to integrate the 2021 Notes and the 2021 call option transactions. We retained the identification statements in our books and records, together with a schedule providing the accruals on the synthetic debt instruments. The accounting impact of this tax election made the call options deductible as original issue discount for tax purposes over the term of the 2021 Notes, and resulted in a $20.6 million deferred tax asset recognized through equity. </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Warrant Transactions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concurrently with entering into the 2021 call option transactions, we separately entered into privately-negotiated warrant transactions (the warrant transactions), whereby we sold to the counterparties warrants to acquire, collectively, subject to anti-dilution adjustments, 3.7 million shares of our common stock at an initial strike price of $180.00 per share, which represents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begin to expire in June 2026. If the market value per share of our common stock, as measured under the warrant transactions, exceeds the strike price of the warrants, the warrants will have a dilutive effect on our earnings per share, unless we elect, subject to certain conditions, to settle the warrants in cash. The warrants meet the criteria in ASC 815-40 to be classified within Stockholders' Equity, and therefore the warrants are not revalued after issuance. The warrants will fully expire in October 2026.</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2024 Capped Call Transactions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2024 Notes, we entered into privately negotiated capped call transactions on our common stock with certain commercial banks. The 2024 capped call transactions cover, subject to anti-dilution adjustments substantially similar to those in the 2024 Notes, approximately 6.1 million shares of our common stock, the same number of shares initially underlying the convertible notes, at a strike price of approximately $131.2353, subject to customary adjustments. The cap price of the 2024 capped call transactions will initially be $205.86 per share, which represents a premium of 100% over the last reported stock price per share of the Company's common stock on June 17, 2024, and is subject to certain adjustments under the terms of the 2024 capped call transactions. The 2024 capped call transactions will expire upon the maturity of the 2024 Notes, subject to earlier exercise or termination.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made a tax election to integrate the 2024 Notes and the 2024 capped call transactions. We are retaining the identification statements in our books and records, together with a schedule providing the accruals on the synthetic debt instruments. The accounting impact of this tax election makes the capped call transactions deductible as original issue discount for tax purposes over the term of the 2024 Notes, and results in a $26.7 million deferred tax asset recognized through equity.</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2026 Capped Call Transactions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2026 Notes, we entered into privately negotiated capped call transactions on our common stock with certain commercial banks. The 2026 capped call transactions cover, subject to anti-dilution adjustments substantially similar to those in the 2026 Notes, approximately 6.5 million shares of our common stock, the same number of shares initially underlying the convertible notes, at a strike price of approximately $123.77, subject to customary adjustments. The cap price of the 2026 capped call transactions will initially be $190.42 per share, which represents a premium of 100% over the last reported stock price per share of the Company's common stock on February 23, 2026, and is subject to certain adjustments under the terms of the 2026 capped call transactions. The 2026 capped call transactions will expire upon the maturity of the 2026 Notes, subject to earlier exercise or termination.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made a tax election to integrate the 2026 Notes and the 2026 capped call transactions. We are retaining the identification statements in our books and records, together with a schedule providing the accruals on the synthetic debt instruments. The accounting impact of this tax election makes the capped call transactions deductible as original issue discount for tax purposes over the term of the 2026 Notes, and results in a $22.4 million deferred tax asset recognized through equity.</w:t>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Accumulated Other Comprehensive Income (Loss)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changes in the components of accumulated other comprehensive income (loss) (AOCI), net of tax, were as follows:</w:t>
      </w:r>
    </w:p>
    <w:tbl>
      <w:tblPr>
        <w:tblW w:w="10205" w:type="dxa"/>
        <w:jc w:val="left"/>
        <w:tblInd w:w="0" w:type="dxa"/>
        <w:tblLayout w:type="fixed"/>
        <w:tblCellMar>
          <w:top w:w="28" w:type="dxa"/>
          <w:left w:w="28" w:type="dxa"/>
          <w:bottom w:w="28" w:type="dxa"/>
          <w:right w:w="28" w:type="dxa"/>
        </w:tblCellMar>
      </w:tblPr>
      <w:tblGrid>
        <w:gridCol w:w="745"/>
        <w:gridCol w:w="352"/>
        <w:gridCol w:w="355"/>
        <w:gridCol w:w="281"/>
        <w:gridCol w:w="950"/>
        <w:gridCol w:w="157"/>
        <w:gridCol w:w="109"/>
        <w:gridCol w:w="109"/>
        <w:gridCol w:w="109"/>
        <w:gridCol w:w="380"/>
        <w:gridCol w:w="849"/>
        <w:gridCol w:w="213"/>
        <w:gridCol w:w="109"/>
        <w:gridCol w:w="109"/>
        <w:gridCol w:w="109"/>
        <w:gridCol w:w="320"/>
        <w:gridCol w:w="1083"/>
        <w:gridCol w:w="180"/>
        <w:gridCol w:w="109"/>
        <w:gridCol w:w="109"/>
        <w:gridCol w:w="109"/>
        <w:gridCol w:w="307"/>
        <w:gridCol w:w="875"/>
        <w:gridCol w:w="173"/>
        <w:gridCol w:w="109"/>
        <w:gridCol w:w="109"/>
        <w:gridCol w:w="109"/>
        <w:gridCol w:w="296"/>
        <w:gridCol w:w="1138"/>
        <w:gridCol w:w="243"/>
      </w:tblGrid>
      <w:tr>
        <w:trPr/>
        <w:tc>
          <w:tcPr>
            <w:tcW w:w="74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Unrealized Gain (Loss)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Unrealized Gain (Loss) on Nonderivative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Pension Benefit Obligation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r>
      <w:tr>
        <w:trPr/>
        <w:tc>
          <w:tcPr>
            <w:tcW w:w="14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January 1, 2025</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(97,556)</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(14,380)</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2,215 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(109,931)</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OCI before reclassifications</w:t>
            </w:r>
          </w:p>
        </w:tc>
        <w:tc>
          <w:tcPr>
            <w:tcW w:w="12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50,168 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50,178 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AOCI</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 (loss)</w:t>
            </w:r>
          </w:p>
        </w:tc>
        <w:tc>
          <w:tcPr>
            <w:tcW w:w="12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50,168 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50,062 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June 30, 2025</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(47,388)</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(14,380)</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(59,869)</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January 1, 2026</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(46,603)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(56,505)</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OCI before reclassifications</w:t>
            </w:r>
          </w:p>
        </w:tc>
        <w:tc>
          <w:tcPr>
            <w:tcW w:w="12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(17,703)</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(17,703)</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AOCI</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 (loss)</w:t>
            </w:r>
          </w:p>
        </w:tc>
        <w:tc>
          <w:tcPr>
            <w:tcW w:w="12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(17,703)</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(17,916)</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June 30, 2026</w:t>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(64,306)</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(14,380)</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4,475 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(74,421)</w:t>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before-tax, income tax (provision) benefit, and net-of-tax amounts related to each component of other comprehensive income (OCI) were as follows:</w:t>
      </w:r>
    </w:p>
    <w:tbl>
      <w:tblPr>
        <w:tblW w:w="10052" w:type="dxa"/>
        <w:jc w:val="left"/>
        <w:tblInd w:w="0" w:type="dxa"/>
        <w:tblLayout w:type="fixed"/>
        <w:tblCellMar>
          <w:top w:w="28" w:type="dxa"/>
          <w:left w:w="28" w:type="dxa"/>
          <w:bottom w:w="28" w:type="dxa"/>
          <w:right w:w="28" w:type="dxa"/>
        </w:tblCellMar>
      </w:tblPr>
      <w:tblGrid>
        <w:gridCol w:w="1788"/>
        <w:gridCol w:w="1567"/>
        <w:gridCol w:w="1579"/>
        <w:gridCol w:w="216"/>
        <w:gridCol w:w="697"/>
        <w:gridCol w:w="120"/>
        <w:gridCol w:w="120"/>
        <w:gridCol w:w="120"/>
        <w:gridCol w:w="120"/>
        <w:gridCol w:w="216"/>
        <w:gridCol w:w="713"/>
        <w:gridCol w:w="120"/>
        <w:gridCol w:w="109"/>
        <w:gridCol w:w="109"/>
        <w:gridCol w:w="109"/>
        <w:gridCol w:w="196"/>
        <w:gridCol w:w="721"/>
        <w:gridCol w:w="109"/>
        <w:gridCol w:w="109"/>
        <w:gridCol w:w="109"/>
        <w:gridCol w:w="109"/>
        <w:gridCol w:w="196"/>
        <w:gridCol w:w="646"/>
        <w:gridCol w:w="154"/>
      </w:tblGrid>
      <w:tr>
        <w:trPr/>
        <w:tc>
          <w:tcPr>
            <w:tcW w:w="1788"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Before-tax amount</w:t>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36,795 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Net unrealized gain (loss) on defined benefit plans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defined benefit plan (gain) loss reclassified to net income</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other comprehensive income (loss), before tax</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(5,224)</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36,734 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50,299 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Tax (provision) benefit</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Net unrealized gain (loss) on defined benefit plans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defined benefit plan (gain) loss reclassified to net income</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other comprehensive income (loss) tax (provision) benefit</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Net-of-tax amount</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36,570 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Net unrealized gain (loss) on defined benefit plans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defined benefit plan (gain) loss reclassified to net income</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other comprehensive income (loss), net of tax</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(5,090)</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36,514 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(17,916)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50,062 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Fair Value of Financial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values at June 30, 2026 and December 31, 2025 do not reflect subsequent changes in the economy, interest rates, tax rates, and other variables that may affect the determination of fair value.</w:t>
      </w:r>
    </w:p>
    <w:tbl>
      <w:tblPr>
        <w:tblW w:w="7753" w:type="dxa"/>
        <w:jc w:val="left"/>
        <w:tblInd w:w="0" w:type="dxa"/>
        <w:tblLayout w:type="fixed"/>
        <w:tblCellMar>
          <w:top w:w="28" w:type="dxa"/>
          <w:left w:w="28" w:type="dxa"/>
          <w:bottom w:w="28" w:type="dxa"/>
          <w:right w:w="28" w:type="dxa"/>
        </w:tblCellMar>
      </w:tblPr>
      <w:tblGrid>
        <w:gridCol w:w="1003"/>
        <w:gridCol w:w="880"/>
        <w:gridCol w:w="892"/>
        <w:gridCol w:w="283"/>
        <w:gridCol w:w="588"/>
        <w:gridCol w:w="125"/>
        <w:gridCol w:w="109"/>
        <w:gridCol w:w="109"/>
        <w:gridCol w:w="109"/>
        <w:gridCol w:w="283"/>
        <w:gridCol w:w="588"/>
        <w:gridCol w:w="109"/>
        <w:gridCol w:w="109"/>
        <w:gridCol w:w="109"/>
        <w:gridCol w:w="109"/>
        <w:gridCol w:w="283"/>
        <w:gridCol w:w="588"/>
        <w:gridCol w:w="125"/>
        <w:gridCol w:w="109"/>
        <w:gridCol w:w="109"/>
        <w:gridCol w:w="109"/>
        <w:gridCol w:w="283"/>
        <w:gridCol w:w="588"/>
        <w:gridCol w:w="154"/>
      </w:tblGrid>
      <w:tr>
        <w:trPr/>
        <w:tc>
          <w:tcPr>
            <w:tcW w:w="100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facility</w:t>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Multicurrency revolving line of credit</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notes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1,575,242 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1,248,327 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methods and assumptions were used in estimating fair values: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Cash and cash equivalents:</w:t>
      </w:r>
      <w:r>
        <w:rPr>
          <w:color w:val="000000"/>
        </w:rPr>
        <w:t xml:space="preserve"> </w:t>
      </w:r>
      <w:r>
        <w:rPr>
          <w:rFonts w:ascii="Times New Roman;serif" w:hAnsi="Times New Roman;serif"/>
          <w:b w:val="false"/>
          <w:color w:val="000000"/>
          <w:sz w:val="20"/>
        </w:rPr>
        <w:t>Due to the liquid nature of these instruments, the carrying amount approximates fair value (Level 1).</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Credit facility - multicurrency revolving line of credit (revolver): </w:t>
      </w:r>
      <w:r>
        <w:rPr>
          <w:rFonts w:ascii="Times New Roman;serif" w:hAnsi="Times New Roman;serif"/>
          <w:b w:val="false"/>
          <w:color w:val="000000"/>
          <w:sz w:val="20"/>
        </w:rPr>
        <w:t>The revolver is not traded publicly. When there are amounts borrowed and outstanding, the fair values, which are determined based upon a hypothetical market participant, are calculated using a discounted cash flow model with Level 2 inputs, including estimates of incremental borrowing rates for debt with similar terms, maturities, and credit profiles. Refer to Note 6: Debt for further discussion of our debt.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Convertible notes:</w:t>
      </w:r>
      <w:r>
        <w:rPr>
          <w:color w:val="000000"/>
        </w:rPr>
        <w:t xml:space="preserve"> </w:t>
      </w:r>
      <w:r>
        <w:rPr>
          <w:rFonts w:ascii="Times New Roman;serif" w:hAnsi="Times New Roman;serif"/>
          <w:b w:val="false"/>
          <w:color w:val="000000"/>
          <w:sz w:val="20"/>
        </w:rPr>
        <w:t>The convertible notes are not listed on any securities exchange but may be actively traded. The fair value is estimated using Level 1 inputs, as it is based on quoted prices for these instruments in active markets.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    Segment Information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under the Itron brand worldwide and manage and report under four reportable segments: Device Solutions, Networked Solutions, Outcomes, and Resiliency Solutions. Resiliency Solutions is a new reportable segment starting in the fourth quarter of 2025. We define these segments based on the structure in which internally reported financial information is regularly provided to the chief operating decision maker (CODM) to analyze financial performance, make strategic decisions, and allocate resources. The Company's CODM is the chief executive officer.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Segment Products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Device Solutions</w:t>
      </w:r>
      <w:r>
        <w:rPr>
          <w:color w:val="000000"/>
        </w:rPr>
        <w:t xml:space="preserve"> – </w:t>
      </w:r>
      <w:r>
        <w:rPr>
          <w:rFonts w:ascii="Times New Roman;serif" w:hAnsi="Times New Roman;serif"/>
          <w:b w:val="false"/>
          <w:color w:val="000000"/>
          <w:sz w:val="20"/>
        </w:rPr>
        <w:t>This segment primarily includes hardware products used for measurement, control, or sensing. Examples from the Device Solutions portfolio include: standard endpoints that are shipped without Itron communications, such as our standard electricity, gas, and water meters for a variety of global markets and adhering to regulations and standards within those markets, as well as our heat and allocation products; communicating meters designed to operate outside of Itron end-to-end solutions and designed to meet market requirements; and the implementation and installation of associated devices.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Networked Solutions</w:t>
      </w:r>
      <w:r>
        <w:rPr>
          <w:color w:val="000000"/>
        </w:rPr>
        <w:t xml:space="preserve"> – </w:t>
      </w:r>
      <w:r>
        <w:rPr>
          <w:rFonts w:ascii="Times New Roman;serif" w:hAnsi="Times New Roman;serif"/>
          <w:b w:val="false"/>
          <w:color w:val="000000"/>
          <w:sz w:val="20"/>
        </w:rPr>
        <w:t>This segment primarily includes a combination of communicating endpoints (e.g., smart meters, modules, endpoints, and sensors), network infrastructure, network design services, and associated headend management and application software designed and sold as a complete solution for acquiring and transporting robust application-specific data. Networked Solutions includes products, software and services for the implementation, installation, and management of communicating endpoints and data networks. The Industrial Internet of Things (IIoT) solutions supported by this segment include automated meter reading (AMR) and advanced metering infrastructure (AMI) for electricity, water, and gas; distributed energy resource management (DERMs); grid edge devices; distribution automation communications; smart lighting; and smart city sensors and applications. Our IIoT platform allows utility and smart city applications to be run and managed on a flexible, secure, and interoperable multi-purpose network.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Outcomes</w:t>
      </w:r>
      <w:r>
        <w:rPr>
          <w:color w:val="000000"/>
        </w:rPr>
        <w:t xml:space="preserve"> – </w:t>
      </w:r>
      <w:r>
        <w:rPr>
          <w:rFonts w:ascii="Times New Roman;serif" w:hAnsi="Times New Roman;serif"/>
          <w:b w:val="false"/>
          <w:color w:val="000000"/>
          <w:sz w:val="20"/>
        </w:rPr>
        <w:t xml:space="preserve">This segment primarily includes our value-added, enhanced software and services, including use of distributed compute to manage, organize, analyze, and interpret raw, anonymized data using artificial intelligence, machine learning, statistical modeling, and other analytics. This delivers new value for utilities, municipalities, and cities through improving decision making, maximizing operational profitability, engaging consumers, ensuring safety, enhancing resource efficiency, and improving grid resiliency and reliability. Outcomes supports high-value use cases, such as data management, grid planning and operations, AMI operations, gas distribution safety, non-revenue water reduction, revenue assurance, distributed energy resources (DER) management, energy forecasting, consumer engagement, and smart payment. Utilities leverage these outcomes to unlock the capabilities of their networks and devices, improve the productivity of their workforce, increase the reliability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their operations, manage and optimize the proliferation of DERs, address grid complexity, and enhance the customer experience. Revenue from these offerings are primarily recurring in nature and would include any direct management of Device Solutions, Networked Solutions, and other third-parties' products on behalf of our end customers.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Resiliency Solutions </w:t>
      </w:r>
      <w:r>
        <w:rPr>
          <w:color w:val="000000"/>
        </w:rPr>
        <w:t xml:space="preserve">– </w:t>
      </w:r>
      <w:r>
        <w:rPr>
          <w:rFonts w:ascii="Times New Roman;serif" w:hAnsi="Times New Roman;serif"/>
          <w:b w:val="false"/>
          <w:color w:val="000000"/>
          <w:sz w:val="20"/>
        </w:rPr>
        <w:t>This segment primarily includes software and services for worker safety, emergency preparedness and response, damage prevention, and digital construction management for critical infrastructure providers and their supporting contractors. These solutions enable utilities to plan smarter, respond faster, and operate more safely and are enhanced through the use of artificial intelligence-based models to predict events to aid in compliance, incident remedy, and prevention.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Intersegment revenues are minimal. Certain operating expenses are allocated to the reportable segments based upon internally established allocation methodologies. Corporate operating expenses, interest income, interest expense, other income (expense), and the income tax provision (benefit) are neither allocated to the segments, nor are they included in the measure of segment performance. These amounts are not included in the significant segment expense amounts below. Goodwill impairment charges are recognized in Corporate unallocated. No asset information for reportable segments is provided to the CODM. We do not manage the performance of the segments on a balance sheet basis. Other income (expense) primarily includes interest income, interest expense, and amortization of prepaid debt fees, and is not allocated to our segments.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CODM assesses the segments' performance primarily by using each segment's adjusted operating income, predominantly in the annual budget and periodic forecasting processes. The CODM considers budget-to-actual and forecast-to-actual variances for these measures when making decisions about the allocation of operating and capital resources to each segment, including evaluating pricing strategy. Prior to the fourth quarter of 2025, the CODM used gross margin as the primary segment performance metric. Starting in the fourth quarter of 2025, the CODM believes adjusted segment operating income provides a more complete metric for allocating resources and assessing segment performance in line with our recent business acquisition and exclusion of amortization of core-developed technology.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about our reportable segments and Corporate unallocated and the reconciliation to income before income taxes was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04"/>
        <w:gridCol w:w="809"/>
        <w:gridCol w:w="816"/>
        <w:gridCol w:w="109"/>
        <w:gridCol w:w="109"/>
        <w:gridCol w:w="109"/>
        <w:gridCol w:w="225"/>
        <w:gridCol w:w="845"/>
        <w:gridCol w:w="125"/>
        <w:gridCol w:w="109"/>
        <w:gridCol w:w="109"/>
        <w:gridCol w:w="109"/>
        <w:gridCol w:w="257"/>
        <w:gridCol w:w="968"/>
        <w:gridCol w:w="143"/>
        <w:gridCol w:w="109"/>
        <w:gridCol w:w="109"/>
        <w:gridCol w:w="109"/>
        <w:gridCol w:w="196"/>
        <w:gridCol w:w="646"/>
        <w:gridCol w:w="109"/>
        <w:gridCol w:w="109"/>
        <w:gridCol w:w="109"/>
        <w:gridCol w:w="109"/>
        <w:gridCol w:w="280"/>
        <w:gridCol w:w="798"/>
        <w:gridCol w:w="157"/>
        <w:gridCol w:w="109"/>
        <w:gridCol w:w="109"/>
        <w:gridCol w:w="109"/>
        <w:gridCol w:w="196"/>
        <w:gridCol w:w="736"/>
        <w:gridCol w:w="160"/>
      </w:tblGrid>
      <w:tr>
        <w:trPr/>
        <w:tc>
          <w:tcPr>
            <w:tcW w:w="110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Device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Networked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Outcomes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Resiliency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7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110,940 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309,201 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453,462 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30,037 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111,445 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339,238 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562,902 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cost of revenues</w:t>
            </w:r>
            <w:r>
              <w:rPr>
                <w:color w:val="000000"/>
              </w:rPr>
              <w:t xml:space="preserve">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72,686 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194,084 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sales,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31,521 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112,061 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Reconciliation of adjusted 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core-developed technology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unallocated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(89,864)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80,206 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Excludes amortization of core-developed technology intangible assets.</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Device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Networked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Outcomes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Resiliency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7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234,668 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630,348 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931,263 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59,553 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218,621 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235,822 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689,901 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31,852 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1,149,884 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cost of revenues</w:t>
            </w:r>
            <w:r>
              <w:rPr>
                <w:color w:val="000000"/>
              </w:rPr>
              <w:t xml:space="preserve">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401,674 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sales,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51,564 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68,413 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222,197 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342,214 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Reconciliation of adjusted 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core-developed technology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unallocated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(193,506)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147,401 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Excludes amortization of core-developed technology intangible assets.</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375"/>
        <w:gridCol w:w="1133"/>
        <w:gridCol w:w="1142"/>
        <w:gridCol w:w="109"/>
        <w:gridCol w:w="109"/>
        <w:gridCol w:w="109"/>
        <w:gridCol w:w="242"/>
        <w:gridCol w:w="911"/>
        <w:gridCol w:w="135"/>
        <w:gridCol w:w="109"/>
        <w:gridCol w:w="109"/>
        <w:gridCol w:w="109"/>
        <w:gridCol w:w="294"/>
        <w:gridCol w:w="1108"/>
        <w:gridCol w:w="163"/>
        <w:gridCol w:w="109"/>
        <w:gridCol w:w="109"/>
        <w:gridCol w:w="109"/>
        <w:gridCol w:w="196"/>
        <w:gridCol w:w="646"/>
        <w:gridCol w:w="109"/>
        <w:gridCol w:w="109"/>
        <w:gridCol w:w="109"/>
        <w:gridCol w:w="109"/>
        <w:gridCol w:w="109"/>
        <w:gridCol w:w="109"/>
        <w:gridCol w:w="196"/>
        <w:gridCol w:w="871"/>
        <w:gridCol w:w="158"/>
      </w:tblGrid>
      <w:tr>
        <w:trPr/>
        <w:tc>
          <w:tcPr>
            <w:tcW w:w="137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4"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1334" w:type="dxa"/>
            <w:gridSpan w:val="4"/>
            <w:tcBorders/>
          </w:tcPr>
          <w:p>
            <w:pPr>
              <w:pStyle w:val="TableContents"/>
              <w:bidi w:val="0"/>
              <w:spacing w:before="0" w:after="283"/>
              <w:jc w:val="left"/>
              <w:rPr>
                <w:sz w:val="4"/>
                <w:szCs w:val="4"/>
              </w:rPr>
            </w:pPr>
            <w:r>
              <w:rPr>
                <w:sz w:val="4"/>
                <w:szCs w:val="4"/>
              </w:rPr>
            </w:r>
          </w:p>
        </w:tc>
      </w:tr>
      <w:tr>
        <w:trPr/>
        <w:tc>
          <w:tcPr>
            <w:tcW w:w="3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Device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Networked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Outcomes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6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111,939 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379,481 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517,184 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112,760 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408,934 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606,761 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cost of revenues</w:t>
            </w:r>
            <w:r>
              <w:rPr>
                <w:color w:val="000000"/>
              </w:rPr>
              <w:t xml:space="preserve">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79,169 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251,691 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sales,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28,767 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120,999 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Reconciliation of adjusted 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core-developed technology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unallocated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(85,727)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83,482 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871" w:type="dxa"/>
            <w:gridSpan w:val="2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Excludes amortization of core-developed technology intangible assets.</w:t>
            </w:r>
          </w:p>
        </w:tc>
        <w:tc>
          <w:tcPr>
            <w:tcW w:w="1334" w:type="dxa"/>
            <w:gridSpan w:val="4"/>
            <w:tcBorders/>
          </w:tcPr>
          <w:p>
            <w:pPr>
              <w:pStyle w:val="TableContents"/>
              <w:bidi w:val="0"/>
              <w:spacing w:before="0" w:after="283"/>
              <w:jc w:val="left"/>
              <w:rPr>
                <w:sz w:val="4"/>
                <w:szCs w:val="4"/>
              </w:rPr>
            </w:pPr>
            <w:r>
              <w:rPr>
                <w:sz w:val="4"/>
                <w:szCs w:val="4"/>
              </w:rPr>
            </w:r>
          </w:p>
        </w:tc>
      </w:tr>
      <w:tr>
        <w:trPr/>
        <w:tc>
          <w:tcPr>
            <w:tcW w:w="3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4"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c>
          <w:tcPr>
            <w:tcW w:w="1334" w:type="dxa"/>
            <w:gridSpan w:val="4"/>
            <w:tcBorders/>
          </w:tcPr>
          <w:p>
            <w:pPr>
              <w:pStyle w:val="TableContents"/>
              <w:bidi w:val="0"/>
              <w:spacing w:before="0" w:after="283"/>
              <w:jc w:val="left"/>
              <w:rPr>
                <w:sz w:val="4"/>
                <w:szCs w:val="4"/>
              </w:rPr>
            </w:pPr>
            <w:r>
              <w:rPr>
                <w:sz w:val="4"/>
                <w:szCs w:val="4"/>
              </w:rPr>
            </w:r>
          </w:p>
        </w:tc>
      </w:tr>
      <w:tr>
        <w:trPr/>
        <w:tc>
          <w:tcPr>
            <w:tcW w:w="3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Device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Networked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Outcomes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6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237,326 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754,003 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1,040,325 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57,663 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173,587 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238,631 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811,666 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1,213,912 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cost of revenues</w:t>
            </w:r>
            <w:r>
              <w:rPr>
                <w:color w:val="000000"/>
              </w:rPr>
              <w:t xml:space="preserve">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167,287 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505,709 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sales,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54,692 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55,925 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237,108 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Reconciliation of adjusted 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core-developed technology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unallocated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(170,424)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165,761 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871" w:type="dxa"/>
            <w:gridSpan w:val="25"/>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Excludes amortization of core-developed technology intangible assets.</w:t>
            </w:r>
          </w:p>
        </w:tc>
        <w:tc>
          <w:tcPr>
            <w:tcW w:w="1334"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no single customer represented more than 10% of total company revenue.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Revenues by region were as follows:</w:t>
      </w:r>
    </w:p>
    <w:tbl>
      <w:tblPr>
        <w:tblW w:w="7908" w:type="dxa"/>
        <w:jc w:val="left"/>
        <w:tblInd w:w="0" w:type="dxa"/>
        <w:tblLayout w:type="fixed"/>
        <w:tblCellMar>
          <w:top w:w="28" w:type="dxa"/>
          <w:left w:w="28" w:type="dxa"/>
          <w:bottom w:w="28" w:type="dxa"/>
          <w:right w:w="28" w:type="dxa"/>
        </w:tblCellMar>
      </w:tblPr>
      <w:tblGrid>
        <w:gridCol w:w="875"/>
        <w:gridCol w:w="766"/>
        <w:gridCol w:w="774"/>
        <w:gridCol w:w="199"/>
        <w:gridCol w:w="747"/>
        <w:gridCol w:w="110"/>
        <w:gridCol w:w="110"/>
        <w:gridCol w:w="110"/>
        <w:gridCol w:w="110"/>
        <w:gridCol w:w="199"/>
        <w:gridCol w:w="747"/>
        <w:gridCol w:w="110"/>
        <w:gridCol w:w="109"/>
        <w:gridCol w:w="109"/>
        <w:gridCol w:w="109"/>
        <w:gridCol w:w="196"/>
        <w:gridCol w:w="871"/>
        <w:gridCol w:w="109"/>
        <w:gridCol w:w="109"/>
        <w:gridCol w:w="109"/>
        <w:gridCol w:w="109"/>
        <w:gridCol w:w="196"/>
        <w:gridCol w:w="871"/>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4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 and Canada</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448,316 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500,535 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902,835 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986,747 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 Middle East, and Africa</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30,692 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Company</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562,902 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606,761 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1,149,884 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1,213,912 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expense and amortization expense recognized in cost of revenues is allocated to the reportable segments based upon each segment's use of the assets. All amortization expense recognized in operating expenses is recognized within Corporate unallocated. Depreciation and amortization of intangible assets expense associated with our reportable segments and Corporate unallocated was as follows:</w:t>
      </w:r>
    </w:p>
    <w:tbl>
      <w:tblPr>
        <w:tblW w:w="6709" w:type="dxa"/>
        <w:jc w:val="left"/>
        <w:tblInd w:w="0" w:type="dxa"/>
        <w:tblLayout w:type="fixed"/>
        <w:tblCellMar>
          <w:top w:w="28" w:type="dxa"/>
          <w:left w:w="28" w:type="dxa"/>
          <w:bottom w:w="28" w:type="dxa"/>
          <w:right w:w="28" w:type="dxa"/>
        </w:tblCellMar>
      </w:tblPr>
      <w:tblGrid>
        <w:gridCol w:w="603"/>
        <w:gridCol w:w="529"/>
        <w:gridCol w:w="533"/>
        <w:gridCol w:w="215"/>
        <w:gridCol w:w="708"/>
        <w:gridCol w:w="119"/>
        <w:gridCol w:w="119"/>
        <w:gridCol w:w="119"/>
        <w:gridCol w:w="119"/>
        <w:gridCol w:w="215"/>
        <w:gridCol w:w="708"/>
        <w:gridCol w:w="119"/>
        <w:gridCol w:w="109"/>
        <w:gridCol w:w="109"/>
        <w:gridCol w:w="109"/>
        <w:gridCol w:w="196"/>
        <w:gridCol w:w="647"/>
        <w:gridCol w:w="109"/>
        <w:gridCol w:w="109"/>
        <w:gridCol w:w="109"/>
        <w:gridCol w:w="109"/>
        <w:gridCol w:w="196"/>
        <w:gridCol w:w="647"/>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6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Device Solutions</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Networked Solutions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Outcomes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Resiliency Solutions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unallocated</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Company</w:t>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18,626 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12,114 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24,182 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 Revenues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significant net changes in the contract assets and the contract liabilities balances during the period is as follows:</w:t>
      </w:r>
    </w:p>
    <w:tbl>
      <w:tblPr>
        <w:tblW w:w="7274" w:type="dxa"/>
        <w:jc w:val="left"/>
        <w:tblInd w:w="0" w:type="dxa"/>
        <w:tblLayout w:type="fixed"/>
        <w:tblCellMar>
          <w:top w:w="28" w:type="dxa"/>
          <w:left w:w="28" w:type="dxa"/>
          <w:bottom w:w="28" w:type="dxa"/>
          <w:right w:w="28" w:type="dxa"/>
        </w:tblCellMar>
      </w:tblPr>
      <w:tblGrid>
        <w:gridCol w:w="1424"/>
        <w:gridCol w:w="1248"/>
        <w:gridCol w:w="1258"/>
        <w:gridCol w:w="603"/>
        <w:gridCol w:w="2267"/>
        <w:gridCol w:w="474"/>
      </w:tblGrid>
      <w:tr>
        <w:trPr/>
        <w:tc>
          <w:tcPr>
            <w:tcW w:w="142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Contract Liabilities, Less Contract Assets</w:t>
            </w:r>
          </w:p>
        </w:tc>
      </w:tr>
      <w:tr>
        <w:trPr/>
        <w:tc>
          <w:tcPr>
            <w:tcW w:w="39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 January 1, 2026</w:t>
            </w:r>
          </w:p>
        </w:tc>
        <w:tc>
          <w:tcPr>
            <w:tcW w:w="6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151,350 </w:t>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due to business combination</w:t>
            </w:r>
          </w:p>
        </w:tc>
        <w:tc>
          <w:tcPr>
            <w:tcW w:w="2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22,442 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recognized from beginning contract liability</w:t>
            </w:r>
          </w:p>
        </w:tc>
        <w:tc>
          <w:tcPr>
            <w:tcW w:w="2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(120,740)</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Cumulative catch-up adjustments</w:t>
            </w:r>
          </w:p>
        </w:tc>
        <w:tc>
          <w:tcPr>
            <w:tcW w:w="2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Increases due to amounts collected or due</w:t>
            </w:r>
          </w:p>
        </w:tc>
        <w:tc>
          <w:tcPr>
            <w:tcW w:w="2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261,574 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recognized from current period increases</w:t>
            </w:r>
          </w:p>
        </w:tc>
        <w:tc>
          <w:tcPr>
            <w:tcW w:w="2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(82,964)</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2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 June 30, 2026</w:t>
            </w:r>
          </w:p>
        </w:tc>
        <w:tc>
          <w:tcPr>
            <w:tcW w:w="6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231,897 </w:t>
            </w:r>
          </w:p>
        </w:tc>
        <w:tc>
          <w:tcPr>
            <w:tcW w:w="4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1, 2026, total contract assets were $83.7 million, including $17.2 million in long-term contract assets and total contract liabilities were $235.1 million. On June 30, 2026, total contract assets were $77.1 million, including $17.3 million in long-term contract assets and total contract liabilities were $309.0 million. The contract assets primarily relate to contracts that include a retention clause and allocations related to contracts with multiple performance obligations. The contract liabilities primarily relate to deferred revenue, such as extended warranty and maintenance agreements. The cumulative catch-up adjustments relate to contract modifications, measure-of-progress changes, and changes in the estimate of the transaction price. Refer to Note 16: Business Combinations for additional information.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Transaction price allocated to the remaining performance obligations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Total transaction price allocated to remaining performance obligations represents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transaction price allocated to remaining performance obligations is not a complete measure of our future revenues because we also receive orders that include customer-requested legal termination rights, often due to the regulatory requirements or other customer policies; however, these rights are not necessarily indicative of an expectation that the customer will terminate the order.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transaction price allocated to remaining performance obligations related to contracts is approximately $0.9 billion for the next 12 months and approximately $0.9 billion for periods longer than 12 months. The total remaining performance obligations consist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 for which revenue is recognized over the extended warranty period and hardware, which is recognized as units are delivered. The estimate of when remaining performance obligations will be recognized requires significant judgment.</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Cost to obtain a contract and cost to fulfill a contract with a customer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 to obtain a contract and costs to fulfill a contract were capitalized and amortized using a systematic rational approach to align with the transfer of control of underlying contracts with customers. While amounts were capitalized, they are not material.</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 to Note 14: Segment Information and the Consolidated Statements of Operations for disclosure regarding the disaggregation of revenue into categories, which depict how revenue and cash flows are affected by economic factors. Specifically, our reportable segments and geographical regions, as disclosed, and categories for products, which include hardware and software and services, are presented.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16:    Business Combinations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22222"/>
          <w:sz w:val="20"/>
        </w:rPr>
      </w:pPr>
      <w:r>
        <w:rPr>
          <w:rFonts w:ascii="Times New Roman;serif" w:hAnsi="Times New Roman;serif"/>
          <w:b w:val="false"/>
          <w:color w:val="222222"/>
          <w:sz w:val="20"/>
        </w:rPr>
        <w:t xml:space="preserve">During the fourth quarter of 2025 and the first quarter of 2026, we completed two acquisitions that, individually or in the aggregate, did not have a material impact on our results of operations, financial condition, or cash flows. </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i/>
          <w:color w:val="222222"/>
          <w:sz w:val="20"/>
        </w:rPr>
      </w:pPr>
      <w:r>
        <w:rPr>
          <w:rFonts w:ascii="Times New Roman;serif" w:hAnsi="Times New Roman;serif"/>
          <w:b w:val="false"/>
          <w:i/>
          <w:color w:val="222222"/>
          <w:sz w:val="20"/>
        </w:rPr>
        <w:t>Locusview, Ltd.</w:t>
      </w:r>
    </w:p>
    <w:p>
      <w:pPr>
        <w:pStyle w:val="TextBody"/>
        <w:bidi w:val="0"/>
        <w:spacing w:lineRule="auto" w:line="288" w:before="0" w:after="0"/>
        <w:jc w:val="both"/>
        <w:rPr/>
      </w:pPr>
      <w:r>
        <w:rPr>
          <w:rFonts w:ascii="Times New Roman;serif" w:hAnsi="Times New Roman;serif"/>
          <w:b w:val="false"/>
          <w:color w:val="222222"/>
          <w:sz w:val="20"/>
        </w:rPr>
        <w:t xml:space="preserve">On January 5, 2026, we completed the acquisition of </w:t>
      </w:r>
      <w:r>
        <w:rPr>
          <w:rFonts w:ascii="Times New Roman;serif" w:hAnsi="Times New Roman;serif"/>
          <w:b w:val="false"/>
          <w:color w:val="000000"/>
          <w:sz w:val="20"/>
        </w:rPr>
        <w:t>100%</w:t>
      </w:r>
      <w:r>
        <w:rPr>
          <w:color w:val="222222"/>
        </w:rPr>
        <w:t xml:space="preserve"> </w:t>
      </w:r>
      <w:r>
        <w:rPr>
          <w:rFonts w:ascii="Times New Roman;serif" w:hAnsi="Times New Roman;serif"/>
          <w:b w:val="false"/>
          <w:color w:val="222222"/>
          <w:sz w:val="20"/>
        </w:rPr>
        <w:t xml:space="preserve">of the outstanding equity of Locusview, Ltd. and subsidiaries (collectively, Locusview) a privately held utility-focused software and services company that is based in the United States and Israel. The acquisition provides value to Itron through the leverage of Locusview's digital construction management solutions to enhance Itron's Resiliency Solutions offerings to its customers. </w:t>
      </w:r>
      <w:r>
        <w:rPr>
          <w:rFonts w:ascii="Times New Roman;serif" w:hAnsi="Times New Roman;serif"/>
          <w:b w:val="false"/>
          <w:color w:val="000000"/>
          <w:sz w:val="20"/>
        </w:rPr>
        <w:t>The preliminary purchase price allocated to acquired assets and liabilities was $546.4 million, which was funded through cash on hand. The purchase price was subject to further adjustment based on final working capital and other closing considerations.</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Subsequent to the acquisition date, we made certain measurement period adjustments to the preliminary purchase price allocation, which resulted in an increase to goodwill of $69,000. The increase was due to a $64,000 decrease of certain tangible assets acquired, an increase to assumed liabilities of $172,000, and a $167,000 decrease in the aggregation consideration in connection with post-close net working capital adjustments, which were finalized in the second quarter of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allocation of the purchase price to acquired assets and liabilities assumed remains preliminary. The areas that remain provisional primarily relate to income taxes and accrued liabilities. </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Urbint,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November 3, 2025, we completed the acquisition of 100% of the outstanding equity of Urbint, Inc. (Urbint), a privately held software and services company, based in Florida, serving utilities. The acquisition provides value to Itron through the leverage of Urbint's artificial intelligence (AI)-powered operational resilience solutions to enhance our offerings to our customers. Upon acquisition, Urbint became a wholly owned subsidiary of Itron and operates within the Resiliency Solutions segment. The purchase price allocated to acquired assets and liabilities was $330.6 million, which was funded through cash on hand.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to the acquisition date, we made certain measurement period adjustments to the purchase price allocation, which resulted in a decrease to goodwill of $560,000. The decrease was driven by the net of: (1) a $558,000 increase of certain tangible assets acquired, (2) an increase to assumed liabilities of $80,000, and (3) an $82,000 decrease in the aggregation consideration in connection with post close net working capital adjustments, which were finalized in the first quarter of 2026.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should be read in conjunction with the unaudited consolidated financial statements and notes included in this report and with the consolidated financial statements and the notes thereto for the fiscal year ended December 31, 2025 filed with the Securities and Exchange Commission (SEC) in our Annual Report on Form 10-K on February 17, 2026 (2025 Annual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objective of Management's Discussion and Analysis is to provide our assessment of the financial condition and results of operations, including an evaluation of our liquidity and capital resources along with material events occurring during the year. The discussion and analysis focuses on material events and uncertainties known to management that are reasonably likely to cause reported financial information not to be necessarily indicative of future operating results or of future financial condition. In addition, we address matters that are reasonably likely, based on management's assessment, to have a material impact on future operations. We expect the analysis will enhance a reader's understanding of our financial condition, cash flows, and other changes in financial condition and 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Documents we provide to the SEC are available free of charge under the Investors section of our website at </w:t>
      </w:r>
      <w:r>
        <w:rPr>
          <w:rFonts w:ascii="Times New Roman;serif" w:hAnsi="Times New Roman;serif"/>
          <w:b w:val="false"/>
          <w:i/>
          <w:color w:val="000000"/>
          <w:sz w:val="20"/>
        </w:rPr>
        <w:t>www.itron.com</w:t>
      </w:r>
      <w:r>
        <w:rPr>
          <w:color w:val="000000"/>
        </w:rPr>
        <w:t xml:space="preserve"> </w:t>
      </w:r>
      <w:r>
        <w:rPr>
          <w:rFonts w:ascii="Times New Roman;serif" w:hAnsi="Times New Roman;serif"/>
          <w:b w:val="false"/>
          <w:color w:val="000000"/>
          <w:sz w:val="20"/>
        </w:rPr>
        <w:t>as soon as practicable after they are filed with or furnished to the SEC. In addition, these documents are available at the SEC's website (</w:t>
      </w:r>
      <w:r>
        <w:rPr>
          <w:rFonts w:ascii="Times New Roman;serif" w:hAnsi="Times New Roman;serif"/>
          <w:b w:val="false"/>
          <w:i/>
          <w:color w:val="000000"/>
          <w:sz w:val="20"/>
        </w:rPr>
        <w:t>http</w:t>
      </w:r>
      <w:r>
        <w:rPr>
          <w:rFonts w:ascii="Times New Roman;serif" w:hAnsi="Times New Roman;serif"/>
          <w:b w:val="false"/>
          <w:color w:val="000000"/>
          <w:sz w:val="20"/>
        </w:rPr>
        <w:t>://</w:t>
      </w:r>
      <w:r>
        <w:rPr>
          <w:rFonts w:ascii="Times New Roman;serif" w:hAnsi="Times New Roman;serif"/>
          <w:b w:val="false"/>
          <w:i/>
          <w:color w:val="000000"/>
          <w:sz w:val="20"/>
        </w:rPr>
        <w:t>www.sec.gov</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Certain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222222"/>
          <w:sz w:val="20"/>
        </w:rPr>
      </w:pPr>
      <w:r>
        <w:rPr>
          <w:rFonts w:ascii="Times New Roman;serif" w:hAnsi="Times New Roman;serif"/>
          <w:b w:val="false"/>
          <w:i/>
          <w:color w:val="222222"/>
          <w:sz w:val="20"/>
        </w:rPr>
        <w:t>This report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Quarterly Report on Form 10-Q.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regulations, tariffs, sanctions, trade policies and retaliatory responses,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and other factors that are more fully described in Part I, Item 1A: Risk Factors included in our 2025 Annual Report and other reports on file with the SEC. We undertake no obligation to update or revise any forward-looking statement, whether written or oral.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a technology, solutions, and service company, and we are a leader in the Industrial Internet of Things (IIoT). We offer solutions that enable utilities and municipalities to safely, securely, and reliably operate their critical infrastructure. Our solutions include the deployment of smart networks, software, services, devices, sensors, and data analytics that allow our customers to manage assets, secure revenue, lower operational costs, improve customer service, improve safety, and enable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efficient management of valuable resources. Our comprehensive solutions and data analytics address the unique challenges facing the energy, water, and municipality sectors, including increasing demand on resources, non-technical loss, leak detection, environmental and regulatory compliance, and improved operational reliability.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operate under the Itron brand worldwide and manage and report under four reportable segments: Device Solutions, Networked Solutions, Outcomes, and Resiliency Solutions. Resiliency Solutions is a new reportable segment, which began in the fourth quarter of 2025. The product and operating definitions of the four segments are as follows: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Device Solutions</w:t>
      </w:r>
      <w:r>
        <w:rPr>
          <w:color w:val="000000"/>
        </w:rPr>
        <w:t xml:space="preserve"> – </w:t>
      </w:r>
      <w:r>
        <w:rPr>
          <w:rFonts w:ascii="Times New Roman;serif" w:hAnsi="Times New Roman;serif"/>
          <w:b w:val="false"/>
          <w:color w:val="000000"/>
          <w:sz w:val="20"/>
        </w:rPr>
        <w:t>This segment primarily includes hardware products used for measurement, control, or sensing. Examples from the Device Solutions portfolio include: standard endpoints that are shipped without Itron communications, such as our standard electricity, gas, and water meters for a variety of global markets and adhering to regulations and standards within those markets, as well as our heat and allocation products; communicating meters designed to operate outside of Itron end-to-end solutions and designed to meet market requirements; and the implementation and installation of associated devices.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Networked Solutions</w:t>
      </w:r>
      <w:r>
        <w:rPr>
          <w:color w:val="000000"/>
        </w:rPr>
        <w:t xml:space="preserve"> – </w:t>
      </w:r>
      <w:r>
        <w:rPr>
          <w:rFonts w:ascii="Times New Roman;serif" w:hAnsi="Times New Roman;serif"/>
          <w:b w:val="false"/>
          <w:color w:val="000000"/>
          <w:sz w:val="20"/>
        </w:rPr>
        <w:t>This segment primarily includes a combination of communicating endpoints (e.g., smart meters, modules, endpoints, and sensors), network infrastructure, network design services, and associated headend management and application software designed and sold as a complete solution for acquiring and transporting robust application-specific data. Networked Solutions includes products, software and services for the implementation, installation, and management of communicating endpoints and data networks. The IIoT solutions supported by this segment include automated meter reading (AMR) and advanced metering infrastructure (AMI) for electricity, water, and gas; distributed energy resource management (DERMs); grid edge devices; distribution automation communications; smart lighting; and smart city sensors and applications. Our IIoT platform allows utility and smart city applications to be run and managed on a flexible, secure, and interoperable multi-purpose network.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Outcomes</w:t>
      </w:r>
      <w:r>
        <w:rPr>
          <w:color w:val="000000"/>
        </w:rPr>
        <w:t xml:space="preserve"> – </w:t>
      </w:r>
      <w:r>
        <w:rPr>
          <w:rFonts w:ascii="Times New Roman;serif" w:hAnsi="Times New Roman;serif"/>
          <w:b w:val="false"/>
          <w:color w:val="000000"/>
          <w:sz w:val="20"/>
        </w:rPr>
        <w:t>This segment primarily includes our value-added, enhanced software and services, including use of distributed compute to manage, organize, analyze, and interpret raw, anonymized data using artificial intelligence, machine learning, statistical modeling, and other analytics. This delivers new value for utilities, municipalities, and cities through improving decision making, maximizing operational profitability, engaging consumers, ensuring safety, enhancing resource efficiency, and improving grid resiliency and reliability. Outcomes supports high-value use cases, such as data management, grid planning and operations, AMI operations, gas distribution safety, non-revenue water reduction, revenue assurance, distributed energy resources (DER) management, energy forecasting, consumer engagement, and smart payment. Utilities leverage these outcomes to unlock the capabilities of their networks and devices, improve the productivity of their workforce, increase the reliability of their operations, manage and optimize the proliferation of DERs, address grid complexity, and enhance the customer experience. Revenue from these offerings are primarily recurring in nature and would include any direct management of Device Solutions, Networked Solutions, and other third-parties' products on behalf of our end customers.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Resiliency Solutions </w:t>
      </w:r>
      <w:r>
        <w:rPr>
          <w:color w:val="000000"/>
        </w:rPr>
        <w:t xml:space="preserve">– </w:t>
      </w:r>
      <w:r>
        <w:rPr>
          <w:rFonts w:ascii="Times New Roman;serif" w:hAnsi="Times New Roman;serif"/>
          <w:b w:val="false"/>
          <w:color w:val="000000"/>
          <w:sz w:val="20"/>
        </w:rPr>
        <w:t>This segment primarily includes software and services for worker safety, emergency preparedness and response, damage prevention, and digital construction management for critical infrastructure providers and their supporting contractors. These solutions enable utilities to plan smarter, respond faster, and operate more safely and are enhanced through the use of artificial intelligence-based models to predict events to aid in compliance, incident remedy, and prevention.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use adjusted operating income (margin) as the primary measure of segment performance. In addition, we believe adjusted gross profit (margin) provides further understanding of our segments' performance. Intersegment revenues are minimal. Certain operating expenses are allocated to the reportable segments based upon internally established allocation methodologies. Interest income, interest expense, other income (expense), the income tax provision (benefit), and certain corporate operating expenses are neither allocated to the segments nor included in the measures of segment performance.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Non-GAAP Measures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free cash flow, adjusted gross profit, adjusted operating income, and constant currency.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shareholders to review our financial statements and publicly-filed reports in their entirety and not to rely on any single financial measure. Our non-GAAP financial measures may be different from those reported by other companies.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our discussions of the operating results below, we may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Times New Roman;serif" w:hAnsi="Times New Roman;serif"/>
          <w:b w:val="false"/>
          <w:color w:val="222222"/>
          <w:sz w:val="20"/>
        </w:rPr>
        <w:t>"</w:t>
      </w:r>
      <w:r>
        <w:rPr>
          <w:rFonts w:ascii="Times New Roman;serif" w:hAnsi="Times New Roman;serif"/>
          <w:b w:val="false"/>
          <w:color w:val="000000"/>
          <w:sz w:val="20"/>
        </w:rPr>
        <w:t>constant currency</w:t>
      </w:r>
      <w:r>
        <w:rPr>
          <w:rFonts w:ascii="Times New Roman;serif" w:hAnsi="Times New Roman;serif"/>
          <w:b w:val="false"/>
          <w:color w:val="222222"/>
          <w:sz w:val="20"/>
        </w:rPr>
        <w:t>",</w:t>
      </w:r>
      <w:r>
        <w:rPr>
          <w:color w:val="000000"/>
        </w:rPr>
        <w:t xml:space="preserve"> </w:t>
      </w:r>
      <w:r>
        <w:rPr>
          <w:rFonts w:ascii="Times New Roman;serif" w:hAnsi="Times New Roman;serif"/>
          <w:b w:val="false"/>
          <w:color w:val="000000"/>
          <w:sz w:val="20"/>
        </w:rPr>
        <w:t>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Refer to the </w:t>
      </w:r>
      <w:r>
        <w:rPr>
          <w:rFonts w:ascii="Times New Roman;serif" w:hAnsi="Times New Roman;serif"/>
          <w:b w:val="false"/>
          <w:i/>
          <w:color w:val="000000"/>
          <w:sz w:val="20"/>
        </w:rPr>
        <w:t>Non-GAAP Measures</w:t>
      </w:r>
      <w:r>
        <w:rPr>
          <w:color w:val="000000"/>
        </w:rPr>
        <w:t xml:space="preserve"> </w:t>
      </w:r>
      <w:r>
        <w:rPr>
          <w:rFonts w:ascii="Times New Roman;serif" w:hAnsi="Times New Roman;serif"/>
          <w:b w:val="false"/>
          <w:color w:val="000000"/>
          <w:sz w:val="20"/>
        </w:rPr>
        <w:t>section below on pages 46-50 for information about these non-GAAP measures and the detailed reconciliation of items that impacted non-GAAP operating expenses, non-GAAP operating income, non-GAAP net income, non-GAAP diluted EPS, adjusted EBITDA, and free cash flow in the periods presented.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Total Company Highlights</w:t>
      </w:r>
    </w:p>
    <w:p>
      <w:pPr>
        <w:pStyle w:val="TextBody"/>
        <w:bidi w:val="0"/>
        <w:spacing w:before="0" w:after="0"/>
        <w:jc w:val="both"/>
        <w:rPr/>
      </w:pPr>
      <w:r>
        <w:rPr/>
      </w:r>
    </w:p>
    <w:p>
      <w:pPr>
        <w:pStyle w:val="TextBody"/>
        <w:bidi w:val="0"/>
        <w:spacing w:lineRule="auto" w:line="288" w:before="0" w:after="60"/>
        <w:jc w:val="both"/>
        <w:rPr/>
      </w:pPr>
      <w:r>
        <w:rPr>
          <w:rFonts w:ascii="Times New Roman;serif" w:hAnsi="Times New Roman;serif"/>
          <w:b w:val="false"/>
          <w:i/>
          <w:color w:val="222222"/>
          <w:sz w:val="20"/>
        </w:rPr>
        <w:t xml:space="preserve">Highlights and significant developments for the </w:t>
      </w:r>
      <w:r>
        <w:rPr>
          <w:rFonts w:ascii="Times New Roman;serif" w:hAnsi="Times New Roman;serif"/>
          <w:b w:val="false"/>
          <w:i/>
          <w:color w:val="000000"/>
          <w:sz w:val="20"/>
        </w:rPr>
        <w:t>three months ended</w:t>
      </w:r>
      <w:r>
        <w:rPr>
          <w:color w:val="222222"/>
        </w:rPr>
        <w:t xml:space="preserve"> </w:t>
      </w:r>
      <w:r>
        <w:rPr>
          <w:rFonts w:ascii="Times New Roman;serif" w:hAnsi="Times New Roman;serif"/>
          <w:b w:val="false"/>
          <w:i/>
          <w:color w:val="000000"/>
          <w:sz w:val="20"/>
        </w:rPr>
        <w:t>June 30, 2026 compared with the three months ended June 30, 2025</w:t>
      </w:r>
    </w:p>
    <w:p>
      <w:pPr>
        <w:pStyle w:val="TextBody"/>
        <w:bidi w:val="0"/>
        <w:spacing w:lineRule="auto" w:line="288" w:before="0" w:after="60"/>
        <w:ind w:left="0" w:right="0" w:hanging="180"/>
        <w:jc w:val="both"/>
        <w:rPr/>
      </w:pPr>
      <w:r>
        <w:rPr>
          <w:color w:val="222222"/>
        </w:rPr>
        <w:t>•</w:t>
      </w:r>
      <w:r>
        <w:rPr>
          <w:rFonts w:ascii="Times New Roman;serif" w:hAnsi="Times New Roman;serif"/>
          <w:b w:val="false"/>
          <w:color w:val="222222"/>
          <w:sz w:val="20"/>
        </w:rPr>
        <w:t>Revenues were $562.9 million compared with $606.8 million in 2025, a decrease of 7%</w:t>
      </w:r>
    </w:p>
    <w:p>
      <w:pPr>
        <w:pStyle w:val="TextBody"/>
        <w:bidi w:val="0"/>
        <w:spacing w:lineRule="auto" w:line="288" w:before="0" w:after="60"/>
        <w:ind w:left="0" w:right="0" w:hanging="180"/>
        <w:jc w:val="both"/>
        <w:rPr/>
      </w:pPr>
      <w:r>
        <w:rPr>
          <w:color w:val="222222"/>
        </w:rPr>
        <w:t>•</w:t>
      </w:r>
      <w:r>
        <w:rPr>
          <w:rFonts w:ascii="Times New Roman;serif" w:hAnsi="Times New Roman;serif"/>
          <w:b w:val="false"/>
          <w:color w:val="222222"/>
          <w:sz w:val="20"/>
        </w:rPr>
        <w:t xml:space="preserve">Gross margin was </w:t>
      </w:r>
      <w:r>
        <w:rPr>
          <w:rFonts w:ascii="Times New Roman;serif" w:hAnsi="Times New Roman;serif"/>
          <w:b w:val="false"/>
          <w:color w:val="000000"/>
          <w:sz w:val="20"/>
        </w:rPr>
        <w:t>41.0%</w:t>
      </w:r>
      <w:r>
        <w:rPr>
          <w:rFonts w:ascii="Times New Roman;serif" w:hAnsi="Times New Roman;serif"/>
          <w:b w:val="false"/>
          <w:color w:val="222222"/>
          <w:sz w:val="20"/>
        </w:rPr>
        <w:t>, compared with 36.9% in 2025</w:t>
      </w:r>
    </w:p>
    <w:p>
      <w:pPr>
        <w:pStyle w:val="TextBody"/>
        <w:bidi w:val="0"/>
        <w:spacing w:lineRule="auto" w:line="288" w:before="0" w:after="60"/>
        <w:ind w:left="0" w:right="0" w:hanging="180"/>
        <w:jc w:val="both"/>
        <w:rPr/>
      </w:pPr>
      <w:r>
        <w:rPr>
          <w:color w:val="222222"/>
        </w:rPr>
        <w:t>•</w:t>
      </w:r>
      <w:r>
        <w:rPr>
          <w:rFonts w:ascii="Times New Roman;serif" w:hAnsi="Times New Roman;serif"/>
          <w:b w:val="false"/>
          <w:color w:val="222222"/>
          <w:sz w:val="20"/>
        </w:rPr>
        <w:t>Operating expenses increased $7.4 million, or 5%, compared with 2025</w:t>
      </w:r>
    </w:p>
    <w:p>
      <w:pPr>
        <w:pStyle w:val="TextBody"/>
        <w:bidi w:val="0"/>
        <w:spacing w:lineRule="auto" w:line="288" w:before="0" w:after="60"/>
        <w:ind w:left="0" w:right="0" w:hanging="180"/>
        <w:jc w:val="both"/>
        <w:rPr/>
      </w:pPr>
      <w:r>
        <w:rPr>
          <w:color w:val="222222"/>
        </w:rPr>
        <w:t>•</w:t>
      </w:r>
      <w:r>
        <w:rPr>
          <w:rFonts w:ascii="Times New Roman;serif" w:hAnsi="Times New Roman;serif"/>
          <w:b w:val="false"/>
          <w:color w:val="222222"/>
          <w:sz w:val="20"/>
        </w:rPr>
        <w:t>Net income attributable to Itron, Inc. was $53.3 million compared with net income of $68.3 million in 2025</w:t>
      </w:r>
    </w:p>
    <w:p>
      <w:pPr>
        <w:pStyle w:val="TextBody"/>
        <w:bidi w:val="0"/>
        <w:spacing w:lineRule="auto" w:line="288" w:before="0" w:after="60"/>
        <w:ind w:left="0" w:right="0" w:hanging="180"/>
        <w:jc w:val="both"/>
        <w:rPr/>
      </w:pPr>
      <w:r>
        <w:rPr>
          <w:color w:val="222222"/>
        </w:rPr>
        <w:t>•</w:t>
      </w:r>
      <w:r>
        <w:rPr>
          <w:rFonts w:ascii="Times New Roman;serif" w:hAnsi="Times New Roman;serif"/>
          <w:b w:val="false"/>
          <w:color w:val="222222"/>
          <w:sz w:val="20"/>
        </w:rPr>
        <w:t xml:space="preserve">GAAP diluted EPS decreased by </w:t>
      </w:r>
      <w:r>
        <w:rPr>
          <w:rFonts w:ascii="Times New Roman;serif" w:hAnsi="Times New Roman;serif"/>
          <w:b w:val="false"/>
          <w:color w:val="000000"/>
          <w:sz w:val="20"/>
        </w:rPr>
        <w:t>$0.28</w:t>
      </w:r>
      <w:r>
        <w:rPr>
          <w:color w:val="222222"/>
        </w:rPr>
        <w:t xml:space="preserve"> </w:t>
      </w:r>
      <w:r>
        <w:rPr>
          <w:rFonts w:ascii="Times New Roman;serif" w:hAnsi="Times New Roman;serif"/>
          <w:b w:val="false"/>
          <w:color w:val="222222"/>
          <w:sz w:val="20"/>
        </w:rPr>
        <w:t>to $1.19 in 2026</w:t>
      </w:r>
    </w:p>
    <w:p>
      <w:pPr>
        <w:pStyle w:val="TextBody"/>
        <w:bidi w:val="0"/>
        <w:spacing w:lineRule="auto" w:line="288" w:before="0" w:after="60"/>
        <w:ind w:left="0" w:right="0" w:hanging="180"/>
        <w:jc w:val="both"/>
        <w:rPr/>
      </w:pPr>
      <w:r>
        <w:rPr>
          <w:color w:val="222222"/>
        </w:rPr>
        <w:t>•</w:t>
      </w:r>
      <w:r>
        <w:rPr>
          <w:rFonts w:ascii="Times New Roman;serif" w:hAnsi="Times New Roman;serif"/>
          <w:b w:val="false"/>
          <w:color w:val="222222"/>
          <w:sz w:val="20"/>
        </w:rPr>
        <w:t>Non-GAAP net income attributable to Itron, Inc. was $70.7 million compared with $75.1 million in 2025</w:t>
      </w:r>
    </w:p>
    <w:p>
      <w:pPr>
        <w:pStyle w:val="TextBody"/>
        <w:bidi w:val="0"/>
        <w:spacing w:lineRule="auto" w:line="288" w:before="0" w:after="60"/>
        <w:ind w:left="0" w:right="0" w:hanging="180"/>
        <w:jc w:val="both"/>
        <w:rPr/>
      </w:pPr>
      <w:r>
        <w:rPr>
          <w:color w:val="222222"/>
        </w:rPr>
        <w:t>•</w:t>
      </w:r>
      <w:r>
        <w:rPr>
          <w:rFonts w:ascii="Times New Roman;serif" w:hAnsi="Times New Roman;serif"/>
          <w:b w:val="false"/>
          <w:color w:val="222222"/>
          <w:sz w:val="20"/>
        </w:rPr>
        <w:t>Non-GAAP diluted EPS was $1.59, a decrease of $0.03 compared with 2025</w:t>
      </w:r>
    </w:p>
    <w:p>
      <w:pPr>
        <w:pStyle w:val="TextBody"/>
        <w:bidi w:val="0"/>
        <w:spacing w:lineRule="auto" w:line="288" w:before="0" w:after="60"/>
        <w:ind w:left="0" w:right="0" w:hanging="180"/>
        <w:jc w:val="both"/>
        <w:rPr/>
      </w:pPr>
      <w:r>
        <w:rPr>
          <w:color w:val="222222"/>
        </w:rPr>
        <w:t>•</w:t>
      </w:r>
      <w:r>
        <w:rPr>
          <w:rFonts w:ascii="Times New Roman;serif" w:hAnsi="Times New Roman;serif"/>
          <w:b w:val="false"/>
          <w:color w:val="222222"/>
          <w:sz w:val="20"/>
        </w:rPr>
        <w:t>Adjusted EBITDA was $96.8 million compared with $89.8 million in 2025</w:t>
      </w:r>
    </w:p>
    <w:p>
      <w:pPr>
        <w:pStyle w:val="TextBody"/>
        <w:bidi w:val="0"/>
        <w:spacing w:lineRule="auto" w:line="288" w:before="0" w:after="60"/>
        <w:ind w:left="0" w:right="0" w:hanging="180"/>
        <w:jc w:val="both"/>
        <w:rPr/>
      </w:pPr>
      <w:r>
        <w:rPr>
          <w:color w:val="222222"/>
        </w:rPr>
        <w:t>•</w:t>
      </w:r>
      <w:r>
        <w:rPr>
          <w:rFonts w:ascii="Times New Roman;serif" w:hAnsi="Times New Roman;serif"/>
          <w:b w:val="false"/>
          <w:color w:val="222222"/>
          <w:sz w:val="20"/>
        </w:rPr>
        <w:t xml:space="preserve">Total backlog was $4.4 billion and twelve-month backlog was $1.7 billion at </w:t>
      </w:r>
      <w:r>
        <w:rPr>
          <w:rFonts w:ascii="Times New Roman;serif" w:hAnsi="Times New Roman;serif"/>
          <w:b w:val="false"/>
          <w:color w:val="000000"/>
          <w:sz w:val="20"/>
        </w:rPr>
        <w:t xml:space="preserve">June 30, 2026, compared with </w:t>
      </w:r>
      <w:r>
        <w:rPr>
          <w:rFonts w:ascii="Times New Roman;serif" w:hAnsi="Times New Roman;serif"/>
          <w:b w:val="false"/>
          <w:color w:val="222222"/>
          <w:sz w:val="20"/>
        </w:rPr>
        <w:t>$4.5 billion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222222"/>
          <w:sz w:val="20"/>
        </w:rPr>
        <w:t>$1.5 billion</w:t>
      </w:r>
      <w:r>
        <w:rPr>
          <w:color w:val="000000"/>
        </w:rPr>
        <w:t xml:space="preserve"> </w:t>
      </w:r>
      <w:r>
        <w:rPr>
          <w:rFonts w:ascii="Times New Roman;serif" w:hAnsi="Times New Roman;serif"/>
          <w:b w:val="false"/>
          <w:color w:val="000000"/>
          <w:sz w:val="20"/>
        </w:rPr>
        <w:t>at June 30, 2025</w:t>
      </w:r>
    </w:p>
    <w:p>
      <w:pPr>
        <w:pStyle w:val="TextBody"/>
        <w:bidi w:val="0"/>
        <w:spacing w:before="0" w:after="60"/>
        <w:ind w:left="0" w:right="0" w:firstLine="180"/>
        <w:jc w:val="both"/>
        <w:rPr/>
      </w:pPr>
      <w:r>
        <w:rPr/>
      </w:r>
    </w:p>
    <w:p>
      <w:pPr>
        <w:pStyle w:val="TextBody"/>
        <w:bidi w:val="0"/>
        <w:spacing w:lineRule="auto" w:line="288" w:before="0" w:after="60"/>
        <w:jc w:val="both"/>
        <w:rPr/>
      </w:pPr>
      <w:r>
        <w:rPr>
          <w:rFonts w:ascii="Times New Roman;serif" w:hAnsi="Times New Roman;serif"/>
          <w:b w:val="false"/>
          <w:i/>
          <w:color w:val="222222"/>
          <w:sz w:val="20"/>
        </w:rPr>
        <w:t xml:space="preserve">Highlights and significant developments for the </w:t>
      </w:r>
      <w:r>
        <w:rPr>
          <w:rFonts w:ascii="Times New Roman;serif" w:hAnsi="Times New Roman;serif"/>
          <w:b w:val="false"/>
          <w:i/>
          <w:color w:val="000000"/>
          <w:sz w:val="20"/>
        </w:rPr>
        <w:t>six</w:t>
      </w:r>
      <w:r>
        <w:rPr>
          <w:color w:val="222222"/>
        </w:rPr>
        <w:t xml:space="preserve"> </w:t>
      </w:r>
      <w:r>
        <w:rPr>
          <w:rFonts w:ascii="Times New Roman;serif" w:hAnsi="Times New Roman;serif"/>
          <w:b w:val="false"/>
          <w:i/>
          <w:color w:val="222222"/>
          <w:sz w:val="20"/>
        </w:rPr>
        <w:t xml:space="preserve">months ended </w:t>
      </w:r>
      <w:r>
        <w:rPr>
          <w:rFonts w:ascii="Times New Roman;serif" w:hAnsi="Times New Roman;serif"/>
          <w:b w:val="false"/>
          <w:i/>
          <w:color w:val="000000"/>
          <w:sz w:val="20"/>
        </w:rPr>
        <w:t>June 30, 2026 compared with the six months ended June 30, 2025</w:t>
      </w:r>
    </w:p>
    <w:p>
      <w:pPr>
        <w:pStyle w:val="TextBody"/>
        <w:bidi w:val="0"/>
        <w:spacing w:lineRule="auto" w:line="288" w:before="0" w:after="60"/>
        <w:ind w:left="0" w:right="0" w:hanging="180"/>
        <w:jc w:val="both"/>
        <w:rPr/>
      </w:pPr>
      <w:r>
        <w:rPr>
          <w:color w:val="222222"/>
        </w:rPr>
        <w:t>•</w:t>
      </w:r>
      <w:r>
        <w:rPr>
          <w:rFonts w:ascii="Times New Roman;serif" w:hAnsi="Times New Roman;serif"/>
          <w:b w:val="false"/>
          <w:color w:val="222222"/>
          <w:sz w:val="20"/>
        </w:rPr>
        <w:t xml:space="preserve">Revenues were $1.1 billion compared with $1.2 billion in 2025, a decrease of $64.0 million, or </w:t>
      </w:r>
      <w:r>
        <w:rPr>
          <w:rFonts w:ascii="Times New Roman;serif" w:hAnsi="Times New Roman;serif"/>
          <w:b w:val="false"/>
          <w:color w:val="000000"/>
          <w:sz w:val="20"/>
        </w:rPr>
        <w:t>5%</w:t>
      </w:r>
    </w:p>
    <w:p>
      <w:pPr>
        <w:pStyle w:val="TextBody"/>
        <w:bidi w:val="0"/>
        <w:spacing w:lineRule="auto" w:line="288" w:before="0" w:after="60"/>
        <w:ind w:left="0" w:right="0" w:hanging="180"/>
        <w:jc w:val="both"/>
        <w:rPr/>
      </w:pPr>
      <w:r>
        <w:rPr>
          <w:color w:val="222222"/>
        </w:rPr>
        <w:t>•</w:t>
      </w:r>
      <w:r>
        <w:rPr>
          <w:rFonts w:ascii="Times New Roman;serif" w:hAnsi="Times New Roman;serif"/>
          <w:b w:val="false"/>
          <w:color w:val="222222"/>
          <w:sz w:val="20"/>
        </w:rPr>
        <w:t xml:space="preserve">Gross margin was </w:t>
      </w:r>
      <w:r>
        <w:rPr>
          <w:rFonts w:ascii="Times New Roman;serif" w:hAnsi="Times New Roman;serif"/>
          <w:b w:val="false"/>
          <w:color w:val="000000"/>
          <w:sz w:val="20"/>
        </w:rPr>
        <w:t>40.6%</w:t>
      </w:r>
      <w:r>
        <w:rPr>
          <w:color w:val="222222"/>
        </w:rPr>
        <w:t xml:space="preserve"> </w:t>
      </w:r>
      <w:r>
        <w:rPr>
          <w:rFonts w:ascii="Times New Roman;serif" w:hAnsi="Times New Roman;serif"/>
          <w:b w:val="false"/>
          <w:color w:val="222222"/>
          <w:sz w:val="20"/>
        </w:rPr>
        <w:t xml:space="preserve">compared with </w:t>
      </w:r>
      <w:r>
        <w:rPr>
          <w:rFonts w:ascii="Times New Roman;serif" w:hAnsi="Times New Roman;serif"/>
          <w:b w:val="false"/>
          <w:color w:val="000000"/>
          <w:sz w:val="20"/>
        </w:rPr>
        <w:t>36.3%</w:t>
      </w:r>
      <w:r>
        <w:rPr>
          <w:color w:val="222222"/>
        </w:rPr>
        <w:t xml:space="preserve"> </w:t>
      </w:r>
      <w:r>
        <w:rPr>
          <w:rFonts w:ascii="Times New Roman;serif" w:hAnsi="Times New Roman;serif"/>
          <w:b w:val="false"/>
          <w:color w:val="222222"/>
          <w:sz w:val="20"/>
        </w:rPr>
        <w:t>in 2025</w:t>
      </w:r>
    </w:p>
    <w:p>
      <w:pPr>
        <w:pStyle w:val="TextBody"/>
        <w:bidi w:val="0"/>
        <w:spacing w:lineRule="auto" w:line="288" w:before="0" w:after="60"/>
        <w:ind w:left="0" w:right="0" w:hanging="180"/>
        <w:jc w:val="both"/>
        <w:rPr/>
      </w:pPr>
      <w:r>
        <w:rPr>
          <w:color w:val="222222"/>
        </w:rPr>
        <w:t>•</w:t>
      </w:r>
      <w:r>
        <w:rPr>
          <w:rFonts w:ascii="Times New Roman;serif" w:hAnsi="Times New Roman;serif"/>
          <w:b w:val="false"/>
          <w:color w:val="222222"/>
          <w:sz w:val="20"/>
        </w:rPr>
        <w:t>Operating expenses increased $35.1 million compared with 2025</w:t>
      </w:r>
    </w:p>
    <w:p>
      <w:pPr>
        <w:pStyle w:val="TextBody"/>
        <w:bidi w:val="0"/>
        <w:spacing w:lineRule="auto" w:line="288" w:before="0" w:after="60"/>
        <w:ind w:left="0" w:right="0" w:hanging="180"/>
        <w:jc w:val="both"/>
        <w:rPr/>
      </w:pPr>
      <w:r>
        <w:rPr>
          <w:color w:val="222222"/>
        </w:rPr>
        <w:t>•</w:t>
      </w:r>
      <w:r>
        <w:rPr>
          <w:rFonts w:ascii="Times New Roman;serif" w:hAnsi="Times New Roman;serif"/>
          <w:b w:val="false"/>
          <w:color w:val="000000"/>
          <w:sz w:val="20"/>
        </w:rPr>
        <w:t xml:space="preserve">Net income attributable to Itron, Inc. was $106.7 million compared with net income of $133.8 million in </w:t>
      </w:r>
      <w:r>
        <w:rPr>
          <w:rFonts w:ascii="Times New Roman;serif" w:hAnsi="Times New Roman;serif"/>
          <w:b w:val="false"/>
          <w:color w:val="222222"/>
          <w:sz w:val="20"/>
        </w:rPr>
        <w:t>2025</w:t>
      </w:r>
    </w:p>
    <w:p>
      <w:pPr>
        <w:pStyle w:val="TextBody"/>
        <w:bidi w:val="0"/>
        <w:spacing w:lineRule="auto" w:line="288" w:before="0" w:after="60"/>
        <w:ind w:left="0" w:right="0" w:hanging="180"/>
        <w:jc w:val="both"/>
        <w:rPr/>
      </w:pPr>
      <w:r>
        <w:rPr>
          <w:color w:val="222222"/>
        </w:rPr>
        <w:t>•</w:t>
      </w:r>
      <w:r>
        <w:rPr>
          <w:rFonts w:ascii="Times New Roman;serif" w:hAnsi="Times New Roman;serif"/>
          <w:b w:val="false"/>
          <w:color w:val="222222"/>
          <w:sz w:val="20"/>
        </w:rPr>
        <w:t>GAAP diluted EPS decreased by $0.52 to $2.37 in 2026</w:t>
      </w:r>
    </w:p>
    <w:p>
      <w:pPr>
        <w:pStyle w:val="TextBody"/>
        <w:bidi w:val="0"/>
        <w:spacing w:lineRule="auto" w:line="288" w:before="0" w:after="60"/>
        <w:ind w:left="0" w:right="0" w:hanging="180"/>
        <w:jc w:val="both"/>
        <w:rPr/>
      </w:pPr>
      <w:r>
        <w:rPr>
          <w:color w:val="222222"/>
        </w:rPr>
        <w:t>•</w:t>
      </w:r>
      <w:r>
        <w:rPr>
          <w:rFonts w:ascii="Times New Roman;serif" w:hAnsi="Times New Roman;serif"/>
          <w:b w:val="false"/>
          <w:color w:val="222222"/>
          <w:sz w:val="20"/>
        </w:rPr>
        <w:t xml:space="preserve">Non-GAAP net income attributable to Itron, Inc. was </w:t>
      </w:r>
      <w:r>
        <w:rPr>
          <w:rFonts w:ascii="Times New Roman;serif" w:hAnsi="Times New Roman;serif"/>
          <w:b w:val="false"/>
          <w:color w:val="000000"/>
          <w:sz w:val="20"/>
        </w:rPr>
        <w:t>$138.4 million</w:t>
      </w:r>
      <w:r>
        <w:rPr>
          <w:color w:val="222222"/>
        </w:rPr>
        <w:t xml:space="preserve"> </w:t>
      </w:r>
      <w:r>
        <w:rPr>
          <w:rFonts w:ascii="Times New Roman;serif" w:hAnsi="Times New Roman;serif"/>
          <w:b w:val="false"/>
          <w:color w:val="222222"/>
          <w:sz w:val="20"/>
        </w:rPr>
        <w:t xml:space="preserve">compared with </w:t>
      </w:r>
      <w:r>
        <w:rPr>
          <w:rFonts w:ascii="Times New Roman;serif" w:hAnsi="Times New Roman;serif"/>
          <w:b w:val="false"/>
          <w:color w:val="000000"/>
          <w:sz w:val="20"/>
        </w:rPr>
        <w:t>$145.2 million</w:t>
      </w:r>
      <w:r>
        <w:rPr>
          <w:color w:val="222222"/>
        </w:rPr>
        <w:t xml:space="preserve"> </w:t>
      </w:r>
      <w:r>
        <w:rPr>
          <w:rFonts w:ascii="Times New Roman;serif" w:hAnsi="Times New Roman;serif"/>
          <w:b w:val="false"/>
          <w:color w:val="222222"/>
          <w:sz w:val="20"/>
        </w:rPr>
        <w:t>in 2025</w:t>
      </w:r>
    </w:p>
    <w:p>
      <w:pPr>
        <w:pStyle w:val="TextBody"/>
        <w:bidi w:val="0"/>
        <w:spacing w:lineRule="auto" w:line="288" w:before="0" w:after="60"/>
        <w:ind w:left="0" w:right="0" w:hanging="180"/>
        <w:jc w:val="both"/>
        <w:rPr/>
      </w:pPr>
      <w:r>
        <w:rPr>
          <w:color w:val="222222"/>
        </w:rPr>
        <w:t>•</w:t>
      </w:r>
      <w:r>
        <w:rPr>
          <w:rFonts w:ascii="Times New Roman;serif" w:hAnsi="Times New Roman;serif"/>
          <w:b w:val="false"/>
          <w:color w:val="222222"/>
          <w:sz w:val="20"/>
        </w:rPr>
        <w:t>Non-GAAP diluted EPS was $3.07, a decrease of $0.07 compared with 2025</w:t>
      </w:r>
    </w:p>
    <w:p>
      <w:pPr>
        <w:pStyle w:val="TextBody"/>
        <w:bidi w:val="0"/>
        <w:spacing w:lineRule="auto" w:line="288" w:before="0" w:after="60"/>
        <w:ind w:left="0" w:right="0" w:hanging="180"/>
        <w:jc w:val="both"/>
        <w:rPr/>
      </w:pPr>
      <w:r>
        <w:rPr>
          <w:color w:val="222222"/>
        </w:rPr>
        <w:t>•</w:t>
      </w:r>
      <w:r>
        <w:rPr>
          <w:rFonts w:ascii="Times New Roman;serif" w:hAnsi="Times New Roman;serif"/>
          <w:b w:val="false"/>
          <w:color w:val="000000"/>
          <w:sz w:val="20"/>
        </w:rPr>
        <w:t xml:space="preserve">Adjusted EBITDA was $188.8 million compared with $177.7 million in </w:t>
      </w:r>
      <w:r>
        <w:rPr>
          <w:rFonts w:ascii="Times New Roman;serif" w:hAnsi="Times New Roman;serif"/>
          <w:b w:val="false"/>
          <w:color w:val="222222"/>
          <w:sz w:val="20"/>
        </w:rPr>
        <w:t>2025</w:t>
      </w:r>
    </w:p>
    <w:p>
      <w:pPr>
        <w:pStyle w:val="TextBody"/>
        <w:bidi w:val="0"/>
        <w:spacing w:before="0" w:after="0"/>
        <w:jc w:val="both"/>
        <w:rPr/>
      </w:pPr>
      <w:r>
        <w:rPr/>
      </w:r>
    </w:p>
    <w:p>
      <w:pPr>
        <w:pStyle w:val="TextBody"/>
        <w:bidi w:val="0"/>
        <w:spacing w:lineRule="auto" w:line="288" w:before="0" w:after="60"/>
        <w:ind w:left="0" w:right="0" w:firstLine="180"/>
        <w:jc w:val="both"/>
        <w:rPr>
          <w:rFonts w:ascii="Times New Roman;serif" w:hAnsi="Times New Roman;serif"/>
          <w:b w:val="false"/>
          <w:i/>
          <w:color w:val="222222"/>
          <w:sz w:val="20"/>
        </w:rPr>
      </w:pPr>
      <w:r>
        <w:rPr>
          <w:rFonts w:ascii="Times New Roman;serif" w:hAnsi="Times New Roman;serif"/>
          <w:b w:val="false"/>
          <w:i/>
          <w:color w:val="222222"/>
          <w:sz w:val="20"/>
        </w:rPr>
        <w:t>2026 Convertible Notes</w:t>
      </w:r>
    </w:p>
    <w:p>
      <w:pPr>
        <w:pStyle w:val="TextBody"/>
        <w:bidi w:val="0"/>
        <w:spacing w:lineRule="auto" w:line="288" w:before="0" w:after="0"/>
        <w:jc w:val="both"/>
        <w:rPr/>
      </w:pPr>
      <w:r>
        <w:rPr>
          <w:rFonts w:ascii="Times New Roman;serif" w:hAnsi="Times New Roman;serif"/>
          <w:b w:val="false"/>
          <w:color w:val="000000"/>
          <w:sz w:val="20"/>
        </w:rPr>
        <w:t>On February 23, 2026, we closed the sale of</w:t>
      </w:r>
      <w:r>
        <w:rPr>
          <w:color w:val="222222"/>
        </w:rPr>
        <w:t xml:space="preserve"> </w:t>
      </w:r>
      <w:r>
        <w:rPr>
          <w:rFonts w:ascii="Times New Roman;serif" w:hAnsi="Times New Roman;serif"/>
          <w:b w:val="false"/>
          <w:color w:val="000000"/>
          <w:sz w:val="20"/>
        </w:rPr>
        <w:t>$805 million</w:t>
      </w:r>
      <w:r>
        <w:rPr>
          <w:color w:val="222222"/>
        </w:rPr>
        <w:t xml:space="preserve"> </w:t>
      </w:r>
      <w:r>
        <w:rPr>
          <w:rFonts w:ascii="Times New Roman;serif" w:hAnsi="Times New Roman;serif"/>
          <w:b w:val="false"/>
          <w:color w:val="222222"/>
          <w:sz w:val="20"/>
        </w:rPr>
        <w:t xml:space="preserve">of convertible notes (the 2026 Notes) </w:t>
      </w:r>
      <w:r>
        <w:rPr>
          <w:rFonts w:ascii="Times New Roman;serif" w:hAnsi="Times New Roman;serif"/>
          <w:b w:val="false"/>
          <w:color w:val="000000"/>
          <w:sz w:val="20"/>
        </w:rPr>
        <w:t>in a private placement to qualified institutional buyers, resulting in net proceeds to us of</w:t>
      </w:r>
      <w:r>
        <w:rPr>
          <w:color w:val="222222"/>
        </w:rPr>
        <w:t xml:space="preserve"> </w:t>
      </w:r>
      <w:r>
        <w:rPr>
          <w:rFonts w:ascii="Times New Roman;serif" w:hAnsi="Times New Roman;serif"/>
          <w:b w:val="false"/>
          <w:color w:val="000000"/>
          <w:sz w:val="20"/>
        </w:rPr>
        <w:t>$784 million</w:t>
      </w:r>
      <w:r>
        <w:rPr>
          <w:color w:val="222222"/>
        </w:rPr>
        <w:t xml:space="preserve"> </w:t>
      </w:r>
      <w:r>
        <w:rPr>
          <w:rFonts w:ascii="Times New Roman;serif" w:hAnsi="Times New Roman;serif"/>
          <w:b w:val="false"/>
          <w:color w:val="000000"/>
          <w:sz w:val="20"/>
        </w:rPr>
        <w:t>after deducting initial purchasers' discounts of the offering. The 2026 Notes do not bear regular interest, and the principal amount does not accrete. The 2026 Notes mature on March 15, 2032, unless earlier repurchased, redeemed, or converted in accordance with their terms.</w:t>
      </w:r>
      <w:r>
        <w:rPr>
          <w:color w:val="222222"/>
        </w:rPr>
        <w:t xml:space="preserve"> </w:t>
      </w:r>
      <w:r>
        <w:rPr>
          <w:rFonts w:ascii="Times New Roman;serif" w:hAnsi="Times New Roman;serif"/>
          <w:b w:val="false"/>
          <w:color w:val="000000"/>
          <w:sz w:val="20"/>
        </w:rPr>
        <w:t>Refer to Item 1: Financial Statements (Unaudited), Note 6: Debt 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ind w:left="0" w:right="0" w:firstLine="180"/>
        <w:jc w:val="both"/>
        <w:rPr>
          <w:rFonts w:ascii="Times New Roman;serif" w:hAnsi="Times New Roman;serif"/>
          <w:b w:val="false"/>
          <w:i/>
          <w:color w:val="222222"/>
          <w:sz w:val="20"/>
        </w:rPr>
      </w:pPr>
      <w:r>
        <w:rPr>
          <w:rFonts w:ascii="Times New Roman;serif" w:hAnsi="Times New Roman;serif"/>
          <w:b w:val="false"/>
          <w:i/>
          <w:color w:val="222222"/>
          <w:sz w:val="20"/>
        </w:rPr>
        <w:t>Stock Repurchase Program</w:t>
      </w:r>
    </w:p>
    <w:p>
      <w:pPr>
        <w:pStyle w:val="TextBody"/>
        <w:bidi w:val="0"/>
        <w:spacing w:lineRule="auto" w:line="288" w:before="0" w:after="60"/>
        <w:jc w:val="both"/>
        <w:rPr>
          <w:rFonts w:ascii="Times New Roman;serif" w:hAnsi="Times New Roman;serif"/>
          <w:b w:val="false"/>
          <w:color w:val="222222"/>
          <w:sz w:val="20"/>
        </w:rPr>
      </w:pPr>
      <w:r>
        <w:rPr>
          <w:rFonts w:ascii="Times New Roman;serif" w:hAnsi="Times New Roman;serif"/>
          <w:b w:val="false"/>
          <w:color w:val="222222"/>
          <w:sz w:val="20"/>
        </w:rPr>
        <w:t>On May 6, 2026, the Company's Board of Directors authorized a new share repurchase program of up to $200 million of Itron's common stock over an 18-month period, effective May 8, 2026 (the 2026 Stock Repurchase Program). Repurchases will be made in the open market and pursuant to the terms of any Rule 10b5-1 plans that Itron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w:t>
      </w:r>
    </w:p>
    <w:p>
      <w:pPr>
        <w:pStyle w:val="TextBody"/>
        <w:bidi w:val="0"/>
        <w:spacing w:before="0" w:after="6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Effective November 10, 2025, Itron's Board of Directors authorized a repurchase up to $250 million of our common stock over an 18-month period (the 2025 Stock Repurchase Program). Repurchases will be made in the open market and pursuant to the terms of any Rule 10b5-1 plans that Itron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 </w:t>
      </w:r>
      <w:r>
        <w:rPr>
          <w:rFonts w:ascii="Times New Roman;serif" w:hAnsi="Times New Roman;serif"/>
          <w:b w:val="false"/>
          <w:color w:val="222222"/>
          <w:sz w:val="20"/>
        </w:rPr>
        <w:t xml:space="preserve">In February 2026, we repurchased </w:t>
      </w:r>
      <w:r>
        <w:rPr>
          <w:rFonts w:ascii="Times New Roman;serif" w:hAnsi="Times New Roman;serif"/>
          <w:b w:val="false"/>
          <w:color w:val="000000"/>
          <w:sz w:val="20"/>
        </w:rPr>
        <w:t>1,050,309</w:t>
      </w:r>
      <w:r>
        <w:rPr>
          <w:color w:val="222222"/>
        </w:rPr>
        <w:t xml:space="preserve"> </w:t>
      </w:r>
      <w:r>
        <w:rPr>
          <w:rFonts w:ascii="Times New Roman;serif" w:hAnsi="Times New Roman;serif"/>
          <w:b w:val="false"/>
          <w:color w:val="222222"/>
          <w:sz w:val="20"/>
        </w:rPr>
        <w:t xml:space="preserve">shares under the 2025 Stock Repurchase Program at an average price of </w:t>
      </w:r>
      <w:r>
        <w:rPr>
          <w:rFonts w:ascii="Times New Roman;serif" w:hAnsi="Times New Roman;serif"/>
          <w:b w:val="false"/>
          <w:color w:val="000000"/>
          <w:sz w:val="20"/>
        </w:rPr>
        <w:t xml:space="preserve">$95.21 </w:t>
      </w:r>
      <w:r>
        <w:rPr>
          <w:rFonts w:ascii="Times New Roman;serif" w:hAnsi="Times New Roman;serif"/>
          <w:b w:val="false"/>
          <w:color w:val="222222"/>
          <w:sz w:val="20"/>
        </w:rPr>
        <w:t xml:space="preserve">(excluding commissions) for a total of </w:t>
      </w:r>
      <w:r>
        <w:rPr>
          <w:rFonts w:ascii="Times New Roman;serif" w:hAnsi="Times New Roman;serif"/>
          <w:b w:val="false"/>
          <w:color w:val="000000"/>
          <w:sz w:val="20"/>
        </w:rPr>
        <w:t>$100 million</w:t>
      </w:r>
      <w:r>
        <w:rPr>
          <w:rFonts w:ascii="Times New Roman;serif" w:hAnsi="Times New Roman;serif"/>
          <w:b w:val="false"/>
          <w:color w:val="222222"/>
          <w:sz w:val="20"/>
        </w:rPr>
        <w:t>. This repurchase was completed in conjunction with the sale of the 2026 Notes. F</w:t>
      </w:r>
      <w:r>
        <w:rPr>
          <w:rFonts w:ascii="Times New Roman;serif" w:hAnsi="Times New Roman;serif"/>
          <w:b w:val="false"/>
          <w:color w:val="000000"/>
          <w:sz w:val="20"/>
        </w:rPr>
        <w:t>or the second quarter of 2026, we repurchased 644,188 shares under the 2025 Stock Repurchase Program at an average price of $81.07 (excluding commissions) for a total of $52.2 million.</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erif" w:hAnsi="Times New Roman;serif"/>
          <w:b w:val="false"/>
          <w:i/>
          <w:color w:val="222222"/>
          <w:sz w:val="20"/>
        </w:rPr>
      </w:pPr>
      <w:r>
        <w:rPr>
          <w:rFonts w:ascii="Times New Roman;serif" w:hAnsi="Times New Roman;serif"/>
          <w:b w:val="false"/>
          <w:i/>
          <w:color w:val="222222"/>
          <w:sz w:val="20"/>
        </w:rPr>
        <w:t>Business Acquisitions</w:t>
      </w:r>
    </w:p>
    <w:p>
      <w:pPr>
        <w:pStyle w:val="TextBody"/>
        <w:bidi w:val="0"/>
        <w:spacing w:lineRule="auto" w:line="288" w:before="0" w:after="0"/>
        <w:jc w:val="both"/>
        <w:rPr/>
      </w:pPr>
      <w:r>
        <w:rPr>
          <w:rFonts w:ascii="Times New Roman;serif" w:hAnsi="Times New Roman;serif"/>
          <w:b w:val="false"/>
          <w:color w:val="222222"/>
          <w:sz w:val="20"/>
        </w:rPr>
        <w:t xml:space="preserve">On January 5, 2026, we completed the acquisition of </w:t>
      </w:r>
      <w:r>
        <w:rPr>
          <w:rFonts w:ascii="Times New Roman;serif" w:hAnsi="Times New Roman;serif"/>
          <w:b w:val="false"/>
          <w:color w:val="000000"/>
          <w:sz w:val="20"/>
        </w:rPr>
        <w:t>100%</w:t>
      </w:r>
      <w:r>
        <w:rPr>
          <w:color w:val="222222"/>
        </w:rPr>
        <w:t xml:space="preserve"> </w:t>
      </w:r>
      <w:r>
        <w:rPr>
          <w:rFonts w:ascii="Times New Roman;serif" w:hAnsi="Times New Roman;serif"/>
          <w:b w:val="false"/>
          <w:color w:val="222222"/>
          <w:sz w:val="20"/>
        </w:rPr>
        <w:t xml:space="preserve">of the outstanding equity of Locusview, Ltd. and subsidiaries (collectively, Locusview) a privately held utility-focused software and services company that is based in the United States and Israel. The acquisition provides value to Itron through the leverage of Locusview's digital construction management solutions to enhance Itron's Resiliency Solutions offerings to its customers. </w:t>
      </w:r>
      <w:r>
        <w:rPr>
          <w:rFonts w:ascii="Times New Roman;serif" w:hAnsi="Times New Roman;serif"/>
          <w:b w:val="false"/>
          <w:color w:val="000000"/>
          <w:sz w:val="20"/>
        </w:rPr>
        <w:t>The preliminary purchase price allocated to acquired assets and liabilities was</w:t>
      </w:r>
      <w:r>
        <w:rPr>
          <w:color w:val="222222"/>
        </w:rPr>
        <w:t xml:space="preserve"> </w:t>
      </w:r>
      <w:r>
        <w:rPr>
          <w:rFonts w:ascii="Times New Roman;serif" w:hAnsi="Times New Roman;serif"/>
          <w:b w:val="false"/>
          <w:color w:val="000000"/>
          <w:sz w:val="20"/>
        </w:rPr>
        <w:t>$546.4 million, which was funded through cash on hand. The purchase price was subject to further adjustment based on final working capital and other closing considerations.</w:t>
      </w:r>
    </w:p>
    <w:p>
      <w:pPr>
        <w:pStyle w:val="TextBody"/>
        <w:bidi w:val="0"/>
        <w:spacing w:before="0" w:after="0"/>
        <w:jc w:val="both"/>
        <w:rPr/>
      </w:pPr>
      <w:r>
        <w:rPr/>
      </w:r>
    </w:p>
    <w:p>
      <w:pPr>
        <w:pStyle w:val="TextBody"/>
        <w:bidi w:val="0"/>
        <w:spacing w:before="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Total Company GAAP, Non-GAAP Highlights and Annual Recurring Revenue:</w:t>
      </w:r>
    </w:p>
    <w:tbl>
      <w:tblPr>
        <w:tblW w:w="10205" w:type="dxa"/>
        <w:jc w:val="left"/>
        <w:tblInd w:w="0" w:type="dxa"/>
        <w:tblLayout w:type="fixed"/>
        <w:tblCellMar>
          <w:top w:w="28" w:type="dxa"/>
          <w:left w:w="28" w:type="dxa"/>
          <w:bottom w:w="28" w:type="dxa"/>
          <w:right w:w="28" w:type="dxa"/>
        </w:tblCellMar>
      </w:tblPr>
      <w:tblGrid>
        <w:gridCol w:w="718"/>
        <w:gridCol w:w="528"/>
        <w:gridCol w:w="529"/>
        <w:gridCol w:w="196"/>
        <w:gridCol w:w="736"/>
        <w:gridCol w:w="256"/>
        <w:gridCol w:w="109"/>
        <w:gridCol w:w="109"/>
        <w:gridCol w:w="109"/>
        <w:gridCol w:w="196"/>
        <w:gridCol w:w="736"/>
        <w:gridCol w:w="256"/>
        <w:gridCol w:w="109"/>
        <w:gridCol w:w="109"/>
        <w:gridCol w:w="109"/>
        <w:gridCol w:w="310"/>
        <w:gridCol w:w="310"/>
        <w:gridCol w:w="311"/>
        <w:gridCol w:w="109"/>
        <w:gridCol w:w="109"/>
        <w:gridCol w:w="109"/>
        <w:gridCol w:w="196"/>
        <w:gridCol w:w="736"/>
        <w:gridCol w:w="256"/>
        <w:gridCol w:w="109"/>
        <w:gridCol w:w="109"/>
        <w:gridCol w:w="109"/>
        <w:gridCol w:w="196"/>
        <w:gridCol w:w="871"/>
        <w:gridCol w:w="256"/>
        <w:gridCol w:w="109"/>
        <w:gridCol w:w="109"/>
        <w:gridCol w:w="109"/>
        <w:gridCol w:w="285"/>
        <w:gridCol w:w="285"/>
        <w:gridCol w:w="407"/>
      </w:tblGrid>
      <w:tr>
        <w:trPr/>
        <w:tc>
          <w:tcPr>
            <w:tcW w:w="71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margin and per share data</w:t>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7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GAAP</w:t>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453,462 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517,184 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931,263 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1,040,325 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218,621 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w:t>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562,902 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606,761 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1,149,884 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1,213,912 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466,959 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440,837 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323,316 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288,211 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(71)%</w:t>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(26,733)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(40,342)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(31,659)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w:t>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Itron, Inc.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w:t>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u w:val="single"/>
              </w:rPr>
              <w:t>Non-GAAP</w:t>
            </w:r>
            <w:r>
              <w:rPr>
                <w:rFonts w:ascii="Times New Roman;serif" w:hAnsi="Times New Roman;serif"/>
                <w:b/>
                <w:color w:val="000000"/>
                <w:sz w:val="12"/>
              </w:rPr>
              <w:t>(1)</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298,515 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 attributable to Itron, Inc.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GAAP Margins and EPS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 - 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 -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u w:val="single"/>
              </w:rPr>
              <w:t xml:space="preserve">Non-GAAP EPS </w:t>
            </w:r>
            <w:r>
              <w:rPr>
                <w:rFonts w:ascii="Times New Roman;serif" w:hAnsi="Times New Roman;serif"/>
                <w:b/>
                <w:color w:val="000000"/>
                <w:sz w:val="12"/>
              </w:rPr>
              <w:t>(1)</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diluted EPS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These measures exclude certain expenses that we do not believe are indicative of our core operating results. See pages 46-50 for information about these non-GAAP measures and reconciliations to the most comparable GAAP measures.</w:t>
      </w:r>
    </w:p>
    <w:p>
      <w:pPr>
        <w:pStyle w:val="TextBody"/>
        <w:bidi w:val="0"/>
        <w:spacing w:before="0" w:after="0"/>
        <w:ind w:left="0" w:right="0" w:firstLine="225"/>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Effective with our 2025 Annual Report, we transitioned our reported performance metric below from endpoints under management to annual recurring revenue (ARR). ARR is not evenly distributed across endpoints under management, and this change is intended to provide a more accurate and transparent view of our ongoing operations by highlighting predictable, subscription</w:t>
        <w:noBreakHyphen/>
        <w:t>based revenue streams.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ARR is a widely recognized indicator of long-term financial stability and growth and offers improved comparability, transparency, and insight into revenue sustainability. Endpoints under management does not reflect the flexibility afforded to our customers to deploy multiple applications, services, outcomes, and higher margin recurring offerings that can be associated with an endpoint over its useful life. The adoption of ARR better reflects the value of ongoing customer relationships across all of our solutions, including those offered by our new Resiliency Solutions segment.</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Definition of Annual Recurring Revenue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ARR is an operating metric and represents an annualized calculation of quarterly recurring revenue. This metric primarily includes subscription and maintenance revenues (see examples of ARR components below). ARR should be viewed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rPr>
        <w:t xml:space="preserve">independently of </w:t>
      </w:r>
      <w:r>
        <w:rPr>
          <w:rFonts w:ascii="Times New Roman;serif" w:hAnsi="Times New Roman;serif"/>
          <w:b w:val="false"/>
          <w:i/>
          <w:color w:val="000000"/>
          <w:sz w:val="20"/>
        </w:rPr>
        <w:t>revenue</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deferred revenue</w:t>
      </w:r>
      <w:r>
        <w:rPr>
          <w:color w:val="000000"/>
        </w:rPr>
        <w:t xml:space="preserve"> </w:t>
      </w:r>
      <w:r>
        <w:rPr>
          <w:rFonts w:ascii="Times New Roman;serif" w:hAnsi="Times New Roman;serif"/>
          <w:b w:val="false"/>
          <w:color w:val="000000"/>
          <w:sz w:val="20"/>
        </w:rPr>
        <w:t>as ARR is an operating metric and is not intended to be combined with or replace these items. ARR is not a forecast of future revenue, which can be impacted by contract start and end dates, cancellation and renewal rates, upgrades or downgrades, foreign exchange rate fluctuations, acquisitions or divestitures, and does not include revenue from appliance hardware, perpetual software, or professional services. Our calculation of ARR does not give effect to the impact of any anticipated future price increases or decreases. We consider ARR a useful measure of the value of the recurring components of our business because it reflects both our ability to attract new customers for our solutions and our success at retaining and expanding our relationships with existing customers. Our measure of ARR may be different than similarly titled metrics used by other companies.</w:t>
      </w:r>
    </w:p>
    <w:p>
      <w:pPr>
        <w:pStyle w:val="TextBody"/>
        <w:bidi w:val="0"/>
        <w:spacing w:before="0" w:after="0"/>
        <w:jc w:val="both"/>
        <w:rPr/>
      </w:pPr>
      <w:r>
        <w:rPr/>
      </w:r>
    </w:p>
    <w:tbl>
      <w:tblPr>
        <w:tblW w:w="5185" w:type="dxa"/>
        <w:jc w:val="left"/>
        <w:tblInd w:w="0" w:type="dxa"/>
        <w:tblLayout w:type="fixed"/>
        <w:tblCellMar>
          <w:top w:w="28" w:type="dxa"/>
          <w:left w:w="28" w:type="dxa"/>
          <w:bottom w:w="28" w:type="dxa"/>
          <w:right w:w="28" w:type="dxa"/>
        </w:tblCellMar>
      </w:tblPr>
      <w:tblGrid>
        <w:gridCol w:w="700"/>
        <w:gridCol w:w="616"/>
        <w:gridCol w:w="619"/>
        <w:gridCol w:w="109"/>
        <w:gridCol w:w="109"/>
        <w:gridCol w:w="109"/>
        <w:gridCol w:w="271"/>
        <w:gridCol w:w="600"/>
        <w:gridCol w:w="140"/>
        <w:gridCol w:w="140"/>
        <w:gridCol w:w="140"/>
        <w:gridCol w:w="140"/>
        <w:gridCol w:w="271"/>
        <w:gridCol w:w="600"/>
        <w:gridCol w:w="140"/>
        <w:gridCol w:w="109"/>
        <w:gridCol w:w="109"/>
        <w:gridCol w:w="109"/>
        <w:gridCol w:w="154"/>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Annual recurring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ARR component examples: </w:t>
      </w:r>
    </w:p>
    <w:p>
      <w:pPr>
        <w:pStyle w:val="TextBody"/>
        <w:bidi w:val="0"/>
        <w:spacing w:lineRule="auto" w:line="288" w:before="0" w:after="60"/>
        <w:ind w:left="0" w:right="0" w:hanging="180"/>
        <w:jc w:val="left"/>
        <w:rPr/>
      </w:pPr>
      <w:r>
        <w:rPr>
          <w:color w:val="000000"/>
        </w:rPr>
        <w:t>•</w:t>
      </w:r>
      <w:r>
        <w:rPr>
          <w:rFonts w:ascii="Times New Roman;serif" w:hAnsi="Times New Roman;serif"/>
          <w:b w:val="false"/>
          <w:color w:val="222222"/>
          <w:sz w:val="20"/>
        </w:rPr>
        <w:t>su</w:t>
      </w:r>
      <w:r>
        <w:rPr>
          <w:rFonts w:ascii="Times New Roman;serif" w:hAnsi="Times New Roman;serif"/>
          <w:b w:val="false"/>
          <w:color w:val="000000"/>
          <w:sz w:val="20"/>
        </w:rPr>
        <w:t>bscription-based SaaS contracts</w:t>
      </w:r>
    </w:p>
    <w:p>
      <w:pPr>
        <w:pStyle w:val="TextBody"/>
        <w:bidi w:val="0"/>
        <w:spacing w:lineRule="auto" w:line="288" w:before="0" w:after="60"/>
        <w:ind w:left="0" w:right="0" w:hanging="180"/>
        <w:jc w:val="left"/>
        <w:rPr/>
      </w:pPr>
      <w:r>
        <w:rPr>
          <w:color w:val="000000"/>
        </w:rPr>
        <w:t>•</w:t>
      </w:r>
      <w:r>
        <w:rPr>
          <w:rFonts w:ascii="Times New Roman;serif" w:hAnsi="Times New Roman;serif"/>
          <w:b w:val="false"/>
          <w:color w:val="000000"/>
          <w:sz w:val="20"/>
        </w:rPr>
        <w:t>term-based subscription license contracts</w:t>
      </w:r>
    </w:p>
    <w:p>
      <w:pPr>
        <w:pStyle w:val="TextBody"/>
        <w:bidi w:val="0"/>
        <w:spacing w:lineRule="auto" w:line="288" w:before="0" w:after="60"/>
        <w:ind w:left="0" w:right="0" w:hanging="180"/>
        <w:jc w:val="left"/>
        <w:rPr/>
      </w:pPr>
      <w:r>
        <w:rPr>
          <w:color w:val="000000"/>
        </w:rPr>
        <w:t>•</w:t>
      </w:r>
      <w:r>
        <w:rPr>
          <w:rFonts w:ascii="Times New Roman;serif" w:hAnsi="Times New Roman;serif"/>
          <w:b w:val="false"/>
          <w:color w:val="000000"/>
          <w:sz w:val="20"/>
        </w:rPr>
        <w:t xml:space="preserve">managed services subscriptions </w:t>
      </w:r>
    </w:p>
    <w:p>
      <w:pPr>
        <w:pStyle w:val="TextBody"/>
        <w:bidi w:val="0"/>
        <w:spacing w:lineRule="auto" w:line="288" w:before="0" w:after="60"/>
        <w:ind w:left="0" w:right="0" w:hanging="180"/>
        <w:jc w:val="left"/>
        <w:rPr/>
      </w:pPr>
      <w:r>
        <w:rPr>
          <w:color w:val="000000"/>
        </w:rPr>
        <w:t>•</w:t>
      </w:r>
      <w:r>
        <w:rPr>
          <w:rFonts w:ascii="Times New Roman;serif" w:hAnsi="Times New Roman;serif"/>
          <w:b w:val="false"/>
          <w:color w:val="000000"/>
          <w:sz w:val="20"/>
        </w:rPr>
        <w:t>maintenance or other support contracts</w:t>
      </w:r>
    </w:p>
    <w:p>
      <w:pPr>
        <w:pStyle w:val="TextBody"/>
        <w:bidi w:val="0"/>
        <w:spacing w:lineRule="auto" w:line="288" w:before="0" w:after="60"/>
        <w:ind w:left="0" w:right="0" w:hanging="180"/>
        <w:jc w:val="left"/>
        <w:rPr/>
      </w:pPr>
      <w:r>
        <w:rPr>
          <w:color w:val="000000"/>
        </w:rPr>
        <w:t>•</w:t>
      </w:r>
      <w:r>
        <w:rPr>
          <w:rFonts w:ascii="Times New Roman;serif" w:hAnsi="Times New Roman;serif"/>
          <w:b w:val="false"/>
          <w:color w:val="000000"/>
          <w:sz w:val="20"/>
        </w:rPr>
        <w:t>PaaS subscriptions (platform-as-a-service)</w:t>
      </w:r>
    </w:p>
    <w:p>
      <w:pPr>
        <w:pStyle w:val="TextBody"/>
        <w:bidi w:val="0"/>
        <w:spacing w:before="0" w:after="6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Revenues and Gross Margin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actual results of and effects of changes in foreign currency exchange rates on revenues and gross profit were as follows:</w:t>
      </w:r>
    </w:p>
    <w:tbl>
      <w:tblPr>
        <w:tblW w:w="10205" w:type="dxa"/>
        <w:jc w:val="left"/>
        <w:tblInd w:w="0" w:type="dxa"/>
        <w:tblLayout w:type="fixed"/>
        <w:tblCellMar>
          <w:top w:w="28" w:type="dxa"/>
          <w:left w:w="28" w:type="dxa"/>
          <w:bottom w:w="28" w:type="dxa"/>
          <w:right w:w="28" w:type="dxa"/>
        </w:tblCellMar>
      </w:tblPr>
      <w:tblGrid>
        <w:gridCol w:w="190"/>
        <w:gridCol w:w="167"/>
        <w:gridCol w:w="167"/>
        <w:gridCol w:w="289"/>
        <w:gridCol w:w="289"/>
        <w:gridCol w:w="297"/>
        <w:gridCol w:w="196"/>
        <w:gridCol w:w="871"/>
        <w:gridCol w:w="109"/>
        <w:gridCol w:w="109"/>
        <w:gridCol w:w="109"/>
        <w:gridCol w:w="109"/>
        <w:gridCol w:w="196"/>
        <w:gridCol w:w="871"/>
        <w:gridCol w:w="109"/>
        <w:gridCol w:w="109"/>
        <w:gridCol w:w="109"/>
        <w:gridCol w:w="109"/>
        <w:gridCol w:w="514"/>
        <w:gridCol w:w="1695"/>
        <w:gridCol w:w="285"/>
        <w:gridCol w:w="109"/>
        <w:gridCol w:w="109"/>
        <w:gridCol w:w="109"/>
        <w:gridCol w:w="302"/>
        <w:gridCol w:w="1079"/>
        <w:gridCol w:w="168"/>
        <w:gridCol w:w="109"/>
        <w:gridCol w:w="109"/>
        <w:gridCol w:w="109"/>
        <w:gridCol w:w="206"/>
        <w:gridCol w:w="728"/>
        <w:gridCol w:w="169"/>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 of Changes in Foreign Currency Exchange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Currency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Change</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9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9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Company</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3,187 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(47,046)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(43,859)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 of Changes in Foreign Currency Exchange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Currency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Change</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9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9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Company</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16,918 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(80,946)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(64,028)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22,078 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26,122 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25"/>
        <w:jc w:val="both"/>
        <w:rPr/>
      </w:pPr>
      <w:r>
        <w:rPr/>
      </w:r>
    </w:p>
    <w:p>
      <w:pPr>
        <w:pStyle w:val="TextBody"/>
        <w:bidi w:val="0"/>
        <w:spacing w:lineRule="auto" w:line="288" w:before="0" w:after="60"/>
        <w:jc w:val="both"/>
        <w:rPr>
          <w:rFonts w:ascii="Times New Roman;serif" w:hAnsi="Times New Roman;serif"/>
          <w:b w:val="false"/>
          <w:i/>
          <w:color w:val="000000"/>
          <w:sz w:val="20"/>
        </w:rPr>
      </w:pPr>
      <w:r>
        <w:rPr>
          <w:rFonts w:ascii="Times New Roman;serif" w:hAnsi="Times New Roman;serif"/>
          <w:b w:val="false"/>
          <w:i/>
          <w:color w:val="000000"/>
          <w:sz w:val="20"/>
        </w:rPr>
        <w:t>Revenues - Three months ended June 30, 2026 vs. Three months ended June 30,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revenues decreased $43.9 million, or 7%, in the current 2026 quarter, compared with the same period in 2025. Product revenues decreased by $63.7 million, and service revenues increased by $19.9 million. Device Solutions decreased by $1.3 million; Networked Solutions decreased by $69.7 million; and Outcomes increased by $11.3 million when compared with the same period last year. Resiliency Solutions provided revenues of $15.8 million for the period. Changes in exchange rates favorably impacted total revenues by $3.2 million, of which $2.0 million favorably impacted Device Solutions.</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Revenues - Six months ended June 30, 2026 vs. Six months ended June 30, 2025</w:t>
      </w:r>
    </w:p>
    <w:p>
      <w:pPr>
        <w:pStyle w:val="TextBody"/>
        <w:bidi w:val="0"/>
        <w:spacing w:lineRule="auto" w:line="288" w:before="0" w:after="0"/>
        <w:jc w:val="both"/>
        <w:rPr/>
      </w:pPr>
      <w:r>
        <w:rPr>
          <w:rFonts w:ascii="Times New Roman;serif" w:hAnsi="Times New Roman;serif"/>
          <w:b w:val="false"/>
          <w:color w:val="222222"/>
          <w:sz w:val="20"/>
        </w:rPr>
        <w:t xml:space="preserve">Total revenues decreased $64.0 million compared with the same period in </w:t>
      </w:r>
      <w:r>
        <w:rPr>
          <w:rFonts w:ascii="Times New Roman;serif" w:hAnsi="Times New Roman;serif"/>
          <w:b w:val="false"/>
          <w:color w:val="000000"/>
          <w:sz w:val="20"/>
        </w:rPr>
        <w:t xml:space="preserve">2025. Product revenues decreased by $109.1 million, and service revenues increased by $45.0 million. </w:t>
      </w:r>
      <w:r>
        <w:rPr>
          <w:rFonts w:ascii="Times New Roman;serif" w:hAnsi="Times New Roman;serif"/>
          <w:b w:val="false"/>
          <w:color w:val="222222"/>
          <w:sz w:val="20"/>
        </w:rPr>
        <w:t xml:space="preserve">Device Solutions decreased by $2.8 million; Networked Solutions decreased by </w:t>
      </w:r>
      <w:r>
        <w:rPr>
          <w:rFonts w:ascii="Times New Roman;serif" w:hAnsi="Times New Roman;serif"/>
          <w:b w:val="false"/>
          <w:color w:val="000000"/>
          <w:sz w:val="20"/>
        </w:rPr>
        <w:t>$121.8 million</w:t>
      </w:r>
      <w:r>
        <w:rPr>
          <w:rFonts w:ascii="Times New Roman;serif" w:hAnsi="Times New Roman;serif"/>
          <w:b w:val="false"/>
          <w:color w:val="222222"/>
          <w:sz w:val="20"/>
        </w:rPr>
        <w:t>; and Outcomes increased by $28.7 million when compared with the same period last year. Resiliency Solutions provided revenues of $31.9 million during the six months period</w:t>
      </w:r>
      <w:r>
        <w:rPr>
          <w:rFonts w:ascii="Times New Roman;serif" w:hAnsi="Times New Roman;serif"/>
          <w:b w:val="false"/>
          <w:color w:val="000000"/>
          <w:sz w:val="20"/>
        </w:rPr>
        <w:t xml:space="preserve">. </w:t>
      </w:r>
      <w:r>
        <w:rPr>
          <w:rFonts w:ascii="Times New Roman;serif" w:hAnsi="Times New Roman;serif"/>
          <w:b w:val="false"/>
          <w:color w:val="222222"/>
          <w:sz w:val="20"/>
        </w:rPr>
        <w:t>C</w:t>
      </w:r>
      <w:r>
        <w:rPr>
          <w:rFonts w:ascii="Times New Roman;serif" w:hAnsi="Times New Roman;serif"/>
          <w:b w:val="false"/>
          <w:color w:val="000000"/>
          <w:sz w:val="20"/>
        </w:rPr>
        <w:t xml:space="preserve">hanges in exchange rates favorably impacted total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rPr>
        <w:t xml:space="preserve">revenues by </w:t>
      </w:r>
      <w:r>
        <w:rPr>
          <w:rFonts w:ascii="Times New Roman;serif" w:hAnsi="Times New Roman;serif"/>
          <w:b w:val="false"/>
          <w:color w:val="222222"/>
          <w:sz w:val="20"/>
        </w:rPr>
        <w:t>$16.9 million, of which $12.1 million favorably impacted Device Solutions and $3.1 million favorably impacted Networked Solutions.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Gross Margin - Three months ended June 30, 2026 vs. Three months ended June 30, 2025</w:t>
      </w:r>
    </w:p>
    <w:p>
      <w:pPr>
        <w:pStyle w:val="TextBody"/>
        <w:bidi w:val="0"/>
        <w:spacing w:lineRule="auto" w:line="288" w:before="0" w:after="0"/>
        <w:jc w:val="both"/>
        <w:rPr/>
      </w:pPr>
      <w:r>
        <w:rPr>
          <w:rFonts w:ascii="Times New Roman;serif" w:hAnsi="Times New Roman;serif"/>
          <w:b w:val="false"/>
          <w:color w:val="222222"/>
          <w:sz w:val="20"/>
        </w:rPr>
        <w:t xml:space="preserve">Gross margin in the </w:t>
      </w:r>
      <w:r>
        <w:rPr>
          <w:rFonts w:ascii="Times New Roman;serif" w:hAnsi="Times New Roman;serif"/>
          <w:b w:val="false"/>
          <w:color w:val="000000"/>
          <w:sz w:val="20"/>
        </w:rPr>
        <w:t>2026</w:t>
      </w:r>
      <w:r>
        <w:rPr>
          <w:color w:val="222222"/>
        </w:rPr>
        <w:t xml:space="preserve"> </w:t>
      </w:r>
      <w:r>
        <w:rPr>
          <w:rFonts w:ascii="Times New Roman;serif" w:hAnsi="Times New Roman;serif"/>
          <w:b w:val="false"/>
          <w:color w:val="222222"/>
          <w:sz w:val="20"/>
        </w:rPr>
        <w:t xml:space="preserve">period was 41.0%, compared with 36.9% in </w:t>
      </w:r>
      <w:r>
        <w:rPr>
          <w:rFonts w:ascii="Times New Roman;serif" w:hAnsi="Times New Roman;serif"/>
          <w:b w:val="false"/>
          <w:color w:val="000000"/>
          <w:sz w:val="20"/>
        </w:rPr>
        <w:t>2025</w:t>
      </w:r>
      <w:r>
        <w:rPr>
          <w:rFonts w:ascii="Times New Roman;serif" w:hAnsi="Times New Roman;serif"/>
          <w:b w:val="false"/>
          <w:color w:val="222222"/>
          <w:sz w:val="20"/>
        </w:rPr>
        <w:t xml:space="preserve">. Product sales gross margin increased to 38.1% for the quarter in </w:t>
      </w:r>
      <w:r>
        <w:rPr>
          <w:rFonts w:ascii="Times New Roman;serif" w:hAnsi="Times New Roman;serif"/>
          <w:b w:val="false"/>
          <w:color w:val="000000"/>
          <w:sz w:val="20"/>
        </w:rPr>
        <w:t>2026</w:t>
      </w:r>
      <w:r>
        <w:rPr>
          <w:rFonts w:ascii="Times New Roman;serif" w:hAnsi="Times New Roman;serif"/>
          <w:b w:val="false"/>
          <w:color w:val="222222"/>
          <w:sz w:val="20"/>
        </w:rPr>
        <w:t xml:space="preserve">, compared with 34.8% in </w:t>
      </w:r>
      <w:r>
        <w:rPr>
          <w:rFonts w:ascii="Times New Roman;serif" w:hAnsi="Times New Roman;serif"/>
          <w:b w:val="false"/>
          <w:color w:val="000000"/>
          <w:sz w:val="20"/>
        </w:rPr>
        <w:t>2025</w:t>
      </w:r>
      <w:r>
        <w:rPr>
          <w:rFonts w:ascii="Times New Roman;serif" w:hAnsi="Times New Roman;serif"/>
          <w:b w:val="false"/>
          <w:color w:val="222222"/>
          <w:sz w:val="20"/>
        </w:rPr>
        <w:t xml:space="preserve">. Gross margin on service revenues increased to 52.9% in </w:t>
      </w:r>
      <w:r>
        <w:rPr>
          <w:rFonts w:ascii="Times New Roman;serif" w:hAnsi="Times New Roman;serif"/>
          <w:b w:val="false"/>
          <w:color w:val="000000"/>
          <w:sz w:val="20"/>
        </w:rPr>
        <w:t>2026</w:t>
      </w:r>
      <w:r>
        <w:rPr>
          <w:rFonts w:ascii="Times New Roman;serif" w:hAnsi="Times New Roman;serif"/>
          <w:b w:val="false"/>
          <w:color w:val="222222"/>
          <w:sz w:val="20"/>
        </w:rPr>
        <w:t xml:space="preserve">, compared with 48.9% in </w:t>
      </w:r>
      <w:r>
        <w:rPr>
          <w:rFonts w:ascii="Times New Roman;serif" w:hAnsi="Times New Roman;serif"/>
          <w:b w:val="false"/>
          <w:color w:val="000000"/>
          <w:sz w:val="20"/>
        </w:rPr>
        <w:t>2025</w:t>
      </w:r>
      <w:r>
        <w:rPr>
          <w:rFonts w:ascii="Times New Roman;serif" w:hAnsi="Times New Roman;serif"/>
          <w:b w:val="false"/>
          <w:color w:val="222222"/>
          <w:sz w:val="20"/>
        </w:rPr>
        <w:t>.</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Gross Margin - Six months ended June 30, 2026 vs. Six months ended June 30, 2025</w:t>
      </w:r>
    </w:p>
    <w:p>
      <w:pPr>
        <w:pStyle w:val="TextBody"/>
        <w:bidi w:val="0"/>
        <w:spacing w:lineRule="auto" w:line="288" w:before="0" w:after="0"/>
        <w:jc w:val="both"/>
        <w:rPr/>
      </w:pPr>
      <w:r>
        <w:rPr>
          <w:rFonts w:ascii="Times New Roman;serif" w:hAnsi="Times New Roman;serif"/>
          <w:b w:val="false"/>
          <w:color w:val="222222"/>
          <w:sz w:val="20"/>
        </w:rPr>
        <w:t xml:space="preserve">Gross margin was 40.6%, compared with 36.3% in </w:t>
      </w:r>
      <w:r>
        <w:rPr>
          <w:rFonts w:ascii="Times New Roman;serif" w:hAnsi="Times New Roman;serif"/>
          <w:b w:val="false"/>
          <w:color w:val="000000"/>
          <w:sz w:val="20"/>
        </w:rPr>
        <w:t>2025</w:t>
      </w:r>
      <w:r>
        <w:rPr>
          <w:rFonts w:ascii="Times New Roman;serif" w:hAnsi="Times New Roman;serif"/>
          <w:b w:val="false"/>
          <w:color w:val="222222"/>
          <w:sz w:val="20"/>
        </w:rPr>
        <w:t xml:space="preserve">. Product sales gross margin increased to 37.6%, compared with 34.3% in </w:t>
      </w:r>
      <w:r>
        <w:rPr>
          <w:rFonts w:ascii="Times New Roman;serif" w:hAnsi="Times New Roman;serif"/>
          <w:b w:val="false"/>
          <w:color w:val="000000"/>
          <w:sz w:val="20"/>
        </w:rPr>
        <w:t>2025,</w:t>
      </w:r>
      <w:r>
        <w:rPr>
          <w:color w:val="222222"/>
        </w:rPr>
        <w:t xml:space="preserve"> </w:t>
      </w:r>
      <w:r>
        <w:rPr>
          <w:rFonts w:ascii="Times New Roman;serif" w:hAnsi="Times New Roman;serif"/>
          <w:b w:val="false"/>
          <w:color w:val="222222"/>
          <w:sz w:val="20"/>
        </w:rPr>
        <w:t xml:space="preserve">and gross margin on service revenues increased to 53.3%, compared with 48.6% in </w:t>
      </w:r>
      <w:r>
        <w:rPr>
          <w:rFonts w:ascii="Times New Roman;serif" w:hAnsi="Times New Roman;serif"/>
          <w:b w:val="false"/>
          <w:color w:val="000000"/>
          <w:sz w:val="20"/>
        </w:rPr>
        <w:t>2025</w:t>
      </w:r>
      <w:r>
        <w:rPr>
          <w:rFonts w:ascii="Times New Roman;serif" w:hAnsi="Times New Roman;serif"/>
          <w:b w:val="false"/>
          <w:color w:val="222222"/>
          <w:sz w:val="20"/>
        </w:rPr>
        <w:t>.</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 to Reportable Segment Results section below for further detail on total company revenues and gross margin.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actual results of and effects of changes in foreign currency exchange rates on operating expenses were as follows:</w:t>
      </w:r>
    </w:p>
    <w:tbl>
      <w:tblPr>
        <w:tblW w:w="10205" w:type="dxa"/>
        <w:jc w:val="left"/>
        <w:tblInd w:w="0" w:type="dxa"/>
        <w:tblLayout w:type="fixed"/>
        <w:tblCellMar>
          <w:top w:w="28" w:type="dxa"/>
          <w:left w:w="28" w:type="dxa"/>
          <w:bottom w:w="28" w:type="dxa"/>
          <w:right w:w="28" w:type="dxa"/>
        </w:tblCellMar>
      </w:tblPr>
      <w:tblGrid>
        <w:gridCol w:w="181"/>
        <w:gridCol w:w="159"/>
        <w:gridCol w:w="159"/>
        <w:gridCol w:w="506"/>
        <w:gridCol w:w="506"/>
        <w:gridCol w:w="520"/>
        <w:gridCol w:w="109"/>
        <w:gridCol w:w="109"/>
        <w:gridCol w:w="109"/>
        <w:gridCol w:w="196"/>
        <w:gridCol w:w="739"/>
        <w:gridCol w:w="109"/>
        <w:gridCol w:w="109"/>
        <w:gridCol w:w="109"/>
        <w:gridCol w:w="109"/>
        <w:gridCol w:w="196"/>
        <w:gridCol w:w="739"/>
        <w:gridCol w:w="109"/>
        <w:gridCol w:w="109"/>
        <w:gridCol w:w="109"/>
        <w:gridCol w:w="109"/>
        <w:gridCol w:w="456"/>
        <w:gridCol w:w="1294"/>
        <w:gridCol w:w="253"/>
        <w:gridCol w:w="109"/>
        <w:gridCol w:w="109"/>
        <w:gridCol w:w="109"/>
        <w:gridCol w:w="283"/>
        <w:gridCol w:w="935"/>
        <w:gridCol w:w="157"/>
        <w:gridCol w:w="109"/>
        <w:gridCol w:w="109"/>
        <w:gridCol w:w="109"/>
        <w:gridCol w:w="209"/>
        <w:gridCol w:w="689"/>
        <w:gridCol w:w="175"/>
      </w:tblGrid>
      <w:tr>
        <w:trPr/>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 of Changes in Foreign Currency Exchange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Currency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Change</w:t>
            </w:r>
          </w:p>
        </w:tc>
      </w:tr>
      <w:tr>
        <w:trPr/>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3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31"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Company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general and administrative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499"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tcPr>
          <w:p>
            <w:pPr>
              <w:pStyle w:val="TableContents"/>
              <w:bidi w:val="0"/>
              <w:spacing w:before="0" w:after="283"/>
              <w:jc w:val="left"/>
              <w:rPr>
                <w:sz w:val="4"/>
                <w:szCs w:val="4"/>
              </w:rPr>
            </w:pPr>
            <w:r>
              <w:rPr>
                <w:sz w:val="4"/>
                <w:szCs w:val="4"/>
              </w:rPr>
            </w:r>
          </w:p>
        </w:tc>
      </w:tr>
      <w:tr>
        <w:trPr/>
        <w:tc>
          <w:tcPr>
            <w:tcW w:w="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7,369 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 of Changes in Foreign Currency Exchange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Currency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Change</w:t>
            </w:r>
          </w:p>
        </w:tc>
      </w:tr>
      <w:tr>
        <w:trPr/>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3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31"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Company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general and administrative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20,553 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tcPr>
          <w:p>
            <w:pPr>
              <w:pStyle w:val="TableContents"/>
              <w:bidi w:val="0"/>
              <w:spacing w:before="0" w:after="283"/>
              <w:jc w:val="left"/>
              <w:rPr>
                <w:sz w:val="4"/>
                <w:szCs w:val="4"/>
              </w:rPr>
            </w:pPr>
            <w:r>
              <w:rPr>
                <w:sz w:val="4"/>
                <w:szCs w:val="4"/>
              </w:rPr>
            </w:r>
          </w:p>
        </w:tc>
      </w:tr>
      <w:tr>
        <w:trPr/>
        <w:tc>
          <w:tcPr>
            <w:tcW w:w="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323,316 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288,211 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2,305 </w:t>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32,800 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35,105 </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expenses increased $7.4 million for the second quarter of 2026 as compared with the same period in 2025. This was primarily the result of an increase of $3.9 million in amortization of intangible assets, $2.3 million in research and development expenses. and $2.1 million in sales, general and administrative expenses. The increases in research and development and sales, general and administrative expenses were primarily driven by increased IT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expenses increased $35.1 million for the six months ended June 30, 2026 as compared with the same period in 2025. This was primarily the result of a $20.6 million increase in sales, general and administrative expenses primarily driven by increased labor costs, IT expenses, and acquisition-related costs, a $7.6 million increase in amortization of intangible assets driven by the two recent acquisitions, and a $7.2 million increase in research and development expenses primarily driven by increased labor costs and IT expenses. Refer to Item 1: Financial Statements (Unaudited), Note 4: Intangible Assets included in this Quarterly Report on Form 10-Q for additional information.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components of other income (expense):</w:t>
      </w:r>
    </w:p>
    <w:tbl>
      <w:tblPr>
        <w:tblW w:w="10051" w:type="dxa"/>
        <w:jc w:val="left"/>
        <w:tblInd w:w="0" w:type="dxa"/>
        <w:tblLayout w:type="fixed"/>
        <w:tblCellMar>
          <w:top w:w="28" w:type="dxa"/>
          <w:left w:w="28" w:type="dxa"/>
          <w:bottom w:w="28" w:type="dxa"/>
          <w:right w:w="28" w:type="dxa"/>
        </w:tblCellMar>
      </w:tblPr>
      <w:tblGrid>
        <w:gridCol w:w="902"/>
        <w:gridCol w:w="790"/>
        <w:gridCol w:w="797"/>
        <w:gridCol w:w="224"/>
        <w:gridCol w:w="635"/>
        <w:gridCol w:w="124"/>
        <w:gridCol w:w="124"/>
        <w:gridCol w:w="124"/>
        <w:gridCol w:w="124"/>
        <w:gridCol w:w="224"/>
        <w:gridCol w:w="738"/>
        <w:gridCol w:w="124"/>
        <w:gridCol w:w="109"/>
        <w:gridCol w:w="109"/>
        <w:gridCol w:w="109"/>
        <w:gridCol w:w="310"/>
        <w:gridCol w:w="310"/>
        <w:gridCol w:w="311"/>
        <w:gridCol w:w="109"/>
        <w:gridCol w:w="109"/>
        <w:gridCol w:w="109"/>
        <w:gridCol w:w="196"/>
        <w:gridCol w:w="648"/>
        <w:gridCol w:w="109"/>
        <w:gridCol w:w="109"/>
        <w:gridCol w:w="109"/>
        <w:gridCol w:w="109"/>
        <w:gridCol w:w="196"/>
        <w:gridCol w:w="648"/>
        <w:gridCol w:w="109"/>
        <w:gridCol w:w="109"/>
        <w:gridCol w:w="109"/>
        <w:gridCol w:w="109"/>
        <w:gridCol w:w="285"/>
        <w:gridCol w:w="285"/>
        <w:gridCol w:w="406"/>
      </w:tblGrid>
      <w:tr>
        <w:trPr/>
        <w:tc>
          <w:tcPr>
            <w:tcW w:w="9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6,253 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12,303 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debt fees</w:t>
            </w:r>
          </w:p>
        </w:tc>
        <w:tc>
          <w:tcPr>
            <w:tcW w:w="8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interest expense</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(5,768)</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(5,648)</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843%</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4,140 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7,069 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(71)%</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other income (expense) for the three and six months ended June 30, 2026 was income of $4.1 million and $3.8 million, compared with income of $7.1 million and $13.1 million in the same period in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net other income for the three months ended June 30, 2026, as compared with the same period in 2025, was primarily driven by the $6.0 million decrease in interest income due to decreased interest-earning cash, partially offset by the $3.2 million increase in other income (expense), resulting primarily from the gain on the sale of an equity method investment.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net other income for the six months ended June 30, 2026, as compared with the same period in 2025, was driven by the $12.1 million decrease in interest income due to decreased interest-earning cash, partially offset by the $3.1 million increase in other income (expense), resulting primarily from the gain from the sale of an equity method investment.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 Provision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our income tax expense was $26.7 million and $40.3 million, compared with income tax expense of $14.7 million and $31.7 million for the same periods in 2025. Our tax rate for the three and six months ended June 30, 2026 of 33% and 27% differed from the federal statutory rate of 21% due to the impact of valuation allowances on deferred tax assets, the forecasted mix of earnings in domestic and international jurisdictions, an intra-entity asset transfer, the effect of cross-border tax laws, nondeductible executive compensation, a benefit related to stock-based compensation, tax credits, state taxes, and uncertain tax positions. Our tax rate for the three and six months ended June 30, 2025 of 18% and 19% differed from the federal statutory rate of 21% and overall was impacted by the effect of valuation allowances on deferred tax assets, the forecasted mix of earnings in domestic and international jurisdictions, the effect of cross-border tax laws, nondeductible executive compensation, a benefit related to stock-based compensation, tax credits, state taxes, and uncertain tax positions.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sweeping legislative package formally titled "An act to provide for reconciliation pursuant to title II of H. Con. Res. 14" (the Act), and commonly referred to as the One Big Beautiful Bill Act, was signed into law on July 4, 2025. The Act included numerous changes to existing tax law that took effect in 2026. There were also changes that were retroactive to the beginning of 2025, including the deductibility of current and previously capitalized domestic research and development costs. These changes did not have a significant impact on our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Organization for Economic Cooperation and Development (OECD) guidance under the Base Erosion and Profit Shifting (BEPS) initiative aims to minimize perceived tax abuses and modernize global tax policy, including the implementation of a global minimum effective tax rate of 15%. In December 2022, the Council of the European Union adopted OECD Pillar 2 for implementation by European Union member states by December 31, 2023. The resulting legislation in most countries where Itron has significant operations took effect for calendar year 2024. We filed our Global Information Return relating to tax year 2024, which resulted in no material top-up taxes. The OECD released further guidance on January 6, 2026, which included new and revised safe harbor rules, including a new permanent safe harbor, and the framework for a "side-by-side" agreement that would exempt US-based multinational companies from all top-up taxes, other than qualified domestic top-up taxes imposed on subsidiaries in their countries of residence. Enactment through legislation will be required in order for this additional guidance to be effective and is expected to only be effective for years after 2025. These enactments or amendments could adversely affect our tax rate and ultimately result in a negative impact on our operating results and cash flows. Consistent with calculations for calendar year 2024 and 2025, the Company anticipates it will meet the safe harbors in most jurisdictions in 2026, and any remaining top-up tax should be immaterial.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discussion related to income taxes, see Item 1: Financial Statements (Unaudited), Note 10: Income Taxes included in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Reportable Segment Results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 description of our reportable segments, refer to Item 1: Financial Statements (Unaudited), Note 14: Segment Information included in this Quarterly Report on Form 10-Q. The following tables and discussion highlight significant changes in trends or components of each reportable segment:</w:t>
      </w:r>
    </w:p>
    <w:tbl>
      <w:tblPr>
        <w:tblW w:w="11478" w:type="dxa"/>
        <w:jc w:val="left"/>
        <w:tblInd w:w="0" w:type="dxa"/>
        <w:tblLayout w:type="fixed"/>
        <w:tblCellMar>
          <w:top w:w="28" w:type="dxa"/>
          <w:left w:w="28" w:type="dxa"/>
          <w:bottom w:w="28" w:type="dxa"/>
          <w:right w:w="28" w:type="dxa"/>
        </w:tblCellMar>
      </w:tblPr>
      <w:tblGrid>
        <w:gridCol w:w="370"/>
        <w:gridCol w:w="272"/>
        <w:gridCol w:w="274"/>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355"/>
        <w:gridCol w:w="250"/>
        <w:gridCol w:w="251"/>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338"/>
        <w:gridCol w:w="233"/>
        <w:gridCol w:w="330"/>
      </w:tblGrid>
      <w:tr>
        <w:trPr/>
        <w:tc>
          <w:tcPr>
            <w:tcW w:w="3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Segment revenues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Device Solutions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Networked Solutions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Outcomes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Resiliency Solutions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562,902 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606,761 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1,149,884 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1,213,912 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0"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Adjusted Gross</w:t>
              <w:br/>
              <w:t>Profit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Adjusted Gross</w:t>
              <w:br/>
              <w:t>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Adjusted Gross</w:t>
              <w:br/>
              <w:t>Profit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Adjusted Gross</w:t>
              <w:br/>
              <w:t>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Adjusted Gross</w:t>
              <w:br/>
              <w:t>Profit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Adjusted Gross</w:t>
              <w:br/>
              <w:t>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Adjusted Gross</w:t>
              <w:br/>
              <w:t>Profit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Adjusted Gross</w:t>
              <w:br/>
              <w:t>Margin</w:t>
            </w:r>
          </w:p>
        </w:tc>
      </w:tr>
      <w:tr>
        <w:trPr/>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Segment adjusted gross profit and margin</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Device Solutions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29.9%</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Networked Solutions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37.7%</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Outcomes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38.8%</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Resiliency Solutions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Total adjusted gross profit and margin </w:t>
            </w:r>
            <w:r>
              <w:rPr>
                <w:rFonts w:ascii="Times New Roman;serif" w:hAnsi="Times New Roman;serif"/>
                <w:b w:val="false"/>
                <w:color w:val="000000"/>
                <w:sz w:val="12"/>
              </w:rPr>
              <w:t>(1)</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472,024 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440,837 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36.3%</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Adjusted Operating</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Adjusted Operating</w:t>
              <w:br/>
              <w:t>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Adjusted Operating</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Adjusted Operating</w:t>
              <w:br/>
              <w:t>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Adjusted Operating</w:t>
              <w:br/>
              <w:t>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Adjusted Operating</w:t>
              <w:br/>
              <w:t>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Adjusted Operating</w:t>
              <w:br/>
              <w:t>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Adjusted Operating</w:t>
              <w:br/>
              <w:t>Margin</w:t>
            </w:r>
          </w:p>
        </w:tc>
      </w:tr>
      <w:tr>
        <w:trPr/>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Segment adjusted operating income and operating margin</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Device Solutions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23.4%</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Networked Solutions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29.2%</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Outcomes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18.3%</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Resiliency Solutions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adjusted operating income and operating margin</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342,214 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26.6%</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Refer to the Non-GAAP Measures section below on pages 46-50 for additional information on adjusted gross profit and margin.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Device Solutions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effects of changes in foreign currency exchange rates and the constant currency changes in certain Device Solutions segment financial results were as follows:</w:t>
      </w:r>
    </w:p>
    <w:tbl>
      <w:tblPr>
        <w:tblW w:w="10205" w:type="dxa"/>
        <w:jc w:val="left"/>
        <w:tblInd w:w="0" w:type="dxa"/>
        <w:tblLayout w:type="fixed"/>
        <w:tblCellMar>
          <w:top w:w="28" w:type="dxa"/>
          <w:left w:w="28" w:type="dxa"/>
          <w:bottom w:w="28" w:type="dxa"/>
          <w:right w:w="28" w:type="dxa"/>
        </w:tblCellMar>
      </w:tblPr>
      <w:tblGrid>
        <w:gridCol w:w="244"/>
        <w:gridCol w:w="215"/>
        <w:gridCol w:w="215"/>
        <w:gridCol w:w="463"/>
        <w:gridCol w:w="462"/>
        <w:gridCol w:w="359"/>
        <w:gridCol w:w="197"/>
        <w:gridCol w:w="740"/>
        <w:gridCol w:w="109"/>
        <w:gridCol w:w="109"/>
        <w:gridCol w:w="109"/>
        <w:gridCol w:w="109"/>
        <w:gridCol w:w="197"/>
        <w:gridCol w:w="740"/>
        <w:gridCol w:w="109"/>
        <w:gridCol w:w="109"/>
        <w:gridCol w:w="109"/>
        <w:gridCol w:w="109"/>
        <w:gridCol w:w="478"/>
        <w:gridCol w:w="1578"/>
        <w:gridCol w:w="266"/>
        <w:gridCol w:w="109"/>
        <w:gridCol w:w="109"/>
        <w:gridCol w:w="109"/>
        <w:gridCol w:w="290"/>
        <w:gridCol w:w="1032"/>
        <w:gridCol w:w="161"/>
        <w:gridCol w:w="109"/>
        <w:gridCol w:w="109"/>
        <w:gridCol w:w="109"/>
        <w:gridCol w:w="213"/>
        <w:gridCol w:w="652"/>
        <w:gridCol w:w="177"/>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 of Changes in Foreign Currency Exchange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Currency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Change</w:t>
            </w:r>
          </w:p>
        </w:tc>
      </w:tr>
      <w:tr>
        <w:trPr/>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5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5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Device Solutions Segment</w:t>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gross profit</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income</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 of Changes in Foreign Currency Exchange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Currency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Change</w:t>
            </w:r>
          </w:p>
        </w:tc>
      </w:tr>
      <w:tr>
        <w:trPr/>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5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58"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Device Solutions Segment</w:t>
            </w:r>
          </w:p>
        </w:tc>
        <w:tc>
          <w:tcPr>
            <w:tcW w:w="10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gross profit</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income</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25"/>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Revenues - Three months ended June 30, 2026 vs. Three months ended June 30, 2025</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Revenues decreased $1.3 million, or 1%. Changes in foreign currency exchange rates favorably impacted revenues by $2.0 million. Revenues were lower due to the planned decreases in electric residential sales.</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Revenues - Six months ended June 30, 2026 vs. Six months ended June 30,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Revenues decreased $2.8 million, or 1%. Changes in foreign currency exchange rates favorably impacted revenues by $12.1 million. Revenues were lower due to the planned decreases in electric residential sales.</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Adjusted Gross Margin - Three months ended June 30, 2026 vs. Three months ended June 30,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adjusted gross margin was 34.8%, compared with 29.8% for the same period in 2025. The 500 basis point increase over the prior year was primarily due to an improved product mix and operational efficiencies.</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Adjusted Gross Margin - Six months ended June 30, 2026 vs. Six months ended June 30,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adjusted gross margin was 35.1%, compared with 29.9% for the same period in 2025. The 520 basis point increase over the prior year was primarily driven by improved customer and product mix.</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Adjusted Operating Income - Three months ended June 30, 2026 vs. Three months ended June 30, 2025</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Adjusted operating income increased $6.1 million, or 24%, compared with 2025. The increase was primarily the result of higher adjusted gross profit.</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Adjusted Operating Income - Six months ended June 30, 2026 vs. Six months ended June 30,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operating income increased $12.5 million, or 22%, for the first six months of 2026, compared with the same period in 2025. The increase was primarily the result of higher adjusted gross profit.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Networked Solutions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effects of changes in foreign currency exchange rates and the constant currency changes in certain Networked Solutions segment financial results were as follows:</w:t>
      </w:r>
    </w:p>
    <w:tbl>
      <w:tblPr>
        <w:tblW w:w="10205" w:type="dxa"/>
        <w:jc w:val="left"/>
        <w:tblInd w:w="0" w:type="dxa"/>
        <w:tblLayout w:type="fixed"/>
        <w:tblCellMar>
          <w:top w:w="28" w:type="dxa"/>
          <w:left w:w="28" w:type="dxa"/>
          <w:bottom w:w="28" w:type="dxa"/>
          <w:right w:w="28" w:type="dxa"/>
        </w:tblCellMar>
      </w:tblPr>
      <w:tblGrid>
        <w:gridCol w:w="281"/>
        <w:gridCol w:w="244"/>
        <w:gridCol w:w="228"/>
        <w:gridCol w:w="486"/>
        <w:gridCol w:w="419"/>
        <w:gridCol w:w="342"/>
        <w:gridCol w:w="197"/>
        <w:gridCol w:w="740"/>
        <w:gridCol w:w="109"/>
        <w:gridCol w:w="109"/>
        <w:gridCol w:w="109"/>
        <w:gridCol w:w="109"/>
        <w:gridCol w:w="197"/>
        <w:gridCol w:w="740"/>
        <w:gridCol w:w="109"/>
        <w:gridCol w:w="109"/>
        <w:gridCol w:w="109"/>
        <w:gridCol w:w="109"/>
        <w:gridCol w:w="491"/>
        <w:gridCol w:w="1395"/>
        <w:gridCol w:w="273"/>
        <w:gridCol w:w="109"/>
        <w:gridCol w:w="109"/>
        <w:gridCol w:w="109"/>
        <w:gridCol w:w="270"/>
        <w:gridCol w:w="1080"/>
        <w:gridCol w:w="149"/>
        <w:gridCol w:w="109"/>
        <w:gridCol w:w="109"/>
        <w:gridCol w:w="109"/>
        <w:gridCol w:w="198"/>
        <w:gridCol w:w="783"/>
        <w:gridCol w:w="166"/>
      </w:tblGrid>
      <w:tr>
        <w:trPr/>
        <w:tc>
          <w:tcPr>
            <w:tcW w:w="28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 of Changes in Foreign Currency Exchange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Currency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Change</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0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0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Networked Solutions Segment</w:t>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(70,426)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(69,696)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gross profit</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income</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 of Changes in Foreign Currency Exchange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Currency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Change</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0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00"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Networked Solutions Segment</w:t>
            </w:r>
          </w:p>
        </w:tc>
        <w:tc>
          <w:tcPr>
            <w:tcW w:w="10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3,091 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(124,856)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(121,765)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gross profit</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income</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Revenues - Three months ended June 30, 2026 vs. Three months ended June 30,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Revenues decreased $69.7 million, or 17%, in 2026 compared with 2025. The decrease was primarily due to the timing of customer deployments. Changes in foreign currency exchange rates favorably impacted revenues by $0.7 million.</w:t>
      </w:r>
    </w:p>
    <w:p>
      <w:pPr>
        <w:pStyle w:val="TextBody"/>
        <w:bidi w:val="0"/>
        <w:spacing w:before="0" w:after="0"/>
        <w:ind w:left="0" w:right="0" w:firstLine="225"/>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Revenues - Six months ended June 30, 2026 vs. Six months ended June 30,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Revenues decreased $121.8 million, or 15%, for the first six months of 2026, compared with the same period in 2025. The decline was primarily due to the timing of customer deployments. Changes in foreign currency exchange rates favorably impacted revenues by $3.1 million.</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Adjusted Gross Margin - Three months ended June 30, 2026 vs. Three months ended June 30,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Gross margin was 42.8% for the period ending June 30, 2026, compared with 38.5% in 2025. The 430 basis point increase was primarily related to improved operational efficiencies and favorable customer mix.</w:t>
      </w:r>
    </w:p>
    <w:p>
      <w:pPr>
        <w:pStyle w:val="TextBody"/>
        <w:bidi w:val="0"/>
        <w:spacing w:before="0" w:after="0"/>
        <w:ind w:left="0" w:right="0" w:firstLine="225"/>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Adjusted Gross Margin - Six months ended June 30, 2026 vs. Six months ended June 30,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gross margin was 41.8% for the 2026 period, compared with 37.7% in 2025. The 410 basis point increase was primarily related to favorable customer mix and operational efficiencies.</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Adjusted Operating Income - Three months ended June 30, 2026 vs. Three months ended June 30,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operating income decreased $8.9 million, or 7%, for the quarter in 2026, compared with the same period in 2025. The decrease was the result of lower adjusted gross profit, partially offset by lower research and development costs.</w:t>
      </w:r>
    </w:p>
    <w:p>
      <w:pPr>
        <w:pStyle w:val="TextBody"/>
        <w:bidi w:val="0"/>
        <w:spacing w:before="0" w:after="0"/>
        <w:ind w:left="0" w:right="0" w:firstLine="225"/>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Adjusted Operating Income - Six months ended June 30, 2026 vs. Six months ended June 30,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operating income decreased $14.9 million, or 6%, for the first six months of 2026, compared with the same period in 2025. The decrease was the result of lower adjusted gross profit, partially offset by lower research and development costs.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Outcomes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effects of changes in foreign currency exchange rates and the constant currency changes in certain Outcomes segment financial results were as follows:</w:t>
      </w:r>
    </w:p>
    <w:tbl>
      <w:tblPr>
        <w:tblW w:w="10205" w:type="dxa"/>
        <w:jc w:val="left"/>
        <w:tblInd w:w="0" w:type="dxa"/>
        <w:tblLayout w:type="fixed"/>
        <w:tblCellMar>
          <w:top w:w="28" w:type="dxa"/>
          <w:left w:w="28" w:type="dxa"/>
          <w:bottom w:w="28" w:type="dxa"/>
          <w:right w:w="28" w:type="dxa"/>
        </w:tblCellMar>
      </w:tblPr>
      <w:tblGrid>
        <w:gridCol w:w="210"/>
        <w:gridCol w:w="184"/>
        <w:gridCol w:w="184"/>
        <w:gridCol w:w="432"/>
        <w:gridCol w:w="432"/>
        <w:gridCol w:w="443"/>
        <w:gridCol w:w="197"/>
        <w:gridCol w:w="740"/>
        <w:gridCol w:w="109"/>
        <w:gridCol w:w="109"/>
        <w:gridCol w:w="109"/>
        <w:gridCol w:w="109"/>
        <w:gridCol w:w="197"/>
        <w:gridCol w:w="740"/>
        <w:gridCol w:w="109"/>
        <w:gridCol w:w="109"/>
        <w:gridCol w:w="109"/>
        <w:gridCol w:w="109"/>
        <w:gridCol w:w="530"/>
        <w:gridCol w:w="1506"/>
        <w:gridCol w:w="294"/>
        <w:gridCol w:w="109"/>
        <w:gridCol w:w="109"/>
        <w:gridCol w:w="109"/>
        <w:gridCol w:w="308"/>
        <w:gridCol w:w="1018"/>
        <w:gridCol w:w="171"/>
        <w:gridCol w:w="109"/>
        <w:gridCol w:w="109"/>
        <w:gridCol w:w="109"/>
        <w:gridCol w:w="212"/>
        <w:gridCol w:w="702"/>
        <w:gridCol w:w="179"/>
      </w:tblGrid>
      <w:tr>
        <w:trPr/>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 of Changes in Foreign Currency Exchange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Currency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Change</w:t>
            </w:r>
          </w:p>
        </w:tc>
      </w:tr>
      <w:tr>
        <w:trPr/>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Outcomes Segment</w:t>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gross profit</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income</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 of Changes in Foreign Currency Exchange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Currency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Change</w:t>
            </w:r>
          </w:p>
        </w:tc>
      </w:tr>
      <w:tr>
        <w:trPr/>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5"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Outcomes Segment</w:t>
            </w:r>
          </w:p>
        </w:tc>
        <w:tc>
          <w:tcPr>
            <w:tcW w:w="10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26,921 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gross profit</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income</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Revenues - Three months ended June 30, 2026 vs. Three months ended June 30,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2026 period, revenues increased $11.3 million, or 13%, compared with the 2025 period. This increase was driven by higher services and hardware sales, partially offset by lower software license sales.</w:t>
      </w:r>
    </w:p>
    <w:p>
      <w:pPr>
        <w:pStyle w:val="TextBody"/>
        <w:bidi w:val="0"/>
        <w:spacing w:before="0" w:after="0"/>
        <w:ind w:left="0" w:right="0" w:firstLine="225"/>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Revenues - Six months ended June 30, 2026 vs. Six months ended June 30,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Revenues increased $28.7 million, or 18%, for the first six months of 2026, compared with 2025. This increase was driven by higher recurring revenue, as well as increased services and hardware sales, partially offset by lower software license sales. Changes in foreign currency exchange rates favorably impacted revenues by $1.8 million.</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Adjusted Gross Margin - Three months ended June 30, 2026 vs. Three months ended June 30,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Gross margin increased to 38.8% for the second quarter of 2026, compared with 38.5% for the same period last year. The 30 basis point increase was driven by solution mix and lower variable compensation.</w:t>
      </w:r>
    </w:p>
    <w:p>
      <w:pPr>
        <w:pStyle w:val="TextBody"/>
        <w:bidi w:val="0"/>
        <w:spacing w:before="0" w:after="0"/>
        <w:ind w:left="0" w:right="0" w:firstLine="225"/>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Adjusted Gross Margin - Six months ended June 30, 2026 vs. Six months ended June 30,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gross margin increased to 40.2% for the period ending in 2026, compared with 38.8% for last year. The 140 basis point increase was driven by revenue growth and lower costs.</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Adjusted Operating Income - Three months ended June 30, 2026 vs. Three months ended June 30,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operating income for the 2026 period increased $4.9 million, or 31%, compared with the same period last year. This was primarily related to the flow through of higher adjusted gross profit, along with lower marketing and research and development costs, including reduced variable compensation.</w:t>
      </w:r>
    </w:p>
    <w:p>
      <w:pPr>
        <w:pStyle w:val="TextBody"/>
        <w:bidi w:val="0"/>
        <w:spacing w:before="0" w:after="0"/>
        <w:ind w:left="0" w:right="0" w:firstLine="225"/>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Adjusted Operating Income - Six months ended June 30, 2026 vs. Six months ended June 30,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operating income for the first six months of 2026 increased $12.9 million, or 43%, compared with the same period last year. This increase was a result of higher adjusted gross profit, partially offset by increased labor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Resiliency Solutions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effects of changes in foreign currency exchange rates and the constant currency changes in certain Resiliency Solutions segment financial results were as follows:</w:t>
      </w:r>
    </w:p>
    <w:tbl>
      <w:tblPr>
        <w:tblW w:w="10205" w:type="dxa"/>
        <w:jc w:val="left"/>
        <w:tblInd w:w="0" w:type="dxa"/>
        <w:tblLayout w:type="fixed"/>
        <w:tblCellMar>
          <w:top w:w="28" w:type="dxa"/>
          <w:left w:w="28" w:type="dxa"/>
          <w:bottom w:w="28" w:type="dxa"/>
          <w:right w:w="28" w:type="dxa"/>
        </w:tblCellMar>
      </w:tblPr>
      <w:tblGrid>
        <w:gridCol w:w="269"/>
        <w:gridCol w:w="237"/>
        <w:gridCol w:w="237"/>
        <w:gridCol w:w="494"/>
        <w:gridCol w:w="445"/>
        <w:gridCol w:w="371"/>
        <w:gridCol w:w="222"/>
        <w:gridCol w:w="733"/>
        <w:gridCol w:w="123"/>
        <w:gridCol w:w="123"/>
        <w:gridCol w:w="123"/>
        <w:gridCol w:w="123"/>
        <w:gridCol w:w="222"/>
        <w:gridCol w:w="461"/>
        <w:gridCol w:w="123"/>
        <w:gridCol w:w="109"/>
        <w:gridCol w:w="109"/>
        <w:gridCol w:w="109"/>
        <w:gridCol w:w="642"/>
        <w:gridCol w:w="1334"/>
        <w:gridCol w:w="363"/>
        <w:gridCol w:w="109"/>
        <w:gridCol w:w="109"/>
        <w:gridCol w:w="109"/>
        <w:gridCol w:w="528"/>
        <w:gridCol w:w="479"/>
        <w:gridCol w:w="481"/>
        <w:gridCol w:w="109"/>
        <w:gridCol w:w="109"/>
        <w:gridCol w:w="109"/>
        <w:gridCol w:w="212"/>
        <w:gridCol w:w="702"/>
        <w:gridCol w:w="177"/>
      </w:tblGrid>
      <w:tr>
        <w:trPr/>
        <w:tc>
          <w:tcPr>
            <w:tcW w:w="26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 of Changes in Foreign Currency Exchange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Currency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Change</w:t>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5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5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Resiliency Solutions Segment</w:t>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15,820 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gross profit</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11,917 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income</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4,376 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 of Changes in Foreign Currency Exchange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Currency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Change</w:t>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5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53"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Resiliency Solutions Segment</w:t>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31,852 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31,852 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gross profit</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23,615 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income</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8,707 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Revenues - Three months ended June 30,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Revenues were $15.8 million for the 2026 period. Revenues consisted primarily of managed services, as well as hardware and professional services related to deploying customer environments.</w:t>
      </w:r>
    </w:p>
    <w:p>
      <w:pPr>
        <w:pStyle w:val="TextBody"/>
        <w:bidi w:val="0"/>
        <w:spacing w:before="0" w:after="0"/>
        <w:ind w:left="0" w:right="0" w:firstLine="225"/>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Revenues - Six months ended June 30,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Revenues were $31.9 million for the first six months of 2026. Revenues consisted primarily of managed services, as well as hardware and professional services related to deploying customer environments.</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Adjusted Gross Margin - Three months ended June 30,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gross margin was 75.3% for the 2026 period. Costs included in determining gross margin consist primarily of hosting fees, labor costs for managed services and professional services delivery, and certain hardware and software costs.</w:t>
      </w:r>
    </w:p>
    <w:p>
      <w:pPr>
        <w:pStyle w:val="TextBody"/>
        <w:bidi w:val="0"/>
        <w:spacing w:before="0" w:after="0"/>
        <w:ind w:left="0" w:right="0" w:firstLine="225"/>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Adjusted Gross Margin - Six months ended June 30,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gross margin was 74.1% for the first six months of 2026. Costs included in determining gross margin consist primarily of hosting fees, labor costs for managed services and professional services delivery, and certain hardware and software costs.</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Adjusted Operating Income - Three months ended June 30,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operating income was $4.4 million for the 2026 period.</w:t>
      </w:r>
    </w:p>
    <w:p>
      <w:pPr>
        <w:pStyle w:val="TextBody"/>
        <w:bidi w:val="0"/>
        <w:spacing w:before="0" w:after="0"/>
        <w:ind w:left="0" w:right="0" w:firstLine="225"/>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Adjusted Operating Income - Six months ended June 30,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operating income was $8.7 million for the first six months of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Corporate Unallocated</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Corporate Unallocated Expenses - Three months ended June 30, 2026 vs. Three months ended June 30,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Corporate unallocated expenses increased $4.1 million or 5%, for the three months ended June 30, 2026 compared with the same period in 2025. This increase was primarily the result of $3.9 million increase in amortization of intangible assets.</w:t>
      </w:r>
    </w:p>
    <w:p>
      <w:pPr>
        <w:pStyle w:val="TextBody"/>
        <w:bidi w:val="0"/>
        <w:spacing w:before="0" w:after="0"/>
        <w:ind w:left="0" w:right="0" w:firstLine="225"/>
        <w:jc w:val="both"/>
        <w:rPr/>
      </w:pPr>
      <w:r>
        <w:rPr/>
      </w:r>
    </w:p>
    <w:p>
      <w:pPr>
        <w:pStyle w:val="TextBody"/>
        <w:bidi w:val="0"/>
        <w:spacing w:lineRule="auto" w:line="288" w:before="0" w:after="0"/>
        <w:ind w:left="0" w:right="0" w:firstLine="225"/>
        <w:jc w:val="both"/>
        <w:rPr>
          <w:rFonts w:ascii="Times New Roman;serif" w:hAnsi="Times New Roman;serif"/>
          <w:b w:val="false"/>
          <w:i/>
          <w:color w:val="000000"/>
          <w:sz w:val="20"/>
        </w:rPr>
      </w:pPr>
      <w:r>
        <w:rPr>
          <w:rFonts w:ascii="Times New Roman;serif" w:hAnsi="Times New Roman;serif"/>
          <w:b w:val="false"/>
          <w:i/>
          <w:color w:val="000000"/>
          <w:sz w:val="20"/>
        </w:rPr>
        <w:t>Corporate Unallocated Expenses - Six months ended June 30, 2026 vs. Six months ended June 30,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first six months of 2026, Corporate unallocated expenses increased $23.1 million, or 14%, compared with the 2025 period. This increase was primarily the result of a $14.4 million increase in sales, general and administrative expenses driven by increased labor costs, professional services, and acquisition-related costs, and a $7.6 million increase in amortization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intangible assets. Refer to Item 1: Financial Statements (Unaudited), Note 4: Intangible Assets included in this Quarterly Report on Form 10-Q 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Bookings and Backlog of Orders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reflects our understanding of customer's desired deployment over the next 12 months. The actual revenue recognized and timing of revenue earned from backlog will vary based on actual currency rates at the time of shipment, availability of critical supply components, and adjusted customer project timing. Backlog is not a complete measure of our future revenues as we also receive book-and-ship orders and frame contracts. Bookings and backlog vary from period to period primarily due to the timing of large project awards. In addition, annual or multi-year contracts are subject to rescheduling due to the long-term nature of the contracts. Certain of our customers have the right to cancel contracts, but we do not have a history of any significant cancellations. Beginning total backlog, plus bookings, minus revenues, will not equal ending total backlog due to miscellaneous contract adjustments, foreign currency fluctuations, and other factors. Total bookings and backlog include certain contracts with a termination for convenience clause, which will not agree to the total transaction price allocated to the remaining performance obligations disclosed in Item 1: Financial Statements (Unaudited), Note 15: Revenues included in this Quarterly Report on Form 10-Q.</w:t>
      </w:r>
    </w:p>
    <w:p>
      <w:pPr>
        <w:pStyle w:val="TextBody"/>
        <w:bidi w:val="0"/>
        <w:spacing w:before="0" w:after="0"/>
        <w:jc w:val="both"/>
        <w:rPr/>
      </w:pPr>
      <w:r>
        <w:rPr/>
      </w:r>
    </w:p>
    <w:tbl>
      <w:tblPr>
        <w:tblW w:w="4830" w:type="dxa"/>
        <w:jc w:val="left"/>
        <w:tblInd w:w="0" w:type="dxa"/>
        <w:tblLayout w:type="fixed"/>
        <w:tblCellMar>
          <w:top w:w="28" w:type="dxa"/>
          <w:left w:w="28" w:type="dxa"/>
          <w:bottom w:w="28" w:type="dxa"/>
          <w:right w:w="28" w:type="dxa"/>
        </w:tblCellMar>
      </w:tblPr>
      <w:tblGrid>
        <w:gridCol w:w="559"/>
        <w:gridCol w:w="491"/>
        <w:gridCol w:w="494"/>
        <w:gridCol w:w="231"/>
        <w:gridCol w:w="496"/>
        <w:gridCol w:w="129"/>
        <w:gridCol w:w="109"/>
        <w:gridCol w:w="109"/>
        <w:gridCol w:w="109"/>
        <w:gridCol w:w="196"/>
        <w:gridCol w:w="556"/>
        <w:gridCol w:w="109"/>
        <w:gridCol w:w="109"/>
        <w:gridCol w:w="109"/>
        <w:gridCol w:w="109"/>
        <w:gridCol w:w="198"/>
        <w:gridCol w:w="562"/>
        <w:gridCol w:w="155"/>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 Ended</w:t>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Quarterly</w:t>
              <w:br/>
              <w:t>Bookings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Ending</w:t>
              <w:br/>
              <w:t>Total</w:t>
              <w:br/>
              <w:t xml:space="preserve">Backlog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Ending</w:t>
              <w:br/>
              <w:t>12-Month</w:t>
              <w:br/>
              <w:t xml:space="preserve">Backlog </w:t>
            </w:r>
          </w:p>
        </w:tc>
      </w:tr>
      <w:tr>
        <w:trPr/>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28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30, 2025</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 Information</w:t>
      </w:r>
    </w:p>
    <w:tbl>
      <w:tblPr>
        <w:tblW w:w="7524" w:type="dxa"/>
        <w:jc w:val="left"/>
        <w:tblInd w:w="0" w:type="dxa"/>
        <w:tblLayout w:type="fixed"/>
        <w:tblCellMar>
          <w:top w:w="28" w:type="dxa"/>
          <w:left w:w="28" w:type="dxa"/>
          <w:bottom w:w="28" w:type="dxa"/>
          <w:right w:w="28" w:type="dxa"/>
        </w:tblCellMar>
      </w:tblPr>
      <w:tblGrid>
        <w:gridCol w:w="1810"/>
        <w:gridCol w:w="1585"/>
        <w:gridCol w:w="1600"/>
        <w:gridCol w:w="196"/>
        <w:gridCol w:w="811"/>
        <w:gridCol w:w="109"/>
        <w:gridCol w:w="109"/>
        <w:gridCol w:w="109"/>
        <w:gridCol w:w="109"/>
        <w:gridCol w:w="196"/>
        <w:gridCol w:w="736"/>
        <w:gridCol w:w="154"/>
      </w:tblGrid>
      <w:tr>
        <w:trPr/>
        <w:tc>
          <w:tcPr>
            <w:tcW w:w="181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168,802 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 changes on cash and cash equivalents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cash and cash equivalents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(275,168)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173,020 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and cash equivalents were $745.2 million at June 30, 2026, compared with $1.02 billion at December 31, 2025. The $275.2 million decrease in cash and cash equivalents during the 2026 period was primarily cash used for the acquisition of Locusview and repayment of our 2021 convertible notes, partially offset by net proceeds provided by the 2026 convertible notes sale.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during the six months in 2026 was $173.6 million compared with $168.8 million during the same period in 2025. The increase was primarily due to higher earnings and a decrease in restructuring payments in 2026, partially offset by decreased interest income in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used in investing activities was $525.1 million compared with $10.7 million in 2025, resulting in additional net outflow of $514.4 million. The change was primarily related to the acquisition of Locusview of $515 million in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during the six months in 2026 was $79.9 million, compared with $4.8 million for the same period in 2025. The change is due primarily to the sale of 2026 convertible notes, net of debt issuance costs, totaling $784 million, partially offset by the repayment of our 2021 convertible notes of $460 million, common stock repurchased totaling $152.2 million, and the purchase of the capped call for the 2026 convertible offering of $92.8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Effect of exchange rates on cash and cash equivalents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 of exchange rates on the cash balances of currencies held in foreign denominations at June 30, 2026 is a decrease of $3.5 million, compared with an increase of $10.1 million for the same period in 2025. Our foreign currency exposure relates to non-U.S. dollar denominated balances in our international subsidiary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Free cash flow (Non-GAAP)</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tbl>
      <w:tblPr>
        <w:tblW w:w="5873" w:type="dxa"/>
        <w:jc w:val="left"/>
        <w:tblInd w:w="0" w:type="dxa"/>
        <w:tblLayout w:type="fixed"/>
        <w:tblCellMar>
          <w:top w:w="28" w:type="dxa"/>
          <w:left w:w="28" w:type="dxa"/>
          <w:bottom w:w="28" w:type="dxa"/>
          <w:right w:w="28" w:type="dxa"/>
        </w:tblCellMar>
      </w:tblPr>
      <w:tblGrid>
        <w:gridCol w:w="1239"/>
        <w:gridCol w:w="1085"/>
        <w:gridCol w:w="1095"/>
        <w:gridCol w:w="196"/>
        <w:gridCol w:w="736"/>
        <w:gridCol w:w="109"/>
        <w:gridCol w:w="109"/>
        <w:gridCol w:w="109"/>
        <w:gridCol w:w="109"/>
        <w:gridCol w:w="196"/>
        <w:gridCol w:w="736"/>
        <w:gridCol w:w="154"/>
      </w:tblGrid>
      <w:tr>
        <w:trPr/>
        <w:tc>
          <w:tcPr>
            <w:tcW w:w="123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168,802 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158,146 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Free cash flow increased due to higher operating cash flow, partially offset by increased spending on property, plant, and equipment. See the cash flow discussion of operating and investing activities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no off-balance sheet financing agreements or guarantees as defined by Item 303 of Regulation S-K at June 30, 2026 and December 31, 2025 that we believe could reasonably likely have a current or future effect on our financial condition, results of operations, or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principal sources of liquidity are cash flows from operations, borrowings, and the sale of our common stock. Cash flows may fluctuate and are sensitive to many factors including changes in working capital and the timing and magnitude of capital expenditures and repayments of debt. Working capital, which represents current assets less current liabilities, continues to be in a net favorable position. We expect existing cash, cash flows from operations, and access to capital markets to continue to be sufficient to fund our operating activities and cash commitments, such as material capital expenditures and debt obligations, for at least the next 12 months and into the foreseeable future.</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Borrowings</w:t>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On September 25, 2025, we entered into a third amended and restated credit agreement (the 2025 credit facility) providing for committed credit facilities in the amount of </w:t>
      </w:r>
      <w:r>
        <w:rPr>
          <w:rFonts w:ascii="Times New Roman;serif" w:hAnsi="Times New Roman;serif"/>
          <w:b w:val="false"/>
          <w:color w:val="000000"/>
          <w:sz w:val="20"/>
        </w:rPr>
        <w:t>$750 million</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shd w:fill="FFFFFF" w:val="clear"/>
        </w:rPr>
        <w:t xml:space="preserve">The 2025 credit facility consists of a multi-currency revolving line of credit (the revolver) in the amount of </w:t>
      </w:r>
      <w:r>
        <w:rPr>
          <w:rFonts w:ascii="Times New Roman;serif" w:hAnsi="Times New Roman;serif"/>
          <w:b w:val="false"/>
          <w:color w:val="000000"/>
          <w:sz w:val="20"/>
        </w:rPr>
        <w:t>$750 million</w:t>
      </w:r>
      <w:r>
        <w:rPr>
          <w:rFonts w:ascii="Times New Roman;serif" w:hAnsi="Times New Roman;serif"/>
          <w:b w:val="false"/>
          <w:color w:val="000000"/>
          <w:sz w:val="20"/>
          <w:shd w:fill="FFFFFF" w:val="clear"/>
        </w:rPr>
        <w:t xml:space="preserve">. The revolver includes a standby letter of credit sub-facility in the amount of </w:t>
      </w:r>
      <w:r>
        <w:rPr>
          <w:rFonts w:ascii="Times New Roman;serif" w:hAnsi="Times New Roman;serif"/>
          <w:b w:val="false"/>
          <w:color w:val="000000"/>
          <w:sz w:val="20"/>
        </w:rPr>
        <w:t>$300 million</w:t>
      </w:r>
      <w:r>
        <w:rPr>
          <w:rFonts w:ascii="Times New Roman;serif" w:hAnsi="Times New Roman;serif"/>
          <w:b w:val="false"/>
          <w:color w:val="000000"/>
          <w:sz w:val="20"/>
          <w:shd w:fill="FFFFFF" w:val="clear"/>
        </w:rPr>
        <w:t xml:space="preserve">, and a swingline sub-facility in the amount of </w:t>
      </w:r>
      <w:r>
        <w:rPr>
          <w:rFonts w:ascii="Times New Roman;serif" w:hAnsi="Times New Roman;serif"/>
          <w:b w:val="false"/>
          <w:color w:val="000000"/>
          <w:sz w:val="20"/>
        </w:rPr>
        <w:t>$50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As of June 30, 2026, no amount was outstanding under the 2025 credit facility, and $43.1 million was utilized by outstanding standby letters of credit, resulting in $706.9 million available for borrowing. As of June 30, 2026, $256.9 million was available for additional standby letters of credit under the letter of credit sub-facility, and no amounts were outstanding under the swingline sub-facility. Any outstanding principal under the revolver is due at maturity on September 25, 2030. Principal amounts paid prior to the maturity date may be reborrowed prior to such date. However, that date may be advanced to April 15, 2030 if we do not settle or extend a sufficient portion of our outstanding convertible notes, as detailed in the 2025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21, 2024, we closed the sale of $805 million in convertible notes (the 2024 Notes) in a private placement to qualified institutional buyers. These convertible notes accrue interest at a rate of 1.375% per annum, payable semi-annually in arrears on January 15 and July 15 of each year, with the first payment made January 15, 2025. The 2024 Notes will mature on July 15, 2030, unless earlier repurchased, redeemed, or converted in accordance with their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22222"/>
          <w:sz w:val="20"/>
        </w:rPr>
      </w:pPr>
      <w:r>
        <w:rPr>
          <w:rFonts w:ascii="Times New Roman;serif" w:hAnsi="Times New Roman;serif"/>
          <w:b w:val="false"/>
          <w:color w:val="222222"/>
          <w:sz w:val="20"/>
        </w:rPr>
        <w:t xml:space="preserve">On February 23, 2026, we closed the sale of $805 million of convertible notes (the 2026 Notes) in a private placement to qualified institutional buyers. The 2026 Notes do not bear regular interest. The 2026 Notes will mature on March 15, 2032, unless earlier repurchased, redeemed, or converted in accordance with their terms.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further description of our borrowings, refer to Item 1: Financial Statements (Unaudited), Note 6: Debt included in this Quarterly Report on Form 10-Q.</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 description of our letters of credit and performance bonds, and the amounts available for additional borrowings or letters of credit under our lines of credit, including the revolver that is part of our 2025 credit facility, refer to Item 1: Financial Statements (Unaudited), Note 11: Commitments and Contingencies included in this Quarterly Report on Form 10-Q.</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Restructuring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23, 2023, our Board of Directors approved a restructuring plan (the 2023 Projects). The 2023 Projects include activities that continue Itron's efforts to optimize its global supply chain and manufacturing operations, sales and marketing organizations, and other overhead. These projects were substantially complete as of March 31, 2025. For the six months ended June 30, 2026, we paid out $6.4 million related to all our restructuring projects. As of June 30, 2026, $12.0 million was accrued for these restructuring projects, of which $9.6 million is expected to be paid within the next 12 months. </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Stock Repurchase Programs</w:t>
      </w:r>
    </w:p>
    <w:p>
      <w:pPr>
        <w:pStyle w:val="TextBody"/>
        <w:bidi w:val="0"/>
        <w:spacing w:lineRule="auto" w:line="288" w:before="0" w:after="60"/>
        <w:jc w:val="both"/>
        <w:rPr>
          <w:rFonts w:ascii="Times New Roman;serif" w:hAnsi="Times New Roman;serif"/>
          <w:b w:val="false"/>
          <w:color w:val="222222"/>
          <w:sz w:val="20"/>
        </w:rPr>
      </w:pPr>
      <w:r>
        <w:rPr>
          <w:rFonts w:ascii="Times New Roman;serif" w:hAnsi="Times New Roman;serif"/>
          <w:b w:val="false"/>
          <w:color w:val="222222"/>
          <w:sz w:val="20"/>
        </w:rPr>
        <w:t>On May 6, 2026, the Company's Board of Directors authorized a new share repurchase program of up to $200 million of Itron's common stock over an 18-month period, effective May 8, 2026 (the 2026 Stock Repurchase Program). Repurchases will be made in the open market and pursuant to the terms of any Rule 10b5-1 plans that Itron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w:t>
      </w:r>
    </w:p>
    <w:p>
      <w:pPr>
        <w:pStyle w:val="TextBody"/>
        <w:bidi w:val="0"/>
        <w:spacing w:before="0" w:after="60"/>
        <w:jc w:val="both"/>
        <w:rPr/>
      </w:pPr>
      <w:r>
        <w:rPr/>
      </w:r>
    </w:p>
    <w:p>
      <w:pPr>
        <w:pStyle w:val="TextBody"/>
        <w:bidi w:val="0"/>
        <w:spacing w:lineRule="auto" w:line="288" w:before="0" w:after="60"/>
        <w:jc w:val="both"/>
        <w:rPr/>
      </w:pPr>
      <w:r>
        <w:rPr>
          <w:rFonts w:ascii="Times New Roman;serif" w:hAnsi="Times New Roman;serif"/>
          <w:b w:val="false"/>
          <w:color w:val="000000"/>
          <w:sz w:val="20"/>
        </w:rPr>
        <w:t xml:space="preserve">Effective November 10, 2025, Itron's Board of Directors authorized a repurchase up to $250 million of our common stock over an 18-month period (the 2025 Stock Repurchase Program). Repurchases will be made in the open market and pursuant to the terms of any Rule 10b5-1 plans that Itron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 In February 2026, Itron repurchased 1,050,309 shares of its common stock for a total of $100 million. </w:t>
      </w:r>
      <w:r>
        <w:rPr>
          <w:rFonts w:ascii="Times New Roman;serif" w:hAnsi="Times New Roman;serif"/>
          <w:b w:val="false"/>
          <w:color w:val="222222"/>
          <w:sz w:val="20"/>
        </w:rPr>
        <w:t>During</w:t>
      </w:r>
      <w:r>
        <w:rPr>
          <w:color w:val="000000"/>
        </w:rPr>
        <w:t xml:space="preserve"> </w:t>
      </w:r>
      <w:r>
        <w:rPr>
          <w:rFonts w:ascii="Times New Roman;serif" w:hAnsi="Times New Roman;serif"/>
          <w:b w:val="false"/>
          <w:color w:val="000000"/>
          <w:sz w:val="20"/>
        </w:rPr>
        <w:t>the second quarter of 2026, we repurchased 644,188 shares of common stock for a total of $52.2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Liquidity Considerations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tax credits and net operating loss carryforwards in various jurisdictions that are available to reduce cash taxes. However, utilization of tax credits and net operating losses are limited in certain jurisdictions. Based on current projections, including anticipated impacts of the Act, we expect to pay, net of refunds, $8 million in state taxes and $53 million in local and foreign taxes during 2026. The increase in the second quarter related primarily to an intra-entity asset transfer. We expect net refunds of approximately $24 million in U.S. federal taxes. For a discussion of our tax provision and unrecognized tax benefits, see Item 1: Financial Statements (Unaudited), Note 10: Income Taxes included in this Quarterly Report on Form 10-Q.</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$82.3 million of cash and short-term investments held by certain foreign subsidiaries in which we are permanently reinvested for tax purposes. As a result of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the many factors that we consider in the management of global cash. Accordingly, the amount of taxes that we would need to accrue and pay to repatriate foreign cash could vary significantly.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General Liquidity Overview</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our common stock or other securities.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rPr>
        <w:t xml:space="preserve">believe existing sources of liquidity will be sufficient to fund our existing operations and obligations for the next 12 months and into the foreseeable future, but offer no assurances. Our liquidity could be affected by the stability of the electricity, gas, and water utility industries, competitive pressures, </w:t>
      </w:r>
      <w:r>
        <w:rPr>
          <w:rFonts w:ascii="Times New Roman;serif" w:hAnsi="Times New Roman;serif"/>
          <w:b w:val="false"/>
          <w:color w:val="222222"/>
          <w:sz w:val="20"/>
        </w:rPr>
        <w:t xml:space="preserve">our dependence on certain key vendors and components, </w:t>
      </w:r>
      <w:r>
        <w:rPr>
          <w:rFonts w:ascii="Times New Roman;serif" w:hAnsi="Times New Roman;serif"/>
          <w:b w:val="false"/>
          <w:color w:val="000000"/>
          <w:sz w:val="20"/>
        </w:rPr>
        <w:t>changes in estimated liabilities for product warranties and/or litigation, supply constraints, future business combinations, capital market fluctuations, international risks, and other factors described under Part I, Item 1A: Risk Factors of our 2025 Annual Report, as well as Part I, Item 3: Quantitative and Qualitative Disclosures About Market Risk included in this Quarterly Report on Form 10-Q.</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Refer to Item 1: Financial Statements (Unaudited), Note 11: Commitments and Contingencies included in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and accompanying notes are prepared in accordance with GAAP. Preparing consolidated financial statements requires management to make estimates and assumptions that affect the reported amounts of assets, liabilities, revenues, and expenses. These estimates and assumptions are affected by management's application of accounting policies. Our critical accounting policies that require the use of estimates and assumptions were discussed in detail in the 2025 Annual Report and have not changed materially.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 to Item 1: Financial Statements (Unaudited), Note 1: Summary of Significant Accounting Policies included in this Quarterly Report on Form 10-Q for further disclosures regarding new accounting pronouncements.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supplement our consolidated financial statements, which are prepared in accordance with GAAP, we use certain non-GAAP financial measures, including non-GAAP operating expense, non-GAAP operating income, non-GAAP net income, non-GAAP diluted EPS, adjusted EBITDA, free cash flow, adjusted gross profit, adjusted operating income,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depreciation of property, plant, and equipment and certain discrete cash and non-cash charges, such as restructuring, loss on sale of business, strategic initiative expenses, or acquisition and integration related expenses.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Non-GAAP operating expenses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non-GAAP operating income</w:t>
      </w:r>
      <w:r>
        <w:rPr>
          <w:color w:val="000000"/>
        </w:rPr>
        <w:t xml:space="preserve"> – </w:t>
      </w:r>
      <w:r>
        <w:rPr>
          <w:rFonts w:ascii="Times New Roman;serif" w:hAnsi="Times New Roman;serif"/>
          <w:b w:val="false"/>
          <w:color w:val="000000"/>
          <w:sz w:val="20"/>
        </w:rPr>
        <w:t>We define non-GAAP operating expenses as operating expenses excluding certain expenses related to the amortization of intangible assets, restructuring, loss on sale of business, strategic initiative expenses, and acquisition and integration related expenses. We define non-GAAP operating income as operating income excluding the expenses related to the amortization of intangible assets, restructuring, loss on sale of business, strategic initiative expenses, and acquisition and integration related expenses. Acquisition and integration related expenses include costs, which are incurred to affect and integrate business combinations, such as professional fees; certain employee retention and salaries related to integration; employee severance; contract terminations; travel costs related to knowledge transfer; system conversion costs; and asset impairment charges. We consider these non-GAAP financial measures to be useful metrics for management and investors because they exclude the effect of expenses that are not related to our core operating results.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Non-GAAP net income</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non-GAAP diluted EPS</w:t>
      </w:r>
      <w:r>
        <w:rPr>
          <w:color w:val="000000"/>
        </w:rPr>
        <w:t xml:space="preserve"> – </w:t>
      </w:r>
      <w:r>
        <w:rPr>
          <w:rFonts w:ascii="Times New Roman;serif" w:hAnsi="Times New Roman;serif"/>
          <w:b w:val="false"/>
          <w:color w:val="000000"/>
          <w:sz w:val="20"/>
        </w:rPr>
        <w:t>We define non-GAAP net income as net income attributable to Itron, Inc. excluding the expenses associated with amortization of intangible assets, amortization of debt placement fees, restructuring, loss on sale of business, strategic initiative expenses, acquisition and integration related expenses, gain on sale of equity method investment, and the tax effect of excluding these expenses. We define non-GAAP diluted EPS as non-GAAP net income divided by diluted weighted-average shares outstanding during the period calculated on a GAAP basis and then reduced to reflect any anti-dilutive impact of the convertible notes hedge transactions.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interim periods the budgeted annual effective tax rate (AETR) is used, adjusted for any discrete items, as defined in Accounting Standards Codification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going forward for all subsequent interim quarters in the year. We continue to assess the AETR based on latest forecast throughout the year and use the most recent AETR any time it increases or decreases by 200 basis points or more from the prior interim period.</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Adjusted EBITDA</w:t>
      </w:r>
      <w:r>
        <w:rPr>
          <w:color w:val="000000"/>
        </w:rPr>
        <w:t xml:space="preserve"> – </w:t>
      </w:r>
      <w:r>
        <w:rPr>
          <w:rFonts w:ascii="Times New Roman;serif" w:hAnsi="Times New Roman;serif"/>
          <w:b w:val="false"/>
          <w:color w:val="000000"/>
          <w:sz w:val="20"/>
        </w:rPr>
        <w:t>We define adjusted EBITDA as net income (a) minus interest income and gain on sale of equity method investment, (b) plus interest expense, depreciation and amortization, restructuring, loss on sale of business, strategic initiative expenses, acquisition and integration related expenses,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Free cash flow</w:t>
      </w:r>
      <w:r>
        <w:rPr>
          <w:color w:val="000000"/>
        </w:rPr>
        <w:t xml:space="preserve"> – </w:t>
      </w:r>
      <w:r>
        <w:rPr>
          <w:rFonts w:ascii="Times New Roman;serif" w:hAnsi="Times New Roman;serif"/>
          <w:b w:val="false"/>
          <w:color w:val="000000"/>
          <w:sz w:val="20"/>
        </w:rPr>
        <w:t>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in the reconciliation.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Adjusted gross profit </w:t>
      </w:r>
      <w:r>
        <w:rPr>
          <w:color w:val="000000"/>
        </w:rPr>
        <w:t xml:space="preserve">– </w:t>
      </w:r>
      <w:r>
        <w:rPr>
          <w:rFonts w:ascii="Times New Roman;serif" w:hAnsi="Times New Roman;serif"/>
          <w:b w:val="false"/>
          <w:color w:val="000000"/>
          <w:sz w:val="20"/>
        </w:rPr>
        <w:t>We define adjusted gross profit as gross profit excluding the amortization expense of core-developed technology intangible assets.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Adjusted operating income</w:t>
      </w:r>
      <w:r>
        <w:rPr>
          <w:color w:val="000000"/>
        </w:rPr>
        <w:t xml:space="preserve"> – </w:t>
      </w:r>
      <w:r>
        <w:rPr>
          <w:rFonts w:ascii="Times New Roman;serif" w:hAnsi="Times New Roman;serif"/>
          <w:b w:val="false"/>
          <w:color w:val="000000"/>
          <w:sz w:val="20"/>
        </w:rPr>
        <w:t>We define adjusted operating income as operating income excluding the amortization of core-developed technology intangible assets.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Constant currency</w:t>
      </w:r>
      <w:r>
        <w:rPr>
          <w:color w:val="000000"/>
        </w:rPr>
        <w:t xml:space="preserve"> – </w:t>
      </w:r>
      <w:r>
        <w:rPr>
          <w:rFonts w:ascii="Times New Roman;serif" w:hAnsi="Times New Roman;serif"/>
          <w:b w:val="false"/>
          <w:color w:val="000000"/>
          <w:sz w:val="20"/>
        </w:rPr>
        <w:t>We refer to the impact of foreign currency exchange rate fluctuations in our discussions of financial results, which references the 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Reconciliations of Non-GAAP Financial Measures to the Most Directly Comparable GAAP Financial Measures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tables below reconcile the non-GAAP financial measures of operating expenses, operating income, net income, diluted EPS, adjusted EBITDA, and free cash flow with the most directly comparable GAAP financial measures.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64"/>
        <w:gridCol w:w="231"/>
        <w:gridCol w:w="231"/>
        <w:gridCol w:w="267"/>
        <w:gridCol w:w="267"/>
        <w:gridCol w:w="267"/>
        <w:gridCol w:w="295"/>
        <w:gridCol w:w="295"/>
        <w:gridCol w:w="295"/>
        <w:gridCol w:w="859"/>
        <w:gridCol w:w="845"/>
        <w:gridCol w:w="875"/>
        <w:gridCol w:w="197"/>
        <w:gridCol w:w="742"/>
        <w:gridCol w:w="109"/>
        <w:gridCol w:w="109"/>
        <w:gridCol w:w="109"/>
        <w:gridCol w:w="109"/>
        <w:gridCol w:w="197"/>
        <w:gridCol w:w="742"/>
        <w:gridCol w:w="109"/>
        <w:gridCol w:w="109"/>
        <w:gridCol w:w="109"/>
        <w:gridCol w:w="109"/>
        <w:gridCol w:w="196"/>
        <w:gridCol w:w="736"/>
        <w:gridCol w:w="109"/>
        <w:gridCol w:w="109"/>
        <w:gridCol w:w="109"/>
        <w:gridCol w:w="109"/>
        <w:gridCol w:w="196"/>
        <w:gridCol w:w="736"/>
        <w:gridCol w:w="164"/>
      </w:tblGrid>
      <w:tr>
        <w:trPr/>
        <w:tc>
          <w:tcPr>
            <w:tcW w:w="26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99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COMPANY RECONCILIATIONS</w:t>
            </w:r>
          </w:p>
        </w:tc>
        <w:tc>
          <w:tcPr>
            <w:tcW w:w="24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 share data</w:t>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OPERATING EXPENSES</w:t>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operating expenses</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288,211 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Amortization of intangible assets</w:t>
            </w:r>
            <w:r>
              <w:rPr>
                <w:color w:val="000000"/>
              </w:rPr>
              <w:t xml:space="preserve"> </w:t>
            </w:r>
            <w:r>
              <w:rPr>
                <w:rFonts w:ascii="Times New Roman;serif" w:hAnsi="Times New Roman;serif"/>
                <w:b w:val="false"/>
                <w:color w:val="000000"/>
                <w:sz w:val="12"/>
              </w:rPr>
              <w:t>(1)</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of business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Strategic initiative</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integration</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expenses</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298,515 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278,342 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OPERATING INCOME</w:t>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operating income</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152,626 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Restructuring </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of business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Strategic initiative</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integration</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income</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162,495 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NET INCOME &amp; DILUTED EPS</w:t>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net income attributable to Itron, Inc.</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placement fees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Restructuring </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of business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Strategic initiative</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equity method investment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integration</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effect of non-GAAP adjustments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 attributable to Itron, Inc.</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145,224 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diluted EPS</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weighted average common shares outstanding - Diluted</w:t>
            </w:r>
          </w:p>
        </w:tc>
        <w:tc>
          <w:tcPr>
            <w:tcW w:w="939"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44,608 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46,380 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45,038 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46,276 </w:t>
            </w:r>
          </w:p>
        </w:tc>
        <w:tc>
          <w:tcPr>
            <w:tcW w:w="16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423" w:type="dxa"/>
            <w:gridSpan w:val="6"/>
            <w:tcBorders/>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5214" w:type="dxa"/>
            <w:gridSpan w:val="21"/>
            <w:tcBorders/>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423" w:type="dxa"/>
            <w:gridSpan w:val="6"/>
            <w:tcBorders/>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423" w:type="dxa"/>
            <w:gridSpan w:val="6"/>
            <w:tcBorders/>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0"/>
        <w:gridCol w:w="237"/>
        <w:gridCol w:w="237"/>
        <w:gridCol w:w="237"/>
        <w:gridCol w:w="237"/>
        <w:gridCol w:w="237"/>
        <w:gridCol w:w="378"/>
        <w:gridCol w:w="378"/>
        <w:gridCol w:w="378"/>
        <w:gridCol w:w="904"/>
        <w:gridCol w:w="797"/>
        <w:gridCol w:w="775"/>
        <w:gridCol w:w="207"/>
        <w:gridCol w:w="683"/>
        <w:gridCol w:w="115"/>
        <w:gridCol w:w="115"/>
        <w:gridCol w:w="115"/>
        <w:gridCol w:w="115"/>
        <w:gridCol w:w="207"/>
        <w:gridCol w:w="683"/>
        <w:gridCol w:w="115"/>
        <w:gridCol w:w="109"/>
        <w:gridCol w:w="109"/>
        <w:gridCol w:w="109"/>
        <w:gridCol w:w="196"/>
        <w:gridCol w:w="736"/>
        <w:gridCol w:w="109"/>
        <w:gridCol w:w="109"/>
        <w:gridCol w:w="109"/>
        <w:gridCol w:w="109"/>
        <w:gridCol w:w="196"/>
        <w:gridCol w:w="736"/>
        <w:gridCol w:w="158"/>
      </w:tblGrid>
      <w:tr>
        <w:trPr/>
        <w:tc>
          <w:tcPr>
            <w:tcW w:w="27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6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COMPANY RECONCILIATIONS</w:t>
            </w:r>
          </w:p>
        </w:tc>
        <w:tc>
          <w:tcPr>
            <w:tcW w:w="23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net income attributable to Itron, Inc.</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Restructuring </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of business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Strategic initiative</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2476"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2476"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2476"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integration</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equity method investment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96,837 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89,799 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177,730 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FREE CASH FLOW</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168,802 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property, plant, and equipment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2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81,486 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90,668 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158,146 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Excludes amortization of core-developed technology intangible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tables below reconcile the non-GAAP financial measure of adjusted gross profit with the most directly comparable GAAP financial measure.</w:t>
      </w:r>
    </w:p>
    <w:tbl>
      <w:tblPr>
        <w:tblW w:w="10205" w:type="dxa"/>
        <w:jc w:val="left"/>
        <w:tblInd w:w="0" w:type="dxa"/>
        <w:tblLayout w:type="fixed"/>
        <w:tblCellMar>
          <w:top w:w="28" w:type="dxa"/>
          <w:left w:w="28" w:type="dxa"/>
          <w:bottom w:w="28" w:type="dxa"/>
          <w:right w:w="28" w:type="dxa"/>
        </w:tblCellMar>
      </w:tblPr>
      <w:tblGrid>
        <w:gridCol w:w="854"/>
        <w:gridCol w:w="588"/>
        <w:gridCol w:w="558"/>
        <w:gridCol w:w="109"/>
        <w:gridCol w:w="109"/>
        <w:gridCol w:w="109"/>
        <w:gridCol w:w="203"/>
        <w:gridCol w:w="763"/>
        <w:gridCol w:w="265"/>
        <w:gridCol w:w="109"/>
        <w:gridCol w:w="109"/>
        <w:gridCol w:w="109"/>
        <w:gridCol w:w="218"/>
        <w:gridCol w:w="819"/>
        <w:gridCol w:w="284"/>
        <w:gridCol w:w="109"/>
        <w:gridCol w:w="109"/>
        <w:gridCol w:w="109"/>
        <w:gridCol w:w="196"/>
        <w:gridCol w:w="736"/>
        <w:gridCol w:w="256"/>
        <w:gridCol w:w="109"/>
        <w:gridCol w:w="109"/>
        <w:gridCol w:w="109"/>
        <w:gridCol w:w="207"/>
        <w:gridCol w:w="922"/>
        <w:gridCol w:w="271"/>
        <w:gridCol w:w="109"/>
        <w:gridCol w:w="109"/>
        <w:gridCol w:w="109"/>
        <w:gridCol w:w="203"/>
        <w:gridCol w:w="906"/>
        <w:gridCol w:w="321"/>
      </w:tblGrid>
      <w:tr>
        <w:trPr/>
        <w:tc>
          <w:tcPr>
            <w:tcW w:w="85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20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Device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Networked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Outcomes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Resiliency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Segments Subtotal</w:t>
            </w:r>
          </w:p>
        </w:tc>
      </w:tr>
      <w:tr>
        <w:trPr/>
        <w:tc>
          <w:tcPr>
            <w:tcW w:w="20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111,445 </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339,238 </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96,399 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562,902 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72,686 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194,084 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332,262 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38,759 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145,154 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230,640 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core-developed technology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145,154 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233,210 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Device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Networked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Outcomes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Segments 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112,760 </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408,934 </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85,067 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606,761 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79,169 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251,691 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383,143 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157,243 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core-developed technology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157,243 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20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Device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Networked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Outcomes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Resiliency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Segments Subtotal</w:t>
            </w:r>
          </w:p>
        </w:tc>
      </w:tr>
      <w:tr>
        <w:trPr/>
        <w:tc>
          <w:tcPr>
            <w:tcW w:w="20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235,822 </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689,901 </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192,309 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31,852 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1,149,884 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153,044 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401,674 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682,925 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82,778 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288,227 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466,959 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core-developed technology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82,778 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288,227 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472,024 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Device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Networked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Outcomes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Segments 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238,631 </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811,666 </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163,615 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1,213,912 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167,287 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505,709 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773,075 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71,344 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305,957 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440,837 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core-developed technology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71,344 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305,957 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440,837 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be exposed to interest rate risk through variable rate debt instruments, namely the multicurrency revolving line of credit. At June 30, 2026, we had no outstanding variable rate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continually monitor and assess our interest rate risk and may institute additional interest rate swaps or other derivative instruments to manage such risk in the future if we were to have variable rate debt outstanding.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Foreign Currency Exchange Rate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 business in a number of countries. Revenues denominated in functional currencies other than the U.S. dollar were 26% and 26% of total revenues for the three and six months ended June 30, 2026 compared with 25% and 24% for the same respective period in 2025. These transactions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June 30, 2026, a total of 36 contracts were offsetting our exposures from the euro, pound sterling, Indonesian rupiah, Canadian dollar, Australian dollar, and various other currencies, with notional amounts ranging from $118,850 to $26.6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future periods, we may use additional derivative contracts to protect against foreign currency exchange rate risks.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June 30, 2026,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controls over financial reporting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the three months ended June 30, 2026 that materially affected, or are reasonably likely to materially affect,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Refer to Item 1: Financial Statements (Unaudited), Note 11: Commitments and Contingencies included in this Quarterly Report on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For a complete list of Risk Factors, refer to Part I, Item 1A: Risk Factors of our Annual Report on Form 10-K for the fiscal year ended December 31, 2025, which was filed with the Securities and Exchange Commission on February 17,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00" w:after="120"/>
        <w:jc w:val="both"/>
        <w:rPr/>
      </w:pPr>
      <w:r>
        <w:rPr>
          <w:rFonts w:ascii="Times New Roman;serif" w:hAnsi="Times New Roman;serif"/>
          <w:b w:val="false"/>
          <w:color w:val="000000"/>
          <w:sz w:val="20"/>
        </w:rPr>
        <w:t>(a)</w:t>
      </w:r>
      <w:r>
        <w:rPr>
          <w:rFonts w:ascii="Times New Roman;serif" w:hAnsi="Times New Roman;serif"/>
          <w:b w:val="false"/>
          <w:color w:val="000000"/>
          <w:sz w:val="20"/>
        </w:rPr>
        <w:t>Not applicable.</w:t>
      </w:r>
    </w:p>
    <w:p>
      <w:pPr>
        <w:pStyle w:val="TextBody"/>
        <w:bidi w:val="0"/>
        <w:spacing w:lineRule="auto" w:line="288" w:before="0" w:after="120"/>
        <w:jc w:val="both"/>
        <w:rPr/>
      </w:pPr>
      <w:r>
        <w:rPr>
          <w:rFonts w:ascii="Times New Roman;serif" w:hAnsi="Times New Roman;serif"/>
          <w:b w:val="false"/>
          <w:color w:val="000000"/>
          <w:sz w:val="20"/>
        </w:rPr>
        <w:t>(b)</w:t>
      </w:r>
      <w:r>
        <w:rPr>
          <w:rFonts w:ascii="Times New Roman;serif" w:hAnsi="Times New Roman;serif"/>
          <w:b w:val="false"/>
          <w:color w:val="000000"/>
          <w:sz w:val="20"/>
        </w:rPr>
        <w:t>Not applicable.</w:t>
      </w:r>
    </w:p>
    <w:p>
      <w:pPr>
        <w:pStyle w:val="TextBody"/>
        <w:bidi w:val="0"/>
        <w:spacing w:lineRule="auto" w:line="288" w:before="0" w:after="0"/>
        <w:jc w:val="both"/>
        <w:rPr/>
      </w:pPr>
      <w:r>
        <w:rPr>
          <w:rFonts w:ascii="Times New Roman;serif" w:hAnsi="Times New Roman;serif"/>
          <w:b w:val="false"/>
          <w:color w:val="000000"/>
          <w:sz w:val="20"/>
        </w:rPr>
        <w:t>(c)</w:t>
      </w:r>
      <w:r>
        <w:rPr>
          <w:rFonts w:ascii="Times New Roman;serif" w:hAnsi="Times New Roman;serif"/>
          <w:b w:val="false"/>
          <w:color w:val="000000"/>
          <w:sz w:val="20"/>
        </w:rPr>
        <w:t>Issuer Repurchase of Equity Securities.</w:t>
      </w:r>
    </w:p>
    <w:tbl>
      <w:tblPr>
        <w:tblW w:w="10205" w:type="dxa"/>
        <w:jc w:val="left"/>
        <w:tblInd w:w="0" w:type="dxa"/>
        <w:tblLayout w:type="fixed"/>
        <w:tblCellMar>
          <w:top w:w="28" w:type="dxa"/>
          <w:left w:w="28" w:type="dxa"/>
          <w:bottom w:w="28" w:type="dxa"/>
          <w:right w:w="28" w:type="dxa"/>
        </w:tblCellMar>
      </w:tblPr>
      <w:tblGrid>
        <w:gridCol w:w="440"/>
        <w:gridCol w:w="387"/>
        <w:gridCol w:w="391"/>
        <w:gridCol w:w="109"/>
        <w:gridCol w:w="109"/>
        <w:gridCol w:w="109"/>
        <w:gridCol w:w="490"/>
        <w:gridCol w:w="396"/>
        <w:gridCol w:w="397"/>
        <w:gridCol w:w="109"/>
        <w:gridCol w:w="109"/>
        <w:gridCol w:w="109"/>
        <w:gridCol w:w="330"/>
        <w:gridCol w:w="686"/>
        <w:gridCol w:w="186"/>
        <w:gridCol w:w="109"/>
        <w:gridCol w:w="109"/>
        <w:gridCol w:w="109"/>
        <w:gridCol w:w="873"/>
        <w:gridCol w:w="824"/>
        <w:gridCol w:w="826"/>
        <w:gridCol w:w="109"/>
        <w:gridCol w:w="109"/>
        <w:gridCol w:w="109"/>
        <w:gridCol w:w="481"/>
        <w:gridCol w:w="1807"/>
        <w:gridCol w:w="383"/>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Total Number of </w:t>
            </w:r>
          </w:p>
          <w:p>
            <w:pPr>
              <w:pStyle w:val="TableContents"/>
              <w:bidi w:val="0"/>
              <w:spacing w:lineRule="auto" w:line="240" w:before="0" w:after="0"/>
              <w:jc w:val="center"/>
              <w:rPr/>
            </w:pPr>
            <w:r>
              <w:rPr>
                <w:rFonts w:ascii="Times New Roman;serif" w:hAnsi="Times New Roman;serif"/>
                <w:b/>
                <w:color w:val="000000"/>
                <w:sz w:val="18"/>
              </w:rPr>
              <w:t xml:space="preserve">Shares Purchased </w:t>
            </w:r>
            <w:r>
              <w:rPr>
                <w:rFonts w:ascii="Times New Roman;serif" w:hAnsi="Times New Roman;serif"/>
                <w:b/>
                <w:color w:val="000000"/>
                <w:sz w:val="12"/>
              </w:rPr>
              <w:t>(1)(2)(4)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Average Price Paid per Share </w:t>
            </w:r>
            <w:r>
              <w:rPr>
                <w:rFonts w:ascii="Times New Roman;serif" w:hAnsi="Times New Roman;serif"/>
                <w:b/>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 Dollar Value of Shares that May Yet Be Purchased Under the Plans or Programs</w:t>
            </w:r>
          </w:p>
        </w:tc>
      </w:tr>
      <w:tr>
        <w:trPr/>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1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1, 2026 through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150,000 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 2026 through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429,728 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429,728 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315,161 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1, 2026 through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214,460 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214,460 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297,766 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644,188 </w:t>
            </w:r>
          </w:p>
        </w:tc>
        <w:tc>
          <w:tcPr>
            <w:tcW w:w="3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644,188 </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6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Effective November 10, 2025, Itron's Board of Directors authorized a repurchase program of up to $250 million of Itron's common stock over an 18-month period. </w:t>
      </w:r>
    </w:p>
    <w:p>
      <w:pPr>
        <w:pStyle w:val="TextBody"/>
        <w:bidi w:val="0"/>
        <w:spacing w:lineRule="auto" w:line="288" w:before="0" w:after="6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Effective May 8, 2026, Itron's Board of Directors authorized a repurchase program of up to $200 million of Itron's common stock over an 18-month period.</w:t>
      </w:r>
    </w:p>
    <w:p>
      <w:pPr>
        <w:pStyle w:val="TextBody"/>
        <w:bidi w:val="0"/>
        <w:spacing w:lineRule="auto" w:line="288" w:before="0" w:after="6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Excludes commissions.</w:t>
      </w:r>
    </w:p>
    <w:p>
      <w:pPr>
        <w:pStyle w:val="TextBody"/>
        <w:bidi w:val="0"/>
        <w:spacing w:lineRule="auto" w:line="288" w:before="0" w:after="0"/>
        <w:ind w:left="0" w:right="0" w:hanging="360"/>
        <w:jc w:val="both"/>
        <w:rPr/>
      </w:pPr>
      <w:r>
        <w:rPr>
          <w:rFonts w:ascii="Times New Roman;serif" w:hAnsi="Times New Roman;serif"/>
          <w:b w:val="false"/>
          <w:color w:val="000000"/>
          <w:sz w:val="12"/>
        </w:rPr>
        <w:t>(4)</w:t>
      </w:r>
      <w:r>
        <w:rPr>
          <w:rFonts w:ascii="Times New Roman;serif" w:hAnsi="Times New Roman;serif"/>
          <w:b w:val="false"/>
          <w:color w:val="000000"/>
          <w:sz w:val="18"/>
        </w:rPr>
        <w:t>Shares purchased may include shares transferred to us by certain employees who vested in restricted stock units and used shares to pay all, or a portion of, the related taxes.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0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(a)No information was required to be disclosed in a report on Form 8-K during the second quarter of 2026 that was not reported.</w:t>
      </w:r>
    </w:p>
    <w:p>
      <w:pPr>
        <w:pStyle w:val="TextBody"/>
        <w:bidi w:val="0"/>
        <w:spacing w:lineRule="auto" w:line="288" w:before="0" w:after="120"/>
        <w:jc w:val="both"/>
        <w:rPr/>
      </w:pPr>
      <w:r>
        <w:rPr>
          <w:rFonts w:ascii="Times New Roman;serif" w:hAnsi="Times New Roman;serif"/>
          <w:b w:val="false"/>
          <w:color w:val="000000"/>
          <w:sz w:val="20"/>
        </w:rPr>
        <w:t>(b)</w:t>
      </w:r>
      <w:r>
        <w:rPr>
          <w:rFonts w:ascii="Times New Roman;serif" w:hAnsi="Times New Roman;serif"/>
          <w:b w:val="false"/>
          <w:color w:val="000000"/>
          <w:sz w:val="20"/>
        </w:rPr>
        <w:t>Not applicable.</w:t>
      </w:r>
    </w:p>
    <w:p>
      <w:pPr>
        <w:pStyle w:val="TextBody"/>
        <w:bidi w:val="0"/>
        <w:spacing w:lineRule="auto" w:line="288" w:before="0" w:after="120"/>
        <w:jc w:val="both"/>
        <w:rPr/>
      </w:pPr>
      <w:r>
        <w:rPr>
          <w:rFonts w:ascii="Times New Roman;serif" w:hAnsi="Times New Roman;serif"/>
          <w:b w:val="false"/>
          <w:color w:val="000000"/>
          <w:sz w:val="20"/>
        </w:rPr>
        <w:t>(c)</w:t>
      </w:r>
      <w:r>
        <w:rPr>
          <w:rFonts w:ascii="Times New Roman;serif" w:hAnsi="Times New Roman;serif"/>
          <w:b w:val="false"/>
          <w:color w:val="000000"/>
          <w:sz w:val="20"/>
        </w:rPr>
        <w:t>Insider Trading Arrangements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officers, as defined in Rule 16a-1(f) under the Securities Exchange Act of 1934 (the Exchange Act), and directors from time to time enter into contracts, instructions or written plans for the purchase or sale of our securities that are intended to satisfy the affirmative defense conditions of Rule 10b5-1(c) against liability for trading in securities on the basis of material nonpublic information. During the quarter ended June 30, 2026, the following Section 16 officers adopted, modified, or terminated trading arrangements (as defined in Item 408 of Regulation S-K of the Exchange Act):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On May 6, 2026, Justin K. Patrick, Senior Vice President, Device Solutions, adopted a written trading plan designed to be in effect until December 31, 2026, with respect to the sale of up to 10,210 shares of Itron, Inc. common stock, subject to certain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294"/>
        <w:gridCol w:w="258"/>
        <w:gridCol w:w="259"/>
        <w:gridCol w:w="109"/>
        <w:gridCol w:w="109"/>
        <w:gridCol w:w="109"/>
        <w:gridCol w:w="3129"/>
        <w:gridCol w:w="2887"/>
        <w:gridCol w:w="2896"/>
        <w:gridCol w:w="155"/>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Exhibits</w:t>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2"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2"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2"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2"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2"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2"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2"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2"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triex-31106302026.htm">
              <w:r>
                <w:rPr>
                  <w:rStyle w:val="InternetLink"/>
                  <w:rFonts w:ascii="Times New Roman;serif" w:hAnsi="Times New Roman;serif"/>
                  <w:b w:val="false"/>
                  <w:color w:val="0000FF"/>
                  <w:sz w:val="20"/>
                  <w:u w:val="single"/>
                </w:rPr>
                <w:t>Certification Pursuant to Section 302 of the Sarbanes-Oxley Act of 2002</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triex-31206302026.htm">
              <w:r>
                <w:rPr>
                  <w:rStyle w:val="InternetLink"/>
                  <w:rFonts w:ascii="Times New Roman;serif" w:hAnsi="Times New Roman;serif"/>
                  <w:b w:val="false"/>
                  <w:color w:val="0000FF"/>
                  <w:sz w:val="20"/>
                  <w:u w:val="single"/>
                </w:rPr>
                <w:t>Certification Pursuant to Section 302 of the Sarbanes-Oxley Act of 2002</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triex-32106302026.htm">
              <w:r>
                <w:rPr>
                  <w:rStyle w:val="InternetLink"/>
                  <w:rFonts w:ascii="Times New Roman;serif" w:hAnsi="Times New Roman;serif"/>
                  <w:b w:val="false"/>
                  <w:color w:val="0000FF"/>
                  <w:sz w:val="20"/>
                  <w:u w:val="single"/>
                </w:rPr>
                <w:t>Certification Pursuant to Section 906 of the Sarbanes-Oxley Act of 2002</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Itron, Inc.'s Quarterly Report on Form 10-Q for the quarter ended June 30, 2026 formatted in Inline XBRL (Extensible Business Reporting Language) includes: (i) the Consolidated Statements of Operations, (ii) the Consolidated Statements of Comprehensive Income, (iii) the Consolidated Balance Sheets, (iv) the Consolidated Statements of Equity, (v) the Consolidated Statements of Cash Flows, and (vi) Notes to the Consolidated Financial Statements.</w:t>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b6f8d38b2d204b95a1b87d5d527da1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433" w:type="dxa"/>
        <w:jc w:val="left"/>
        <w:tblInd w:w="0" w:type="dxa"/>
        <w:tblLayout w:type="fixed"/>
        <w:tblCellMar>
          <w:top w:w="28" w:type="dxa"/>
          <w:left w:w="28" w:type="dxa"/>
          <w:bottom w:w="28" w:type="dxa"/>
          <w:right w:w="28" w:type="dxa"/>
        </w:tblCellMar>
      </w:tblPr>
      <w:tblGrid>
        <w:gridCol w:w="443"/>
        <w:gridCol w:w="390"/>
        <w:gridCol w:w="396"/>
        <w:gridCol w:w="109"/>
        <w:gridCol w:w="109"/>
        <w:gridCol w:w="109"/>
        <w:gridCol w:w="186"/>
        <w:gridCol w:w="186"/>
        <w:gridCol w:w="186"/>
        <w:gridCol w:w="1249"/>
        <w:gridCol w:w="1249"/>
        <w:gridCol w:w="1821"/>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ITRON, INC.</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JOAN S. HOOPER</w:t>
            </w:r>
          </w:p>
        </w:tc>
      </w:tr>
      <w:tr>
        <w:trPr/>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Joan S. Hooper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Thomas L. Deitrich, certify that: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Itron,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right"/>
        <w:rPr>
          <w:color w:val="000000"/>
        </w:rPr>
      </w:pPr>
      <w:r>
        <w:rPr>
          <w:color w:val="000000"/>
        </w:rPr>
        <w:t> </w:t>
      </w:r>
    </w:p>
    <w:tbl>
      <w:tblPr>
        <w:tblW w:w="4075" w:type="dxa"/>
        <w:jc w:val="right"/>
        <w:tblInd w:w="0" w:type="dxa"/>
        <w:tblLayout w:type="fixed"/>
        <w:tblCellMar>
          <w:top w:w="28" w:type="dxa"/>
          <w:left w:w="28" w:type="dxa"/>
          <w:bottom w:w="28" w:type="dxa"/>
          <w:right w:w="28" w:type="dxa"/>
        </w:tblCellMar>
      </w:tblPr>
      <w:tblGrid>
        <w:gridCol w:w="151"/>
        <w:gridCol w:w="134"/>
        <w:gridCol w:w="135"/>
        <w:gridCol w:w="109"/>
        <w:gridCol w:w="109"/>
        <w:gridCol w:w="109"/>
        <w:gridCol w:w="516"/>
        <w:gridCol w:w="516"/>
        <w:gridCol w:w="516"/>
        <w:gridCol w:w="516"/>
        <w:gridCol w:w="516"/>
        <w:gridCol w:w="748"/>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407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ITRON, INC.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THOMAS L. DEITRICH</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Thomas L. Deitrich</w:t>
              <w:br/>
              <w:t>President and Chief Executive Officer</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July 28,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Joan S. Hooper, certify that: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Itron,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color w:val="000000"/>
        </w:rPr>
      </w:pPr>
      <w:r>
        <w:rPr>
          <w:color w:val="000000"/>
        </w:rPr>
        <w:t> </w:t>
      </w:r>
    </w:p>
    <w:tbl>
      <w:tblPr>
        <w:tblW w:w="5064" w:type="dxa"/>
        <w:jc w:val="right"/>
        <w:tblInd w:w="0" w:type="dxa"/>
        <w:tblLayout w:type="fixed"/>
        <w:tblCellMar>
          <w:top w:w="28" w:type="dxa"/>
          <w:left w:w="28" w:type="dxa"/>
          <w:bottom w:w="28" w:type="dxa"/>
          <w:right w:w="28" w:type="dxa"/>
        </w:tblCellMar>
      </w:tblPr>
      <w:tblGrid>
        <w:gridCol w:w="151"/>
        <w:gridCol w:w="134"/>
        <w:gridCol w:w="135"/>
        <w:gridCol w:w="109"/>
        <w:gridCol w:w="109"/>
        <w:gridCol w:w="109"/>
        <w:gridCol w:w="669"/>
        <w:gridCol w:w="669"/>
        <w:gridCol w:w="669"/>
        <w:gridCol w:w="669"/>
        <w:gridCol w:w="669"/>
        <w:gridCol w:w="972"/>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506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ITRON, INC.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JOAN S. HOOPER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Joan S. Hooper</w:t>
              <w:br/>
              <w:t>Senior Vice President and Chief Financial Officer</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July 28,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certification set forth below is being submitted in connection with the Quarterly Report of Itron, Inc. (the Company) on Form 10-Q for the quarterly period ended June 30, 2026 (the Report) for the purpose of complying with Rule 13a-14(b) or Rule 15d-14(b) of the Securities Exchange Act of 1934 and Section 1350 of Chapter 63 of Title 18 of the United States Code.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Thomas L. Deitrich, the Chief Executive Officer, and Joan S. Hooper, the Chief Financial Officer, of the Company each certifies that to the best of his or her knowledge: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    The Report fully complies with the requirements of Section 13(a) or 15(d) of the Securities Exchange Act of 1934;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before="0" w:after="0"/>
        <w:ind w:left="0" w:right="0" w:hanging="450"/>
        <w:jc w:val="left"/>
        <w:rPr/>
      </w:pPr>
      <w:r>
        <w:rPr/>
      </w:r>
    </w:p>
    <w:p>
      <w:pPr>
        <w:pStyle w:val="TextBody"/>
        <w:bidi w:val="0"/>
        <w:spacing w:lineRule="auto" w:line="288" w:before="0" w:after="0"/>
        <w:jc w:val="left"/>
        <w:rPr>
          <w:color w:val="000000"/>
        </w:rPr>
      </w:pPr>
      <w:r>
        <w:rPr>
          <w:color w:val="000000"/>
        </w:rPr>
        <w:t> </w:t>
      </w:r>
    </w:p>
    <w:tbl>
      <w:tblPr>
        <w:tblW w:w="5876" w:type="dxa"/>
        <w:jc w:val="left"/>
        <w:tblInd w:w="0" w:type="dxa"/>
        <w:tblLayout w:type="fixed"/>
        <w:tblCellMar>
          <w:top w:w="28" w:type="dxa"/>
          <w:left w:w="28" w:type="dxa"/>
          <w:bottom w:w="28" w:type="dxa"/>
          <w:right w:w="28" w:type="dxa"/>
        </w:tblCellMar>
      </w:tblPr>
      <w:tblGrid>
        <w:gridCol w:w="1554"/>
        <w:gridCol w:w="1367"/>
        <w:gridCol w:w="1369"/>
        <w:gridCol w:w="109"/>
        <w:gridCol w:w="109"/>
        <w:gridCol w:w="109"/>
        <w:gridCol w:w="368"/>
        <w:gridCol w:w="368"/>
        <w:gridCol w:w="523"/>
      </w:tblGrid>
      <w:tr>
        <w:trPr/>
        <w:tc>
          <w:tcPr>
            <w:tcW w:w="1554"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THOMAS L. DEITRICH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28, 2026</w:t>
            </w:r>
          </w:p>
        </w:tc>
      </w:tr>
      <w:tr>
        <w:trPr/>
        <w:tc>
          <w:tcPr>
            <w:tcW w:w="4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Thomas L. Deitrich</w:t>
              <w:b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JOAN S. HOOPER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28, 2026</w:t>
            </w:r>
          </w:p>
        </w:tc>
      </w:tr>
      <w:tr>
        <w:trPr/>
        <w:tc>
          <w:tcPr>
            <w:tcW w:w="4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Joan S. Hooper</w:t>
              <w:br/>
              <w:t>Senior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27945</Words>
  <Characters>155551</Characters>
  <CharactersWithSpaces>181160</CharactersWithSpaces>
  <Paragraphs>4149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