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271</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174,471</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174,471</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0.442%</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174,471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174,471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0.442%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174,471</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0.442%</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271</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174,471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09,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the instructions in Item 7 of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899"/>
        <w:spacing w:after="0" w:line="237" w:lineRule="auto"/>
        <w:rPr>
          <w:sz w:val="20"/>
          <w:szCs w:val="20"/>
          <w:color w:val="auto"/>
        </w:rPr>
      </w:pPr>
      <w:r>
        <w:rPr>
          <w:rFonts w:ascii="Courier New" w:cs="Courier New" w:eastAsia="Courier New" w:hAnsi="Courier New"/>
          <w:sz w:val="18"/>
          <w:szCs w:val="18"/>
          <w:color w:val="auto"/>
        </w:rPr>
        <w:t>Fidelity Management &amp; Research Company ("Fidelity"), 82 Devonshire Street, Boston, Massachusetts 02109, a wholly-owned subsidiary of FMR LLC and an investment adviser registered under Section 203 of the Investment Advisers Act of 1940, is the beneficial owner of 174,200 shares or 0.441% of the Common Stock outstanding of ITRON INC ("the Company") as a result of acting as investment adviser to various investment companies registered under Section 8 of the Investment Company Act of 1940.</w:t>
      </w:r>
    </w:p>
    <w:p>
      <w:pPr>
        <w:spacing w:after="0" w:line="214"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174,200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271 shares, or 0.001%, of the Common Stock outstanding of ITRON INC, beneficially owned through Strategic Advisers,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October 09, 2012,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ITRON INC at September 30,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739"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2019-12-09T09:13:36Z</dcterms:created>
  <dcterms:modified xsi:type="dcterms:W3CDTF">2019-12-09T09:13:36Z</dcterms:modified>
</cp:coreProperties>
</file>