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370840</wp:posOffset>
            </wp:positionH>
            <wp:positionV relativeFrom="page">
              <wp:posOffset>389255</wp:posOffset>
            </wp:positionV>
            <wp:extent cx="68065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70" w:lineRule="exact"/>
        <w:rPr>
          <w:sz w:val="24"/>
          <w:szCs w:val="24"/>
          <w:color w:val="auto"/>
        </w:rPr>
      </w:pPr>
    </w:p>
    <w:p>
      <w:pPr>
        <w:ind w:left="460" w:hanging="317"/>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0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480" w:hanging="324"/>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00" w:lineRule="exact"/>
        <w:rPr>
          <w:sz w:val="24"/>
          <w:szCs w:val="24"/>
          <w:color w:val="auto"/>
        </w:rPr>
      </w:pPr>
    </w:p>
    <w:p>
      <w:pPr>
        <w:ind w:left="66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CB2C31"/>
        </w:rPr>
        <w:t>Itron,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107950</wp:posOffset>
            </wp:positionV>
            <wp:extent cx="106299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445770"/>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420" w:space="720"/>
            <w:col w:w="4100"/>
          </w:cols>
          <w:pgMar w:left="320" w:top="759" w:right="339" w:bottom="1440" w:gutter="0" w:footer="0" w:header="0"/>
          <w:type w:val="continuous"/>
        </w:sectPr>
      </w:pP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 Liberty Lake, Washington 99019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920" w:type="dxa"/>
            <w:vAlign w:val="bottom"/>
            <w:gridSpan w:val="7"/>
          </w:tcPr>
          <w:p>
            <w:pPr>
              <w:jc w:val="right"/>
              <w:ind w:right="3236"/>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56"/>
        </w:trPr>
        <w:tc>
          <w:tcPr>
            <w:tcW w:w="120" w:type="dxa"/>
            <w:vAlign w:val="bottom"/>
          </w:tcPr>
          <w:p>
            <w:pPr>
              <w:spacing w:after="0"/>
              <w:rPr>
                <w:sz w:val="22"/>
                <w:szCs w:val="22"/>
                <w:color w:val="auto"/>
              </w:rPr>
            </w:pPr>
          </w:p>
        </w:tc>
        <w:tc>
          <w:tcPr>
            <w:tcW w:w="310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8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60" w:type="dxa"/>
            <w:vAlign w:val="bottom"/>
            <w:gridSpan w:val="2"/>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120" w:type="dxa"/>
            <w:vAlign w:val="bottom"/>
          </w:tcPr>
          <w:p>
            <w:pPr>
              <w:spacing w:after="0"/>
              <w:rPr>
                <w:sz w:val="19"/>
                <w:szCs w:val="19"/>
                <w:color w:val="auto"/>
              </w:rPr>
            </w:pPr>
          </w:p>
        </w:tc>
        <w:tc>
          <w:tcPr>
            <w:tcW w:w="3100" w:type="dxa"/>
            <w:vAlign w:val="bottom"/>
            <w:tcBorders>
              <w:top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ITRI</w:t>
            </w: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tcPr>
          <w:p>
            <w:pPr>
              <w:jc w:val="right"/>
              <w:ind w:right="1056"/>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314"/>
        </w:trPr>
        <w:tc>
          <w:tcPr>
            <w:tcW w:w="70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tc>
        <w:tc>
          <w:tcPr>
            <w:tcW w:w="500" w:type="dxa"/>
            <w:vAlign w:val="bottom"/>
          </w:tcPr>
          <w:p>
            <w:pPr>
              <w:ind w:left="2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tc>
        <w:tc>
          <w:tcPr>
            <w:tcW w:w="3560" w:type="dxa"/>
            <w:vAlign w:val="bottom"/>
          </w:tcPr>
          <w:p>
            <w:pPr>
              <w:jc w:val="right"/>
              <w:ind w:right="333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03"/>
        </w:trPr>
        <w:tc>
          <w:tcPr>
            <w:tcW w:w="7580" w:type="dxa"/>
            <w:vAlign w:val="bottom"/>
            <w:gridSpan w:val="8"/>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3560" w:type="dxa"/>
            <w:vAlign w:val="bottom"/>
          </w:tcPr>
          <w:p>
            <w:pPr>
              <w:jc w:val="right"/>
              <w:ind w:right="3236"/>
              <w:spacing w:after="0" w:line="181" w:lineRule="exact"/>
              <w:rPr>
                <w:sz w:val="20"/>
                <w:szCs w:val="20"/>
                <w:color w:val="auto"/>
              </w:rPr>
            </w:pPr>
            <w:r>
              <w:rPr>
                <w:rFonts w:ascii="MS PGothic" w:cs="MS PGothic" w:eastAsia="MS PGothic" w:hAnsi="MS PGothic"/>
                <w:sz w:val="18"/>
                <w:szCs w:val="18"/>
                <w:color w:val="auto"/>
              </w:rPr>
              <w:t>☒</w:t>
            </w:r>
          </w:p>
        </w:tc>
      </w:tr>
    </w:tbl>
    <w:p>
      <w:pPr>
        <w:ind w:right="20"/>
        <w:spacing w:after="0" w:line="21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560" w:type="dxa"/>
        <w:tblCellMar>
          <w:top w:w="0" w:type="dxa"/>
          <w:left w:w="0" w:type="dxa"/>
          <w:bottom w:w="0" w:type="dxa"/>
          <w:right w:w="0" w:type="dxa"/>
        </w:tblCellMar>
      </w:tblP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426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426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6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426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00" w:lineRule="exact"/>
        <w:rPr>
          <w:sz w:val="24"/>
          <w:szCs w:val="24"/>
          <w:color w:val="auto"/>
        </w:rPr>
      </w:pPr>
    </w:p>
    <w:p>
      <w:pPr>
        <w:ind w:right="5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1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As of June 30, 2023 (the last business day of the registrant's most recently completed second fiscal quarter), the aggregate market value of the shares of common stock held by non-affiliates of the registrant (based on the closing price for the common stock on the NASDAQ Global Select Market) was $3,247,413,777.</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22, 2024, there were outstanding 45,580,163 shares of the registrant's common stock, no par value, which is the only class of common stock of the registrant.</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information called for by Part III is incorporated by reference to the definitive Proxy Statement for the Annual Meeting of Shareholders of the Company to be held on May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gridSpan w:val="11"/>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9"/>
              </w:rPr>
              <w:t>Itron, Inc.</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gridSpan w:val="12"/>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80" w:type="dxa"/>
            <w:vAlign w:val="bottom"/>
          </w:tcPr>
          <w:p>
            <w:pPr>
              <w:spacing w:after="0"/>
              <w:rPr>
                <w:sz w:val="24"/>
                <w:szCs w:val="24"/>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1620" w:type="dxa"/>
            <w:vAlign w:val="bottom"/>
            <w:gridSpan w:val="2"/>
          </w:tcPr>
          <w:p>
            <w:pPr>
              <w:ind w:left="6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6960" w:type="dxa"/>
            <w:vAlign w:val="bottom"/>
            <w:gridSpan w:val="23"/>
          </w:tcPr>
          <w:p>
            <w:pPr>
              <w:spacing w:after="0"/>
              <w:rPr>
                <w:sz w:val="16"/>
                <w:szCs w:val="16"/>
                <w:color w:val="auto"/>
              </w:rPr>
            </w:pPr>
          </w:p>
        </w:tc>
        <w:tc>
          <w:tcPr>
            <w:tcW w:w="680" w:type="dxa"/>
            <w:vAlign w:val="bottom"/>
            <w:gridSpan w:val="3"/>
          </w:tcPr>
          <w:p>
            <w:pPr>
              <w:jc w:val="center"/>
              <w:ind w:left="510"/>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1A:</w:t>
            </w: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0000FF"/>
                <w:w w:val="88"/>
              </w:rPr>
              <w:t>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1B:</w:t>
            </w: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560" w:type="dxa"/>
            <w:vAlign w:val="bottom"/>
            <w:gridSpan w:val="16"/>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600" w:type="dxa"/>
            <w:vAlign w:val="bottom"/>
            <w:gridSpan w:val="19"/>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6280" w:type="dxa"/>
            <w:vAlign w:val="bottom"/>
            <w:gridSpan w:val="18"/>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4:</w:t>
            </w: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3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1620" w:type="dxa"/>
            <w:vAlign w:val="bottom"/>
            <w:gridSpan w:val="2"/>
          </w:tcPr>
          <w:p>
            <w:pPr>
              <w:ind w:left="6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76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680" w:type="dxa"/>
            <w:vAlign w:val="bottom"/>
            <w:gridSpan w:val="3"/>
            <w:vMerge w:val="restart"/>
          </w:tcPr>
          <w:p>
            <w:pPr>
              <w:jc w:val="center"/>
              <w:ind w:left="410"/>
              <w:spacing w:after="0"/>
              <w:rPr>
                <w:sz w:val="20"/>
                <w:szCs w:val="20"/>
                <w:color w:val="auto"/>
              </w:rPr>
            </w:pPr>
            <w:r>
              <w:rPr>
                <w:rFonts w:ascii="Times New Roman" w:cs="Times New Roman" w:eastAsia="Times New Roman" w:hAnsi="Times New Roman"/>
                <w:sz w:val="18"/>
                <w:szCs w:val="18"/>
                <w:color w:val="0000FF"/>
                <w:w w:val="99"/>
              </w:rPr>
              <w:t>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30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Securities</w:t>
            </w:r>
          </w:p>
        </w:tc>
        <w:tc>
          <w:tcPr>
            <w:tcW w:w="3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6:</w:t>
            </w: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[Reserved]</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26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160" w:type="dxa"/>
            <w:vAlign w:val="bottom"/>
            <w:gridSpan w:val="4"/>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27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3"/>
          </w:tcPr>
          <w:p>
            <w:pPr>
              <w:spacing w:after="0"/>
              <w:rPr>
                <w:sz w:val="18"/>
                <w:szCs w:val="18"/>
                <w:color w:val="auto"/>
              </w:rPr>
            </w:pPr>
          </w:p>
        </w:tc>
        <w:tc>
          <w:tcPr>
            <w:tcW w:w="1160" w:type="dxa"/>
            <w:vAlign w:val="bottom"/>
            <w:gridSpan w:val="4"/>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46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240" w:type="dxa"/>
            <w:vAlign w:val="bottom"/>
            <w:gridSpan w:val="7"/>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w:t>
            </w:r>
            <w:r>
              <w:rPr>
                <w:rFonts w:ascii="Times New Roman" w:cs="Times New Roman" w:eastAsia="Times New Roman" w:hAnsi="Times New Roman"/>
                <w:sz w:val="18"/>
                <w:szCs w:val="18"/>
                <w:color w:val="0E32E1"/>
              </w:rPr>
              <w:t>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(PCAOB ID No. 34)</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E32E1"/>
            </w:tcBorders>
            <w:shd w:val="clear" w:color="auto" w:fill="0000FF"/>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128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8"/>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Consolidated Statements of Comprehensive Income (Loss)</w:t>
            </w:r>
          </w:p>
        </w:tc>
        <w:tc>
          <w:tcPr>
            <w:tcW w:w="3380" w:type="dxa"/>
            <w:vAlign w:val="bottom"/>
            <w:gridSpan w:val="8"/>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3380" w:type="dxa"/>
            <w:vAlign w:val="bottom"/>
            <w:gridSpan w:val="8"/>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54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55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56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1120" w:type="dxa"/>
            <w:vAlign w:val="bottom"/>
            <w:gridSpan w:val="3"/>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94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9A:</w:t>
            </w:r>
          </w:p>
        </w:tc>
        <w:tc>
          <w:tcPr>
            <w:tcW w:w="6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20" w:type="dxa"/>
            <w:vAlign w:val="bottom"/>
            <w:gridSpan w:val="3"/>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94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tcPr>
          <w:p>
            <w:pPr>
              <w:spacing w:after="0"/>
              <w:rPr>
                <w:sz w:val="18"/>
                <w:szCs w:val="18"/>
                <w:color w:val="auto"/>
              </w:rPr>
            </w:pPr>
          </w:p>
        </w:tc>
        <w:tc>
          <w:tcPr>
            <w:tcW w:w="5840" w:type="dxa"/>
            <w:vAlign w:val="bottom"/>
            <w:gridSpan w:val="17"/>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96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9C:</w:t>
            </w: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96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3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1620" w:type="dxa"/>
            <w:vAlign w:val="bottom"/>
            <w:gridSpan w:val="2"/>
          </w:tcPr>
          <w:p>
            <w:pPr>
              <w:ind w:left="6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3500" w:type="dxa"/>
            <w:vAlign w:val="bottom"/>
            <w:gridSpan w:val="9"/>
          </w:tcPr>
          <w:p>
            <w:pPr>
              <w:spacing w:after="0"/>
              <w:rPr>
                <w:sz w:val="16"/>
                <w:szCs w:val="16"/>
                <w:color w:val="auto"/>
              </w:rPr>
            </w:pPr>
          </w:p>
        </w:tc>
        <w:tc>
          <w:tcPr>
            <w:tcW w:w="680" w:type="dxa"/>
            <w:vAlign w:val="bottom"/>
            <w:gridSpan w:val="3"/>
          </w:tcPr>
          <w:p>
            <w:pPr>
              <w:jc w:val="center"/>
              <w:ind w:left="410"/>
              <w:spacing w:after="0" w:line="194" w:lineRule="exact"/>
              <w:rPr>
                <w:sz w:val="20"/>
                <w:szCs w:val="20"/>
                <w:color w:val="auto"/>
              </w:rPr>
            </w:pPr>
            <w:r>
              <w:rPr>
                <w:rFonts w:ascii="Times New Roman" w:cs="Times New Roman" w:eastAsia="Times New Roman" w:hAnsi="Times New Roman"/>
                <w:sz w:val="18"/>
                <w:szCs w:val="18"/>
                <w:color w:val="0000FF"/>
                <w:w w:val="99"/>
              </w:rPr>
              <w:t>97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gridSpan w:val="7"/>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500" w:type="dxa"/>
            <w:vAlign w:val="bottom"/>
            <w:gridSpan w:val="9"/>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12:</w:t>
            </w: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320" w:type="dxa"/>
            <w:vAlign w:val="bottom"/>
            <w:gridSpan w:val="2"/>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gridSpan w:val="1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tcBorders>
              <w:left w:val="single" w:sz="8" w:color="0000FF"/>
            </w:tcBorders>
            <w:gridSpan w:val="6"/>
            <w:shd w:val="clear" w:color="auto" w:fill="0000FF"/>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160" w:type="dxa"/>
            <w:vAlign w:val="bottom"/>
            <w:gridSpan w:val="5"/>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3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1620" w:type="dxa"/>
            <w:vAlign w:val="bottom"/>
            <w:gridSpan w:val="2"/>
          </w:tcPr>
          <w:p>
            <w:pPr>
              <w:ind w:left="6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76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680" w:type="dxa"/>
            <w:vAlign w:val="bottom"/>
            <w:gridSpan w:val="3"/>
          </w:tcPr>
          <w:p>
            <w:pPr>
              <w:jc w:val="center"/>
              <w:ind w:left="410"/>
              <w:spacing w:after="0" w:line="194" w:lineRule="exact"/>
              <w:rPr>
                <w:sz w:val="20"/>
                <w:szCs w:val="20"/>
                <w:color w:val="auto"/>
              </w:rPr>
            </w:pPr>
            <w:r>
              <w:rPr>
                <w:rFonts w:ascii="Times New Roman" w:cs="Times New Roman" w:eastAsia="Times New Roman" w:hAnsi="Times New Roman"/>
                <w:sz w:val="18"/>
                <w:szCs w:val="18"/>
                <w:color w:val="0000FF"/>
                <w:w w:val="99"/>
              </w:rPr>
              <w:t>99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80" w:type="dxa"/>
            <w:vAlign w:val="bottom"/>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rPr>
              <w:t>103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2"/>
        </w:trPr>
        <w:tc>
          <w:tcPr>
            <w:tcW w:w="38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on Form 10-K, the terms "we", "us", "our", "Itron", and the "Company" refer to Itron,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222222"/>
        </w:rPr>
        <w:t xml:space="preserve">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Annual Report on Form 10-K.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w:t>
      </w:r>
      <w:r>
        <w:rPr>
          <w:rFonts w:ascii="Times New Roman" w:cs="Times New Roman" w:eastAsia="Times New Roman" w:hAnsi="Times New Roman"/>
          <w:sz w:val="18"/>
          <w:szCs w:val="18"/>
          <w:i w:val="1"/>
          <w:iCs w:val="1"/>
          <w:color w:val="000000"/>
        </w:rPr>
        <w:t>Item 1A:</w:t>
      </w:r>
      <w:r>
        <w:rPr>
          <w:rFonts w:ascii="Times New Roman" w:cs="Times New Roman" w:eastAsia="Times New Roman" w:hAnsi="Times New Roman"/>
          <w:sz w:val="18"/>
          <w:szCs w:val="18"/>
          <w:i w:val="1"/>
          <w:iCs w:val="1"/>
          <w:color w:val="222222"/>
        </w:rPr>
        <w:t xml:space="preserve"> </w:t>
      </w:r>
      <w:r>
        <w:rPr>
          <w:rFonts w:ascii="Times New Roman" w:cs="Times New Roman" w:eastAsia="Times New Roman" w:hAnsi="Times New Roman"/>
          <w:sz w:val="18"/>
          <w:szCs w:val="18"/>
          <w:i w:val="1"/>
          <w:iCs w:val="1"/>
          <w:color w:val="000000"/>
        </w:rPr>
        <w:t xml:space="preserve">Risk Factors </w:t>
      </w:r>
      <w:r>
        <w:rPr>
          <w:rFonts w:ascii="Times New Roman" w:cs="Times New Roman" w:eastAsia="Times New Roman" w:hAnsi="Times New Roman"/>
          <w:sz w:val="18"/>
          <w:szCs w:val="18"/>
          <w:i w:val="1"/>
          <w:iCs w:val="1"/>
          <w:color w:val="222222"/>
        </w:rPr>
        <w:t>included in this Annual Report</w:t>
      </w:r>
      <w:r>
        <w:rPr>
          <w:rFonts w:ascii="Times New Roman" w:cs="Times New Roman" w:eastAsia="Times New Roman" w:hAnsi="Times New Roman"/>
          <w:sz w:val="18"/>
          <w:szCs w:val="18"/>
          <w:i w:val="1"/>
          <w:iCs w:val="1"/>
          <w:color w:val="000000"/>
        </w:rPr>
        <w:t xml:space="preserve"> and other reports on file with the Securities and Exchange Commission</w:t>
      </w:r>
      <w:r>
        <w:rPr>
          <w:rFonts w:ascii="Times New Roman" w:cs="Times New Roman" w:eastAsia="Times New Roman" w:hAnsi="Times New Roman"/>
          <w:sz w:val="18"/>
          <w:szCs w:val="18"/>
          <w:i w:val="1"/>
          <w:iCs w:val="1"/>
          <w:color w:val="222222"/>
        </w:rPr>
        <w:t>. We undertake no obligation to update</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i w:val="1"/>
          <w:iCs w:val="1"/>
          <w:color w:val="222222"/>
        </w:rPr>
        <w:t>or revise any forward-looking statement, whether written or oral.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Documents we provide to the Securities and Exchange Commission (SEC) are available free of charge under the Investors section of our website at </w:t>
      </w:r>
      <w:r>
        <w:rPr>
          <w:rFonts w:ascii="Times New Roman" w:cs="Times New Roman" w:eastAsia="Times New Roman" w:hAnsi="Times New Roman"/>
          <w:sz w:val="18"/>
          <w:szCs w:val="18"/>
          <w:i w:val="1"/>
          <w:iCs w:val="1"/>
          <w:color w:val="auto"/>
        </w:rPr>
        <w:t xml:space="preserve">www.itron.com </w:t>
      </w:r>
      <w:r>
        <w:rPr>
          <w:rFonts w:ascii="Times New Roman" w:cs="Times New Roman" w:eastAsia="Times New Roman" w:hAnsi="Times New Roman"/>
          <w:sz w:val="18"/>
          <w:szCs w:val="18"/>
          <w:color w:val="auto"/>
        </w:rPr>
        <w:t>as soon as practicable after they are filed with or furnished to the SEC. In addition, these documents are available at the SEC's website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The information posted on or accessible through our website is not part of or incorporated by reference into this Annual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Itron is a global leader in energy and water management, smart city applications, Industrial Internet of Things (IIoT) and intelligent infrastructure and related services. For utilities and cities, we build innovative systems, create new efficiencies, connect communities, encourage conservation and increase resourcefulness by helping our customers make the most of the energy and water they manage. By safeguarding invaluable natural resources, we seek to improve the quality of life for people around the world.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Itron's proven platform enables smart networks, software, services, devices, and sensors to help our customers better manage their energy, water, and smart city operations. Our comprehensive offerings control, measure, monitor, and provide data analytics and services that enable utilities and municipalities to manage their critical resources responsibly and efficiently.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over 40 years of experience supporting utilities and cities in the management of their data and critical infrastructure needs, and we have continuously innovated to move the industry forward. Incorporated in 1977 with a focus on meter reading services and technology, we entered the electricity meter manufacturing business with the acquisition of Schlumberger Electricity Metering in 2004. In 2007, we expanded our presence in global meter manufacturing and systems with the acquisition of Actaris Metering Systems SA. In 2017, we completed our acquisition of </w:t>
      </w:r>
      <w:r>
        <w:rPr>
          <w:rFonts w:ascii="Times New Roman" w:cs="Times New Roman" w:eastAsia="Times New Roman" w:hAnsi="Times New Roman"/>
          <w:sz w:val="18"/>
          <w:szCs w:val="18"/>
          <w:color w:val="222222"/>
        </w:rPr>
        <w:t>Comverge,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e</w:t>
      </w:r>
      <w:r>
        <w:rPr>
          <w:rFonts w:ascii="Times New Roman" w:cs="Times New Roman" w:eastAsia="Times New Roman" w:hAnsi="Times New Roman"/>
          <w:sz w:val="18"/>
          <w:szCs w:val="18"/>
          <w:color w:val="000000"/>
        </w:rPr>
        <w:t>nabled us to offer integrated cloud-based demand response, energy efficiency, and customer engagement solutions. In 2018, we strengthened our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ability to deliver a broader set of solutions and to increase the pace of growth and innovation in the utility, smart city, and broader IIoT markets with the acquisition of Silver Spring Networks, Inc.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these acquisitions, organic growth, and our focus on innovation, Itron is leading the way to better decision making at the grid edge. By delivering more intelligence throughout the system, Itron helps utilities and cities operate more efficiently and with unparalleled flexibility, increase grid resilience and reliability, integrate renewables, and provide responsible energy and water management for the future.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move forward, we will continue to innovate and support open standards and interoperability with a flexible technology platform that enables our customers to meet their needs directly or via our ecosystem of partners. We support a worldwide network of connected devices and sensors, and we are focused on developing more applications, new opportunities, and value-added outcomes for our customers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discussion of our solutions, markets, and operating segments. Refer to Part II, Item 7: Management's Discussion and Analysis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and Results of Operations and Part II, Item 8: Financial Statements and Supplementary Data for specific segment results.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way the world manages energy and water will impact the future. At Itron, we are committed to creating a more resourceful world—one where energy, water, and city resources are managed safely, securely, and reliably, to help improve day-to-day life and promote the well-being of people around the world. We invent new ways for cities and utilities to work together so they can use data captured by our intelligent endpoints, sensors, and systems to cost-effectively leverage their infrastructure to deliver multiple services and applications on a reliable, intelligent platform capable of serving all their customers.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Itron helps our customers adapt to a rapidly changing world and to address a number of macro trends, including:</w:t>
      </w:r>
    </w:p>
    <w:p>
      <w:pPr>
        <w:spacing w:after="0" w:line="48" w:lineRule="exact"/>
        <w:rPr>
          <w:sz w:val="20"/>
          <w:szCs w:val="20"/>
          <w:color w:val="auto"/>
        </w:rPr>
      </w:pPr>
    </w:p>
    <w:p>
      <w:pPr>
        <w:ind w:left="660" w:hanging="328"/>
        <w:spacing w:after="0" w:line="236"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Infrastructure – </w:t>
      </w:r>
      <w:r>
        <w:rPr>
          <w:rFonts w:ascii="Times New Roman" w:cs="Times New Roman" w:eastAsia="Times New Roman" w:hAnsi="Times New Roman"/>
          <w:sz w:val="18"/>
          <w:szCs w:val="18"/>
          <w:color w:val="auto"/>
        </w:rPr>
        <w:t>such as aging utility infrastructure, grid security, safety, asset monitoring and management, and incorporating the proliferation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distributed energy resources, such as electric vehicles, renewable energy, and storage, into the grid,</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Environmental – </w:t>
      </w:r>
      <w:r>
        <w:rPr>
          <w:rFonts w:ascii="Times New Roman" w:cs="Times New Roman" w:eastAsia="Times New Roman" w:hAnsi="Times New Roman"/>
          <w:sz w:val="18"/>
          <w:szCs w:val="18"/>
          <w:color w:val="auto"/>
        </w:rPr>
        <w:t>such as extreme weather, resource scarcity, and demand for sustainability and decarbonization,</w:t>
      </w:r>
    </w:p>
    <w:p>
      <w:pPr>
        <w:spacing w:after="0" w:line="20" w:lineRule="exact"/>
        <w:rPr>
          <w:rFonts w:ascii="Arial" w:cs="Arial" w:eastAsia="Arial" w:hAnsi="Arial"/>
          <w:sz w:val="22"/>
          <w:szCs w:val="22"/>
          <w:color w:val="auto"/>
        </w:rPr>
      </w:pPr>
    </w:p>
    <w:p>
      <w:pPr>
        <w:ind w:left="660" w:right="20" w:hanging="328"/>
        <w:spacing w:after="0" w:line="246"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ocial –</w:t>
      </w:r>
      <w:r>
        <w:rPr>
          <w:rFonts w:ascii="Times New Roman" w:cs="Times New Roman" w:eastAsia="Times New Roman" w:hAnsi="Times New Roman"/>
          <w:sz w:val="18"/>
          <w:szCs w:val="18"/>
          <w:color w:val="auto"/>
        </w:rPr>
        <w:t xml:space="preserve"> such as enhanced customer experience, critical-need consumers, privacy, urbanization, population increase, and the management of "big data" and incorporating IIoT technology into their existing operations.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solutions include smart networks, software, services, devices, sensors, and data analytics upon a platform that allows our customers to not only address the changing macro trends listed above but also to address pressing industry challenges to better manage and control assets, intelligently benchmark, secure revenue, lower operational costs, improve customer service, develop new business models and revenue streams, improve safety, and enable efficient, sustainable management of valuable resources. Our comprehensive solutions and data analytics also help our customers address operational issues including increasing demand on resources, non-technical loss, leak detection, environmental and regulatory compliance, integrating renewable and distributed energy sources, and improving operational reliability.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solutions include technology, software, and services delivered as part of a standalone, one-time purchase or an end-to-end solution over multiple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portfolio includes hardware products used for:</w:t>
      </w:r>
    </w:p>
    <w:p>
      <w:pPr>
        <w:spacing w:after="0" w:line="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control, or sensing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endpoints and network infrastructure with embedded intelligence that is designed and sold as a complete solution to acquire and transport application-specific data</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automation - intelligent communication for the modern grid allowing secure, low and medium-voltage distribution-system automation and control</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distributed energy resource management (DERMs) to connect, analyze, and optimize distributed energy resources such as rooftop solar installations and electric vehicles, water operations and management, gas operations and safety applications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value-added services, software, and products that organize, analyze, and interpret data to gain insights, make decisions, and inform actions</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also offer managed services, Software-as-a-Service (SaaS), Network-as-a-Service (NaaS), technical support services, licensed hardware technology, and consulting services.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Drivers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Utilities and municipalities are experiencing rapid change related to affordability, reliability and sustainability, which is impacting how they operate critical infrastructure, manage scarce resources, address impacts of climate disruption, and interact with their customers. Efficiently managing resources within energy, water, and cities is a global priority, as increasing populations and resource consumption, along with extreme weather events, increase the stress on aging infrastructure. The growing demand for energy, water, and municipal services coupled with the proliferation of renewable energy sources, smart communicating devices, sensors, and multiple data-producing technologies, as well as the growing need to manage distributed energy resources, is forcing providers to rethink how they operate and service their cities. This evolution comes at a time when utilities and municipalities are challenged by cost constraints, regulatory requirements, environmental concerns, safety, and resource scarcity.</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address these challenges, utilities and cities are interested in technological innovations across a networked platform, utilizing grid edge intelligence as a key enabler to build and maintain critical infrastructure that can:</w:t>
      </w:r>
    </w:p>
    <w:p>
      <w:pPr>
        <w:spacing w:after="0" w:line="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efficiently and effectively operate energy and water systems that are safe, reliable, and resilient</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reduce the risk and impact of natural disasters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independently identify if repairs or maintenance are needed, and identify potential problems before they occur</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deliver enhanced, more customized services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accommodate next-generation services through shared infrastructure between utilities and cities/municipalities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provide actionable insights for asset management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Operating Segments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The following is a description of each of the three segments:</w:t>
      </w:r>
    </w:p>
    <w:p>
      <w:pPr>
        <w:spacing w:after="0" w:line="23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Device Solutions – </w:t>
      </w:r>
      <w:r>
        <w:rPr>
          <w:rFonts w:ascii="Times New Roman" w:cs="Times New Roman" w:eastAsia="Times New Roman" w:hAnsi="Times New Roman"/>
          <w:sz w:val="18"/>
          <w:szCs w:val="18"/>
          <w:color w:val="auto"/>
        </w:rPr>
        <w:t>This segment primarily includes hardware products used for measurement, control, or sensing. These products generally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communications capability or may be designed for use with non-Itron systems.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and designed to meet market requirements; and the implementation and installation of said hardware products.</w:t>
      </w:r>
    </w:p>
    <w:p>
      <w:pPr>
        <w:spacing w:after="0" w:line="21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Networked Solutions – </w:t>
      </w:r>
      <w:r>
        <w:rPr>
          <w:rFonts w:ascii="Times New Roman" w:cs="Times New Roman" w:eastAsia="Times New Roman" w:hAnsi="Times New Roman"/>
          <w:sz w:val="18"/>
          <w:szCs w:val="18"/>
          <w:color w:val="auto"/>
        </w:rPr>
        <w:t>This segment primarily includes a combination of communicating devices (e.g., smart meters, modules, endpoints,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sensors), network infrastructure, and associated head-end management and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for electricity, water and gas; distributed energy resource management (DERMs); smart grid and distribution automation; smart street lighting; and leak detection and applications for both gas and water systems. Our IIoT platform allows utility and smart city applications to be run and managed on a flexible multi-purpose network.</w:t>
      </w:r>
    </w:p>
    <w:p>
      <w:pPr>
        <w:spacing w:after="0" w:line="196" w:lineRule="exact"/>
        <w:rPr>
          <w:sz w:val="20"/>
          <w:szCs w:val="20"/>
          <w:color w:val="auto"/>
        </w:rPr>
      </w:pPr>
    </w:p>
    <w:p>
      <w:pPr>
        <w:jc w:val="both"/>
        <w:ind w:left="340"/>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Outcomes – </w:t>
      </w:r>
      <w:r>
        <w:rPr>
          <w:rFonts w:ascii="Times New Roman" w:cs="Times New Roman" w:eastAsia="Times New Roman" w:hAnsi="Times New Roman"/>
          <w:sz w:val="18"/>
          <w:szCs w:val="18"/>
          <w:color w:val="auto"/>
        </w:rPr>
        <w:t>This segment primarily includes our value-added, enhanced software and services, artificial intelligence, and machine learning in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enable grid edge intelligence and manage, organize, analyze, and interpret raw, anonymized data to improve decision making, maximize operational profitability, enhance resource efficiency, improve grid analytics, and deliver results for consumers, utilities, and smart cities.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Bookings and Backlog of Orders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reflects our understanding of customer's desired deployment over the next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12 months. The actual revenue recognized and timing of revenue earned from backlog may vary based on actual currency rates at the time of shipment, availability of critical supply components, and adjusted customer project timing. Backlog is not a complete measure of our future revenues as we also receive book-and-ship orders and frame contracts. Bookings and backlog vary from period to period primarily due to the timing of large project awards. In addition, annual or multi-year contracts are subject to rescheduling due to the long-term nature of the contracts. Certain of our customers have the right to cancel contracts, but we do not have a history of any significant cancellations. Beginning total backlog, plus bookings, minus revenues, will not equal ending total backlog due to miscellaneous contract adjustments, foreign currency fluctuations, and other factors. Total bookings and backlog include certain contracts with a termination for convenience clause, which will not agree to the total transaction price allocated to the remaining performance obligations disclosed in Part II, Item 8: Financial Statements and Supplementary Data, Note 17: Revenues.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Total Bookings </w:t>
            </w:r>
            <w:r>
              <w:rPr>
                <w:rFonts w:ascii="Times New Roman" w:cs="Times New Roman" w:eastAsia="Times New Roman" w:hAnsi="Times New Roman"/>
                <w:sz w:val="21"/>
                <w:szCs w:val="21"/>
                <w:b w:val="1"/>
                <w:bCs w:val="1"/>
                <w:color w:val="auto"/>
                <w:vertAlign w:val="superscript"/>
              </w:rPr>
              <w:t>(a)</w:t>
            </w: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 Backlog</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12-Month Backlog</w:t>
            </w:r>
          </w:p>
        </w:tc>
      </w:tr>
      <w:tr>
        <w:trPr>
          <w:trHeight w:val="208"/>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8"/>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1700" w:type="dxa"/>
            <w:vAlign w:val="bottom"/>
            <w:shd w:val="clear" w:color="auto" w:fill="CCEEFF"/>
          </w:tcPr>
          <w:p>
            <w:pPr>
              <w:jc w:val="right"/>
              <w:ind w:right="15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r>
      <w:tr>
        <w:trPr>
          <w:trHeight w:val="216"/>
        </w:trPr>
        <w:tc>
          <w:tcPr>
            <w:tcW w:w="44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September 30, 2023 </w:t>
            </w:r>
            <w:r>
              <w:rPr>
                <w:rFonts w:ascii="Times New Roman" w:cs="Times New Roman" w:eastAsia="Times New Roman" w:hAnsi="Times New Roman"/>
                <w:sz w:val="21"/>
                <w:szCs w:val="21"/>
                <w:color w:val="auto"/>
                <w:vertAlign w:val="superscript"/>
              </w:rPr>
              <w:t>(b)</w:t>
            </w:r>
          </w:p>
        </w:tc>
        <w:tc>
          <w:tcPr>
            <w:tcW w:w="17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r>
      <w:tr>
        <w:trPr>
          <w:trHeight w:val="216"/>
        </w:trPr>
        <w:tc>
          <w:tcPr>
            <w:tcW w:w="446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June 30, 2023 </w:t>
            </w:r>
            <w:r>
              <w:rPr>
                <w:rFonts w:ascii="Times New Roman" w:cs="Times New Roman" w:eastAsia="Times New Roman" w:hAnsi="Times New Roman"/>
                <w:sz w:val="21"/>
                <w:szCs w:val="21"/>
                <w:color w:val="auto"/>
                <w:vertAlign w:val="superscript"/>
              </w:rPr>
              <w:t>(b)</w:t>
            </w:r>
          </w:p>
        </w:tc>
        <w:tc>
          <w:tcPr>
            <w:tcW w:w="17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r>
      <w:tr>
        <w:trPr>
          <w:trHeight w:val="216"/>
        </w:trPr>
        <w:tc>
          <w:tcPr>
            <w:tcW w:w="44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March 31, 2023 </w:t>
            </w:r>
            <w:r>
              <w:rPr>
                <w:rFonts w:ascii="Times New Roman" w:cs="Times New Roman" w:eastAsia="Times New Roman" w:hAnsi="Times New Roman"/>
                <w:sz w:val="21"/>
                <w:szCs w:val="21"/>
                <w:color w:val="auto"/>
                <w:vertAlign w:val="superscript"/>
              </w:rPr>
              <w:t>(b)</w:t>
            </w:r>
          </w:p>
        </w:tc>
        <w:tc>
          <w:tcPr>
            <w:tcW w:w="17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w:t>
            </w:r>
          </w:p>
        </w:tc>
      </w:tr>
      <w:tr>
        <w:trPr>
          <w:trHeight w:val="216"/>
        </w:trPr>
        <w:tc>
          <w:tcPr>
            <w:tcW w:w="44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December 31, 2022 </w:t>
            </w:r>
            <w:r>
              <w:rPr>
                <w:rFonts w:ascii="Times New Roman" w:cs="Times New Roman" w:eastAsia="Times New Roman" w:hAnsi="Times New Roman"/>
                <w:sz w:val="21"/>
                <w:szCs w:val="21"/>
                <w:color w:val="auto"/>
                <w:vertAlign w:val="superscript"/>
              </w:rPr>
              <w:t>(b)</w:t>
            </w:r>
          </w:p>
        </w:tc>
        <w:tc>
          <w:tcPr>
            <w:tcW w:w="17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r>
      <w:tr>
        <w:trPr>
          <w:trHeight w:val="281"/>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December 31, 2021 </w:t>
            </w:r>
            <w:r>
              <w:rPr>
                <w:rFonts w:ascii="Times New Roman" w:cs="Times New Roman" w:eastAsia="Times New Roman" w:hAnsi="Times New Roman"/>
                <w:sz w:val="21"/>
                <w:szCs w:val="21"/>
                <w:color w:val="auto"/>
                <w:vertAlign w:val="superscript"/>
              </w:rPr>
              <w:t>(b) (c)</w:t>
            </w:r>
          </w:p>
        </w:tc>
        <w:tc>
          <w:tcPr>
            <w:tcW w:w="17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w:t>
            </w:r>
          </w:p>
        </w:tc>
      </w:tr>
    </w:tbl>
    <w:p>
      <w:pPr>
        <w:ind w:left="160" w:hanging="152"/>
        <w:spacing w:after="0" w:line="236" w:lineRule="auto"/>
        <w:tabs>
          <w:tab w:leader="none" w:pos="16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Total bookings reflect a year to date value for December periods, and a quarter to date value for September, June, and March periods.</w:t>
      </w:r>
    </w:p>
    <w:p>
      <w:pPr>
        <w:spacing w:after="0" w:line="86" w:lineRule="exact"/>
        <w:rPr>
          <w:rFonts w:ascii="Times New Roman" w:cs="Times New Roman" w:eastAsia="Times New Roman" w:hAnsi="Times New Roman"/>
          <w:sz w:val="20"/>
          <w:szCs w:val="20"/>
          <w:color w:val="auto"/>
          <w:vertAlign w:val="superscript"/>
        </w:rPr>
      </w:pPr>
    </w:p>
    <w:p>
      <w:pPr>
        <w:jc w:val="both"/>
        <w:ind w:firstLine="8"/>
        <w:spacing w:after="0" w:line="374" w:lineRule="auto"/>
        <w:tabs>
          <w:tab w:leader="none" w:pos="162"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ending total backlog balances for September 30, 2023, June 30, 2023, March 31, 2023, December 31, 2022, and December 31, 2021 have been adjusted from previously reported amounts. During the fourth quarter of 2023, we determined that $96 million related to a portion of one customer contract had been improperly included within our backlog balance since the third quarter of 2020. This adjustment did not impact amounts reported for 12-month backlog in 2023, 2022, or 2021, as the related revenue was not expected within that time frame.</w:t>
      </w:r>
    </w:p>
    <w:p>
      <w:pPr>
        <w:spacing w:after="0" w:line="12" w:lineRule="exact"/>
        <w:rPr>
          <w:rFonts w:ascii="Times New Roman" w:cs="Times New Roman" w:eastAsia="Times New Roman" w:hAnsi="Times New Roman"/>
          <w:sz w:val="19"/>
          <w:szCs w:val="19"/>
          <w:color w:val="auto"/>
          <w:vertAlign w:val="superscript"/>
        </w:rPr>
      </w:pPr>
    </w:p>
    <w:p>
      <w:pPr>
        <w:jc w:val="both"/>
        <w:ind w:firstLine="8"/>
        <w:spacing w:after="0" w:line="231" w:lineRule="auto"/>
        <w:tabs>
          <w:tab w:leader="none" w:pos="164"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total backlog, as of December 31, 2021, included $64.7 million of backlog related to the sale of certain Gas product lines from our Device Solutions manufacturing and business operations in Europe and North America to Dresser Utility Solutions (Dresser). At transaction close on February 28, 2022, $55.7 million of this backlog was transferred to Dresser. For more information on the transaction refer to Part II, Item 8: Financial Statements and Supplementary Data, Note 18: Sale of Businesses.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Distribution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a combination of direct and indirect sales channels to serve our customers. A direct sales force is utilized for larger utility customers, with which we have long-established relationships. This direct sales force is focused on solution selling, solving problems and business challenges, and delivering valuable outcomes to our utility and smart city customers. For smaller utilities and most municipalities, we typically use an indirect sales channel that extends the reach of Itron's solutions by providing trusted partners with the right tools, training, and technology to grow their business, deliver results, and help these customers better manage energy and water. These channels consist of distributors, agents, partners, and meter manufacturer representatives.</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single customer represented more than 10% of total revenues for the years ended December 31, 2023, 2022, and 2021. Our 10 largest customers in each of the years ended December 31, 2023, 2022, and 2021, accounted for approximately 36%, 32%, and 25% of total revenues.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products require a wide variety of components and materials, which are subject to price and supply fluctuations. We enter into typical contracts in the ordinary course of business, which can include purchase orders for specific quantities based on market prices, as well as open-ended agreements that provide for estimated quantities over an extended shipment period, typically up to one year at an established unit cost. Although we have multiple sources of supply for many of our material requirements, certain components and raw materials are supplied by limited or sole-source vendors, and our ability to perform certain contracts depends on the availability of these materials. Refer to Item 1A: Risk Factors for further discussion related to manufacturing and supply risks.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manufacturing facilities are located throughout the world, an overview of which is presented in Item 2: Properties. While we manufacture and assemble a portion of our products, we outsource the manufacturing of many products and sub-assemblies to various manufacturing partners and strive to create an efficient and cost-effective structure. This approach allows us to reduce the costs related to our manufacturing overhead and inventory and allows us to adjust more quickly to changing customer demand. These manufacturing partners produce our sub-assemblies and products using design specifications, quality assurance programs, and standards that we establish and procure components and assemble our products based on demand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forecasts. These forecasts represent our estimates of future demand for our products based upon historical trends and analysis from our sales and product management functions, as adjusted for overall market conditions.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delivering solutions and systems to our customers, we frequently partner with third-party vendors to provide hardware, software, or services, e.g., meter installation and communication network equipment and infrastructure. Due to the interoperable, open-standards based nature of our platform, we have also cultivated a highly diverse and growing ecosystem of partners and third-party developers who can create complementary solutions for our customers that run on the same network and within the same platform framework.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perform on our contractual obligations with our customers is dependent on these partners meeting their obligations to us. Refer to Item 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 for further discussion related to third-party vendors and strategic partners.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research and development is focused on both improving existing technology and developing innovative new technology for critical infrastructure in electricity, natural gas, water, heat, smart city, and DERMs verticals. This includes endpoints, sensing and control devices, data collection software, communication technologies, data warehousing, software applications, and the IIoT. We invested approximately $209 million, $185 million, and $197 million in research and development in 2023, 2022 and 2021, which represented 10% of total revenues for 2023, 2022, and 2021. Refer to Item 1A: Risk Factors for further discussion related to costs of developing competitive products and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December 31, 2023, we had 5,859 people in our workforce, including 5,081 permanent employees. We have not experienced significant employee work stoppages and our employee relations are deemed to be good.</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an equal opportunity employer, and we promote a culture of inclusion and diversity. We monitor our progress through various programs and policies. We offer wages and a range of company-paid benefits we believe are competitive with other companies in our industry and in the markets we serve.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the breakdown of our employees by region and self-identified gender:</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16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6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Not Disclosed</w:t>
            </w:r>
          </w:p>
        </w:tc>
        <w:tc>
          <w:tcPr>
            <w:tcW w:w="172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Total Number of</w:t>
            </w:r>
          </w:p>
        </w:tc>
        <w:tc>
          <w:tcPr>
            <w:tcW w:w="100" w:type="dxa"/>
            <w:vAlign w:val="bottom"/>
          </w:tcPr>
          <w:p>
            <w:pPr>
              <w:spacing w:after="0"/>
              <w:rPr>
                <w:sz w:val="14"/>
                <w:szCs w:val="14"/>
                <w:color w:val="auto"/>
              </w:rPr>
            </w:pPr>
          </w:p>
        </w:tc>
        <w:tc>
          <w:tcPr>
            <w:tcW w:w="190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Percentage of Total</w:t>
            </w:r>
          </w:p>
        </w:tc>
        <w:tc>
          <w:tcPr>
            <w:tcW w:w="0" w:type="dxa"/>
            <w:vAlign w:val="bottom"/>
          </w:tcPr>
          <w:p>
            <w:pPr>
              <w:spacing w:after="0"/>
              <w:rPr>
                <w:sz w:val="1"/>
                <w:szCs w:val="1"/>
                <w:color w:val="auto"/>
              </w:rPr>
            </w:pPr>
          </w:p>
        </w:tc>
      </w:tr>
      <w:tr>
        <w:trPr>
          <w:trHeight w:val="243"/>
        </w:trPr>
        <w:tc>
          <w:tcPr>
            <w:tcW w:w="2500" w:type="dxa"/>
            <w:vAlign w:val="bottom"/>
            <w:vMerge w:val="continue"/>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1820" w:type="dxa"/>
            <w:vAlign w:val="bottom"/>
            <w:gridSpan w:val="2"/>
            <w:vMerge w:val="continue"/>
          </w:tcPr>
          <w:p>
            <w:pPr>
              <w:spacing w:after="0"/>
              <w:rPr>
                <w:sz w:val="21"/>
                <w:szCs w:val="21"/>
                <w:color w:val="auto"/>
              </w:rPr>
            </w:pP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100" w:type="dxa"/>
            <w:vAlign w:val="bottom"/>
          </w:tcPr>
          <w:p>
            <w:pPr>
              <w:spacing w:after="0"/>
              <w:rPr>
                <w:sz w:val="21"/>
                <w:szCs w:val="21"/>
                <w:color w:val="auto"/>
              </w:rPr>
            </w:pP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0" w:type="dxa"/>
            <w:vAlign w:val="bottom"/>
          </w:tcPr>
          <w:p>
            <w:pPr>
              <w:spacing w:after="0"/>
              <w:rPr>
                <w:sz w:val="1"/>
                <w:szCs w:val="1"/>
                <w:color w:val="auto"/>
              </w:rPr>
            </w:pP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 &amp; Other</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These numbers do not include contingent workers (778 as of December 31,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enable utilities and cities to safely, securely, and reliably deliver critical infrastructure services to communities around the world. Our portfolio of smart networks, software, services, meters, and sensors help our customers better manage energy, water, and city infrastructure resources for the people they serve. Consequently, we operate within a large and complex competitive landscape, and our competitors range from small companies to large global entities. Some of our competitors have diversified product portfolios and participate in multiple geographic markets, while others focus on specific regional markets and/or certain types of products, including some low-cost suppliers of devices based in Asia. Our primary competitors include LM Ericsson Telephone Company, Landis+Gyr, Mueller Water Products, and Xylem, Inc.</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competitive advantage is based on our in-depth knowledge of the industries we serve, our capacity to innovate, and our ability to provide complete end-to-end integrated solutions at scale. We also differentiate ourselves with an intelligent IIoT platform that is solution, device, and transport agnostic—a platform that can be backwards compatible, able to run a multitude of applications and solutions, is highly secure, fully integrated into our portfolio, highly interoperable, captures relays, and leverages high-resolution data for near real-time decision making. The platform involves an ever-growing, diverse ecosystem of partners and third-party developers who can create and deploy specific point solutions creating greater value for our customers.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1A: Risk Factors for a discussion of the competitive pressures we face.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Alliances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pursue strategic alliances with other companies in areas where collaboration can produce product advancement and acceleration of entry into new markets. The objectives and goals of a strategic alliance can include one or more of the following: technology exchange, research and development, joint sales and marketing, or access to new geographic markets. Refer to Item 1A: Risk Factors for a discussion of risks associated with strategic alliances.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patents and patent applications cover a range of technologies that relate to standard metering, smart metering solutions and technology, meter data management software, knowledge application solutions, and IIoT. We also rely on a combination of copyrights, trademarks, and trade secrets to protect our products and technologies. Disputes over the ownership, registration, and enforcement of intellectual property rights arise in the ordinary course of our business. While we believe patents and trademarks are important to our operations and, in aggregate, constitute valuable assets, no single patent or trademark, or group of patents or trademarks, is critical to the success of our business. We license some of our technology to other companies, some of which are our competitors.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Governmental Regulations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are impacted by many governmental regulations, including environmental regulations. We believe that we are materially in compliance with all federal, state, and local governmental laws, rules, and regulations applicable to the operation of our business. There are no known regulations pending that will have a substantial adverse impact on our business, revenue, earnings, or cash flows. However, if new or amended laws or regulations impose significant operational restrictions and compliance requirements upon the Company or its products, the Company's business, capital expenditures, results of operations, financial condition and competitive position could be altered.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names, ages, and titles of our executive officers as of February 26, 2024.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L. Deitrich</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top w:val="single" w:sz="8" w:color="CCEEFF"/>
            </w:tcBorders>
            <w:shd w:val="clear" w:color="auto" w:fill="CCEEFF"/>
          </w:tcPr>
          <w:p>
            <w:pPr>
              <w:spacing w:after="0"/>
              <w:rPr>
                <w:sz w:val="19"/>
                <w:szCs w:val="19"/>
                <w:color w:val="auto"/>
              </w:rPr>
            </w:pPr>
          </w:p>
        </w:tc>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Joan S. Hooper</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2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Laurie A. Hahn</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Human Resources</w:t>
            </w: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Justin K. Patrick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Device Solutions</w:t>
            </w:r>
          </w:p>
        </w:tc>
      </w:tr>
      <w:tr>
        <w:trPr>
          <w:trHeight w:val="23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F. Marcolini</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Networked Solutions</w:t>
            </w: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Donald L. Reeves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Outcomes</w:t>
            </w:r>
          </w:p>
        </w:tc>
      </w:tr>
      <w:tr>
        <w:trPr>
          <w:trHeight w:val="22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E. Ware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bl>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Thomas L. Deitrich </w:t>
      </w:r>
      <w:r>
        <w:rPr>
          <w:rFonts w:ascii="Times New Roman" w:cs="Times New Roman" w:eastAsia="Times New Roman" w:hAnsi="Times New Roman"/>
          <w:sz w:val="18"/>
          <w:szCs w:val="18"/>
          <w:color w:val="auto"/>
        </w:rPr>
        <w:t>is President and Chief Executive Officer and a member of our Board of Directors. Mr. Deitrich was appointed to his current 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the Board of Directors in August 2019. Mr. Deitrich joined Itron in October 2015, serving as Itron's Executive Vice President and Chief Operating Officer until his promotion to CEO. From 2012 to September 2015, Mr. Deitrich was Senior Vice President and General Manager for Digital Networking at Freescale Semiconductor, Inc. (Freescale), and he served as the Senior Vice President and General Manager of Freescale's RF, Analog, Sensor, and Cellular Products Group from 2009 to 2012. Mr. Deitrich had other roles of increasing responsibility at Freescale from 2006 to 2009. Prior to Freescale, Mr. Deitrich worked for Flextronics, Sony-Ericsson/Ericsson, and GE. Mr. Deitrich is a director of ON Semiconductor Corporation, a NASDAQ listed company.</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Joan S. Hooper </w:t>
      </w:r>
      <w:r>
        <w:rPr>
          <w:rFonts w:ascii="Times New Roman" w:cs="Times New Roman" w:eastAsia="Times New Roman" w:hAnsi="Times New Roman"/>
          <w:sz w:val="18"/>
          <w:szCs w:val="18"/>
          <w:color w:val="auto"/>
        </w:rPr>
        <w:t>is Senior Vice President and Chief Financial Officer. Ms. Hooper was appointed to this role in June 2017. Prior to joining Itron, 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Hooper was Chief Financial Officer of CHC Helicopter from 2011 to July 2015. Following Ms. Hooper's departure from CHC, CHC filed a voluntary petition of relief under Chapter 11 of the U.S. Bankruptcy Code in May 2016, and CHC emerged from bankruptcy in March 2017. Prior to CHC, she held several executive finance positions at Dell, Inc. from 2003 to 2010, including Vice President and Chief Financial Officer for its Global Public and Americas business units, Vice President of Corporate Finance and Chief Accounting Officer.</w:t>
      </w:r>
    </w:p>
    <w:p>
      <w:pPr>
        <w:spacing w:after="0" w:line="19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Laurie A. Hahn </w:t>
      </w:r>
      <w:r>
        <w:rPr>
          <w:rFonts w:ascii="Times New Roman" w:cs="Times New Roman" w:eastAsia="Times New Roman" w:hAnsi="Times New Roman"/>
          <w:sz w:val="18"/>
          <w:szCs w:val="18"/>
          <w:color w:val="auto"/>
        </w:rPr>
        <w:t>is Senior Vice President, Human Resources. Ms. Hahn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101820"/>
        </w:rPr>
        <w:t>has more than 30 years of experience as a senior human resource professional. 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101820"/>
        </w:rPr>
        <w:t>Hahn was promoted to this role in April 2023. In this role, Ms. Hahn is responsible for Itron's HR operations, in-business HR, talent acquisition, compensation and benefits, inclusion and diversity, learning and development, and health, safety, and environment functions. Ms. Hahn joined Itron in February 2016 and has served in several in-business HR positions. Prior to joining Itron, Ms. Hahn held multiple global HR leadership positions with Motorola and Freescale Semiconductor. Ms. Hahn holds a BA in English and a Masters in Instructional Design, both from The University of Texas. Ms. Hahn is a member of the Chancellor's Counsel at the University of Texas, which advocates for higher education and health care.</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Justin K. Patrick </w:t>
      </w:r>
      <w:r>
        <w:rPr>
          <w:rFonts w:ascii="Times New Roman" w:cs="Times New Roman" w:eastAsia="Times New Roman" w:hAnsi="Times New Roman"/>
          <w:sz w:val="18"/>
          <w:szCs w:val="18"/>
          <w:color w:val="auto"/>
        </w:rPr>
        <w:t>is Senior Vice President, Device Solutions, where he is responsible for Itron's strategy to become a leading global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safety, and operational devices for utilities and cities. Mr. Patrick joined Itron in January 2020. From 2018 to 2020, Mr. Patrick was Vice President &amp; General Manager, Residential Products at Johnson Controls International (JCI). Before that role, he was Vice President &amp; General Manager, Variable Refrigerant Flow Systems and Ductless from 2014 to 2017, and Director, Channel Strategy and Marketing from 2010 to 2014 at JCI. Prior to his time at JCI, Mr. Patrick held a sales leadership role at the Auer Steel and Heating Supply Company, and at Carrier Corporation he had roles of increasing responsibility culminating in general management. Prior to his civilian career, Mr. Patrick served as a Surface Warfare Officer in the United States Navy.</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John F. Marcolini </w:t>
      </w:r>
      <w:r>
        <w:rPr>
          <w:rFonts w:ascii="Times New Roman" w:cs="Times New Roman" w:eastAsia="Times New Roman" w:hAnsi="Times New Roman"/>
          <w:sz w:val="18"/>
          <w:szCs w:val="18"/>
          <w:color w:val="auto"/>
        </w:rPr>
        <w:t>is Senior Vice President, Networked Solutions, where he is responsible for product development, marketing, and overall strategy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Itron's global networking platforms and smart cities strategy and solutions. Mr. Marcolini was appointed to this role in July 2020. Mr. Marcolini joined Itron in January 2018 as part of Itron's acquisition of SSNI as the Vice President of product management, responsible for product strategy and lifecycle management across Itron's smart energy, smart city and IIoT portfolios. He has more than 20 years of product management, business development, and customer delivery experience with deep technical knowledge of networking, radio frequency technologies, and IIoT. Mr. Marcolini has also spent many years working with utility customers to deliver and implement complex product deployments.</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Donald L. Reeves </w:t>
      </w:r>
      <w:r>
        <w:rPr>
          <w:rFonts w:ascii="Times New Roman" w:cs="Times New Roman" w:eastAsia="Times New Roman" w:hAnsi="Times New Roman"/>
          <w:sz w:val="18"/>
          <w:szCs w:val="18"/>
          <w:color w:val="auto"/>
        </w:rPr>
        <w:t>is Senior Vice President, Outcomes, where he is responsible for Itron's software and services offerings, delivery teams, managed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operations, and customer support. Mr. Reeves was appointed to this role in September 2019. Mr. Reeves joined Itron in January 2018 as part of Itron's acquisition of SSNI, and, from 2016 to 2018, he was SSNI's Chief</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Technology Officer. From 2005 to 2016, Mr. Reeves held several managed services and engineering positions at SSNI. Prior to joining SSNI, Mr. Reeves served as Vice President of Engineering at Black Pearl from 2003 to 2004 and was Vice President of Engineering at Commerce One from 2001 to 2003, and prior to that held leadership positions at several startup technology companies.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Christopher E. Ware </w:t>
      </w:r>
      <w:r>
        <w:rPr>
          <w:rFonts w:ascii="Times New Roman" w:cs="Times New Roman" w:eastAsia="Times New Roman" w:hAnsi="Times New Roman"/>
          <w:sz w:val="18"/>
          <w:szCs w:val="18"/>
          <w:color w:val="auto"/>
        </w:rPr>
        <w:t>is Senior Vice President, General Counsel and Corporate Secretary. Mr. Ware has more than 25 years of experience as a senior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 and business executive. He joined Itron in March 2021 as Associate General Counsel and Chief Compliance Officer. In March 2022, he was promoted to Vice President, Legal and Corporate Secretary and then to Senior Vice President in March 2023. He is responsible for Itron's corporate governance, business legal solutions, compliance and litigation and intellectual property development and protection. Before joining Itron, Mr. Ware served as Executive Director and General Manager - Parts at Johnson Controls International (JCI) from 2018 to 2021. Before that position, Mr. Ware occupied numerous senior legal roles within JCI from 2011 to 2018. He also held roles in the U.S. Attorney's Office, Department of Justice, and several private law firms.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Industry Risks</w:t>
      </w:r>
    </w:p>
    <w:p>
      <w:pPr>
        <w:spacing w:after="0" w:line="25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primary customers are within the utility industry, which has exhibited lengthy sales cycles and irregular capital spending patterns, each of which could cause our operating results to fluctuate significantly.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the majority of our revenues from sales of products and services to utilities. Purchases of our products may be deferred as a result of many factors, including economic downturns, slowdowns in new residential and commercial construction, customers' access to capital, the timing and availability of government subsidies or other incentives, utility specific financial circumstances, mergers and acquisitions, regulatory decisions, weather conditions, climate disruption, and fluctuating interest rates. We have experienced, and may in the future experience, variability in operating results on an annual and a quarterly basis as a result of these factors.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industries in which we sell our products and services, in particular the utility industry, are subject to substantial government regulation. For example, regulations have often influenced the frequency of customer meter replacements. Sales cycles for our standalone meter products have typically been based on annual or biennial bid-based agreements. Utilities place purchase orders against these agreements as their inventories decline, which can create fluctuations in our sales volumes.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cycles for smart metering solutions are generally long and unpredictable due to several factors, including budgeting, purchasing, and regulatory approval processes that can take several years to complete. Our utility customers typically issue requests for quotes and proposals, establish evaluation processes, review different technical options with vendors, analyze performance and cost/benefit justifications, and perform a regulatory review, in addition to applying the normal budget approval process. Today, governments around the world are implementing new laws and regulations to promote increased energy efficiency, slow or reverse growth in the consumption of scarce resources, reduce carbon dioxide emissions, and protect the environment. Many legislative and regulatory initiatives encourage utilities to develop a smart grid infrastructure, and some of these initiatives provide for government subsidies, grants, or other incentives to utilities and other participants in their industry to promote transition to smart grid technologies. If government regulations regarding the smart grid and smart metering are delayed, revised to permit lower or different investment levels in metering infrastructure, or terminated altogether, this could have a material adverse effect on our results of operation, cash flow, and financial condition.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must continually shift and adapt our products and services mix, which requires substantial judgment and investment.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market is characterized by increasing complexity driven by evolving technology, increased regulatory pressures, and the emergence of new competitive products, all of which impact the way our products and services are designed, developed, marketed, and delivered. The shift in, and increasing complexity of, our products and services mix involves judgment and entails risks. In order to successfully design and develop more complex offerings, we must anticipate the right products, solutions, and technologies to meet estimated market demands. These estimates may prove wrong. Additionally, our complex offerings may contain defects when they are first introduced; their release may be delayed due to unforeseen difficulties during product and service design and development; or they may have reliability, quality, or compatibility problems. We may not be able to successfully design workarounds. Any shift in, or increased complexity of, our products and services mix may not be easily understood or adopted by our current or future customers, who may be reluctant to buy, or may delay purchases of, our products and services.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our evolving products and services mix could cause us to incur substantial additional costs if we need to materially improve our manufacturing infrastructure, develop new systems to deliver our services, or fundamentally change the way in which we deliver services. Also, if one of our new offerings were competitive to our prior offerings and represented an adequate or superior alternative, customers could decide to abandon prior offerings that produce higher revenue or better margins than the new offering. Therefore, the adaptation to new technologies or standards or the development and launch of new products or services could result in lower revenue, lower margins, and/or higher costs, which could unfavorably impact our financial performance.</w:t>
      </w:r>
    </w:p>
    <w:p>
      <w:pPr>
        <w:spacing w:after="0" w:line="21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Delays in the availability of or shortages in raw materials and component parts used in the manufacture of our products, as well as freight, labor, regulatory compliance, and other ancillary cost increases, could unfavorably impact our revenues and results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impacted by the availability and prices of raw materials and component parts used in the manufacturing process of our products. Raw materials include purchased castings made of metal or alloys (such as brass, which uses copper as its main component, aluminum, stainless steel and cast iron), plastic resins, glass, and other electronic components, such as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microprocessors and semiconductors. There are multiple sources for these raw materials and components, but we sometimes rely on single suppliers for certain of these materials. Our inability to obtain adequate supplies of raw materials and component parts at favorable prices could have a material adverse effect on our business, financial condition, or results of operations, including reduced revenue, lower profit margins, and delays in deliveries to customers, which could result in damages or penalties to be paid under the terms of certain of our customer contracts. Since we do not control the production of these raw materials and component parts, there may be delays caused by an interruption in the production or transportation of these materials for reasons that are beyond our control. World commodity markets, inflation, tariffs, or embargoes may also affect the availability or prices of raw materials or component parts. In addition, there is potential for increased costs on materials to comply with global regulations and other regional requirements. Recently, inflation in our raw materials and component costs, freight charges, and labor costs have increased above historical levels, due to, among other things, the continuing impacts of the pandemic and the uncertain economic environment. Certain customer arrangements within our backlog may include previously committed pricing, and we may or may not be able to fully recover increased costs through pricing actions with these customers.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operations may be adversely impacted if key vendors, strategic partners, and other third parties fail to perform.</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of our products, subassemblies, and system components, including most of our circuit boards, are procured from limited or sole sources. We could experience operational difficulties with these sources, including reductions in the availability of production capacity, errors in complying with product specifications, insufficient quality control, failures to meet production deadlines, increases in manufacturing costs, vendors' access to capital, and increased lead times. Additionally, our manufacturers may experience disruptions in their manufacturing operations due to equipment breakdowns, labor strikes or shortages, natural disasters and pandemics, component or material shortages, cybersecurity events (such as ransomware), cost increases, or other similar problems. Further, to minimize their inventory risk, our manufacturers may not order components from third-party suppliers with adequate lead time, thereby impacting our ability to meet our demand forecast. If we fail to manage our relationship with our manufacturers effectively, or if they experience operational difficulties, our ability to ship products to our customers and distributors could be impaired, and our competitive position and reputation could be harmed. If we receive shipments of products that fail to comply with our technical specifications, which have been compromised in some manner (specifically integrated circuit chips), or that fail to conform to our quality control standards, and if we are not able to obtain replacement products in a timely manner, we risk revenue losses from the inability to sell those products, increased administrative and shipping costs, and lower profitability. Additionally, if defects are not discovered until after consumers take delivery of our products, those customers could lose confidence in the technical attributes of our products, and our business could be harmed. Although arrangements with these partners may contain provisions for warranty expense reimbursement, we may remain responsible to the customer for warranty service in the event of product defects and could experience an unanticipated product defect or warranty liability. While we rely on partners to adhere to our supplier code of conduct, material violations of the supplier code of conduct could occur.</w:t>
      </w:r>
    </w:p>
    <w:p>
      <w:pPr>
        <w:spacing w:after="0" w:line="2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have been and could continue to be affected by ongoing global economic impacts, and such impacts could continue to have an adverse effect on our business operations, results of operations, cash flows, and financial condition.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Adverse economic or market conditions, and perceptions or expectations about current or future conditions, such as inflation, rising interest rates, fluctuations in foreign currency exchange rates, recessions, economic sanctions, natural disasters, epidemics or pandemics, political instability, wars, including the conflicts in Ukraine and Israel, are beyond our control and could negatively affect our business and financial condition. These economic conditions and global events have caused, and may in the future cause, disruptions and volatility in global financial markets, create disruption in customer demand and global supply chains, increase delinquency rates and write offs of customer accounting receivable and other unforeseen consequences. While recently improving from 2022 levels, our ability to obtain adequate supply of semiconductor components has impacted our ability to service customer demand in a timely manner. The temporary imbalance in supply and demand creates business uncertainties that include costs and availability. Efforts continue with suppliers to improve supply resiliency, including the approval of alternate sources. Recently, inflation in our raw materials and component costs, freight charges, and labor costs have increased above historical levels, due to, among other things, the continuing impacts of the uncertain economic environment. We may or may not be able to fully recover these increased costs through pricing actions with our customers. Currently, we have not identified any significant decrease in long-term customer demand for our products and services. Certain of our customer projects have experienced delays in deliveries, with revenues originally forecasted in prior periods shifting to future periods.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face competition, which may result in a loss of market share or price erosion of our products and services.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customer relationships, and experience. These competitors may sell products and services at lower prices in order to gain or grow market share, be able to respond more quickly to new or emerging technologies and changes in customer requirements and may have made or make strategic acquisitions or establish cooperative relationships among themselves or with third parties that enhance their ability to address the needs of our prospective customers. Other companies may also drive technological innovation and develop products and services that are equal in quality and performance or superior to our products and services, which could reduce our market position, reduce our overall sales, and require us to invest additional funds in new technology development. In addition, our products and services may experience price erosion if low-cost providers expand their presence in our markets, improve their quality, or form alliances or cooperative relationships with our competitors, or if our products and services become commoditized. For example, some utilities may purchase meters separately from the technology and components that enable network connectivity. The specifications for such meters may require interchangeability, which could lead to further commoditization of the meter, which could negatively impact prices and margins. Other events outside our control may also drive pressure on prices, including movement away from manually read meters, government programs, and new construction. Should we fail to compete successfully with current or future competitors or to adequately manage pricing pressure, we could experience material adverse effects on our business, financial condition, results of operations, and cash flows.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cannot continue to invest in developing competitive products and services, we may not be able to compete effectively.</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future success could depend, in part, on our ability to continue to develop, design and manufacture competitive products and services, enhance and sustain our existing products and services, keep pace with technological advances and changing customer requirements, gain international market acceptance, and manage other factors in the markets in which we sell our products and services. Product and service development may require continued investment to maintain our competitive position, and the periods in which we incur significant research and development costs may drive variability in our results of operations.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which can prevent us from meeting our research and development schedules. New products often require certifications or regulatory approvals before the products can be used, and we cannot be certain our new products will be approved in a timely manner, or at all. Finally, we may not achieve market acceptance of our new products and services.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unable to maintain a high level of customer satisfaction, demand for our products and services could suffer.</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our success depends on our ability to understand and address our customers' requirements and concerns. This includes our ability to effectively articulate and demonstrate to customers how our products and services meet their needs and to deliver our products timely as committed, with a sufficient level of quality. We face concerns about the security of our products and services and our ability to adequately protect our customers' data and their customers' data, specifically regarding detailed energy usage information. In addition, we continue to work toward easing general concerns about the safety and perceived health risks of using radio frequency communications, as well as privacy concerns of monitoring home appliance energy usage, which have had some adverse publicity in the past. If we were unable to overcome these real and perceived risks, we could face customer dissatisfaction, dilution of our brand, decreased overall demand for our services, and loss of revenue. In addition, our inability to meet customer performance, safety, and service expectations may damage our reputation and could consequently limit our ability to retain existing customers and attract new customers, which would adversely affect our ability to generate revenue and unfavorably impact our operating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defects could disrupt our operations and result in harm to our reputation and financial position.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products are complex and may contain defects or experience failures due to any number of issues in design, materials, deployment, and/or use. If any of our products contain a defect, a compatibility or interoperability issue, or other types of errors, we may have to devote significant time and resources to identify and correct the issue. We provide product warranties for varying lengths of time and establish allowances in anticipation of warranty expenses. In addition, we recognize contingent liabilities for additional product-failure related costs. These warranty and related product-failure allowances may be inadequate due to product defects and unanticipated component failures, as well as higher than anticipated material, labor, and other costs we may incur to replace projected product failures. A product recall or a significant number of product returns could be expensive; damage our reputation and relationships with utilities, meter and communication vendors, other third-party vendors, or regulatory entities; result in the loss of business to competitors; or result in litigation. We may incur additional warranty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in the future with respect to new or established products, which could materially and adversely affect our operations and financial position.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interruptions could adversely affect our business, financial condition, and results of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worldwide operations could be subject to hurricanes, tornadoes, earthquakes, floods, fires, extreme weather conditions, medical epidemics or pandemics, geopolitical instability, cybersecurity attacks, including ransomware, business email compromise, and distributed denial of service (DDoS), or other natural or man-made disasters or business interruptions. The occurrence of any of these business disruptions could seriously harm our business, financial condition, and results of operations.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key manufacturing facilities are concentrated, and, 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 could result in significant changes that would adversely impact our future operating results.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inventory, intangible assets, long-lived assets, and goodwill that are susceptible to valuation adjustments as a result of changes in various factors or conditions, which could impact our results of operations and financial condition. Factors that could trigger an impairment of such assets include the following:</w:t>
      </w:r>
    </w:p>
    <w:p>
      <w:pPr>
        <w:spacing w:after="0" w:line="6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the net realizable value of inventory, which becomes obsolete or exceeds anticipated demand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organization or management reporting structure, which could result in additional reporting units, requiring greater aggregation or disaggregation in our analysis by reporting unit and potentially alternative methods/assumptions of estimating fair values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relative to projected future operating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manner or use of the acquired assets or the strategy for our overall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industry or economic trends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stock price for a sustained period or decline in our market capitalization below net book value</w:t>
      </w:r>
    </w:p>
    <w:p>
      <w:pPr>
        <w:spacing w:after="0" w:line="2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Failure to attract and retain key personnel who are critical to the success of our business could unfavorably impact our ability to operate or grow our business.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the efforts of our highly qualified technical and management personnel and highly skilled individuals in all disciplines. The loss of one or more of these employees and the inability to attract and retain qualified replacements could have a material adverse effect on our business. In addition, as our products and services become more technologically complex, it could become especially difficult to recruit or retain personnel with unique in-demand skills and knowledge, whom we would expect to become recruiting targets for our competitors and for other companies relying on similar talent. There is no assurance that we will be able to recruit or retain qualified personnel, and this failure could diminish our ability to develop and deliver new products and services, which could cause our operations and financial results to be unfavorably impacted.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accounting principles and guidance could result in unfavorable accounting charges or effects.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(GAAP). These principles are subject to interpretation by the SEC and various bodies formed to create and interpret appropriate accounting principles and guidance. A change in these principles or guidance, or in their interpretations, may have a material effect on our reported results, as well as our processes and related controls, and may retroactively affect previously reported results.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 and Organization</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indebtedness could restrict our operational flexibility and prevent us from raising additional capital or meeting our obligations under our debt instruments.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our total outstanding indebtedness was $460.0 million as described under Liquidity and Capital Resources. Our current credit facility, originally entered on January 5, 2018 (as amended, the 2018 credit facility) allows us to draw on a $500.0 million revolving line of credit. This indebtedness could have important consequences to us, including:</w:t>
      </w:r>
    </w:p>
    <w:p>
      <w:pPr>
        <w:spacing w:after="0" w:line="3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increasing our vulnerability to general economic and industry conditions</w:t>
      </w:r>
    </w:p>
    <w:p>
      <w:pPr>
        <w:spacing w:after="0" w:line="76"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requiring a substantial portion of our cash flow used in operations to be dedicated to the payment of principal and interest, therefore reducing our liquidity and our ability to use our cash flow to fund our operations, capital expenditures, and future business opportunities</w:t>
      </w:r>
    </w:p>
    <w:p>
      <w:pPr>
        <w:spacing w:after="0" w:line="78" w:lineRule="exact"/>
        <w:rPr>
          <w:rFonts w:ascii="Arial" w:cs="Arial" w:eastAsia="Arial" w:hAnsi="Arial"/>
          <w:sz w:val="22"/>
          <w:szCs w:val="22"/>
          <w:color w:val="auto"/>
        </w:rPr>
      </w:pPr>
    </w:p>
    <w:p>
      <w:pPr>
        <w:jc w:val="both"/>
        <w:ind w:left="660" w:hanging="328"/>
        <w:spacing w:after="0" w:line="246"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requiring us to meet specified financial ratios, a failure of which may result in restrictions on us and our subsidiaries to take certain actions or result in the declaration of an event of default, which, if not cured or waived, could require acceleration of required payments against such indebtedness and result in cross defaults under our other indebtedness</w:t>
      </w:r>
    </w:p>
    <w:p>
      <w:pPr>
        <w:spacing w:after="0" w:line="72"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exposing us to the risk of increased market interest rates, and corresponding increased interest expense, as unhedged borrowings under the 2018 credit facility would be at variable rates of interest</w:t>
      </w:r>
    </w:p>
    <w:p>
      <w:pPr>
        <w:spacing w:after="0" w:line="78"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limiting our ability to obtain additional financing for working capital, capital expenditures, debt service requirements, acquisitions, and general corporate or other purposes</w:t>
      </w:r>
    </w:p>
    <w:p>
      <w:pPr>
        <w:spacing w:after="0" w:line="2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2018 credit facility places restrictions on our ability, and the ability of many of our subsidiaries, dependent on meeting specified financial ratios, to, among other things:</w:t>
      </w: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 incur more debt</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make certain investments</w:t>
      </w:r>
    </w:p>
    <w:p>
      <w:pPr>
        <w:ind w:left="20"/>
        <w:spacing w:after="0"/>
        <w:rPr>
          <w:sz w:val="20"/>
          <w:szCs w:val="20"/>
          <w:color w:val="auto"/>
        </w:rPr>
      </w:pPr>
      <w:r>
        <w:rPr>
          <w:rFonts w:ascii="Times New Roman" w:cs="Times New Roman" w:eastAsia="Times New Roman" w:hAnsi="Times New Roman"/>
          <w:sz w:val="17"/>
          <w:szCs w:val="17"/>
          <w:color w:val="auto"/>
        </w:rPr>
        <w:t>• execute transactions with affiliates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merge or consolidate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pay dividends, make distributions, and repurchase capital stock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create liens</w:t>
      </w:r>
    </w:p>
    <w:p>
      <w:pPr>
        <w:spacing w:after="0" w:line="234" w:lineRule="auto"/>
        <w:rPr>
          <w:sz w:val="20"/>
          <w:szCs w:val="20"/>
          <w:color w:val="auto"/>
        </w:rPr>
      </w:pPr>
      <w:r>
        <w:rPr>
          <w:rFonts w:ascii="Times New Roman" w:cs="Times New Roman" w:eastAsia="Times New Roman" w:hAnsi="Times New Roman"/>
          <w:sz w:val="18"/>
          <w:szCs w:val="18"/>
          <w:color w:val="auto"/>
        </w:rPr>
        <w:t>• execute sale lease-back transactions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transfer or sell assets</w:t>
      </w:r>
    </w:p>
    <w:p>
      <w:pPr>
        <w:spacing w:after="0" w:line="200" w:lineRule="exact"/>
        <w:rPr>
          <w:sz w:val="20"/>
          <w:szCs w:val="20"/>
          <w:color w:val="auto"/>
        </w:rPr>
      </w:pPr>
    </w:p>
    <w:p>
      <w:pPr>
        <w:sectPr>
          <w:pgSz w:w="11900" w:h="16838" w:orient="portrait"/>
          <w:cols w:equalWidth="0" w:num="2">
            <w:col w:w="3860" w:space="720"/>
            <w:col w:w="6660"/>
          </w:cols>
          <w:pgMar w:left="320" w:top="121" w:right="339" w:bottom="1440" w:gutter="0" w:footer="0" w:header="0"/>
          <w:type w:val="continuous"/>
        </w:sectPr>
      </w:pP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on and/or to refinance our indebtedness depends on, and is subject to, our financial and operating performance, which is influenced in part by general economic, financial, competitive, legislative, regulatory, counterparty business, and other risks that are beyond our control, including the availability of financing in the U.S. banking system and capital markets. We cannot be certain that our business will generate sufficient cash flow from operations or that future borrowings will be available to us in an amount sufficient to enable us to service our debt, to refinance our debt, or to fund our other liquidity needs on commercially reasonable terms or at all.</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were unable to meet our debt service obligations or to fund our other liquidity needs, we would need to restructure or refinance all or a portion of our debt, which could cause us to default on our debt obligations and impair our liquidity. Our ability to restructure or refinance our debt will depend on the condition of the capital markets and our financial condition at such time. Even if refinancing indebtedness were available, any refinancing of our indebtedness could be at higher interest rates and may require us to comply with more onerous covenants that could further restrict our business operations.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in the event of a default under any of our indebtedness, the holders of the defaulted debt could elect to declare all the funds borrowed to be due and payable, together with accrued and unpaid interest, which in turn could result in cross defaults under our other indebtedness. The lenders under the 2018 credit facility could also elect to terminate their commitments thereunder and cease making further loans, and such lenders could institute foreclosure proceedings against their collateral, and we could be forced into bankruptcy or liquidation. If we breach our covenants under the 2018 credit facility, we would be in default thereunder. Such lenders could exercise their rights, as described above, and we could be forced into bankruptcy or liquidation.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our debt instruments contain certain restrictions, these restrictions are subject to a number of qualifications and exceptions, including that certain trade payables do not constitute indebtedness. Additional indebtedness incurred in compliance with these restrictions could be substantial. To the extent we incur additional indebtedness or other obligations, the risks described above and others described herein may increase.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convertible note hedge and warrant transactions may affect the value our common stock.</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convertible note hedge transactions with certain financial institutions, which we refer to as "hedge counterparties". We also entered into warrant transactions with the hedge counterparties pursuant to which we sold warrants for the purchase of our common stock. The convertible note hedge transactions are generally to reduce the potential dilution upon any conversion of convertible notes and/or offset any cash payments we are required to make in excess of the principal amount of converted notes, as the case may be. The warrant transactions would separately have a dilutive effect to the extent that the market price per share of our common stock exceeds the strike price of any warrants unless, subject to the terms of the warrant transactions, we elect to cash settle the warrants.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hedge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convertible notes (and are likely to do so during any observation period related to a conversion of convertible notes or following any repurchase of convertible notes by us in connection with any fundamental change repurchase date or otherwise). This activity could also cause or avoid an increase or a decrease in the market price of our common stock.</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potential effect, if any, of these transactions and activities on the market price of our common stock or the convertible notes will depend in part on market conditions and cannot be ascertained at this time. Any of these activities could adversely affect the value of our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sales of our stock in the public market, or the issuance of stock upon conversion of the convertible notes, could cause our stock price to decline.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predict the effect, if any, that market sales of shares of our common stock or the availability of shares for sale will have on the prevailing trading price of our common stock from time to time. Sales of a substantial number of shares of our common stock could cause the price of our common stock to decline. In addition, a substantial number of shares of our common stock will be reserved for issuance upon conversion of the convertible notes. We may in the future also issue shares of common stock for financings, acquisitions, or equity incentives. If we issue additional shares of common stock in the future, such issuances would have a dilutive effect on the economic interest of our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strategy may lead to acquisitions, divestitures, and investments, which we may not be able to execute or integrate successfully.</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pursuing our business strategy, we may conduct discussions, evaluate companies, and enter into agreements regarding possible acquisitions, divestitures, or equity investments. We have completed acquisitions and may make investments in the future, both within and outside of the United States. We may also execute divestitures. Acquisitions, investments, and divestitures involve numerous risks such as the diversion of senior management's attention; unsuccessful integration of the acquired or disintegration of the divested entity's personnel, operations, technologies, and products; unidentified or identified but non-indemnified pre-closing liabilities that we may be responsible for; incurrence of significant expenses to meet an acquiree's customer contractual commitments; lack of market acceptance of new services and technologies; undiscovered cybersecurity breaches; difficulties in operating businesses in international legal jurisdictions; or transaction-related or other litigation, and other liabilities. Failure to adequately address these issues could result in the diversion of resources and adversely impact our ability to manage our business. In addition, acquisitions and investments in third parties may involve the assumption of obligations and liabilities, significant write-offs, or other charges associated with the acquisition or investment. Impairment of an investment, goodwill, or an intangible asset may result if these risks were to materialize. For investments in entities that are not wholly owned by Itron, such as joint ventures, a loss of control as defined by GAAP could result in a significant change in accounting treatment and a change in the carrying value of the entity. There can be no assurance that an acquired business may perform as expected, accomplish our strategic objectives, or generate significant revenues, profits, or cash flows. Any divestiture could result in disruption to other parts of our business, potential loss of employees or customers, exposure to unanticipated liabilities, or result in ongoing obligations and liabilities following any such divestiture. For example, in connection with a divestiture, we may enter into transition services agreements or other strategic relationships, including long-</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 commercial arrangements, sales arrangements, or agree to provide certain indemnities to the purchaser in any such transaction, which may result in additional expense and may adversely affect our financial condition and results of operations.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customer contracts are complex and contain provisions that could cause us to incur penalties, be liable for damages, and/or incur unanticipated expenses with respect to the functionality, deployment, operation, and availability of our products and services.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risk of unanticipated warranty or recall expenses, our customer contracts may contain provisions that could cause us to incur penalties, be liable for damages including liquidated damages, or incur other expenses if we experience difficulties with respect to the functionality, deployment, operation, security, or availability of our products and services. Some of these contracts contain long-term commitments to a set schedule of delivery or performance and require us to deliver standby letters of credit or bonds as a guarantee to the customer for our future performance. If we fail in our estimated schedule or we fail in our management of the project, this may cause delays in completion. In the event of late deliveries, late or improper installations or operations, failure to meet product or performance specifications or other product defects, or interruptions or delays in our managed service offerings, our customer contracts may expose us to penalties, liquidated damages, and other liabilities. In the event we were to incur contractual penalties, such as liquidated damages or other related costs that exceed our expectations, our business, financial condition, and operating results could be materially and adversely affected. Additionally, if we were to determine that products and/or services to be delivered under a specific component of a customer contract would result in a loss due to expected revenues estimated to be less than expected costs, we could be required to recognize a reduction of revenue in the period we made such determination, and such reduction could be material to our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international business uncertainties, obstacles to the repatriation of earnings, and foreign currency fluctuations.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our revenue is derived from operations conducted outside the United States. International sales and operations may be subjected to risks such as the imposition of government controls, government expropriation of facilities, lack of a well-established system of laws and enforcement of those laws, access to a legal system free of undue influence or corruption, political instability, terrorist activities, restrictions on the import or export of critical technology, or adverse tax burdens.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also subject to foreign currency exchange rates fluctuations, particularly with respect to the euro, Canadian dollar, Indonesian rupiah, and Pound sterling, as well as various other currencies. Change in the value of currencies of the countries in which we do business relative to the value of the U.S. dollar or euro could affect our ability to sell products competitively and control our cost structure, which could have an adverse effect on our business, financial condition, and results of operations. Additionally, we are subject to foreign exchange translation risk due to changes in the value of foreign currencies in relation to our reporting currency, the U.S. dollar. The translation risk is primarily concentrated in the exchange rate between the U.S. dollar and the euro. As the U.S. dollar fluctuates against other currencies in which we transact business, revenue and income can be impacted, include revenue decreases due to unfavorable foreign currency impacts. Strengthening of the U.S. dollar relative to the euro and the currencies of the other countries in which we do business, could materially and adversely affect our ability to compete in international markets and our sales growth in future periods.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risks related to our international operations include lack of availability of qualified third-party financing, generally longer receivable collection periods than those commonly practiced in the United States, trade restrictions, changes in tariffs, labor disruptions, difficulties in staffing and managing international operations, difficulties in imposing and enforcing operational and financial controls at international locations, potential insolvency of international distributors, preference for local vendors, burdens of complying with different permitting standards and a wide variety of foreign laws, and obstacles to the repatriation of earnings and cash.</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in the same manner as the laws of the United States. Further, foreign regulations or restrictions, e.g., opposition from unions or works councils, could delay, limit, or disallow significant operating decisions made by our management, including decisions to exit certain businesses, close certain manufacturing locations, or other restructuring actions. There can be no assurance that these factors will not have a material adverse effect on our future international sales and, consequently,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may not achieve the anticipated savings and benefits from current or any future restructuring projects and such activities could cause us to incur additional charges in our efforts to improve profitability.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implemented multiple restructuring projects to improve our cost structure, and we may engage in similar restructuring activities in the future. These restructuring activities reduce our available employee talent, assets, and other resources, which could slow research and development, impact ability to respond to customers, increase quality issues, temporarily reduce manufacturing efficiencies, and limit our ability to increase production quickly. In addition, delays in implementing restructuring projects, unexpected costs, unfavorable negotiations with works councils or matters involving third-party service providers, our failure to retain key employees, changes in governmental policies or regulatory matters, adverse market conditions, or failure to meet targeted improvements could change the timing or reduce the overall savings realized from the restructuring project.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successful implementation and execution of our restructuring projects are critical to achieving our expected cost savings as well as effectively competing in the marketplace and positioning us for future growth. If our restructuring projects were not executed successfully, it could have a material adverse effect on our competitive position, business, financial condition, cash flow, and results of operations.</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maintain an effective system of internal controls, we may not be able to accurately report our financial results, prevent fraud, or maintain investor confidence.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In addition, Section 404 under the Sarbanes-Oxley Act requires that our auditors attest to the operating effectiveness of our controls over financial reporting. Our compliance with the annual internal control report requirement for each fiscal year will depend on the effectiveness of our financial reporting, data systems, and controls across our operating subsidiaries. Furthermore, an important part of our growth strategy has been, and may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In addition, new accounting standards may have a significant impact on our financial statements in future periods, requiring new or enhanced controls. We cannot be certain that we won't experience deficiencies in the design, implementation, and maintenance of adequate controls over our financial processes and reporting in the future, especially for acquisition targets that may not have been required to comply with Section 404 of the Sarbanes-Oxley Act prior to the date of acquisition.</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implement new controls or enhancements to controls, difficulties encountered in control implementation or operation, or difficulties in the assimilation of acquired businesses into our control system could result in additional errors, material misstatements, or delays in our financial reporting obligations. Inadequate internal controls could also cause investors to lose confidence in our reported financial information, which could have an unfavorable effect on the trading price of our stock and our access to capital.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encounter strikes or other labor disruptions that could adversely affect our financial condition and results of operations.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significant operations throughout the world. In a number of countries outside the U.S., our employees are covered by collective bargaining agreements. As the result of various corporate or operational actions, which our management has undertaken or may be made in the future, we could encounter labor disruptions. These disruptions may be subject to local media coverage, which could damage our reputation. Additionally, the disruptions could delay our ability to meet customer orders and could adversely affect our results of operations. Any labor disruptions could also have an impact on our other employees. Employee morale and productivity could suffer, and we may lose valued employees whom we wish to retain.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realize the expected benefits from strategic alliances, which could adversely affect our operations.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several strategic alliances with large, complex organizations and other companies with which we work to offer complementary products and services. There can be no assurance we will realize the expected benefits from these strategic alliances. If successful, these relationships may be mutually beneficial and result in shared growth. However, alliances carry an element of risk because, in most cases, we must both compete and collaborate with the same company from one market to the next. Should our strategic partnerships fail to perform, we could experience delays in research and development or experience other operational difficulties.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counterparty default risks with our financial institutions and insurance providers.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one or more of the depository institutions in which we maintain significant cash balances were to fail, our ability to access these funds might be temporarily or permanently limited, and we could face material liquidity problems and financial losses.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lenders of our 2018 credit facility include several participating financial institutions. Our revolving line of credit allows us to provide letters of credit in support of our obligations for customer contracts and provides additional liquidity. If our lenders were unable to honor their line of credit commitments due to the loss of a participating financial institution or other circumstance, we would need to seek alternative financing, which may not be under acceptable terms, and therefore could adversely impact our ability to successfully bid on future sales contracts and adversely impact our liquidity and ability to fund some of our internal initiatives or future acquisitions.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25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adequately protect our intellectual property, we may need to expend significant resources to enforce our rights or suffer competitive injury.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believe our patents and other intellectual property have significant value, it is uncertain that this intellectual property or any intellectual property acquired or developed by us in the future will provide meaningful competitive advantages. There can be no assurance our patents or pending applications will not be challenged, invalidated, or circumvented by competitors or that rights granted thereunder will provide meaningful proprietary protection. Moreover, competitors may infringe on our patents or successfully avoid them through design innovation. To combat infringement or unauthorized use of our intellectual property, we may initiate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We could also lose our right to use marks and brand names, which might diminish our ability to compete in the United States and other markets. Policing unauthorized use of our intellectual property is difficult and expensive, and we cannot provide assurance that we will be able to prevent misappropriation of our proprietary rights, particularly in countries that do not protect such rights in the same manner as in the United States.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losses associated with alleged unauthorized use of third-party intellectual property.</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subject to claims or inquiries regarding alleged unauthorized use of a third-party's intellectual property. An adverse outcome in any intellectual property litigation or negotiation could subject us to significant liabilities to third parties, require us to license technology or other intellectual property rights from others, require us to comply with injunctions to cease marketing or the use of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at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we were unable to protect our information technology infrastructure and network against data corruption, cyber-based attacks or network security incidents caused by unauthorized access, we could be exposed to an increased risk of customer liability and reputational damage.</w:t>
      </w:r>
    </w:p>
    <w:p>
      <w:pPr>
        <w:spacing w:after="0" w:line="17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rely on various information technology systems to capture, process, store, and report data and interact with customers, vendors, and employees. Despite taking steps to secure all information and transactions, our information technology systems, and those of our third-party providers, may be subject to corruption from cyber-attacks or other network security incidents. In addition to threats from traditional computer hackers, we also face threats from sophisticated organized crime, nation-state, and nation-state-supported actors who engage in attacks (including advanced persistent threat intrusions) that add to the risk to our systems (including those hosted by third-party providers) and internal networks. Ransomware and cyber extortion attacks, including those perpetrated by organized crime, nation-state, and nation-state-supported actors, are becoming increasingly prevalent and severe and could lead to significant interruptions in our operations, loss of data and income, reputational harm, and diversion of funds. Any unauthorized access to our systems could result in misappropriation of the data or disruption of operations. In addition, hardware, operating system software, software libraries, and applications that we procure from third parties may contain defects in design or manufacturing that could interfere with the operation of the systems or include security vulnerabilities that may be exploited by attackers to compromise our systems and data. Misuse of internal applications; theft of intellectual property, trade secrets, or other corporate assets; and inappropriate disclosure of confidential or personal information could stem from such incidents.</w:t>
      </w:r>
    </w:p>
    <w:p>
      <w:pPr>
        <w:spacing w:after="0" w:line="2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an increasing number of our products and services connect to and are part of the IIoT, the internet, telecommunications networks, and public cloud services. As such, the products and services we offer may involve the transmission of large amounts of sensitive and proprietary information over public and private communications networks, as well as the processing and storage of confidential and personal customer data. While we attempt to provide adequate security measures to safeguard our products and services, techniques used to gain unauthorized access to or to sabotage systems are constantly evolving and therefore may not be recognized before they take effect. Unauthorized access, remnant data exposure, computer viruses, DDoS attacks, accidents, employee error or malfeasance, intentional misconduct by computer hackers, and other disruptions may occur. This could lead to gaps in infrastructure, hardware and software vulnerabilities, and security controls. The exposed or unprotected data could be compromised and (i) interfere with the delivery of services to our customers, (ii) impede our customers' ability to do business, or (iii) expose information to unauthorized third parties. Like many companies, we are the target of cyber-attacks of varying degrees of severity. We have not incurred any material cyber-attacks or incidents, nor have we had any material adverse effects on our operating results or financial condition. However, there can be no assurance of a similar result in future security incidents.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company that processes confidential information related to our clients, vendors, and employees, including customer data and personally identifiable information, we are subject to compliance obligations under federal, state and foreign privacy, data protection, and cybersecurity-related laws, including federal, state and foreign security breach notification laws applicable to such data. These laws, which include the European Union (EU) General Data Protection Regulation (GDPR) and the California Privacy Rights Act of 2020 (CPRA), impact our data processing activities and obligations as both a data controller and data processor.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Complying with privacy, data protection, and cybersecurity laws and requirements, including the enhanced obligations imposed by the GDPR and state privacy laws such as the CPRA, may result in significant increases to our business costs and impact our business practices. Failing to comply with privacy, data protection, and cybersecurity laws and regulations could have a materially adverse effect on our reputation, results of operations or financial condition, or other adverse consequences.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occurrence of security incidents could expose us to an increased risk of lawsuits, loss of existing or potential customers, harm to our reputation, and increases in our security costs. Depending on the jurisdiction, security incidents could trigger notice requirements to impacted individuals and regulatory investigations leading to penalties and increased reputational harm. As public awareness of data security events and privacy violations by other companies increases, actual or perceived concerns about our privacy and data security compliance measures may damage our reputation, whether such concerns are valid or invalid.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future enactment of more restrictive laws, rules or regulations and future enforcement actions or investigations could have materially adverse impacts, such as increased costs and restrictions on our businesses.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such operational disruption and/or misappropriation of information could result in lost sales, unfavorable publicity, product recalls, or business delays and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information technology systems that may fail to operate effectively, require upgrades and replacements, or experience breaches.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industry requires the continued operation of sophisticated information technology systems and network infrastructures, which may be subject to disruptions arising from events that are beyond our control. We are dependent on information technology systems, including, but not limited to, networks, applications, and outsourced services. We continually enhance and implement new systems and processes throughout our global operations.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managed services and software utilizing several data center facilities located worldwide. Any damage to, or failure of, these systems could result in interruptions in the services we provide to our utility customers. As we continue to add capacity to our existing and future data centers, we may move or transfer data. Despite precautions taken during this process, any delayed or unsuccessful data transfers may impair the delivery of our services to our utility customers. We also sell vending and pre-payment systems with security features that, if compromised, may lead to claims against us.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primary enterprise resource planning (ERP) system that maintains sales and transactional information to facilitate processes. This system may require updates and upgrades periodically that could be expensive and time consuming undertakings. Successful upgrades and updates provide many benefits, while unsuccessful upgrades and updates may cost us significant time and resources.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failure of these systems to operate effectively, problems with transitioning to upgraded or replacement systems, or a breach in security of these systems due to computer viruses, hacking, acts of terrorism, and other causes could materially and adversely affect our business, financial condition, and results of operations by harming our ability to accurately forecast sales demand, manage our supply chain and production facilities, achieve accuracy in the conversion of electronic data and records, and report financial and management information on a timely and accurate basis. In addition, due to the systemic internal control features within ERP systems, we may experience difficulties that could affect our internal control over financial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Market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variable rate indebtedness subjects us to interest rate risk, which could cause our debt service obligations to fluctuate.</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The 2018 credit facility bears, and other indebtedness we may incur in the future may bear, interest at a variable rate. As a result, at any given time interest rates on the 2018 credit facility and any other variable rate debt could be higher or lower than current levels. If interest rates increase, our debt service obligations on our variable rate indebtedness may increase even though the amount borrowed remains the same, and therefore net income and associated cash flows, including cash available for servicing our indebtedness, may correspondingly decrease. While we continually monitor and assess our interest rate risk relative to the value of related debt and have previously entered into derivative instruments to manage such risk, these instruments could be ineffective at mitigating all or a part of our risk, including changes to the applicable margin under our 2018 credit facility. At December 31, 2023, there were no outstanding loan balances under the credit facility.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adoption of Secured Overnight Financing Rate (SOFR) may adversely affect our borrowing costs.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line with requirements following the discontinuation of LIBOR as a reference rate, the 2018 credit facility was amended in the fourth quarter of 2022 to replace LIBOR with SOFR plus a credit spread of 10 basis points. Certain Itron interest rate derivatives and a portion of Itron indebtedness bear interest at variable interest rates, primarily now based on SOFR, which is subject to regulatory guidance and/or reform that could cause interest rates under our current or future debt agreements to perform differently than in the past or cause other unanticipated consequences. Also, the use of SOFR based rates is relatively new, and there could be unanticipated difficulties or disruptions with the calculation and publication of SOFR based rates. In particular, if the agent under the 2018 credit facility determines that SOFR Rates cannot be determined or the agent or the lenders determine that SOFR based rates do not adequately reflect the cost of funding the SOFR Loans, outstanding SOFR Loans will be converted into Replacement Rate Loans. This could result in increased borrowing costs for the Company if we utilize the credit facility. At December 31, 2023, there were no outstanding loan balances under the credit facility.</w:t>
      </w:r>
    </w:p>
    <w:p>
      <w:pPr>
        <w:spacing w:after="0" w:line="21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have pension benefit obligations, which could have a material impact on our earnings, liabilities, and shareholders' equity and could have significant adverse impacts in future periods.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for our international employees, primarily in Germany, France, India, and Indonesia. Our general funding policy for these qualified pension plans is to contribute amounts sufficient to satisfy regulatory funding standards of the respective countries for each plan.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determination of pension plan expense, benefit obligation, and future contributions depends heavily on market factors such as the discount rate and the actual return on plan assets. We estimate pension plan expense, benefit obligation, and future contributions to these plans using assumptions with respect to these and other items. Changes to those assumptions could have a significant effect on future contributions, as well as on our annual pension costs and/or result in a significant change to shareholders' equity.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tax laws, valuation allowances, and unanticipated tax liabilities could adversely affect our effective income tax rate and profitability.</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may be established when we believe that certain positions might be challenged despite our belief that our tax return positions are fully supportable. We adjust these reserves in light of changing facts and circumstances. The provision for income taxes includes the impact of reserve positions and changes to reserves that are considered appropriate, as well as valuation allowances when we determine it is more likely than not that a deferred tax asset cannot be realized. In addition, future changes in tax laws in the jurisdictions in which we operate could have a material impact on our effective income tax rate and profitability. We regularly assess these matters to determine the adequacy of our tax provision, which is subject to significant judgment.</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January 1, 2022, the Tax Cuts and Jobs Act of 2017 eliminated the option to deduct research and development expenditures currently and requires taxpayers to capitalize and amortize them over five or fifteen years, dependent upon the geography in which the expenditures are incurred. Although Congress has considered legislation that would defer, modify, or repeal the capitalization and amortization requirement, as of year-end no such deferral has been passed. The income tax provision has been prepared according to currently enacted tax legislation, including the effect of guidance issued in December 2023 that provided clarity regarding research providers and recipients.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Inflation Reduction Act was signed into law, which made a number of changes to the Internal Revenue Code, including adding a 1% excise tax on stock buybacks by publicly traded corporations and a 15% minimum tax on adjusted financial statement income of certain large companies. The new 1% excise tax applies to share repurchase that occurred after December 31, 2022. The 15% minimum tax only applies to corporations with average book income in excess of $1 billion, so is not currently applicable.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Legislation is in various stages of adoption, from formal legislative proposals to passage into law, in most countries where Itron has significant operations, and is expected to take effect for calendar year 2024. The OECD continues to release more guidance on these rules and framework and we are evaluating the impact to our financial position. These enactments or amendments could adversely affect our tax rate and ultimately result in a negative impact on our operating results and cash flows. Based upon preliminary calculations for calendar year 2024, the Company anticipates it will meet the safe harbors in most jurisdictions, and any remaining top-up tax should be immaterial.</w:t>
      </w:r>
    </w:p>
    <w:p>
      <w:pPr>
        <w:spacing w:after="0" w:line="2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number of our products are affected by the availability and regulation of radio spectrum and could be affected by interference with the radio spectrum that we use.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number of our products use radio spectrum, which are subject to regulation by the U.S. Federal Communications Commission (FCC).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radio licenses are generally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may not cause harmful interference to licensed users and must be designed to accept interference from licensed radio devices. In the United States, our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smart metering solutions are typically Part 15 devices that transmit information to (and receive information from, if applicable) handheld, mobile, or fixed network systems pursuant to these rules.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depend upon sufficient radio spectrum to be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crowded to unacceptable levels, restrictive, or subject to changed rules governing their use, our business could be materially adversely affected.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of the United States, certain of our products require the use of RF and are subject to regulations in those jurisdictions where we have deployed such equipment. In some jurisdictions, radio station licensees are generally required to operate a radio transmitter, and such licenses may be granted for a fixed term and must be periodically renewed. In other jurisdictions, the rules permit certain low power devices to operate on an unlicensed basis. Our smart metering solutions typically transmit to (and receive information from, if applicable) handheld, mobile, or fixed network reading devices in license-exempt bands pursuant to rules regulating such use. In Europe, we generally use the 169 megahertz (MHz), 433/4 MHz, and 868 MHz bands. In the rest of the world, we primarily use the 433/4 MHz, 920 MHz and 2.4000-2.4835 gigahertz (GHz) bands, as well as other local license-exempt bands. To the extent we introduce new products designed for use in the United States or another country into a new market, such products may require significant modification or redesign to meet frequency requirements and other regulatory specifications. In some countries, limitations on frequency availability or the cost of making necessary modifications may preclude us from selling our products in those jurisdictions. In addition, new consumer products may create interference with the performance of our products, which could lead to claims against us.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Changes in environmental regulations, violations of such regulations, or future environmental liabilities could cause us to incur significant costs and could adversely affect our operations.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and our facilities are subject to numerous laws, regulations, and ordinances governing, among other things, the storage, discharge, handling, emission, generation, manufacture, disposal, remediation of and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would not arise with respect to these activities or that the cost of complying with governmental regulations in the future, either for an individual claim or in aggregate of multiple claims, would not have a material adverse effect on us.</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international sales and operations are subject to complex laws relating to foreign corrupt practices and anti-bribery laws, among many others, and a violation of, or change in, these laws could adversely affect our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Foreign Corrupt Practices Act requires U.S. companies to comply with an extensive legal framework to prevent bribery of foreign officials. The laws are complex and require that we closely monitor local practices of our overseas offices. The U.S. Department of Justice continues to heighten enforcement of these laws. In addition, other countries continue to implement similar laws that may have extra-territorial effect. In the United Kingdom, where we have operations, the U.K. Bribery Act imposes significant oversight obligations on us and could impact our operations outside the United Kingdom. The costs for complying with these and similar laws may be significant and could require significant management time and focus.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violation of these or similar laws, intentional or unintentional, could result in fines and/or criminal penalties and have a material adverse effect on our business, financial condition, or results of operations. Further, we operate in some parts of the world that have experienced governmental corruption, and, in certain circumstances, local customs and practice might not be consistent with the requirements of anti-corruption laws. We remain subject to the risk that our employees, third party partners, or agents could engage in business practices that are prohibited by our policies and violate such laws and regulations.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address cybersecurity risks and threats, we have in place teams, processes, and programs for protecting company and customer information. We have an Information Security Steering Committee (ISSC), whose purpose is to oversee the overall information security program as well as product security and data protection. The ISSC consists of senior executives, including our CEO and CFO. The ISSC meets quarterly to discuss strategy and general updates and is advised by company personnel with expertise and experience in cybersecurity risk management. In the event of a significant cybersecurity or data privacy incident, the ISSC members are notified and updated on the status of the incident by an Incident Response Team.</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risk management process utilizing a Governance, Risk, and Compliance system. Our security program uses a "defense in depth" philosophy, meaning that multiple controls must be breached for an attack to be successful. We maintain a series of both protective and detective controls to ensure any breakdown or bypass of protection mechanisms is detected and escalated for response. We perform logging and monitoring across systems, directed to a centralized, secure logging system operated by the Information Security team. Significant events are assessed on a case-by-case basis for their potential impact and whether they could potentially become material.</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hold certifications to meet the requirements of our customers and regulators, such as ISO 27001, IEC62443, and others. In addition, Itron maintains SOC 1 and/or SOC 2 attestations for the majority of our customer-facing managed services businesses.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cybersecurity incident policy, which provides guidelines for engaging our Board of Directors (the Board) in material cybersecurity incidents and events, including potential ransomware payments. Executive management reports on the status of the ISSC to the Board on a regular basis. At each Board meeting, a summary is provided covering the periodic assessment of Itron's Information Security Program. Semiannually, a summary is provided to the Board about Itron's internal response preparedness and assessments of risks. At each Board meeting, information regarding the current maturity level of the program, as measured against the National Institutes of Standards and Technology Cybersecurity Framework, is presented. Due to the nature of our business, a material security incident could have a significant impact on both our brand reputation and our ability to deliver services to our clients. During the period of this report, we have experienced no material cybersecurity incidents, nor any resulting materially adverse effects.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own our headquarters facility, which is located in Liberty Lake, Washington.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our major manufacturing facilities by region and location as of December 31, 2023:</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520" w:type="dxa"/>
            <w:vAlign w:val="bottom"/>
            <w:tcBorders>
              <w:top w:val="single" w:sz="8" w:color="auto"/>
              <w:left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3100" w:type="dxa"/>
            <w:vAlign w:val="bottom"/>
            <w:tcBorders>
              <w:top w:val="single" w:sz="8" w:color="auto"/>
              <w:bottom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0" w:type="dxa"/>
            <w:vAlign w:val="bottom"/>
          </w:tcPr>
          <w:p>
            <w:pPr>
              <w:spacing w:after="0"/>
              <w:rPr>
                <w:sz w:val="1"/>
                <w:szCs w:val="1"/>
                <w:color w:val="auto"/>
              </w:rPr>
            </w:pPr>
          </w:p>
        </w:tc>
      </w:tr>
      <w:tr>
        <w:trPr>
          <w:trHeight w:val="169"/>
        </w:trPr>
        <w:tc>
          <w:tcPr>
            <w:tcW w:w="35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46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Oconee, SC (O)</w:t>
            </w:r>
          </w:p>
        </w:tc>
        <w:tc>
          <w:tcPr>
            <w:tcW w:w="3100" w:type="dxa"/>
            <w:vAlign w:val="bottom"/>
            <w:tcBorders>
              <w:right w:val="single" w:sz="8" w:color="auto"/>
            </w:tcBorders>
          </w:tcPr>
          <w:p>
            <w:pPr>
              <w:jc w:val="right"/>
              <w:ind w:right="1170"/>
              <w:spacing w:after="0" w:line="169" w:lineRule="exact"/>
              <w:rPr>
                <w:sz w:val="20"/>
                <w:szCs w:val="20"/>
                <w:color w:val="auto"/>
              </w:rPr>
            </w:pPr>
            <w:r>
              <w:rPr>
                <w:rFonts w:ascii="Times New Roman" w:cs="Times New Roman" w:eastAsia="Times New Roman" w:hAnsi="Times New Roman"/>
                <w:sz w:val="18"/>
                <w:szCs w:val="18"/>
                <w:color w:val="auto"/>
              </w:rPr>
              <w:t>325,840</w:t>
            </w:r>
          </w:p>
        </w:tc>
        <w:tc>
          <w:tcPr>
            <w:tcW w:w="0" w:type="dxa"/>
            <w:vAlign w:val="bottom"/>
          </w:tcPr>
          <w:p>
            <w:pPr>
              <w:spacing w:after="0"/>
              <w:rPr>
                <w:sz w:val="1"/>
                <w:szCs w:val="1"/>
                <w:color w:val="auto"/>
              </w:rPr>
            </w:pPr>
          </w:p>
        </w:tc>
      </w:tr>
      <w:tr>
        <w:trPr>
          <w:trHeight w:val="243"/>
        </w:trPr>
        <w:tc>
          <w:tcPr>
            <w:tcW w:w="35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4640" w:type="dxa"/>
            <w:vAlign w:val="bottom"/>
            <w:tcBorders>
              <w:bottom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color w:val="auto"/>
                <w:w w:val="96"/>
              </w:rPr>
              <w:t>Waseca, MN</w:t>
            </w:r>
            <w:r>
              <w:rPr>
                <w:rFonts w:ascii="Times New Roman" w:cs="Times New Roman" w:eastAsia="Times New Roman" w:hAnsi="Times New Roman"/>
                <w:sz w:val="23"/>
                <w:szCs w:val="23"/>
                <w:color w:val="auto"/>
                <w:w w:val="96"/>
                <w:vertAlign w:val="superscript"/>
              </w:rPr>
              <w:t>(1)</w:t>
            </w:r>
            <w:r>
              <w:rPr>
                <w:rFonts w:ascii="Times New Roman" w:cs="Times New Roman" w:eastAsia="Times New Roman" w:hAnsi="Times New Roman"/>
                <w:sz w:val="18"/>
                <w:szCs w:val="18"/>
                <w:color w:val="auto"/>
                <w:w w:val="96"/>
              </w:rPr>
              <w:t xml:space="preserve"> (L)</w:t>
            </w:r>
          </w:p>
        </w:tc>
        <w:tc>
          <w:tcPr>
            <w:tcW w:w="31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169"/>
        </w:trPr>
        <w:tc>
          <w:tcPr>
            <w:tcW w:w="352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5"/>
                <w:szCs w:val="15"/>
                <w:color w:val="auto"/>
              </w:rPr>
              <w:t>Chasseneuil, France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 xml:space="preserve"> (O)</w:t>
            </w:r>
          </w:p>
        </w:tc>
        <w:tc>
          <w:tcPr>
            <w:tcW w:w="3100" w:type="dxa"/>
            <w:vAlign w:val="bottom"/>
            <w:tcBorders>
              <w:right w:val="single" w:sz="8" w:color="auto"/>
            </w:tcBorders>
          </w:tcPr>
          <w:p>
            <w:pPr>
              <w:jc w:val="right"/>
              <w:ind w:right="1170"/>
              <w:spacing w:after="0" w:line="169" w:lineRule="exact"/>
              <w:rPr>
                <w:sz w:val="20"/>
                <w:szCs w:val="20"/>
                <w:color w:val="auto"/>
              </w:rPr>
            </w:pPr>
            <w:r>
              <w:rPr>
                <w:rFonts w:ascii="Times New Roman" w:cs="Times New Roman" w:eastAsia="Times New Roman" w:hAnsi="Times New Roman"/>
                <w:sz w:val="18"/>
                <w:szCs w:val="18"/>
                <w:color w:val="auto"/>
              </w:rPr>
              <w:t>160,027</w:t>
            </w:r>
          </w:p>
        </w:tc>
        <w:tc>
          <w:tcPr>
            <w:tcW w:w="0" w:type="dxa"/>
            <w:vAlign w:val="bottom"/>
          </w:tcPr>
          <w:p>
            <w:pPr>
              <w:spacing w:after="0"/>
              <w:rPr>
                <w:sz w:val="1"/>
                <w:szCs w:val="1"/>
                <w:color w:val="auto"/>
              </w:rPr>
            </w:pPr>
          </w:p>
        </w:tc>
      </w:tr>
      <w:tr>
        <w:trPr>
          <w:trHeight w:val="184"/>
        </w:trPr>
        <w:tc>
          <w:tcPr>
            <w:tcW w:w="35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Europe, Middle East, and Africa</w:t>
            </w:r>
          </w:p>
        </w:tc>
        <w:tc>
          <w:tcPr>
            <w:tcW w:w="46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Macon, France (O)</w:t>
            </w:r>
          </w:p>
        </w:tc>
        <w:tc>
          <w:tcPr>
            <w:tcW w:w="3100" w:type="dxa"/>
            <w:vAlign w:val="bottom"/>
            <w:tcBorders>
              <w:right w:val="single" w:sz="8" w:color="auto"/>
            </w:tcBorders>
          </w:tcPr>
          <w:p>
            <w:pPr>
              <w:jc w:val="right"/>
              <w:ind w:right="1170"/>
              <w:spacing w:after="0" w:line="184" w:lineRule="exact"/>
              <w:rPr>
                <w:sz w:val="20"/>
                <w:szCs w:val="20"/>
                <w:color w:val="auto"/>
              </w:rPr>
            </w:pPr>
            <w:r>
              <w:rPr>
                <w:rFonts w:ascii="Times New Roman" w:cs="Times New Roman" w:eastAsia="Times New Roman" w:hAnsi="Times New Roman"/>
                <w:sz w:val="18"/>
                <w:szCs w:val="18"/>
                <w:color w:val="auto"/>
              </w:rPr>
              <w:t>203,513</w:t>
            </w:r>
          </w:p>
        </w:tc>
        <w:tc>
          <w:tcPr>
            <w:tcW w:w="0" w:type="dxa"/>
            <w:vAlign w:val="bottom"/>
          </w:tcPr>
          <w:p>
            <w:pPr>
              <w:spacing w:after="0"/>
              <w:rPr>
                <w:sz w:val="1"/>
                <w:szCs w:val="1"/>
                <w:color w:val="auto"/>
              </w:rPr>
            </w:pPr>
          </w:p>
        </w:tc>
      </w:tr>
      <w:tr>
        <w:trPr>
          <w:trHeight w:val="180"/>
        </w:trPr>
        <w:tc>
          <w:tcPr>
            <w:tcW w:w="3520" w:type="dxa"/>
            <w:vAlign w:val="bottom"/>
            <w:tcBorders>
              <w:left w:val="single" w:sz="8" w:color="auto"/>
              <w:right w:val="single" w:sz="8" w:color="auto"/>
            </w:tcBorders>
            <w:vMerge w:val="continue"/>
          </w:tcPr>
          <w:p>
            <w:pPr>
              <w:spacing w:after="0"/>
              <w:rPr>
                <w:sz w:val="15"/>
                <w:szCs w:val="15"/>
                <w:color w:val="auto"/>
              </w:rPr>
            </w:pPr>
          </w:p>
        </w:tc>
        <w:tc>
          <w:tcPr>
            <w:tcW w:w="46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Massy, France (L)</w:t>
            </w:r>
          </w:p>
        </w:tc>
        <w:tc>
          <w:tcPr>
            <w:tcW w:w="3100" w:type="dxa"/>
            <w:vAlign w:val="bottom"/>
            <w:tcBorders>
              <w:right w:val="single" w:sz="8" w:color="auto"/>
            </w:tcBorders>
          </w:tcPr>
          <w:p>
            <w:pPr>
              <w:jc w:val="right"/>
              <w:ind w:right="1170"/>
              <w:spacing w:after="0" w:line="181" w:lineRule="exact"/>
              <w:rPr>
                <w:sz w:val="20"/>
                <w:szCs w:val="20"/>
                <w:color w:val="auto"/>
              </w:rPr>
            </w:pPr>
            <w:r>
              <w:rPr>
                <w:rFonts w:ascii="Times New Roman" w:cs="Times New Roman" w:eastAsia="Times New Roman" w:hAnsi="Times New Roman"/>
                <w:sz w:val="18"/>
                <w:szCs w:val="18"/>
                <w:color w:val="auto"/>
              </w:rPr>
              <w:t>64,357</w:t>
            </w:r>
          </w:p>
        </w:tc>
        <w:tc>
          <w:tcPr>
            <w:tcW w:w="0" w:type="dxa"/>
            <w:vAlign w:val="bottom"/>
          </w:tcPr>
          <w:p>
            <w:pPr>
              <w:spacing w:after="0"/>
              <w:rPr>
                <w:sz w:val="1"/>
                <w:szCs w:val="1"/>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46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Oldenburg, Germany (L)</w:t>
            </w:r>
          </w:p>
        </w:tc>
        <w:tc>
          <w:tcPr>
            <w:tcW w:w="3100" w:type="dxa"/>
            <w:vAlign w:val="bottom"/>
            <w:tcBorders>
              <w:right w:val="single" w:sz="8" w:color="auto"/>
            </w:tcBorders>
          </w:tcPr>
          <w:p>
            <w:pPr>
              <w:jc w:val="right"/>
              <w:ind w:right="1170"/>
              <w:spacing w:after="0" w:line="176" w:lineRule="exact"/>
              <w:rPr>
                <w:sz w:val="20"/>
                <w:szCs w:val="20"/>
                <w:color w:val="auto"/>
              </w:rPr>
            </w:pPr>
            <w:r>
              <w:rPr>
                <w:rFonts w:ascii="Times New Roman" w:cs="Times New Roman" w:eastAsia="Times New Roman" w:hAnsi="Times New Roman"/>
                <w:sz w:val="18"/>
                <w:szCs w:val="18"/>
                <w:color w:val="auto"/>
              </w:rPr>
              <w:t>90,212</w:t>
            </w:r>
          </w:p>
        </w:tc>
        <w:tc>
          <w:tcPr>
            <w:tcW w:w="0" w:type="dxa"/>
            <w:vAlign w:val="bottom"/>
          </w:tcPr>
          <w:p>
            <w:pPr>
              <w:spacing w:after="0"/>
              <w:rPr>
                <w:sz w:val="1"/>
                <w:szCs w:val="1"/>
                <w:color w:val="auto"/>
              </w:rPr>
            </w:pPr>
          </w:p>
        </w:tc>
      </w:tr>
      <w:tr>
        <w:trPr>
          <w:trHeight w:val="239"/>
        </w:trPr>
        <w:tc>
          <w:tcPr>
            <w:tcW w:w="3520" w:type="dxa"/>
            <w:vAlign w:val="bottom"/>
            <w:tcBorders>
              <w:left w:val="single" w:sz="8" w:color="auto"/>
              <w:bottom w:val="single" w:sz="8" w:color="auto"/>
              <w:right w:val="single" w:sz="8" w:color="auto"/>
            </w:tcBorders>
          </w:tcPr>
          <w:p>
            <w:pPr>
              <w:spacing w:after="0"/>
              <w:rPr>
                <w:sz w:val="20"/>
                <w:szCs w:val="20"/>
                <w:color w:val="auto"/>
              </w:rPr>
            </w:pP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Asti, Italy (O)</w:t>
            </w:r>
          </w:p>
        </w:tc>
        <w:tc>
          <w:tcPr>
            <w:tcW w:w="31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55,834</w:t>
            </w:r>
          </w:p>
        </w:tc>
        <w:tc>
          <w:tcPr>
            <w:tcW w:w="0" w:type="dxa"/>
            <w:vAlign w:val="bottom"/>
          </w:tcPr>
          <w:p>
            <w:pPr>
              <w:spacing w:after="0"/>
              <w:rPr>
                <w:sz w:val="1"/>
                <w:szCs w:val="1"/>
                <w:color w:val="auto"/>
              </w:rPr>
            </w:pPr>
          </w:p>
        </w:tc>
      </w:tr>
      <w:tr>
        <w:trPr>
          <w:trHeight w:val="227"/>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Bekasi, Indonesia (O)</w:t>
            </w:r>
          </w:p>
        </w:tc>
        <w:tc>
          <w:tcPr>
            <w:tcW w:w="31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113,222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 w:firstLine="8"/>
        <w:spacing w:after="0" w:line="222" w:lineRule="auto"/>
        <w:tabs>
          <w:tab w:leader="none" w:pos="17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closures of the Waseca, Minnesota and Chasseneuil, France facilities are included in the 2023 Restructuring Plan, which is expected to be substantially complete by early 2025. For further details regarding our restructuring activities, refer to Part II, Item 8: Financial Statements and Supplementary Data, Note 13: Restructuring.</w:t>
      </w:r>
    </w:p>
    <w:p>
      <w:pPr>
        <w:spacing w:after="0" w:line="271" w:lineRule="exact"/>
        <w:rPr>
          <w:sz w:val="20"/>
          <w:szCs w:val="20"/>
          <w:color w:val="auto"/>
        </w:rPr>
      </w:pPr>
    </w:p>
    <w:p>
      <w:pPr>
        <w:ind w:left="300" w:hanging="292"/>
        <w:spacing w:after="0"/>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Manufacturing facility is owned</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Manufacturing facility is leased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properties are in good condition, and we believe our current facilities are sufficient to support our operations.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our manufacturing facilities, we have numerous sales offices, research and development facilities, and distribution centers, which are located throughout the world.</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SEC regulations require us to disclose certain information about proceedings arising under federal, state or local environmental provisions if we reasonably believe that such proceedings may result in monetary sanctions above a stated threshold. Pursuant to the SEC regulations, Itron uses a threshold of $1 million or more for purposes of determining whether disclosure of any such environmental proceedings is required.</w:t>
      </w:r>
    </w:p>
    <w:p>
      <w:pPr>
        <w:spacing w:after="0" w:line="20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 conjunction with the Actaris S.p.A. (Actaris) acquisition in April 2007, Itron assumed Actaris's environmental cleanup liability and the related legal recourse for the Frosinone site in Italy. This site was originally owned and operated by Schlumberger before Schlumberger contributed it to Actaris in the course of the spin off of Actaris from Schlumberger Industries S.p.A on August 1, 2001. Since 2001, Schlumberger has fully reimbursed Actaris, and Itron as successor to Actaris's interests, for the Frosinone site remediation costs pursuant to an indemnification agreement. In December 2022, Itron was presented with a remediation plan, which addressed the water contamination issues, with an estimated cost of $1.9 million. The proposal has not been approved by the Italian Authorities as of February 26, 2024. Due to increased remediation work and costs associated with the required cleanup activities, Itron recognized an additional $0.9 million in costs during the fourth quarter of 2023. Schlumberger, pursuant to the indemnification agreement, will fully reimburse Itron.</w:t>
      </w:r>
    </w:p>
    <w:p>
      <w:pPr>
        <w:spacing w:after="0" w:line="2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 2007-2008, Itron acquired an industrial site located at 1310 Emerald Road, Greenwood, South Carolina. Previous site owners used various chlorinated solvents and potential contaminants at the site. In 2013, Itron entered into a voluntary cleanup contract with the South Carolina Department of Health and Environmental Control (DHEC). Itron completed that process in 2019. In October 2021, DHEC sent Itron and three other potentially responsible parties (PRPs) a proposed site remediation plan with an estimated cost of $3.7 million. Itron objected to the proposed plan at a public hearing on November 4, 2021, and again in a letter to DHEC dated January 13, 2022. Given that the contamination arose from activities prior to Itron's ownership of the property and past remediation efforts, Itron has disputed its responsibility for any alleged contamination and suggested alternative proposals. Itron will continue to seek a reasonable resolution with DHEC and the other PRPs.</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ITRI.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five-year cumulative total return to shareholders on our common stock with the five-year cumulative total return of our peer group of companies used for the year ended December 31, 2023,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80010</wp:posOffset>
            </wp:positionV>
            <wp:extent cx="6000750" cy="42862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750" cy="428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80" w:right="3420"/>
        <w:spacing w:after="0" w:line="282" w:lineRule="auto"/>
        <w:tabs>
          <w:tab w:leader="none" w:pos="1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December 31, 2018, in stock or index, including reinvestment of dividends. Fiscal years ending December 31.</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performance graph above is being furnished solely to accompany this Report pursuant to Item 201(e) of Regulation S-K and is not being filed for purposes of Section 18 of the Securities Exchange Act of 1934, as amended, and is not to be incorporated by reference into any of our filings, whether made before or after the date hereof, regardless of any general incorporation language in such filing.</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presentation assumes $100 invested on December 31, 2018 in the common stock of Itron, Inc., the peer groups, and the NASDAQ Composite Index, with all dividends reinvested. With respect to companies in the peer groups, the returns of each such corporation have been weighted to reflect relative stock market capitalization at the beginning of each annual period plotted. The historical stock prices shown above for our common stock are not necessarily indicative of future price performance.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year, we reassess our peer group to identify global companies that are either direct competitors or have similar industry and business operating characteristics. Our 2023 peer group includes the following publicly traded companies: LM Ericsson Telephone Company, Landis+Gyr, Mueller Water Products, and Xylem, Inc.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Maximum Dollar</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20" w:type="dxa"/>
            <w:vAlign w:val="bottom"/>
          </w:tcPr>
          <w:p>
            <w:pPr>
              <w:spacing w:after="0"/>
              <w:rPr>
                <w:sz w:val="14"/>
                <w:szCs w:val="14"/>
                <w:color w:val="auto"/>
              </w:rPr>
            </w:pPr>
          </w:p>
        </w:tc>
        <w:tc>
          <w:tcPr>
            <w:tcW w:w="16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2"/>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6"/>
        </w:trPr>
        <w:tc>
          <w:tcPr>
            <w:tcW w:w="4040" w:type="dxa"/>
            <w:vAlign w:val="bottom"/>
            <w:gridSpan w:val="2"/>
            <w:vMerge w:val="continue"/>
          </w:tcPr>
          <w:p>
            <w:pPr>
              <w:spacing w:after="0"/>
              <w:rPr>
                <w:sz w:val="18"/>
                <w:szCs w:val="18"/>
                <w:color w:val="auto"/>
              </w:rPr>
            </w:pPr>
          </w:p>
        </w:tc>
        <w:tc>
          <w:tcPr>
            <w:tcW w:w="1640" w:type="dxa"/>
            <w:vAlign w:val="bottom"/>
          </w:tcPr>
          <w:p>
            <w:pPr>
              <w:jc w:val="center"/>
              <w:ind w:left="159"/>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Shares Purchased </w:t>
            </w:r>
            <w:r>
              <w:rPr>
                <w:rFonts w:ascii="Times New Roman" w:cs="Times New Roman" w:eastAsia="Times New Roman" w:hAnsi="Times New Roman"/>
                <w:sz w:val="21"/>
                <w:szCs w:val="21"/>
                <w:b w:val="1"/>
                <w:bCs w:val="1"/>
                <w:color w:val="auto"/>
                <w:w w:val="98"/>
                <w:vertAlign w:val="superscript"/>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 </w:t>
            </w:r>
            <w:r>
              <w:rPr>
                <w:rFonts w:ascii="Times New Roman" w:cs="Times New Roman" w:eastAsia="Times New Roman" w:hAnsi="Times New Roman"/>
                <w:sz w:val="21"/>
                <w:szCs w:val="21"/>
                <w:b w:val="1"/>
                <w:bCs w:val="1"/>
                <w:color w:val="auto"/>
                <w:vertAlign w:val="superscript"/>
              </w:rPr>
              <w:t>(2)</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08"/>
        </w:trPr>
        <w:tc>
          <w:tcPr>
            <w:tcW w:w="3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0" w:type="dxa"/>
            <w:vAlign w:val="bottom"/>
          </w:tcPr>
          <w:p>
            <w:pPr>
              <w:spacing w:after="0"/>
              <w:rPr>
                <w:sz w:val="1"/>
                <w:szCs w:val="1"/>
                <w:color w:val="auto"/>
              </w:rPr>
            </w:pPr>
          </w:p>
        </w:tc>
      </w:tr>
      <w:tr>
        <w:trPr>
          <w:trHeight w:val="218"/>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2023 through October 31, 2023</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2023 through November 30, 2023</w:t>
            </w:r>
          </w:p>
        </w:tc>
        <w:tc>
          <w:tcPr>
            <w:tcW w:w="16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2023 through December 31, 2023</w:t>
            </w:r>
          </w:p>
        </w:tc>
        <w:tc>
          <w:tcPr>
            <w:tcW w:w="16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May 11, 2023, Itron's Board of Directors authorized a share repurchase program of up to $100 million of Itron's common stock over an 18-month period.</w:t>
      </w:r>
    </w:p>
    <w:p>
      <w:pPr>
        <w:ind w:left="240" w:hanging="232"/>
        <w:spacing w:after="0" w:line="191" w:lineRule="auto"/>
        <w:tabs>
          <w:tab w:leader="none" w:pos="2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commissions.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February 22, 2024, there were 147 holders of record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Since the inception of the Company, we have not declared or paid cash dividends. We intend to retain future earnings for the development of our business and do not anticipate paying cash dividends in the foreseeable future.</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compares the change in the consolidated financial statements for fiscal years 2023 and 2022 and should be read in conjunction with Item 8: Financial Statements and Supplementary Data. For comparisons of fiscal years 2022 and 2021, see our Management's Discussion and Analysis of Financial Condition and Results of Operations in Part II, Item 7 of our 2022 Annual Report on Form 10-K, filed with the Securities and Exchange Commission (SEC) on February 27, 2023, and incorporated herein by reference.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technology, solutions,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The product and operating definitions of the three segments are as follows:</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Device Solutions – </w:t>
      </w:r>
      <w:r>
        <w:rPr>
          <w:rFonts w:ascii="Times New Roman" w:cs="Times New Roman" w:eastAsia="Times New Roman" w:hAnsi="Times New Roman"/>
          <w:sz w:val="18"/>
          <w:szCs w:val="18"/>
          <w:color w:val="auto"/>
        </w:rPr>
        <w:t>This segment primarily includes hardware products used for measurement, control, or sensing. These products generally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capability or may be designed for use with non-Itron systems.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and designed to meet market requirements; and the implementation and installation of said hardware products.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Networked Solutions – </w:t>
      </w:r>
      <w:r>
        <w:rPr>
          <w:rFonts w:ascii="Times New Roman" w:cs="Times New Roman" w:eastAsia="Times New Roman" w:hAnsi="Times New Roman"/>
          <w:sz w:val="18"/>
          <w:szCs w:val="18"/>
          <w:color w:val="auto"/>
        </w:rPr>
        <w:t>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and associated head-end management and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for electricity, water and gas; distributed energy resource management (DERMs); smart grid and distribution automation; smart street lighting; and leak detection and applications for both gas and water systems. Our IIoT platform allows utility and smart city applications to be run and managed on a flexible multi-purpose network.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 </w:t>
      </w:r>
      <w:r>
        <w:rPr>
          <w:rFonts w:ascii="Times New Roman" w:cs="Times New Roman" w:eastAsia="Times New Roman" w:hAnsi="Times New Roman"/>
          <w:sz w:val="18"/>
          <w:szCs w:val="18"/>
          <w:color w:val="auto"/>
        </w:rPr>
        <w:t>This segment primarily includes our value-added, enhanced software and services, artificial intelligence, and machine learning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 grid edge intelligence and manage, organize, analyze, and interpret raw, anonymized data to improve decision making, maximize operational profitability, enhance resource efficiency, improve grid analytics, and deliver results for consumers, utilities, and smart cities.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discussions of the operating results below, we may refer to the impact of foreign currency exchange rate fluctuations, which are references to the differences between the foreign currency exchange rates we use to convert operating results from local currencies into U.S. dollars for reporting purposes. We also use the term "constant currency",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 on pages 43-46 for information about these non-GAAP measures and the detailed reconciliation of items that impacted non-GAAP operating expenses, non-GAAP operating income, non-GAAP net income, non-GAAP diluted EPS, adjusted EBITDA, and free cash flow in the periods presented.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Highlights and significant developments for the year ended December 31, 2023 compared with the year ended December 31, 2022</w:t>
      </w:r>
    </w:p>
    <w:p>
      <w:pPr>
        <w:spacing w:after="0" w:line="254" w:lineRule="exact"/>
        <w:rPr>
          <w:sz w:val="20"/>
          <w:szCs w:val="20"/>
          <w:color w:val="auto"/>
        </w:rPr>
      </w:pPr>
    </w:p>
    <w:p>
      <w:pPr>
        <w:ind w:left="240" w:hanging="151"/>
        <w:spacing w:after="0"/>
        <w:tabs>
          <w:tab w:leader="none" w:pos="240" w:val="left"/>
        </w:tabs>
        <w:numPr>
          <w:ilvl w:val="0"/>
          <w:numId w:val="1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Revenues were $2.2 billion compared with $1.8 billion last year, an increase of </w:t>
      </w:r>
      <w:r>
        <w:rPr>
          <w:rFonts w:ascii="Times New Roman" w:cs="Times New Roman" w:eastAsia="Times New Roman" w:hAnsi="Times New Roman"/>
          <w:sz w:val="18"/>
          <w:szCs w:val="18"/>
          <w:color w:val="000000"/>
        </w:rPr>
        <w:t>$378.1 million</w:t>
      </w:r>
      <w:r>
        <w:rPr>
          <w:rFonts w:ascii="Times New Roman" w:cs="Times New Roman" w:eastAsia="Times New Roman" w:hAnsi="Times New Roman"/>
          <w:sz w:val="18"/>
          <w:szCs w:val="18"/>
          <w:color w:val="222222"/>
        </w:rPr>
        <w:t>, or 21%</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1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Gross margin was 32.8% compared with 29.1% last year</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Operating expenses increased $55.4 million, or 10%, compared with 2022</w:t>
      </w:r>
    </w:p>
    <w:p>
      <w:pPr>
        <w:spacing w:after="0" w:line="63" w:lineRule="exact"/>
        <w:rPr>
          <w:rFonts w:ascii="Times New Roman" w:cs="Times New Roman" w:eastAsia="Times New Roman" w:hAnsi="Times New Roman"/>
          <w:sz w:val="18"/>
          <w:szCs w:val="18"/>
          <w:color w:val="auto"/>
        </w:rPr>
      </w:pPr>
    </w:p>
    <w:p>
      <w:pPr>
        <w:ind w:left="240" w:hanging="151"/>
        <w:spacing w:after="0"/>
        <w:tabs>
          <w:tab w:leader="none" w:pos="240" w:val="left"/>
        </w:tabs>
        <w:numPr>
          <w:ilvl w:val="0"/>
          <w:numId w:val="1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Net income attributable to Itron, Inc. was $96.9 million compared with net loss of $9.7 million in 2022</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1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GAAP diluted EPS was $2.11 compared with loss per share of $0.22 in 2022</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1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Non-GAAP net income attributable to Itron, Inc. was $153.8 million compared with $51.0 million in </w:t>
      </w:r>
      <w:r>
        <w:rPr>
          <w:rFonts w:ascii="Times New Roman" w:cs="Times New Roman" w:eastAsia="Times New Roman" w:hAnsi="Times New Roman"/>
          <w:sz w:val="18"/>
          <w:szCs w:val="18"/>
          <w:color w:val="000000"/>
        </w:rPr>
        <w:t>2022</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diluted EPS was $3.36 compared with $1.13 in 2022</w:t>
      </w:r>
    </w:p>
    <w:p>
      <w:pPr>
        <w:spacing w:after="0" w:line="63" w:lineRule="exact"/>
        <w:rPr>
          <w:rFonts w:ascii="Times New Roman" w:cs="Times New Roman" w:eastAsia="Times New Roman" w:hAnsi="Times New Roman"/>
          <w:sz w:val="18"/>
          <w:szCs w:val="18"/>
          <w:color w:val="auto"/>
        </w:rPr>
      </w:pPr>
    </w:p>
    <w:p>
      <w:pPr>
        <w:ind w:left="240" w:hanging="151"/>
        <w:spacing w:after="0"/>
        <w:tabs>
          <w:tab w:leader="none" w:pos="240" w:val="left"/>
        </w:tabs>
        <w:numPr>
          <w:ilvl w:val="0"/>
          <w:numId w:val="1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Adjusted EBITDA increased $130.5 million, or 137%, to $225.6 million compared with $95.1 million in 2022</w:t>
      </w:r>
    </w:p>
    <w:p>
      <w:pPr>
        <w:spacing w:after="0" w:line="63" w:lineRule="exact"/>
        <w:rPr>
          <w:rFonts w:ascii="Times New Roman" w:cs="Times New Roman" w:eastAsia="Times New Roman" w:hAnsi="Times New Roman"/>
          <w:sz w:val="18"/>
          <w:szCs w:val="18"/>
          <w:color w:val="222222"/>
        </w:rPr>
      </w:pPr>
    </w:p>
    <w:p>
      <w:pPr>
        <w:ind w:left="260" w:right="20" w:hanging="171"/>
        <w:spacing w:after="0" w:line="28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backlog was $4.5 billion, and twelve-month backlog was $2.0 billion at December 31, 2023, compared with $4.5 billion and $2.1 billion at December 31,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Credit Facility Amendment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21, 2023, we entered into a sixth amendment to our credit facility that was originally executed on January 5, 2018 (the 2018 credit facility). This amendment modified debt covenant provisions to allow for the addback of non-recurring cash expenses related to restructuring charges incurred during the quarter ended March 31, 2023.</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13, 2023, we entered into a seventh amendment to extend the maturity date to October 18, 2026. However, that date may be advanced to December 14, 2025 if Itron does not settle or extend a sufficient portion of outstanding convertible notes, as detailed in the amendment. In addition, this amendment revises the interest cost,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Cost</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 Fee</w:t>
            </w:r>
          </w:p>
        </w:tc>
      </w:tr>
      <w:tr>
        <w:trPr>
          <w:trHeight w:val="209"/>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4.00</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+ 250 bps</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 bps</w:t>
            </w:r>
          </w:p>
        </w:tc>
      </w:tr>
      <w:tr>
        <w:trPr>
          <w:trHeight w:val="21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3.51 to 4.00</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+ 225 bps</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 bps</w:t>
            </w:r>
          </w:p>
        </w:tc>
      </w:tr>
      <w:tr>
        <w:trPr>
          <w:trHeight w:val="21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2.51 to 3.50</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+ 200 bps</w:t>
            </w: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bps</w:t>
            </w:r>
          </w:p>
        </w:tc>
      </w:tr>
      <w:tr>
        <w:trPr>
          <w:trHeight w:val="21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or equal to 2.50</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+ 175 bps</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 bps</w:t>
            </w: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8: Financial Statements and Supplementary Data, Note 6: Debt for further details.</w:t>
      </w:r>
    </w:p>
    <w:p>
      <w:pPr>
        <w:spacing w:after="0" w:line="2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2023 Restructuring Projects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23, 2023, the Board of Directors of Itron approved a restructuring plan (the 2023 Projects). The 2023 Projects include activities that continue the Company's efforts to optimize its global supply chain and manufacturing operations, sales and marketing organizations, and other overhead. These projects are to be substantially complete by early 2025. Itron expects pre-tax restructuring charges of $51.7 million. Of the total estimated charge, approximately 95% will result in cash expenditures, and the remainder to non-cash impairment charges. The majority of the expenses were recognized during the first quarter of 2023. Once the 2023 Projects are substantially completed, Itron estimates $14-17 million in annualized savings. 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May 11, 2023, Itron's Board of Directors authorized a share repurchase program of up to $100 million of our common stock over an 18-month period (the 2023 Stock Repurchase Program). Repurchases will be made in the open market and pursuant to the terms of any Rule 10b5-1 plans that we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There have been no repurchases under the 2023 Stock Repurchase Program through February 26, 2024.</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Global Geopolitical and Economic Supply Chain Risk</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Global economic impacts, such as pandemics and various ongoing conflicts around the world, may create disruption in customer demand and global supply chains, resulting in market volatility, which our management continues to monitor. In the aftermath of these types of events, global supply chains, including labor, struggle to keep pace with rapidly changing demand. While recently improving from 2022 levels, our ability to obtain adequate supply of semiconductor components has impacted our ability to service customer demand in a timely manner. The temporary imbalance in supply and demand creates business uncertainties that include costs and availability. Efforts continue with suppliers to improve supply resiliency, including the approval of alternate sources. Recently, inflation in our raw materials and component costs, freight charges, and labor costs have increased above historical levels due to, among other things, the continuing impacts of the uncertain economic environment. We may or may not be able to fully recover these increased costs through pricing actions with our customers. Currently, we have not identified any significant decrease in long-term customer demand for our products and services. Certain of our customer projects have experienced delays in deliveries, with revenues originally forecasted in prior periods shifting to future periods. For more information on risks associated with global economic challenges, please see our risk in Part I, Item 1A: Risk Factors.</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limited direct business exposure in areas with current conflict, such as Ukraine and Israel, military actions globally and any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and/or supply disruptions are impossible to predict but could be substantial, and our management continues to monitor these events closely</w:t>
      </w:r>
      <w:r>
        <w:rPr>
          <w:rFonts w:ascii="Times New Roman" w:cs="Times New Roman" w:eastAsia="Times New Roman" w:hAnsi="Times New Roman"/>
          <w:sz w:val="18"/>
          <w:szCs w:val="18"/>
          <w:color w:val="333333"/>
        </w:rPr>
        <w:t>.</w:t>
      </w:r>
    </w:p>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Total Company GAAP and Non-GAAP Highlights and Endpoints Under Management: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i w:val="1"/>
                <w:iCs w:val="1"/>
                <w:color w:val="auto"/>
              </w:rPr>
              <w:t>In thousands, except margin and per share data</w:t>
            </w:r>
          </w:p>
        </w:tc>
        <w:tc>
          <w:tcPr>
            <w:tcW w:w="400" w:type="dxa"/>
            <w:vAlign w:val="bottom"/>
          </w:tcPr>
          <w:p>
            <w:pPr>
              <w:spacing w:after="0"/>
              <w:rPr>
                <w:sz w:val="18"/>
                <w:szCs w:val="18"/>
                <w:color w:val="auto"/>
              </w:rPr>
            </w:pPr>
          </w:p>
        </w:tc>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420" w:type="dxa"/>
            <w:vAlign w:val="bottom"/>
          </w:tcPr>
          <w:p>
            <w:pPr>
              <w:spacing w:after="0"/>
              <w:rPr>
                <w:sz w:val="18"/>
                <w:szCs w:val="18"/>
                <w:color w:val="auto"/>
              </w:rPr>
            </w:pPr>
          </w:p>
        </w:tc>
        <w:tc>
          <w:tcPr>
            <w:tcW w:w="13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71"/>
        </w:trPr>
        <w:tc>
          <w:tcPr>
            <w:tcW w:w="20" w:type="dxa"/>
            <w:vAlign w:val="bottom"/>
            <w:tcBorders>
              <w:top w:val="single" w:sz="8" w:color="auto"/>
            </w:tcBorders>
          </w:tcPr>
          <w:p>
            <w:pPr>
              <w:spacing w:after="0"/>
              <w:rPr>
                <w:sz w:val="14"/>
                <w:szCs w:val="14"/>
                <w:color w:val="auto"/>
              </w:rPr>
            </w:pPr>
          </w:p>
        </w:tc>
        <w:tc>
          <w:tcPr>
            <w:tcW w:w="5880" w:type="dxa"/>
            <w:vAlign w:val="bottom"/>
            <w:tcBorders>
              <w:top w:val="single" w:sz="8" w:color="auto"/>
            </w:tcBorders>
            <w:gridSpan w:val="5"/>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GAAP</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Revenues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Product revenues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1,863,489</w:t>
            </w:r>
          </w:p>
        </w:tc>
        <w:tc>
          <w:tcPr>
            <w:tcW w:w="17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1,500,243</w:t>
            </w:r>
          </w:p>
        </w:tc>
      </w:tr>
      <w:tr>
        <w:trPr>
          <w:trHeight w:val="213"/>
        </w:trPr>
        <w:tc>
          <w:tcPr>
            <w:tcW w:w="20" w:type="dxa"/>
            <w:vAlign w:val="bottom"/>
            <w:tcBorders>
              <w:bottom w:val="single" w:sz="8" w:color="CCEEFF"/>
            </w:tcBorders>
          </w:tcPr>
          <w:p>
            <w:pPr>
              <w:spacing w:after="0"/>
              <w:rPr>
                <w:sz w:val="18"/>
                <w:szCs w:val="18"/>
                <w:color w:val="auto"/>
              </w:rPr>
            </w:pPr>
          </w:p>
        </w:tc>
        <w:tc>
          <w:tcPr>
            <w:tcW w:w="588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6"/>
                <w:szCs w:val="16"/>
                <w:color w:val="auto"/>
              </w:rPr>
              <w:t>Service revenues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310,144</w:t>
            </w:r>
          </w:p>
        </w:tc>
        <w:tc>
          <w:tcPr>
            <w:tcW w:w="174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295,321</w:t>
            </w:r>
          </w:p>
        </w:tc>
      </w:tr>
      <w:tr>
        <w:trPr>
          <w:trHeight w:val="212"/>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2,173,633</w:t>
            </w:r>
          </w:p>
        </w:tc>
        <w:tc>
          <w:tcPr>
            <w:tcW w:w="17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1,795,564</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713,908</w:t>
            </w:r>
          </w:p>
        </w:tc>
        <w:tc>
          <w:tcPr>
            <w:tcW w:w="17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522,189</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585,041</w:t>
            </w:r>
          </w:p>
        </w:tc>
        <w:tc>
          <w:tcPr>
            <w:tcW w:w="17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529,628</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128,867</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(7,439)</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4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(1,481)</w:t>
            </w:r>
          </w:p>
        </w:tc>
        <w:tc>
          <w:tcPr>
            <w:tcW w:w="17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(8,304)</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(29,068)</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6,196</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(loss) attributable to Itron, Inc.</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96,923</w:t>
            </w:r>
          </w:p>
        </w:tc>
        <w:tc>
          <w:tcPr>
            <w:tcW w:w="12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4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(9,732)</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588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w:t>
            </w:r>
            <w:r>
              <w:rPr>
                <w:rFonts w:ascii="Times New Roman" w:cs="Times New Roman" w:eastAsia="Times New Roman" w:hAnsi="Times New Roman"/>
                <w:sz w:val="20"/>
                <w:szCs w:val="20"/>
                <w:b w:val="1"/>
                <w:bCs w:val="1"/>
                <w:color w:val="auto"/>
                <w:vertAlign w:val="superscript"/>
              </w:rPr>
              <w:t>(1)</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521,328</w:t>
            </w:r>
          </w:p>
        </w:tc>
        <w:tc>
          <w:tcPr>
            <w:tcW w:w="17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463,766</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Non-GAAP operating income</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192,580</w:t>
            </w:r>
          </w:p>
        </w:tc>
        <w:tc>
          <w:tcPr>
            <w:tcW w:w="17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58,423</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153,786</w:t>
            </w:r>
          </w:p>
        </w:tc>
        <w:tc>
          <w:tcPr>
            <w:tcW w:w="17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50,987</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225,584</w:t>
            </w:r>
          </w:p>
        </w:tc>
        <w:tc>
          <w:tcPr>
            <w:tcW w:w="17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95,071</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588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GAAP Margins and EPS</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88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Product gross margin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30.7 %</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26.5 %</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 gross margin</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42.1 %</w:t>
            </w:r>
          </w:p>
        </w:tc>
      </w:tr>
      <w:tr>
        <w:trPr>
          <w:trHeight w:val="207"/>
        </w:trPr>
        <w:tc>
          <w:tcPr>
            <w:tcW w:w="20" w:type="dxa"/>
            <w:vAlign w:val="bottom"/>
          </w:tcPr>
          <w:p>
            <w:pPr>
              <w:spacing w:after="0"/>
              <w:rPr>
                <w:sz w:val="17"/>
                <w:szCs w:val="17"/>
                <w:color w:val="auto"/>
              </w:rPr>
            </w:pPr>
          </w:p>
        </w:tc>
        <w:tc>
          <w:tcPr>
            <w:tcW w:w="588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Total gross margin</w:t>
            </w: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32.8 %</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29.1 %</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(0.22)</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(0.22)</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588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 xml:space="preserve">Non-GAAP EPS </w:t>
            </w:r>
            <w:r>
              <w:rPr>
                <w:rFonts w:ascii="Times New Roman" w:cs="Times New Roman" w:eastAsia="Times New Roman" w:hAnsi="Times New Roman"/>
                <w:sz w:val="20"/>
                <w:szCs w:val="20"/>
                <w:b w:val="1"/>
                <w:bCs w:val="1"/>
                <w:color w:val="auto"/>
                <w:vertAlign w:val="superscript"/>
              </w:rPr>
              <w:t>(1)</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EPS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r>
    </w:tbl>
    <w:p>
      <w:pPr>
        <w:spacing w:after="0" w:line="324" w:lineRule="exact"/>
        <w:rPr>
          <w:sz w:val="20"/>
          <w:szCs w:val="20"/>
          <w:color w:val="auto"/>
        </w:rPr>
      </w:pPr>
    </w:p>
    <w:p>
      <w:pPr>
        <w:ind w:left="340" w:right="20" w:hanging="332"/>
        <w:spacing w:after="0" w:line="225" w:lineRule="auto"/>
        <w:tabs>
          <w:tab w:leader="none" w:pos="32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measures exclude certain expenses that we do not believe are indicative of our core operating results. See pages 43-46 for information about these non-GAAP measures and reconciliations to the most comparable GAAP measures.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Definition of an Endpoint Under Management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Network-as-a-Service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metric primarily includes Itron or third-party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 were sold separately from an Itron product directly to our customers or to third party manufacturers for use in endpoints such as electric, water, and gas meters; streetlights and other types of IIoT sensors and actuators; sensors and other capabilities that the end customer would like Itron to connect and manage on their behalf.</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"endpoint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that Itron does not manage the unit or the data from that unit directly.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one-time sale of the platform and endpoints are primarily delivered via our Networked Solutions segment, our enhanced solutions, on-going monitoring, maintenance, software, analytics, and distributed intelligent applications are predominantly recognized in our Outcomes segment. We anticipate the opportunity to increase our penetration of Outcomes applications, software, and managed applications will increase as our endpoints under management increases. Management believes using the endpoints under management metric enhances insight of the strategic and operational direction of our Networked Solutions and Outcomes segments to serve clients for years after their one-time installation of an endpoint.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endpoints under management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40" w:type="dxa"/>
            <w:vAlign w:val="bottom"/>
            <w:tcBorders>
              <w:bottom w:val="single" w:sz="8" w:color="auto"/>
            </w:tcBorders>
          </w:tcPr>
          <w:p>
            <w:pPr>
              <w:spacing w:after="0"/>
              <w:rPr>
                <w:sz w:val="18"/>
                <w:szCs w:val="18"/>
                <w:color w:val="auto"/>
              </w:rPr>
            </w:pPr>
          </w:p>
        </w:tc>
      </w:tr>
      <w:tr>
        <w:trPr>
          <w:trHeight w:val="214"/>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Units in thousands</w:t>
            </w:r>
          </w:p>
        </w:tc>
        <w:tc>
          <w:tcPr>
            <w:tcW w:w="16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7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6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Endpoints under management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98,046</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93,941</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82,354</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Margin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revenues and gross profit were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vMerge w:val="restart"/>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6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2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2,173,633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1,795,564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378,069</w:t>
            </w: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713,908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522,189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191,719</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increased $378.1 million in 2023 compared with 2022. Product revenues increased $363.2 million in 2023, and service revenues increased $14.8 million. Device Solutions increased by $17.0 million; Networked Solutions increased by $331.0 million; and Outcomes increased by $30.0 million when compared with the same period last year. Changes in currency exchange rates favorably impacted revenues by $1.8 million in 2023, primarily within Device Solutions.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single customer represented more than 10% of total revenues for the years ended December 31, 2023 and 2022. Our 10 largest customers accounted for 36% of total revenues in 2023 and 32% of total revenues in 2022.</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margin was 32.8% for 2023, compared with 29.1% in 2022. We were favorably impacted by product and solution mix and manufacturing efficiencies from increased volumes. Product sales gross margin increased to 30.7% in 2023 from 26.5% in 2022. Gross margin on service revenues increased to 46.0% from 42.1%.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Operating Segment Results section below for further detail on total company revenues and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operating expenses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2760" w:type="dxa"/>
            <w:vAlign w:val="bottom"/>
            <w:gridSpan w:val="4"/>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4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10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312,779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22,326</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208,688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23,590</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57,614</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sale of businesses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10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0" w:type="dxa"/>
            <w:vAlign w:val="bottom"/>
          </w:tcPr>
          <w:p>
            <w:pPr>
              <w:spacing w:after="0"/>
              <w:rPr>
                <w:sz w:val="1"/>
                <w:szCs w:val="1"/>
                <w:color w:val="auto"/>
              </w:rPr>
            </w:pPr>
          </w:p>
        </w:tc>
      </w:tr>
      <w:tr>
        <w:trPr>
          <w:trHeight w:val="234"/>
        </w:trPr>
        <w:tc>
          <w:tcPr>
            <w:tcW w:w="3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expenses increased $55.4 million for the year ended December 31, 2023 as compared with the same period in 2022. This was due to an increase of $57.6 million in restructuring costs, of which $48.5 million was related to the 2023 Projects, as well as an increase of $23.6 million in research and development and a $22.3 million increase in sales, general and administrative expenses. The increases in sales, general and administrative and research and development expenses were primarily driven by increased labor costs, including variable compensation. The increase was partially offset by $38.5 million in goodwill impairment recognized in 2022, a $6.8 million decrease in amortization of intangible assets, and a $2.8 million decrease in loss on sale of businesses related to the sale to Dresser. Refer to Item 8: Financial Statements and Supplementary Data, Note 5: Goodwill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Note 13: Restructuring, and Note 18: Sale of Businesses for more details.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r>
      <w:tr>
        <w:trPr>
          <w:trHeight w:val="214"/>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440" w:type="dxa"/>
            <w:vAlign w:val="bottom"/>
          </w:tcPr>
          <w:p>
            <w:pPr>
              <w:spacing w:after="0"/>
              <w:rPr>
                <w:sz w:val="18"/>
                <w:szCs w:val="18"/>
                <w:color w:val="auto"/>
              </w:rPr>
            </w:pPr>
          </w:p>
        </w:tc>
        <w:tc>
          <w:tcPr>
            <w:tcW w:w="120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w w:val="99"/>
              </w:rPr>
              <w:t>9,314</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rPr>
              <w:t>2,633</w:t>
            </w:r>
          </w:p>
        </w:tc>
      </w:tr>
      <w:tr>
        <w:trPr>
          <w:trHeight w:val="207"/>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380" w:type="dxa"/>
            <w:vAlign w:val="bottom"/>
          </w:tcPr>
          <w:p>
            <w:pPr>
              <w:spacing w:after="0"/>
              <w:rPr>
                <w:sz w:val="17"/>
                <w:szCs w:val="17"/>
                <w:color w:val="auto"/>
              </w:rPr>
            </w:pPr>
          </w:p>
        </w:tc>
        <w:tc>
          <w:tcPr>
            <w:tcW w:w="126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w w:val="98"/>
              </w:rPr>
              <w:t>(3,664)</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rPr>
              <w:t>(3,499)</w:t>
            </w: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interest expense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w w:val="98"/>
              </w:rPr>
              <w:t>(4,685)</w:t>
            </w:r>
          </w:p>
        </w:tc>
        <w:tc>
          <w:tcPr>
            <w:tcW w:w="12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(3,225)</w:t>
            </w:r>
          </w:p>
        </w:tc>
      </w:tr>
      <w:tr>
        <w:trPr>
          <w:trHeight w:val="207"/>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7"/>
                <w:szCs w:val="17"/>
                <w:color w:val="auto"/>
              </w:rPr>
            </w:pPr>
          </w:p>
        </w:tc>
        <w:tc>
          <w:tcPr>
            <w:tcW w:w="126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w w:val="98"/>
              </w:rPr>
              <w:t>(8,349)</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rPr>
              <w:t>(6,724)</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w w:val="98"/>
              </w:rPr>
              <w:t>(2,446)</w:t>
            </w:r>
          </w:p>
        </w:tc>
        <w:tc>
          <w:tcPr>
            <w:tcW w:w="12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(4,213)</w:t>
            </w:r>
          </w:p>
        </w:tc>
      </w:tr>
      <w:tr>
        <w:trPr>
          <w:trHeight w:val="207"/>
        </w:trPr>
        <w:tc>
          <w:tcPr>
            <w:tcW w:w="6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center"/>
              <w:ind w:left="679"/>
              <w:spacing w:after="0"/>
              <w:rPr>
                <w:sz w:val="20"/>
                <w:szCs w:val="20"/>
                <w:color w:val="auto"/>
              </w:rPr>
            </w:pPr>
            <w:r>
              <w:rPr>
                <w:rFonts w:ascii="Times New Roman" w:cs="Times New Roman" w:eastAsia="Times New Roman" w:hAnsi="Times New Roman"/>
                <w:sz w:val="16"/>
                <w:szCs w:val="16"/>
                <w:color w:val="auto"/>
                <w:w w:val="98"/>
              </w:rPr>
              <w:t>(1,481)</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center"/>
              <w:ind w:left="599"/>
              <w:spacing w:after="0"/>
              <w:rPr>
                <w:sz w:val="20"/>
                <w:szCs w:val="20"/>
                <w:color w:val="auto"/>
              </w:rPr>
            </w:pPr>
            <w:r>
              <w:rPr>
                <w:rFonts w:ascii="Times New Roman" w:cs="Times New Roman" w:eastAsia="Times New Roman" w:hAnsi="Times New Roman"/>
                <w:sz w:val="16"/>
                <w:szCs w:val="16"/>
                <w:color w:val="auto"/>
              </w:rPr>
              <w:t>(8,304)</w:t>
            </w:r>
          </w:p>
        </w:tc>
      </w:tr>
      <w:tr>
        <w:trPr>
          <w:trHeight w:val="23"/>
        </w:trPr>
        <w:tc>
          <w:tcPr>
            <w:tcW w:w="6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year ended December 31, 2023 was a net expense of $1.5 million compared with $8.3 million in 2022, with the net decrease primarily driven by a $6.7 million increase in interest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income tax expense/(benefit) was $29.1 million and $(6.2) million for the years ended December 31, 2023 and 2022. Our tax rate for the year ended December 31, 2023 differed from the U.S. federal statutory tax rate of 21% due to losses in jurisdictions for which no benefit is recognized because of valuation allowances on deferred tax assets, the level of profit or losses in domestic and international jurisdictions, stock-based compensation, and uncertain tax positions.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discussion related to income taxes, refer to Item 8: Financial Statements and Supplementary Data, Note 11: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Results</w:t>
      </w:r>
    </w:p>
    <w:p>
      <w:pPr>
        <w:spacing w:after="0" w:line="25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For a description of our operating segments, refer to Part I, Item 1: Business, Our Operating Segments included in this Annual Report on Form 10-K and the Overview section above. The following tables and discussion highlight significant changes in trends or components of each operating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8"/>
                <w:szCs w:val="18"/>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revenues</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1,450,291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2,173,633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1,795,564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3"/>
          </w:tcPr>
          <w:p>
            <w:pPr>
              <w:jc w:val="center"/>
              <w:ind w:right="48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Gross</w:t>
            </w:r>
          </w:p>
        </w:tc>
        <w:tc>
          <w:tcPr>
            <w:tcW w:w="108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center"/>
              <w:ind w:right="52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6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0" w:type="dxa"/>
            <w:vAlign w:val="bottom"/>
          </w:tcPr>
          <w:p>
            <w:pPr>
              <w:spacing w:after="0"/>
              <w:rPr>
                <w:sz w:val="1"/>
                <w:szCs w:val="1"/>
                <w:color w:val="auto"/>
              </w:rPr>
            </w:pPr>
          </w:p>
        </w:tc>
      </w:tr>
      <w:tr>
        <w:trPr>
          <w:trHeight w:val="215"/>
        </w:trPr>
        <w:tc>
          <w:tcPr>
            <w:tcW w:w="5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i w:val="1"/>
                <w:iCs w:val="1"/>
                <w:color w:val="auto"/>
              </w:rPr>
              <w:t>Profit</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220" w:type="dxa"/>
            <w:vAlign w:val="bottom"/>
          </w:tcPr>
          <w:p>
            <w:pPr>
              <w:spacing w:after="0"/>
              <w:rPr>
                <w:sz w:val="18"/>
                <w:szCs w:val="18"/>
                <w:color w:val="auto"/>
              </w:rPr>
            </w:pPr>
          </w:p>
        </w:tc>
        <w:tc>
          <w:tcPr>
            <w:tcW w:w="134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gross profit and margin</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2"/>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gross profit and margin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713,908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522,189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8"/>
                <w:szCs w:val="18"/>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operating expenses</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356,090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center"/>
              <w:ind w:right="9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328,657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3"/>
          </w:tcPr>
          <w:p>
            <w:pPr>
              <w:jc w:val="center"/>
              <w:ind w:right="48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220" w:type="dxa"/>
            <w:vAlign w:val="bottom"/>
          </w:tcPr>
          <w:p>
            <w:pPr>
              <w:spacing w:after="0"/>
              <w:rPr>
                <w:sz w:val="13"/>
                <w:szCs w:val="13"/>
                <w:color w:val="auto"/>
              </w:rPr>
            </w:pPr>
          </w:p>
        </w:tc>
        <w:tc>
          <w:tcPr>
            <w:tcW w:w="1340" w:type="dxa"/>
            <w:vAlign w:val="bottom"/>
            <w:gridSpan w:val="3"/>
          </w:tcPr>
          <w:p>
            <w:pPr>
              <w:jc w:val="center"/>
              <w:ind w:right="52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8"/>
              </w:rPr>
              <w:t>Operating</w:t>
            </w:r>
          </w:p>
        </w:tc>
        <w:tc>
          <w:tcPr>
            <w:tcW w:w="10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w w:val="98"/>
              </w:rPr>
              <w:t>Operating</w:t>
            </w:r>
          </w:p>
        </w:tc>
        <w:tc>
          <w:tcPr>
            <w:tcW w:w="0" w:type="dxa"/>
            <w:vAlign w:val="bottom"/>
          </w:tcPr>
          <w:p>
            <w:pPr>
              <w:spacing w:after="0"/>
              <w:rPr>
                <w:sz w:val="1"/>
                <w:szCs w:val="1"/>
                <w:color w:val="auto"/>
              </w:rPr>
            </w:pPr>
          </w:p>
        </w:tc>
      </w:tr>
      <w:tr>
        <w:trPr>
          <w:trHeight w:val="162"/>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3"/>
          </w:tcPr>
          <w:p>
            <w:pPr>
              <w:jc w:val="center"/>
              <w:ind w:right="4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i w:val="1"/>
                <w:iCs w:val="1"/>
                <w:color w:val="auto"/>
                <w:w w:val="97"/>
              </w:rPr>
              <w:t>(Loss)</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220" w:type="dxa"/>
            <w:vAlign w:val="bottom"/>
          </w:tcPr>
          <w:p>
            <w:pPr>
              <w:spacing w:after="0"/>
              <w:rPr>
                <w:sz w:val="18"/>
                <w:szCs w:val="18"/>
                <w:color w:val="auto"/>
              </w:rPr>
            </w:pPr>
          </w:p>
        </w:tc>
        <w:tc>
          <w:tcPr>
            <w:tcW w:w="134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i w:val="1"/>
                <w:iCs w:val="1"/>
                <w:color w:val="auto"/>
              </w:rPr>
              <w:t>(Loss)</w:t>
            </w: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operating income (loss) and operating margin</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(356,090)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(328,657)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center"/>
              <w:ind w:right="11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income (loss) and operating margin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Device Solutions segment financial results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vMerge w:val="restart"/>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2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438,710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17,016</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44,139</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Revenues increased by $17.0 million in 2023, or 4%, compared with 2022. The increase was mainly due to the growth in Europe, Middle East, and Africa (EMEA) water sales of $47.5 million. There were decreases in other product lines, mainly from our sale of certain Gas product lines from our manufacturing and business operations in Europe and North America to Dresser during the first quarter of 2022. This accounted for $15.3 million of the decrease. In addition, we discontinued the production of certain legacy Electric products in Asia Pacific and EMEA. Changes in foreign currency exchange rates favorably impacted revenues by $3.8 million.</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Gross margin was 23.2% in 2023 compared with 14.1% in 2022. The 910 basis point increase was primarily due to improved price cost dynamics. There were also improved manufacturing efficiencies and product mix.</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Operating expenses increased $5.2 million, or 15%, in 2023 compared with 2022. The increase was primarily due to an increase in research and development and marketing costs stemming from higher variable compensation.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Networked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Networked Solutions segment financial results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vMerge w:val="restart"/>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6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2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1,450,291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1,119,268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331,023</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137,750</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17,097</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Revenues increased by $331.0 million, or 30%, in 2023 compared with 2022. The increase was primarily due to the ramp of new and existing customer deployments and improving component supply enabling our ability to fulfill more customer demand. This includes higher product revenue of $329.4 million and higher service revenue of $1.6 million.</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was 34.5% in 2023 compared with 32.3% in 2022. The increase of 220 basis points was primarily due to favorable product and solutions mix, improved operational efficiencies, and improving price cost dynamics.</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increased by $17.1 million, or 15%, in 2023 compared with 2022. The increase was primarily driven by higher research and development and marketing costs.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Outcomes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Outcomes segment financial results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vMerge w:val="restart"/>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2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237,586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30,030</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9,830</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increased $30.0 million, or 13%, in 2023 compared with 2022. The increase in revenue was driven by higher hardware sales, managed services, grid operations, and distributed energy management. Changes in foreign currency exchange rates unfavorably impacted revenues by $0.2 million.</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Gross margin decreased to 40.5% in 2023 compared with 41.4% for last year. The 90 basis point decrease was driven by increased variable compensation costs, which was partially offset by favorable revenue mix and foreign exchange.</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increased $5.7 million, or 11%, in 2023 compared with 2022. This increase was primarily related to increased research and development investment and marketing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expenses not directly associated with an operating segment are classified as Corporate unallocated. These expenses increased $27.4 million in 2023 as compared with 2022. This was due to an increase of $57.6 million in restructuring related primarily to the 2023 Projects, as well as $15.1 million increase in sales, general and administrative expenses. The increase in sales, general, and administrative expenses was primarily driven by increased labor costs, including variable compensation. The increases were partially offset by $38.5 million in goodwill impairment within our Device Solutions reporting unit, recognized in 2022. Amortization of intangible assets decreased $6.8 million as compared with 2022. Refer to Item 8: Financial Statements and Supplementary Data Note 5: Goodwill and Note 13: Restructuring for more details.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124,971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154,794</w:t>
            </w:r>
          </w:p>
        </w:tc>
      </w:tr>
      <w:tr>
        <w:trPr>
          <w:trHeight w:val="21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provided by (used in) investing activities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(34,884)</w:t>
            </w:r>
          </w:p>
        </w:tc>
      </w:t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(152,887)</w:t>
            </w:r>
          </w:p>
        </w:tc>
      </w:tr>
      <w:tr>
        <w:trPr>
          <w:trHeight w:val="213"/>
        </w:trPr>
        <w:tc>
          <w:tcPr>
            <w:tcW w:w="6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Cash classified within assets held for sale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(9,750)</w:t>
            </w:r>
          </w:p>
        </w:tc>
      </w:t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r>
      <w:tr>
        <w:trPr>
          <w:trHeight w:val="207"/>
        </w:trPr>
        <w:tc>
          <w:tcPr>
            <w:tcW w:w="6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100,042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39,428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(44,354)</w:t>
            </w:r>
          </w:p>
        </w:tc>
      </w:tr>
      <w:tr>
        <w:trPr>
          <w:trHeight w:val="23"/>
        </w:trPr>
        <w:tc>
          <w:tcPr>
            <w:tcW w:w="6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at December 31, 2023 was $302.0 million compared with $202.0 million at December 31, 2022. The $100.0 million increase in cash and cash equivalents in the 2023 period was primarily the result of increase in cash flows from operating activities in 2023, slightly offset by an increase in cash paid for acquisition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Cash provided by operating activities in 2023 was $100.5 million higher than in 2022. This increase was primarily due to increased earnings and lower variable compensation payments in 2023, partially offset by changes in working capital (current assets less current liabilities) compared with 2022.</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in 2023 was $23.3 million, compared with net cash provided by investing activities in 2022 of $40.5 million. This movement was primarily related to net cash proceeds received from the sale of certain Gas product lines from our Device Solutions manufacturing and business operations in Europe and North America to Dresser for $55.9 million in 2022, along with $7.1 million increased purchases of property, plant, and equipment in 2023.</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cash used in financing activities during 2023 was $3.5 million, compared with $18.7 million. In 2022, we repurchased shares of Itron common stock totaling $17.0 million, and there were no repurchases in 2023.</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classified within assets held for sale</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Cash classified within assets held for sale was $9.8 million as of December 31, 2021, which was related to the sale of certain Gas product lines from our Device Solutions manufacturing and business operations in Europe and North America to Dresser, which closed on February 28, 2022.</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effect of exchange rates on the cash balances of currencies held in foreign denominations resulted in an increase of $1.9 million in 2023 and a decrease of $6.9 million in 2022. Our foreign currency exposure relates to non-U.S. dollar denominated balances in our international subsidiary operations.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(Non-GAAP)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(loss) as an indicator of our performance, or as an alternative to cash flows from operating activities as a measure of liquidity. We calculate free cash flows, using amounts from our Consolidated Statements of Cash Flows,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124,971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24,500</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(19,747)</w:t>
            </w:r>
          </w:p>
        </w:tc>
      </w:tr>
      <w:tr>
        <w:trPr>
          <w:trHeight w:val="237"/>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Free cash flow</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98,087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increased due to higher operating cash flow, partially offset by higher spending for property, plant, and equipment. See the cash flow discussion of operating and investing activities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Offering</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12, 2021, we closed the sale of 4,472,222 shares of our common stock in a public offering, resulting in net proceeds to us of $389.4 million, after deducting underwriters' discounts of the offering, and we closed the sale of the convertible notes in a private placement to qualified institutional buyers, resulting in net proceeds to us of $448.5 million after deducting initial purchasers' discounts of the offering. Concurrently with the issuance of the convertible notes, we entered into the convertible note hedge transactions and warrant transactions. For further description of these transactions, refer to Item 8: Financial Statements and Supplementary Data, Note 6: Debt and Note 14: Shareholders' Equity for further details of the convertible note hedge transactions and warrant transactions.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originally entered into our credit facility on January 5, 2018 (together with the subsequent seven amendments, the 2018 credit facility). The 2018 credit facility provides a multicurrency revolving line of credit (the revolver) with a principal amount of up to $500 million. The revolver also contains a $300 million standby letter of credit sub-facility and a $50 million swingline sub-facility. At December 31, 2023, no amount was outstanding under the 2018 credit facility, and $59.1 million was utilized by outstanding standby letters of credit, resulting in $440.9 million available for borrowing or standby letters of credit under the revolver. At December 31, 2023, $240.9 million was available for additional standby letters of credit under the letter of credit sub-facility, and no amounts were outstanding under the swingline sub-facility. Amounts borrowed under the revolver may be repaid and reborrowed until the revolver's maturity on October 18, 2026, at which time all outstanding loans together with all accrued and unpaid interest must be repaid. However, that date may be advanced to December 14, 2025 if Itron does not settle or extend a sufficient portion of outstanding convertible notes, as detailed in the seventh amendment.</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12, 2021, we closed the sale of $460 million in convertible notes in a private placement to qualified institutional buyers. The convertible notes do not bear regular interest, and the principal amount does not accrete. The convertible notes will mature on March 15, 2026, unless earlier repurchased, redeemed, or converted in accordance with their terms.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description of our borrowings, refer to Item 8: Financial Statements and Supplementary Data, Note 6: Debt. Refer to Item 8: Financial Statements and Supplementary Data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Note 2: Earnings Per Share and Note 14: Shareholders' Equity for further details of the convertible note hedge transactions and warrant transactions.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8: Financial Statements and Supplementary Data, Note 12: Commitments and Contingencies.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17, 2020, our Board of Directors approved a restructuring plan (the 2020 Projects). The 2020 Projects include activities that continue our efforts to optimize global supply chain and manufacturing operations, sales and marketing organizations, and other overhead. These projects were substantially complete by the end of 2023, with an estimated $2 million in cash payments remaining as of December 31, 2023 and with cash outflows expected through 2025.</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(refer to Item 8: Financial Statements and Supplementary Data, Note 18: Sale of Businesses), includes activities to drive reductions in certain locations and functional support areas. These projects are expected to be substantially complete by the end of 2024, with an estimated $25 million in cash payments remaining as of December 31, 2023 and with cash outflows expected through 2025.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expected to be substantially complete by early 2025, with an estimated $48 million in cash payments remaining as of December 31, 2023 and with cash outflows expected through 2027.</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we paid out $16.5 million related to all our restructuring projects. As of December 31, 2023, $72.4 million was accrued for these restructuring projects, of which $21.0 million is expected to be paid within the subsequent 12 months.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details regarding our restructuring activities, refer to Item 8: Financial Statements and Supplementary Data, Note 13: Restructuring.</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May 11, 2023, Itron's Board of Directors authorized a share repurchase up to $100 million of our common stock over an 18-month period (the 2023 Stock Repurchase Program). Repurchases will be made in the open market pursuant to the terms of any Rule 10b5-1 plans that we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There have been no repurchases under the 2023 Stock Repurchase Program through February 26, 2024.</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contractual obligations and commitments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lease obligations are disclosed in Item 8: Financial Statements and Supplementary Data, Note 19: Leases and do not include common area maintenance charges, real estate taxes, and insurance charges for which we are obligated. Amounts due under operating lease liabilities during 2024 are $16.6 million and are $34.9 million for 2025 and beyond.</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regularly enter into standard purchase orders in the ordinary course of business that may obligate us to purchase materials and other items but may not yet qualify for recognition in our Consolidated Balance Sheets. Purchase orders and other purchase obligations can include open-ended agreements that provide for estimated quantities over an extended delivery period. At December 31, 2023, purchase orders and other purchase obligations were $561.9 million, which includes capital expenditures of $10.1 million. The purchase orders may include durations longer than one year, but these long-term agreements generally contain termination clauses that could require payment if the commitments were canceled, and as such the total above is considered short-term as of December 31, 2023.</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long-term liabilities consist of warranty obligations, estimated pension benefit payments, and other obligations. Estimated pension benefit payments include amounts to be paid from our assets for unfunded plans and reflect expected future service. The following table summarizes our known obligations to make future payments pursuant to certain contracts as of December 31, 2023.</w:t>
      </w:r>
    </w:p>
    <w:tbl>
      <w:tblPr>
        <w:tblLayout w:type="fixed"/>
        <w:tblInd w:w="0" w:type="dxa"/>
        <w:tblCellMar>
          <w:top w:w="0" w:type="dxa"/>
          <w:left w:w="0" w:type="dxa"/>
          <w:bottom w:w="0" w:type="dxa"/>
          <w:right w:w="0" w:type="dxa"/>
        </w:tblCellMar>
      </w:tblPr>
      <w:tr>
        <w:trPr>
          <w:trHeight w:val="167"/>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900" w:type="dxa"/>
            <w:vAlign w:val="bottom"/>
          </w:tcPr>
          <w:p>
            <w:pPr>
              <w:spacing w:after="0"/>
              <w:rPr>
                <w:sz w:val="14"/>
                <w:szCs w:val="14"/>
                <w:color w:val="auto"/>
              </w:rPr>
            </w:pP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Next 12 months</w:t>
            </w:r>
          </w:p>
        </w:tc>
        <w:tc>
          <w:tcPr>
            <w:tcW w:w="180" w:type="dxa"/>
            <w:vAlign w:val="bottom"/>
          </w:tcPr>
          <w:p>
            <w:pPr>
              <w:spacing w:after="0"/>
              <w:rPr>
                <w:sz w:val="14"/>
                <w:szCs w:val="14"/>
                <w:color w:val="auto"/>
              </w:rPr>
            </w:pPr>
          </w:p>
        </w:tc>
        <w:tc>
          <w:tcPr>
            <w:tcW w:w="1460" w:type="dxa"/>
            <w:vAlign w:val="bottom"/>
          </w:tcPr>
          <w:p>
            <w:pPr>
              <w:jc w:val="right"/>
              <w:ind w:right="179"/>
              <w:spacing w:after="0" w:line="167" w:lineRule="exact"/>
              <w:rPr>
                <w:sz w:val="20"/>
                <w:szCs w:val="20"/>
                <w:color w:val="auto"/>
              </w:rPr>
            </w:pPr>
            <w:r>
              <w:rPr>
                <w:rFonts w:ascii="Times New Roman" w:cs="Times New Roman" w:eastAsia="Times New Roman" w:hAnsi="Times New Roman"/>
                <w:sz w:val="16"/>
                <w:szCs w:val="16"/>
                <w:b w:val="1"/>
                <w:bCs w:val="1"/>
                <w:color w:val="auto"/>
              </w:rPr>
              <w:t>Beyond the next</w:t>
            </w:r>
          </w:p>
        </w:tc>
        <w:tc>
          <w:tcPr>
            <w:tcW w:w="0" w:type="dxa"/>
            <w:vAlign w:val="bottom"/>
          </w:tcPr>
          <w:p>
            <w:pPr>
              <w:spacing w:after="0"/>
              <w:rPr>
                <w:sz w:val="1"/>
                <w:szCs w:val="1"/>
                <w:color w:val="auto"/>
              </w:rPr>
            </w:pPr>
          </w:p>
        </w:tc>
      </w:tr>
      <w:tr>
        <w:trPr>
          <w:trHeight w:val="214"/>
        </w:trPr>
        <w:tc>
          <w:tcPr>
            <w:tcW w:w="5120" w:type="dxa"/>
            <w:vAlign w:val="bottom"/>
            <w:vMerge w:val="continue"/>
          </w:tcPr>
          <w:p>
            <w:pPr>
              <w:spacing w:after="0"/>
              <w:rPr>
                <w:sz w:val="18"/>
                <w:szCs w:val="18"/>
                <w:color w:val="auto"/>
              </w:rPr>
            </w:pPr>
          </w:p>
        </w:tc>
        <w:tc>
          <w:tcPr>
            <w:tcW w:w="29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0" w:type="dxa"/>
            <w:vAlign w:val="bottom"/>
          </w:tcPr>
          <w:p>
            <w:pPr>
              <w:spacing w:after="0"/>
              <w:rPr>
                <w:sz w:val="1"/>
                <w:szCs w:val="1"/>
                <w:color w:val="auto"/>
              </w:rPr>
            </w:pPr>
          </w:p>
        </w:tc>
      </w:tr>
      <w:tr>
        <w:trPr>
          <w:trHeight w:val="211"/>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obligations</w:t>
            </w:r>
          </w:p>
        </w:tc>
        <w:tc>
          <w:tcPr>
            <w:tcW w:w="2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pension benefit payments</w:t>
            </w:r>
          </w:p>
        </w:tc>
        <w:tc>
          <w:tcPr>
            <w:tcW w:w="29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63,887</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period of cash settlement for long-term unrecognized tax benefits, which include accrued interest and penalties, cannot be reasonably estimated with the respective taxing authorities. For further information on defined benefit pension plans, income taxes, warranty obligations, and unearned revenue for extended warranties, refer to Item 8: Financial Statements and Supplementary Data, Note 8: Defined Benefit Pension Plans, Note 11: Income Taxes, Note 12: Commitments and Contingencies, and Note 17: Revenues.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tax provision as a percentage of income before tax typically differs from the U.S. federal statutory rate of 21%. Changes in our actual tax rate are subject to several factors, including fluctuations in operating results, new or revised tax legislation and accounting pronouncements, changes in the level of business in domestic and foreign jurisdictions, research and development tax credits, state income taxes, adjustments to valuation allowances, settlement of tax audits, and uncertain tax positions, among other items. Changes in tax laws, valuation allowances, and unanticipated tax liabilities could significantly impact our tax rate.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income tax payments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taxes paid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income taxes paid</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and local income taxes paid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7,129</w:t>
            </w:r>
          </w:p>
        </w:tc>
      </w:tr>
      <w:tr>
        <w:trPr>
          <w:trHeight w:val="207"/>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income taxes paid</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54,550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11,915</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current projections, we expect to pay, net of refunds, approximately $41 million in U.S. federal and state taxes and $25 million in foreign and local income taxes in 2024.</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there was $59.6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many factors that we consider in the management of global cash. Accordingly, the amount of taxes that we would need to accrue and pay to repatriate foreign cash could vary significantly.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certain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December 31, 2023, $8.9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expect cash payments of approximately $60 million for variable compensation during the first quarter of 2024.</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our dependence on certain key vendors and components, changes in estimated liabilities for product warranties and/or litigation, supply constraints, future business combinations, capital market fluctuations, international risks, and other factors described under Part I, Item 1A: Risk Factors, as well as Item 7A: Quantitative and Qualitative Disclosures About Market Risk.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8: Financial Statements and Supplementary Data, Note 12: Commitments and Contingencies.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include revenue recognition, warranty, restructuring, income taxes, goodwill and intangible assets, defined benefit pension plans, contingencies, and stock-based compensation. Refer to Item 8: Financial Statements and Supplementary Data, Note 1: Summary of Significant Accounting Policies for further disclosures regarding accounting policies and new accounting pronouncements.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Many of our revenue arrangements involve multiple performance obligations, consisting of hardware, software, and professional services such as implementation, project management, installation, consulting services, cloud services, and SaaS. These arrangements require us to determine the standalone selling price of the promised goods or services underlying each performance obligation and then allocate the total arrangement consideration among the separate performance obligations based on their relative standalone selling price. Revenues for each performance obligation are then recognized upon transfer of control to the customer at a point in time as products are shipped or received by a customer, or over time as services are delivered. The majority of our revenue is recognized at a point in time when products are shipped to or received by a customer. Certain contracts that contain multiple performance obligations may contain customer-specific terms and conditions that govern service level commitments, transfer of control, and variable consideration that may involve complex accounting considerations.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Professional services revenues are recognized over time. We measure progress towards satisfying these performance obligations using input methods, most commonly based on the costs incurred in relation to the total expected costs to provide the service. The estimate of expected costs to provide services requires judgment. Cost estimates take into consideration past history and the specific scope requested by the customer and are updated quarterly. Other variables impacting our estimate of costs to complete include length of time to complete, changes in wages, subcontractor performance, supplier information, and business volume assumptions. Changes in underlying assumptions and estimates may adversely or favorably affect financial performance.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estimate that the completion of a performance obligation will result in a loss, then the loss is recognized in the period in which the loss becomes evident. We reevaluate the estimated loss through the completion of the performance obligation and adjust the estimated loss for changes in facts and circumstances.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contracts with customers include variable consideration, which can include liquidated damage provisions, rebates and volume and early payment discounts, or software licenses sold where the amount of consideration is dependent on the number of endpoints deployed. We estimate variable consideration using the expected value method, taking into consideration contract terms, historical customer behavior, and historical sales. Some of our contracts with customers contain clauses for liquidated damages related to the timing of delivery or milestone accomplishments, which could become material in the event of failure to meet the contractual deadlines. At the inception of the arrangement and on an ongoing basis, we evaluate the probability of having to pay liquidated damages and the magnitude of such damages. In the case of liquidated damages, we also take into consideration progress towards meeting contractual milestones, including whether milestones have not been achieved, specified rates, if applicable, stated in the contract, and history of paying liquidated damages to the customer or similar customers.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revenue arrangements include an extended or customer-specific warranty provision that covers all or a portion of a customer's replacement or repair costs beyond the standard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customer-specific warranties do not represent a significant portion of our revenue.</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allocate consideration to each performance obligation in an arrangement based on its relative standalone selling price.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maximize the use of observable inputs and consider several factors, including our pricing practices, costs to provide a good or service, the type of good or service, and availability of other transactional data, among others.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contracts may be modified to add, remove, or change existing performance obligations or change the contract price. The accounting for modifications to our contracts involves assessing whether the products or services added to an existing contract are distinct and whether the pricing is at the standalone selling price. Products or services added that are not distinct are accounted for as if it were part of the existing contract. The effect of the modification on the transaction price and on the measure of progress is recognized as an adjustment to revenue as of the date of the modification (i.e., on a cumulative catch-up basis). Those products or services that are distinct are accounted for prospectively, either as a separate contract if the additional services are priced at the standalone selling price, or as a termination of the existing contract and creation of a new contract if not priced at the standalone selling price.</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offer standard warranties on our hardware products and large application software products. We accrue the estimated cost of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our products, we may experience an increase in warranty claims. We track warranty claims to identify potential warranty trends. If an unusual trend is identified, an additional warranty accrual would be recognized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If the employee must provide future service, such benefits are recognized ratably over the future service period. For contract termination costs, we recognize a liability upon the later of when we terminate a contract in accordance with the contract terms or when we cease using the rights conveyed by the contract, whichever occurs later.</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estimates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recognized.</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income tax expense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research and development tax credits, state income taxes, adjustments to valuation allowances, settlement of tax audits, and uncertain tax positions, among other items. Changes in tax laws, valuation allowances, and unanticipated tax liabilities could significantly impact our tax rate.</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our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 if estimates of future taxable income during the carryforward periods are reduced.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audits in multiple taxing jurisdictions in which we operate. These audits may involve complex issues, which may require an extended period of time to resolve. We believe we have recognized adequate income tax provisions and reserves for uncertain tax positions.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Goodwill and intangible assets may result from our business acquisitions. Intangible assets may also result from the purchase of assets and intellectual property where we do not acquire a business.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In-process research and development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circumstances indicate the asset may be impaired, or when their useful lives are determined to be no longer indefinite.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Each reporting unit corresponds with its respective operating segment.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impairment test. The impairment test involves comparing the fair values of the reporting units to their carrying amounts. If the carrying amount of a reporting unit exceeds its fair value, we first evaluate the long-lived assets within the reporting unit for impairment and then recognize a goodwill impairment loss in an amount equal to any excess.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business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market demand, fluctuations in the markets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position.</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for our international employees, primarily in Germany, France, India, and Indonesia.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which arise during the period but are not recognized as components of net periodic benefit cost.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increases. The discount rate is a significant assumption used to value our pension benefit obligation. We determine a discount rate for our plans based on the estimated duration of each plan's liabilities. For euro denominated defined benefit pension plans, which represent 84% of our projected benefit obligation, we use discount rates with consideration of the duration of each of the plans, using a hypothetical yield curve developed from euro-denominated AA-rated corporate bond issues. These bonds are assigned different weights to adjust their relative influence on the yield curve, and the highest and lowest yielding 10% of bonds are excluded within each maturity group. The discount rate used was 3.25%. The weighted average discount rate used to measure the projected benefit obligation for all of the plans at December 31, 2023 was 3.74%. A change of 100 basis points in the discount rate would change our projected benefit obligation by approximately $10.0 million. The financial and actuarial assumptions used at December 31, 2023 may differ materially from actual results due to changing market and economic conditions and other factors. These differences could result in a significant change in the amount of pension expense recognized in future periods.</w:t>
      </w: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recognized. Changes in these factors and related estimates could materially affect our financial position and results of operations. Legal costs to defend against contingent liabilities are recognized as incurred.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grant various stock-based compensation awards to our officers, employees, and Board of Directors with service, performance, and market vesting conditions, including restricted stock units, phantom stock units, and unrestricted stock units (awards). Prior to December 31, 2020, stock options were also granted as part of the stock-based compensation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if vesting is probable, we expense the stock-based compensation on a straight-line basis over the requisite service period for each separately vesting portion of the award. For awards with a market condition, we expense the fair value over the requisite service period.</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measure and recognize compensation expense for all stock-based compensation based on estimated fair values. The fair value of unrestricted stock awards with no market conditions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 For stock options, the fair value was estimated at the date of grant using the Black-Scholes option-pricing model, which included assumptions for the expected volatility, risk-free interest rate, expected term and dividend yield.</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valuing our restricted stock units with a market condition and stock options, significant judgment is required in determining the expected volatility of our common stock and the expected life that individuals will hold their stock options prior to exercising. The volatility for our restricted stock units with a market condition is based on the historical volatility of our own stock and the stock for companies comprising the market index within the market condition. The expected volatility for stock options was based on the historical and implied volatility of our own common stock. The expected life of stock option grants was derived from the historical actual term of option grants and an estimate of future exercises during the remaining contractual period of the option. While volatility and estimated life are assumptions that do not bear the risk of change subsequent to the grant date, these assumptions may be difficult to measure as they represent future expectations based on historical experience. Further, our expected volatility and expected life may change in the future, which could substantially change the grant-date fair value of future awards and ultimately the expense we recognize. Actual results and future estimates may differ substantially from our current estimates.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loss on sale of businesses, strategic initiative expenses, software project impairment, Russian currency translation write-off, goodwill impairment,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Non-GAAP operating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operating income </w:t>
      </w:r>
      <w:r>
        <w:rPr>
          <w:rFonts w:ascii="Times New Roman" w:cs="Times New Roman" w:eastAsia="Times New Roman" w:hAnsi="Times New Roman"/>
          <w:sz w:val="18"/>
          <w:szCs w:val="18"/>
          <w:color w:val="auto"/>
        </w:rPr>
        <w:t>– We define non-GAAP operating expenses as operating expenses excluding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amortization of intangible assets, restructuring, loss on sale of businesses, strategic initiative expenses, software project impairment, Russian currency translation write-off, goodwill impairment, and acquisition and integration related expenses. We define non-GAAP operating income as operating income (loss) excluding the expenses related to the amortization of intangible assets, restructuring, loss on sale of businesses, strategic initiative expenses,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software project impairment, Russian currency translation write-off, goodwill impairment, and acquisition and integration related expenses.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(loss)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 (loss).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Non-GAAP net income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diluted EPS </w:t>
      </w:r>
      <w:r>
        <w:rPr>
          <w:rFonts w:ascii="Times New Roman" w:cs="Times New Roman" w:eastAsia="Times New Roman" w:hAnsi="Times New Roman"/>
          <w:sz w:val="18"/>
          <w:szCs w:val="18"/>
          <w:color w:val="auto"/>
        </w:rPr>
        <w:t>– We define non-GAAP net income as net income (loss) attributable to Itron, Inc. excluding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associated with amortization of intangible assets, amortization of debt placement fees, restructuring, loss on sale of businesses, strategic initiative expenses, software project impairment, Russian currency translation write-off, goodwill impairment, acquisition and integration related expenses,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transactions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(loss) attributable to Itron, Inc. and GAAP diluted EPS.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 We define adjusted EBITDA as net income (loss) (a) minus interest income, (b) plus interest expense,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loss on sale of businesses, strategic initiative expenses, software project impairment, Russian currency translation write-off, goodwill impairment,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 We define free cash flow as net cash provided by operating activities less cash used for acquisitions of property, plant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w:t>
      </w:r>
      <w:r>
        <w:rPr>
          <w:rFonts w:ascii="Times New Roman" w:cs="Times New Roman" w:eastAsia="Times New Roman" w:hAnsi="Times New Roman"/>
          <w:sz w:val="18"/>
          <w:szCs w:val="18"/>
          <w:color w:val="auto"/>
        </w:rPr>
        <w:t>– We refer to the impact of foreign currency exchange rate fluctuations in our discussions of financial results, which references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 RECONCILIATIONS</w:t>
            </w:r>
          </w:p>
        </w:tc>
        <w:tc>
          <w:tcPr>
            <w:tcW w:w="3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8"/>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GAAP operating expenses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585,041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529,628</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(25,717)</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13,625</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Software project impairment</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(8,719)</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Russian currency translation write-off</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r>
      <w:tr>
        <w:trPr>
          <w:trHeight w:val="216"/>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12"/>
        </w:trPr>
        <w:tc>
          <w:tcPr>
            <w:tcW w:w="7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521,328</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463,766</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GAAP operating income (loss)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128,867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(7,439)</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25,717</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(13,625)</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Software project impairment</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8,719</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Russian currency translation write-off</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38,480</w:t>
            </w:r>
          </w:p>
        </w:tc>
      </w:tr>
      <w:tr>
        <w:trPr>
          <w:trHeight w:val="216"/>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12"/>
        </w:trPr>
        <w:tc>
          <w:tcPr>
            <w:tcW w:w="7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Non-GAAP operating income</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192,580</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58,423</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&amp; DILUTED EPS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GAAP net income (loss) attributable to Itron, Inc.</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(9,732)</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25,717</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placement fees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3,323</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(13,625)</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Software project impairment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8,719</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Russian currency translation write-off</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38,480</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19"/>
        </w:trPr>
        <w:tc>
          <w:tcPr>
            <w:tcW w:w="784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Income tax effect of non-GAAP adjustments </w:t>
            </w:r>
            <w:r>
              <w:rPr>
                <w:rFonts w:ascii="Times New Roman" w:cs="Times New Roman" w:eastAsia="Times New Roman" w:hAnsi="Times New Roman"/>
                <w:sz w:val="21"/>
                <w:szCs w:val="21"/>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(8,466)</w:t>
            </w:r>
          </w:p>
        </w:tc>
      </w:tr>
      <w:tr>
        <w:trPr>
          <w:trHeight w:val="210"/>
        </w:trPr>
        <w:tc>
          <w:tcPr>
            <w:tcW w:w="7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153,786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50,987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Non-GAAP diluted EPS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Non-GAAP weighted average common shares outstanding - Diluted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45,836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45,305</w:t>
            </w: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r>
      <w:tr>
        <w:trPr>
          <w:trHeight w:val="831"/>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 RECONCILIATIONS</w:t>
            </w:r>
          </w:p>
        </w:tc>
        <w:tc>
          <w:tcPr>
            <w:tcW w:w="3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8"/>
        </w:trPr>
        <w:tc>
          <w:tcPr>
            <w:tcW w:w="7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GAAP net income (loss) attributable to Itron, Inc.</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(9,732)</w:t>
            </w: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w:t>
            </w: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w:t>
            </w: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(6,196)</w:t>
            </w: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66,763</w:t>
            </w: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(13,625)</w:t>
            </w: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w:t>
            </w: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Software project impairment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8,719</w:t>
            </w: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Russian currency translation write-off</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38,480</w:t>
            </w:r>
          </w:p>
        </w:tc>
      </w:tr>
      <w:tr>
        <w:trPr>
          <w:trHeight w:val="213"/>
        </w:trPr>
        <w:tc>
          <w:tcPr>
            <w:tcW w:w="78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37"/>
        </w:trPr>
        <w:tc>
          <w:tcPr>
            <w:tcW w:w="78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EBITDA</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225,584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95,071</w:t>
            </w:r>
          </w:p>
        </w:tc>
      </w:tr>
      <w:tr>
        <w:trPr>
          <w:trHeight w:val="20"/>
        </w:trPr>
        <w:tc>
          <w:tcPr>
            <w:tcW w:w="784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124,971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24,500</w:t>
            </w:r>
          </w:p>
        </w:tc>
      </w:tr>
      <w:tr>
        <w:trPr>
          <w:trHeight w:val="216"/>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(19,747)</w:t>
            </w:r>
          </w:p>
        </w:tc>
      </w:tr>
      <w:tr>
        <w:trPr>
          <w:trHeight w:val="212"/>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Free Cash Flow</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98,087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4,753</w:t>
            </w:r>
          </w:p>
        </w:tc>
      </w:tr>
      <w:tr>
        <w:trPr>
          <w:trHeight w:val="21"/>
        </w:trPr>
        <w:tc>
          <w:tcPr>
            <w:tcW w:w="12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340" w:hanging="332"/>
        <w:spacing w:after="0" w:line="225"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income tax effect of non-GAAP adjustments is calculated using the statutory tax rates for the relevant jurisdictions if no valuation allowance exists. If a valuation allowance exists, there is no tax impact to the non-GAAP adjustment.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may be exposed to interest rate risk through our variable rate debt instruments, namely the multicurrency revolving line of credit. At December 31, 2023, we had no outstanding variable rate debt.</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a number of countries. Revenues denominated in functional currencies other than the U.S. dollar were 24% of total revenues for the year ended December 31, 2023, compared with 30% for the year ended December 31, 2022 and 38% for the year ended December 31, 2021.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December 31, 2023, a total of 42 contracts were offsetting our exposures from the euro, pound sterling,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Indonesian rupiah, Canadian dollar, Australian dollar, and various other currencies, with notional amounts ranging from $117,000 to $23.4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52" w:lineRule="exact"/>
        <w:rPr>
          <w:sz w:val="20"/>
          <w:szCs w:val="20"/>
          <w:color w:val="auto"/>
        </w:rPr>
      </w:pPr>
    </w:p>
    <w:p>
      <w:pPr>
        <w:ind w:right="506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Itron,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Itron, Inc. and subsidiaries (the "Company") as of December 31, 2023 and 2022, the related consolidated statements of operations, comprehensive income (loss),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26, 2024,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 Revenue arrangements involving multiple performance obligations — Refer to Notes 1 and 17 to the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the Company's revenue arrangements involve multiple performance obligations consisting of hardware, license of software, cloud services and SaaS and professional services such as software implementation services, project management services, installation services, consulting services, post-sale maintenance support, and extended or customer specific warranties. These contracts may contain customer-specific business terms and conditions, including service level commitments, variable consideration, and terms that govern when the customer has taken control. Additionally, these contracts may be modified from time to time as the Company delivers under the contract. These customer-specific business terms and conditions and modifications may involve complex accounting considerations, including determining whether the Company has enforceable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rights and obligations, whether contract modifications represent new contracts or modification of existing contracts, whether certain performance obligations are distinct, and other considerations that may impact the timing of revenue recognition.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evaluation of these factors is executed in accordance with the ASC 606 revenue recognition framework and requires significant management judgment that could affect the amount and timing of revenue recognition over the contractual period. The computations to recognize revenue under the ASC 606 revenue recognition framework can be complex and require a significant volume of data input. Additionally, there can be complexity in the computations and entries made to record the related contract assets and liabilities at the balance sheet date. Given the challenge in auditing the judgments and computations made in determining revenue recognition for these multiple performance obligation arrangements with customer-specific business terms and conditions and modifications, we identified revenue recognition as a critical audit matter.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procedures related to (1) determining whether the Company has enforceable rights and obligations, whether contract modifications represent new contracts or modifications, whether certain performance obligations are distinct and other considerations that may impact the timing of revenue recognition and (2) the completeness and accuracy of the revenue recognition computations and entries used to recognize revenue included the following, among others:</w:t>
      </w:r>
    </w:p>
    <w:p>
      <w:pPr>
        <w:spacing w:after="0" w:line="207" w:lineRule="exact"/>
        <w:rPr>
          <w:sz w:val="20"/>
          <w:szCs w:val="20"/>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contract reviews, including management's use of checklists and other review procedures to determine whether customer-specific business terms are evident in the contract and whether accounting conclusions regarding enforceable rights and obligations, contract modifications, distinct products and services, and other considerations that may impact the timing of revenue recognition are appropriately applied.</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revenue recognition computations and entries to determine whether the computations and entries appropriately reflect the accounting conclusions for these contracts. Such controls included (1) the review of the completeness and accuracy of data input into the computations and entries and (2) the review of the mathematical accuracy of the computations and entries.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contracts with customers that included existing contracts, new contracts and contract modifications, we:</w:t>
      </w:r>
    </w:p>
    <w:p>
      <w:pPr>
        <w:spacing w:after="0" w:line="63" w:lineRule="exact"/>
        <w:rPr>
          <w:rFonts w:ascii="Times New Roman" w:cs="Times New Roman" w:eastAsia="Times New Roman" w:hAnsi="Times New Roman"/>
          <w:sz w:val="18"/>
          <w:szCs w:val="18"/>
          <w:color w:val="auto"/>
        </w:rPr>
      </w:pPr>
    </w:p>
    <w:p>
      <w:pPr>
        <w:ind w:left="1300" w:hanging="405"/>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management's identification of customer-specific terms, whether the Company had enforceable rights and obligations, whether contract modifications represented new contracts or modifications to existing contracts, whether customer-specific terms introduced new or implied performance obligations, or other factors influencing the timing, nature and amount of revenue recognized, and assessed management's conclusions regarding accounting treatment. Our procedures included reading the selected contracts and inquiring of the Company's operational personnel to understand the nature of the contract and its business purpose, as well as evaluating management's conclusions.</w:t>
      </w:r>
    </w:p>
    <w:p>
      <w:pPr>
        <w:spacing w:after="0" w:line="25" w:lineRule="exact"/>
        <w:rPr>
          <w:rFonts w:ascii="Times New Roman" w:cs="Times New Roman" w:eastAsia="Times New Roman" w:hAnsi="Times New Roman"/>
          <w:sz w:val="18"/>
          <w:szCs w:val="18"/>
          <w:color w:val="auto"/>
        </w:rPr>
      </w:pPr>
    </w:p>
    <w:p>
      <w:pPr>
        <w:ind w:left="1300" w:hanging="405"/>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whether the identified accounting conclusions were appropriately reflected in the revenue recognition computations and entries.</w:t>
      </w:r>
    </w:p>
    <w:p>
      <w:pPr>
        <w:spacing w:after="0" w:line="260"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the accuracy and completeness of the data used in the computations and entries to record revenue.</w:t>
      </w:r>
    </w:p>
    <w:p>
      <w:pPr>
        <w:spacing w:after="0" w:line="63"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mathematical accuracy of revenue recognition computations and entries.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 U.S. Valuation Allowance — Refer to Note 11 to the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the Company's ability to realize its U.S. deferred tax assets, management considers all available favorable and unfavorable evidence, including scheduled reversals of deferred tax liabilities, projected future taxable income, tax planning strategies, and the ability to carry losses to prior years. The Company will recognize valuation allowances to reduce deferred tax assets to the extent they believe it is more likely than not that a portion of such assets will not be realized. The most sensitive and critical factors in this determination are the projection, source, and character of future taxable income.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Company's determination of the realizability of U.S. deferred tax assets as a critical audit matter because there is significant judgment required by management, specifically considering the realization of U.S. losses before income taxes in recent years, to conclude that it is more likely than not that these U.S. deferred tax assets will be realized in future periods. In addition, the auditing of these elements involved complex and subjective auditor judgment, including the need to involve personnel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audit procedures to evaluate management's determination that sufficient taxable income will be generated to realize U.S. deferred tax assets included the following, among others:</w:t>
      </w:r>
    </w:p>
    <w:p>
      <w:pPr>
        <w:spacing w:after="0" w:line="189" w:lineRule="exact"/>
        <w:rPr>
          <w:sz w:val="20"/>
          <w:szCs w:val="20"/>
          <w:color w:val="auto"/>
        </w:rPr>
      </w:pPr>
    </w:p>
    <w:p>
      <w:pPr>
        <w:ind w:left="66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design and operating effectiveness of internal controls over income taxes, specifically those controls over the evaluation of the realizability of deferred tax assets.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estimates in regard to the ability to generate future taxable income and utilize the deferred tax assets by evaluating the forecast of future taxable income, including testing of management's forecasts against the Company's historical performance as adjusted for nonrecurring items, and evaluating total backlog supporting future revenues.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estimates of future taxable income were consistent with evidence obtained in other areas of the audit.</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personnel with specialized knowledge and skill in income taxes and accounting for income taxes under ASC 740 to assist in the evaluation of management's assessment of positive and negative evidence and their conclusion that it is more likely than not that the Company will realize the benefit of its U.S. deferred tax assets.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68"/>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3300" w:type="dxa"/>
            <w:vAlign w:val="bottom"/>
          </w:tcPr>
          <w:p>
            <w:pPr>
              <w:spacing w:after="0"/>
              <w:rPr>
                <w:sz w:val="24"/>
                <w:szCs w:val="24"/>
                <w:color w:val="auto"/>
              </w:rPr>
            </w:pPr>
          </w:p>
        </w:tc>
        <w:tc>
          <w:tcPr>
            <w:tcW w:w="18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540" w:type="dxa"/>
            <w:vAlign w:val="bottom"/>
            <w:gridSpan w:val="5"/>
          </w:tcPr>
          <w:p>
            <w:pPr>
              <w:ind w:left="22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4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revenues</w:t>
            </w:r>
          </w:p>
        </w:tc>
        <w:tc>
          <w:tcPr>
            <w:tcW w:w="18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1,678,195</w:t>
            </w:r>
          </w:p>
        </w:tc>
      </w:tr>
      <w:tr>
        <w:trPr>
          <w:trHeight w:val="229"/>
        </w:trPr>
        <w:tc>
          <w:tcPr>
            <w:tcW w:w="40" w:type="dxa"/>
            <w:vAlign w:val="bottom"/>
          </w:tcPr>
          <w:p>
            <w:pPr>
              <w:spacing w:after="0"/>
              <w:rPr>
                <w:sz w:val="19"/>
                <w:szCs w:val="19"/>
                <w:color w:val="auto"/>
              </w:rPr>
            </w:pPr>
          </w:p>
        </w:tc>
        <w:tc>
          <w:tcPr>
            <w:tcW w:w="45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Service revenues</w:t>
            </w:r>
          </w:p>
        </w:tc>
        <w:tc>
          <w:tcPr>
            <w:tcW w:w="1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303,377</w:t>
            </w:r>
          </w:p>
        </w:tc>
      </w:tr>
      <w:tr>
        <w:trPr>
          <w:trHeight w:val="223"/>
        </w:trPr>
        <w:tc>
          <w:tcPr>
            <w:tcW w:w="40" w:type="dxa"/>
            <w:vAlign w:val="bottom"/>
          </w:tcPr>
          <w:p>
            <w:pPr>
              <w:spacing w:after="0"/>
              <w:rPr>
                <w:sz w:val="19"/>
                <w:szCs w:val="19"/>
                <w:color w:val="auto"/>
              </w:rPr>
            </w:pPr>
          </w:p>
        </w:tc>
        <w:tc>
          <w:tcPr>
            <w:tcW w:w="45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2,173,633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1,981,572</w:t>
            </w:r>
          </w:p>
        </w:tc>
      </w:tr>
      <w:tr>
        <w:trPr>
          <w:trHeight w:val="209"/>
        </w:trPr>
        <w:tc>
          <w:tcPr>
            <w:tcW w:w="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cost of revenues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1,231,230</w:t>
            </w:r>
          </w:p>
        </w:tc>
      </w:tr>
      <w:tr>
        <w:trPr>
          <w:trHeight w:val="230"/>
        </w:trPr>
        <w:tc>
          <w:tcPr>
            <w:tcW w:w="40" w:type="dxa"/>
            <w:vAlign w:val="bottom"/>
          </w:tcPr>
          <w:p>
            <w:pPr>
              <w:spacing w:after="0"/>
              <w:rPr>
                <w:sz w:val="19"/>
                <w:szCs w:val="19"/>
                <w:color w:val="auto"/>
              </w:rPr>
            </w:pPr>
          </w:p>
        </w:tc>
        <w:tc>
          <w:tcPr>
            <w:tcW w:w="45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Service cost of revenues</w:t>
            </w:r>
          </w:p>
        </w:tc>
        <w:tc>
          <w:tcPr>
            <w:tcW w:w="1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177,173</w:t>
            </w:r>
          </w:p>
        </w:tc>
      </w:tr>
      <w:tr>
        <w:trPr>
          <w:trHeight w:val="223"/>
        </w:trPr>
        <w:tc>
          <w:tcPr>
            <w:tcW w:w="40" w:type="dxa"/>
            <w:vAlign w:val="bottom"/>
          </w:tcPr>
          <w:p>
            <w:pPr>
              <w:spacing w:after="0"/>
              <w:rPr>
                <w:sz w:val="19"/>
                <w:szCs w:val="19"/>
                <w:color w:val="auto"/>
              </w:rPr>
            </w:pPr>
          </w:p>
        </w:tc>
        <w:tc>
          <w:tcPr>
            <w:tcW w:w="45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cost of revenues</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1,408,403</w:t>
            </w:r>
          </w:p>
        </w:tc>
      </w:tr>
      <w:tr>
        <w:trPr>
          <w:trHeight w:val="223"/>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573,169</w:t>
            </w:r>
          </w:p>
        </w:tc>
      </w:tr>
      <w:tr>
        <w:trPr>
          <w:trHeight w:val="257"/>
        </w:trPr>
        <w:tc>
          <w:tcPr>
            <w:tcW w:w="40" w:type="dxa"/>
            <w:vAlign w:val="bottom"/>
          </w:tcPr>
          <w:p>
            <w:pPr>
              <w:spacing w:after="0"/>
              <w:rPr>
                <w:sz w:val="22"/>
                <w:szCs w:val="22"/>
                <w:color w:val="auto"/>
              </w:rPr>
            </w:pPr>
          </w:p>
        </w:tc>
        <w:tc>
          <w:tcPr>
            <w:tcW w:w="4540" w:type="dxa"/>
            <w:vAlign w:val="bottom"/>
            <w:gridSpan w:val="2"/>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300,520</w:t>
            </w:r>
          </w:p>
        </w:tc>
      </w:tr>
      <w:tr>
        <w:trPr>
          <w:trHeight w:val="230"/>
        </w:trPr>
        <w:tc>
          <w:tcPr>
            <w:tcW w:w="40" w:type="dxa"/>
            <w:vAlign w:val="bottom"/>
          </w:tcPr>
          <w:p>
            <w:pPr>
              <w:spacing w:after="0"/>
              <w:rPr>
                <w:sz w:val="19"/>
                <w:szCs w:val="19"/>
                <w:color w:val="auto"/>
              </w:rPr>
            </w:pPr>
          </w:p>
        </w:tc>
        <w:tc>
          <w:tcPr>
            <w:tcW w:w="4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197,235</w:t>
            </w:r>
          </w:p>
        </w:tc>
      </w:tr>
      <w:tr>
        <w:trPr>
          <w:trHeight w:val="229"/>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35,801</w:t>
            </w:r>
          </w:p>
        </w:tc>
      </w:tr>
      <w:tr>
        <w:trPr>
          <w:trHeight w:val="229"/>
        </w:trPr>
        <w:tc>
          <w:tcPr>
            <w:tcW w:w="40" w:type="dxa"/>
            <w:vAlign w:val="bottom"/>
          </w:tcPr>
          <w:p>
            <w:pPr>
              <w:spacing w:after="0"/>
              <w:rPr>
                <w:sz w:val="19"/>
                <w:szCs w:val="19"/>
                <w:color w:val="auto"/>
              </w:rPr>
            </w:pPr>
          </w:p>
        </w:tc>
        <w:tc>
          <w:tcPr>
            <w:tcW w:w="4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54,623</w:t>
            </w: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sale of businesses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64,289</w:t>
            </w:r>
          </w:p>
        </w:tc>
      </w:tr>
      <w:tr>
        <w:trPr>
          <w:trHeight w:val="229"/>
        </w:trPr>
        <w:tc>
          <w:tcPr>
            <w:tcW w:w="40" w:type="dxa"/>
            <w:vAlign w:val="bottom"/>
          </w:tcPr>
          <w:p>
            <w:pPr>
              <w:spacing w:after="0"/>
              <w:rPr>
                <w:sz w:val="19"/>
                <w:szCs w:val="19"/>
                <w:color w:val="auto"/>
              </w:rPr>
            </w:pPr>
          </w:p>
        </w:tc>
        <w:tc>
          <w:tcPr>
            <w:tcW w:w="4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454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585,041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529,628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652,468</w:t>
            </w: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(79,299)</w:t>
            </w:r>
          </w:p>
        </w:tc>
      </w:tr>
      <w:tr>
        <w:trPr>
          <w:trHeight w:val="230"/>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30"/>
        </w:trPr>
        <w:tc>
          <w:tcPr>
            <w:tcW w:w="40" w:type="dxa"/>
            <w:vAlign w:val="bottom"/>
          </w:tcPr>
          <w:p>
            <w:pPr>
              <w:spacing w:after="0"/>
              <w:rPr>
                <w:sz w:val="19"/>
                <w:szCs w:val="19"/>
                <w:color w:val="auto"/>
              </w:rPr>
            </w:pPr>
          </w:p>
        </w:tc>
        <w:tc>
          <w:tcPr>
            <w:tcW w:w="4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(28,638)</w:t>
            </w: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(17,430)</w:t>
            </w:r>
          </w:p>
        </w:tc>
      </w:tr>
      <w:tr>
        <w:trPr>
          <w:trHeight w:val="223"/>
        </w:trPr>
        <w:tc>
          <w:tcPr>
            <w:tcW w:w="40" w:type="dxa"/>
            <w:vAlign w:val="bottom"/>
          </w:tcPr>
          <w:p>
            <w:pPr>
              <w:spacing w:after="0"/>
              <w:rPr>
                <w:sz w:val="19"/>
                <w:szCs w:val="19"/>
                <w:color w:val="auto"/>
              </w:rPr>
            </w:pPr>
          </w:p>
        </w:tc>
        <w:tc>
          <w:tcPr>
            <w:tcW w:w="45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(44,511)</w:t>
            </w:r>
          </w:p>
        </w:tc>
      </w:tr>
      <w:tr>
        <w:trPr>
          <w:trHeight w:val="237"/>
        </w:trPr>
        <w:tc>
          <w:tcPr>
            <w:tcW w:w="4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(123,810)</w:t>
            </w: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45,512</w:t>
            </w:r>
          </w:p>
        </w:tc>
      </w:tr>
      <w:tr>
        <w:trPr>
          <w:trHeight w:val="223"/>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(78,298)</w:t>
            </w: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r>
      <w:tr>
        <w:trPr>
          <w:trHeight w:val="223"/>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Itron, Inc.</w:t>
            </w:r>
          </w:p>
        </w:tc>
        <w:tc>
          <w:tcPr>
            <w:tcW w:w="14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(81,255)</w:t>
            </w: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1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49"/>
        </w:trPr>
        <w:tc>
          <w:tcPr>
            <w:tcW w:w="4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1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40" w:type="dxa"/>
            <w:vAlign w:val="bottom"/>
          </w:tcPr>
          <w:p>
            <w:pPr>
              <w:spacing w:after="0" w:line="20" w:lineRule="exact"/>
              <w:rPr>
                <w:sz w:val="1"/>
                <w:szCs w:val="1"/>
                <w:color w:val="auto"/>
              </w:rPr>
            </w:pPr>
          </w:p>
        </w:tc>
        <w:tc>
          <w:tcPr>
            <w:tcW w:w="454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44,301</w:t>
            </w:r>
          </w:p>
        </w:tc>
      </w:tr>
      <w:tr>
        <w:trPr>
          <w:trHeight w:val="234"/>
        </w:trPr>
        <w:tc>
          <w:tcPr>
            <w:tcW w:w="40" w:type="dxa"/>
            <w:vAlign w:val="bottom"/>
          </w:tcPr>
          <w:p>
            <w:pPr>
              <w:spacing w:after="0"/>
              <w:rPr>
                <w:sz w:val="20"/>
                <w:szCs w:val="20"/>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44,301</w:t>
            </w:r>
          </w:p>
        </w:tc>
      </w:tr>
    </w:tbl>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68"/>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5160" w:type="dxa"/>
            <w:vAlign w:val="bottom"/>
            <w:gridSpan w:val="2"/>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300" w:type="dxa"/>
            <w:vAlign w:val="bottom"/>
            <w:gridSpan w:val="8"/>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 (LOSS)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80" w:type="dxa"/>
            <w:vAlign w:val="bottom"/>
            <w:tcBorders>
              <w:bottom w:val="single" w:sz="8" w:color="auto"/>
            </w:tcBorders>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6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0" w:type="dxa"/>
            <w:vAlign w:val="bottom"/>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(78,298)</w:t>
            </w:r>
          </w:p>
        </w:tc>
      </w:tr>
      <w:tr>
        <w:trPr>
          <w:trHeight w:val="257"/>
        </w:trPr>
        <w:tc>
          <w:tcPr>
            <w:tcW w:w="40" w:type="dxa"/>
            <w:vAlign w:val="bottom"/>
          </w:tcPr>
          <w:p>
            <w:pPr>
              <w:spacing w:after="0"/>
              <w:rPr>
                <w:sz w:val="22"/>
                <w:szCs w:val="22"/>
                <w:color w:val="auto"/>
              </w:rPr>
            </w:pPr>
          </w:p>
        </w:tc>
        <w:tc>
          <w:tcPr>
            <w:tcW w:w="6020" w:type="dxa"/>
            <w:vAlign w:val="bottom"/>
            <w:gridSpan w:val="2"/>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(26,923)</w:t>
            </w:r>
          </w:p>
        </w:tc>
      </w:tr>
      <w:tr>
        <w:trPr>
          <w:trHeight w:val="175"/>
        </w:trPr>
        <w:tc>
          <w:tcPr>
            <w:tcW w:w="40" w:type="dxa"/>
            <w:vAlign w:val="bottom"/>
          </w:tcPr>
          <w:p>
            <w:pPr>
              <w:spacing w:after="0"/>
              <w:rPr>
                <w:sz w:val="15"/>
                <w:szCs w:val="15"/>
                <w:color w:val="auto"/>
              </w:rPr>
            </w:pPr>
          </w:p>
        </w:tc>
        <w:tc>
          <w:tcPr>
            <w:tcW w:w="602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 reclassified to net income (loss) on sale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 disposal of businesses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0" w:type="dxa"/>
            <w:vAlign w:val="bottom"/>
          </w:tcPr>
          <w:p>
            <w:pPr>
              <w:spacing w:after="0"/>
              <w:rPr>
                <w:sz w:val="15"/>
                <w:szCs w:val="15"/>
                <w:color w:val="auto"/>
              </w:rPr>
            </w:pPr>
          </w:p>
        </w:tc>
        <w:tc>
          <w:tcPr>
            <w:tcW w:w="60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Net unrealized gain (loss) on derivative instruments, designated as cash flow</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29"/>
        </w:trPr>
        <w:tc>
          <w:tcPr>
            <w:tcW w:w="40" w:type="dxa"/>
            <w:vAlign w:val="bottom"/>
          </w:tcPr>
          <w:p>
            <w:pPr>
              <w:spacing w:after="0"/>
              <w:rPr>
                <w:sz w:val="19"/>
                <w:szCs w:val="19"/>
                <w:color w:val="auto"/>
              </w:rPr>
            </w:pPr>
          </w:p>
        </w:tc>
        <w:tc>
          <w:tcPr>
            <w:tcW w:w="6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Pension benefit obligation adjustment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15,940</w:t>
            </w:r>
          </w:p>
        </w:tc>
      </w:tr>
      <w:tr>
        <w:trPr>
          <w:trHeight w:val="223"/>
        </w:trPr>
        <w:tc>
          <w:tcPr>
            <w:tcW w:w="40" w:type="dxa"/>
            <w:vAlign w:val="bottom"/>
          </w:tcPr>
          <w:p>
            <w:pPr>
              <w:spacing w:after="0"/>
              <w:rPr>
                <w:sz w:val="19"/>
                <w:szCs w:val="19"/>
                <w:color w:val="auto"/>
              </w:rPr>
            </w:pPr>
          </w:p>
        </w:tc>
        <w:tc>
          <w:tcPr>
            <w:tcW w:w="6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(9,572)</w:t>
            </w:r>
          </w:p>
        </w:tc>
      </w:tr>
      <w:tr>
        <w:trPr>
          <w:trHeight w:val="237"/>
        </w:trPr>
        <w:tc>
          <w:tcPr>
            <w:tcW w:w="4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comprehensive income (loss), net of tax</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(87,870)</w:t>
            </w:r>
          </w:p>
        </w:tc>
      </w:tr>
      <w:tr>
        <w:trPr>
          <w:trHeight w:val="257"/>
        </w:trPr>
        <w:tc>
          <w:tcPr>
            <w:tcW w:w="40" w:type="dxa"/>
            <w:vAlign w:val="bottom"/>
          </w:tcPr>
          <w:p>
            <w:pPr>
              <w:spacing w:after="0"/>
              <w:rPr>
                <w:sz w:val="22"/>
                <w:szCs w:val="22"/>
                <w:color w:val="auto"/>
              </w:rPr>
            </w:pPr>
          </w:p>
        </w:tc>
        <w:tc>
          <w:tcPr>
            <w:tcW w:w="6020" w:type="dxa"/>
            <w:vAlign w:val="bottom"/>
            <w:gridSpan w:val="2"/>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6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 net of tax</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r>
      <w:tr>
        <w:trPr>
          <w:trHeight w:val="257"/>
        </w:trPr>
        <w:tc>
          <w:tcPr>
            <w:tcW w:w="40" w:type="dxa"/>
            <w:vAlign w:val="bottom"/>
          </w:tcPr>
          <w:p>
            <w:pPr>
              <w:spacing w:after="0"/>
              <w:rPr>
                <w:sz w:val="22"/>
                <w:szCs w:val="22"/>
                <w:color w:val="auto"/>
              </w:rPr>
            </w:pPr>
          </w:p>
        </w:tc>
        <w:tc>
          <w:tcPr>
            <w:tcW w:w="6020" w:type="dxa"/>
            <w:vAlign w:val="bottom"/>
            <w:gridSpan w:val="2"/>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Itron, Inc.</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110,407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(90,827)</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768"/>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546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760" w:type="dxa"/>
            <w:vAlign w:val="bottom"/>
            <w:gridSpan w:val="4"/>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2"/>
                <w:szCs w:val="22"/>
                <w:color w:val="auto"/>
              </w:rPr>
            </w:pP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8"/>
        </w:trPr>
        <w:tc>
          <w:tcPr>
            <w:tcW w:w="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460" w:type="dxa"/>
            <w:vAlign w:val="bottom"/>
            <w:tcBorders>
              <w:top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202,007</w:t>
            </w:r>
          </w:p>
        </w:tc>
      </w:tr>
      <w:tr>
        <w:trPr>
          <w:trHeight w:val="230"/>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280,435</w:t>
            </w: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228,701</w:t>
            </w:r>
          </w:p>
        </w:tc>
      </w:tr>
      <w:tr>
        <w:trPr>
          <w:trHeight w:val="230"/>
        </w:trPr>
        <w:tc>
          <w:tcPr>
            <w:tcW w:w="40" w:type="dxa"/>
            <w:vAlign w:val="bottom"/>
          </w:tcPr>
          <w:p>
            <w:pPr>
              <w:spacing w:after="0"/>
              <w:rPr>
                <w:sz w:val="19"/>
                <w:szCs w:val="19"/>
                <w:color w:val="auto"/>
              </w:rPr>
            </w:pPr>
          </w:p>
        </w:tc>
        <w:tc>
          <w:tcPr>
            <w:tcW w:w="6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118,441</w:t>
            </w:r>
          </w:p>
        </w:tc>
      </w:tr>
      <w:tr>
        <w:trPr>
          <w:trHeight w:val="223"/>
        </w:trPr>
        <w:tc>
          <w:tcPr>
            <w:tcW w:w="40" w:type="dxa"/>
            <w:vAlign w:val="bottom"/>
          </w:tcPr>
          <w:p>
            <w:pPr>
              <w:spacing w:after="0"/>
              <w:rPr>
                <w:sz w:val="19"/>
                <w:szCs w:val="19"/>
                <w:color w:val="auto"/>
              </w:rPr>
            </w:pPr>
          </w:p>
        </w:tc>
        <w:tc>
          <w:tcPr>
            <w:tcW w:w="67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829,584</w:t>
            </w:r>
          </w:p>
        </w:tc>
      </w:tr>
      <w:tr>
        <w:trPr>
          <w:trHeight w:val="257"/>
        </w:trPr>
        <w:tc>
          <w:tcPr>
            <w:tcW w:w="40" w:type="dxa"/>
            <w:vAlign w:val="bottom"/>
          </w:tcPr>
          <w:p>
            <w:pPr>
              <w:spacing w:after="0"/>
              <w:rPr>
                <w:sz w:val="22"/>
                <w:szCs w:val="22"/>
                <w:color w:val="auto"/>
              </w:rPr>
            </w:pPr>
          </w:p>
        </w:tc>
        <w:tc>
          <w:tcPr>
            <w:tcW w:w="670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140,123</w:t>
            </w:r>
          </w:p>
        </w:tc>
      </w:tr>
      <w:tr>
        <w:trPr>
          <w:trHeight w:val="230"/>
        </w:trPr>
        <w:tc>
          <w:tcPr>
            <w:tcW w:w="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211,982</w:t>
            </w: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39,901</w:t>
            </w:r>
          </w:p>
        </w:tc>
      </w:tr>
      <w:tr>
        <w:trPr>
          <w:trHeight w:val="229"/>
        </w:trPr>
        <w:tc>
          <w:tcPr>
            <w:tcW w:w="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52,826</w:t>
            </w: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64,941</w:t>
            </w:r>
          </w:p>
        </w:tc>
      </w:tr>
      <w:tr>
        <w:trPr>
          <w:trHeight w:val="229"/>
        </w:trPr>
        <w:tc>
          <w:tcPr>
            <w:tcW w:w="40" w:type="dxa"/>
            <w:vAlign w:val="bottom"/>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1,052,504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1,038,721</w:t>
            </w:r>
          </w:p>
        </w:tc>
      </w:tr>
      <w:tr>
        <w:trPr>
          <w:trHeight w:val="248"/>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2,604,263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2,378,078</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60" w:type="dxa"/>
            <w:vAlign w:val="bottom"/>
            <w:shd w:val="clear" w:color="auto" w:fill="CCEEFF"/>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237,178</w:t>
            </w:r>
          </w:p>
        </w:tc>
      </w:tr>
      <w:tr>
        <w:trPr>
          <w:trHeight w:val="229"/>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42,869</w:t>
            </w: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89,431</w:t>
            </w:r>
          </w:p>
        </w:tc>
      </w:tr>
      <w:tr>
        <w:trPr>
          <w:trHeight w:val="229"/>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Taxes payable</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15,324</w:t>
            </w: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18,203</w:t>
            </w:r>
          </w:p>
        </w:tc>
      </w:tr>
      <w:tr>
        <w:trPr>
          <w:trHeight w:val="230"/>
        </w:trPr>
        <w:tc>
          <w:tcPr>
            <w:tcW w:w="40" w:type="dxa"/>
            <w:vAlign w:val="bottom"/>
          </w:tcPr>
          <w:p>
            <w:pPr>
              <w:spacing w:after="0"/>
              <w:rPr>
                <w:sz w:val="19"/>
                <w:szCs w:val="19"/>
                <w:color w:val="auto"/>
              </w:rPr>
            </w:pPr>
          </w:p>
        </w:tc>
        <w:tc>
          <w:tcPr>
            <w:tcW w:w="6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95,567</w:t>
            </w:r>
          </w:p>
        </w:tc>
      </w:tr>
      <w:tr>
        <w:trPr>
          <w:trHeight w:val="223"/>
        </w:trPr>
        <w:tc>
          <w:tcPr>
            <w:tcW w:w="40" w:type="dxa"/>
            <w:vAlign w:val="bottom"/>
          </w:tcPr>
          <w:p>
            <w:pPr>
              <w:spacing w:after="0"/>
              <w:rPr>
                <w:sz w:val="19"/>
                <w:szCs w:val="19"/>
                <w:color w:val="auto"/>
              </w:rPr>
            </w:pPr>
          </w:p>
        </w:tc>
        <w:tc>
          <w:tcPr>
            <w:tcW w:w="67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498,572</w:t>
            </w:r>
          </w:p>
        </w:tc>
      </w:tr>
      <w:tr>
        <w:trPr>
          <w:trHeight w:val="257"/>
        </w:trPr>
        <w:tc>
          <w:tcPr>
            <w:tcW w:w="40" w:type="dxa"/>
            <w:vAlign w:val="bottom"/>
          </w:tcPr>
          <w:p>
            <w:pPr>
              <w:spacing w:after="0"/>
              <w:rPr>
                <w:sz w:val="22"/>
                <w:szCs w:val="22"/>
                <w:color w:val="auto"/>
              </w:rPr>
            </w:pPr>
          </w:p>
        </w:tc>
        <w:tc>
          <w:tcPr>
            <w:tcW w:w="670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452,526</w:t>
            </w:r>
          </w:p>
        </w:tc>
      </w:tr>
      <w:tr>
        <w:trPr>
          <w:trHeight w:val="230"/>
        </w:trPr>
        <w:tc>
          <w:tcPr>
            <w:tcW w:w="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warranty</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w:t>
            </w: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57,839</w:t>
            </w:r>
          </w:p>
        </w:tc>
      </w:tr>
      <w:tr>
        <w:trPr>
          <w:trHeight w:val="230"/>
        </w:trPr>
        <w:tc>
          <w:tcPr>
            <w:tcW w:w="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44,370</w:t>
            </w:r>
          </w:p>
        </w:tc>
      </w:tr>
      <w:tr>
        <w:trPr>
          <w:trHeight w:val="230"/>
        </w:trPr>
        <w:tc>
          <w:tcPr>
            <w:tcW w:w="40" w:type="dxa"/>
            <w:vAlign w:val="bottom"/>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124,887</w:t>
            </w:r>
          </w:p>
        </w:tc>
      </w:tr>
      <w:tr>
        <w:trPr>
          <w:trHeight w:val="223"/>
        </w:trPr>
        <w:tc>
          <w:tcPr>
            <w:tcW w:w="40" w:type="dxa"/>
            <w:vAlign w:val="bottom"/>
          </w:tcPr>
          <w:p>
            <w:pPr>
              <w:spacing w:after="0"/>
              <w:rPr>
                <w:sz w:val="19"/>
                <w:szCs w:val="19"/>
                <w:color w:val="auto"/>
              </w:rPr>
            </w:pPr>
          </w:p>
        </w:tc>
        <w:tc>
          <w:tcPr>
            <w:tcW w:w="67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1,186,522</w:t>
            </w:r>
          </w:p>
        </w:tc>
      </w:tr>
      <w:tr>
        <w:trPr>
          <w:trHeight w:val="257"/>
        </w:trPr>
        <w:tc>
          <w:tcPr>
            <w:tcW w:w="40" w:type="dxa"/>
            <w:vAlign w:val="bottom"/>
          </w:tcPr>
          <w:p>
            <w:pPr>
              <w:spacing w:after="0"/>
              <w:rPr>
                <w:sz w:val="22"/>
                <w:szCs w:val="22"/>
                <w:color w:val="auto"/>
              </w:rPr>
            </w:pPr>
          </w:p>
        </w:tc>
        <w:tc>
          <w:tcPr>
            <w:tcW w:w="670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240" w:type="dxa"/>
            <w:vAlign w:val="bottom"/>
          </w:tcPr>
          <w:p>
            <w:pPr>
              <w:spacing w:after="0"/>
              <w:rPr>
                <w:sz w:val="19"/>
                <w:szCs w:val="19"/>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0" w:type="dxa"/>
            <w:vAlign w:val="bottom"/>
          </w:tcPr>
          <w:p>
            <w:pPr>
              <w:spacing w:after="0"/>
              <w:rPr>
                <w:sz w:val="15"/>
                <w:szCs w:val="15"/>
                <w:color w:val="auto"/>
              </w:rPr>
            </w:pPr>
          </w:p>
        </w:tc>
        <w:tc>
          <w:tcPr>
            <w:tcW w:w="670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no par value, 75,000 shares authorized, 45,512 and 45,186 shares</w:t>
            </w:r>
          </w:p>
        </w:tc>
        <w:tc>
          <w:tcPr>
            <w:tcW w:w="2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w:t>
            </w:r>
          </w:p>
        </w:tc>
        <w:tc>
          <w:tcPr>
            <w:tcW w:w="24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1,788,479</w:t>
            </w:r>
          </w:p>
        </w:tc>
      </w:tr>
      <w:tr>
        <w:trPr>
          <w:trHeight w:val="230"/>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(94,674)</w:t>
            </w: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(525,332)</w:t>
            </w:r>
          </w:p>
        </w:tc>
      </w:tr>
      <w:tr>
        <w:trPr>
          <w:trHeight w:val="223"/>
        </w:trPr>
        <w:tc>
          <w:tcPr>
            <w:tcW w:w="4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1,168,473</w:t>
            </w: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23,083</w:t>
            </w:r>
          </w:p>
        </w:tc>
      </w:tr>
      <w:tr>
        <w:trPr>
          <w:trHeight w:val="223"/>
        </w:trPr>
        <w:tc>
          <w:tcPr>
            <w:tcW w:w="40" w:type="dxa"/>
            <w:vAlign w:val="bottom"/>
          </w:tcPr>
          <w:p>
            <w:pPr>
              <w:spacing w:after="0"/>
              <w:rPr>
                <w:sz w:val="19"/>
                <w:szCs w:val="19"/>
                <w:color w:val="auto"/>
              </w:rPr>
            </w:pPr>
          </w:p>
        </w:tc>
        <w:tc>
          <w:tcPr>
            <w:tcW w:w="67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1,331,431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1,191,556</w:t>
            </w:r>
          </w:p>
        </w:tc>
      </w:tr>
      <w:tr>
        <w:trPr>
          <w:trHeight w:val="248"/>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2,604,263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2,378,078</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6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8"/>
        </w:trPr>
        <w:tc>
          <w:tcPr>
            <w:tcW w:w="282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1,389,419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(434,345)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816,548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840,273</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(78,298)</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(9,572)</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0" w:type="dxa"/>
            <w:vAlign w:val="bottom"/>
          </w:tcPr>
          <w:p>
            <w:pPr>
              <w:spacing w:after="0"/>
              <w:rPr>
                <w:sz w:val="1"/>
                <w:szCs w:val="1"/>
                <w:color w:val="auto"/>
              </w:rPr>
            </w:pPr>
          </w:p>
        </w:tc>
      </w:tr>
      <w:tr>
        <w:trPr>
          <w:trHeight w:val="146"/>
        </w:trPr>
        <w:tc>
          <w:tcPr>
            <w:tcW w:w="28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Restricted stock awards released net of</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repurchased shares for taxes</w:t>
            </w: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stock-based compensation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22,762</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issued related to equity offering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389,419</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warrants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45,349</w:t>
            </w:r>
          </w:p>
        </w:tc>
        <w:tc>
          <w:tcPr>
            <w:tcW w:w="0" w:type="dxa"/>
            <w:vAlign w:val="bottom"/>
          </w:tcPr>
          <w:p>
            <w:pPr>
              <w:spacing w:after="0"/>
              <w:rPr>
                <w:sz w:val="1"/>
                <w:szCs w:val="1"/>
                <w:color w:val="auto"/>
              </w:rPr>
            </w:pPr>
          </w:p>
        </w:tc>
      </w:tr>
      <w:tr>
        <w:trPr>
          <w:trHeight w:val="146"/>
        </w:trPr>
        <w:tc>
          <w:tcPr>
            <w:tcW w:w="28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Purchases of convertible note hedge contracts,</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(63,576)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(63,576)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(63,576)</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 program</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(8,028)</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December 31, 2021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45,152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1,779,775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(148,098)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(515,600)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1,116,077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1,142,759</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(9,547)</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53,424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53,424</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6"/>
        </w:trPr>
        <w:tc>
          <w:tcPr>
            <w:tcW w:w="28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Restricted stock awards released net of</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repurchased shares for taxes</w:t>
            </w: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stock-based compensation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20,929</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 program</w:t>
            </w:r>
          </w:p>
        </w:tc>
        <w:tc>
          <w:tcPr>
            <w:tcW w:w="8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Balances at December 31, 2022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45,186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1,788,479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(94,674)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(525,332)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1,168,473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1,191,556</w:t>
            </w: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98,318</w:t>
            </w:r>
          </w:p>
        </w:tc>
        <w:tc>
          <w:tcPr>
            <w:tcW w:w="0" w:type="dxa"/>
            <w:vAlign w:val="bottom"/>
          </w:tcPr>
          <w:p>
            <w:pPr>
              <w:spacing w:after="0"/>
              <w:rPr>
                <w:sz w:val="1"/>
                <w:szCs w:val="1"/>
                <w:color w:val="auto"/>
              </w:rPr>
            </w:pPr>
          </w:p>
        </w:tc>
      </w:tr>
      <w:tr>
        <w:trPr>
          <w:trHeight w:val="237"/>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13,484</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139"/>
        </w:trPr>
        <w:tc>
          <w:tcPr>
            <w:tcW w:w="28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Restricted stock awards released net of</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repurchased shares for taxes</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stock-based compensation awards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27,292</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December 31, 2023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45,512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1,820,510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(81,190)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(428,409)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1,310,911</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20,520</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1,331,431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ITRON,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98,318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(78,298)</w:t>
            </w:r>
          </w:p>
        </w:tc>
        <w:tc>
          <w:tcPr>
            <w:tcW w:w="0" w:type="dxa"/>
            <w:vAlign w:val="bottom"/>
          </w:tcPr>
          <w:p>
            <w:pPr>
              <w:spacing w:after="0"/>
              <w:rPr>
                <w:sz w:val="1"/>
                <w:szCs w:val="1"/>
                <w:color w:val="auto"/>
              </w:rPr>
            </w:pPr>
          </w:p>
        </w:tc>
      </w:tr>
      <w:tr>
        <w:trPr>
          <w:trHeight w:val="195"/>
        </w:trPr>
        <w:tc>
          <w:tcPr>
            <w:tcW w:w="6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 of intangible assets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55,763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66,763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84,153</w:t>
            </w:r>
          </w:p>
        </w:tc>
        <w:tc>
          <w:tcPr>
            <w:tcW w:w="0" w:type="dxa"/>
            <w:vAlign w:val="bottom"/>
          </w:tcPr>
          <w:p>
            <w:pPr>
              <w:spacing w:after="0"/>
              <w:rPr>
                <w:sz w:val="1"/>
                <w:szCs w:val="1"/>
                <w:color w:val="auto"/>
              </w:rPr>
            </w:pPr>
          </w:p>
        </w:tc>
      </w:tr>
      <w:tr>
        <w:trPr>
          <w:trHeight w:val="195"/>
        </w:trPr>
        <w:tc>
          <w:tcPr>
            <w:tcW w:w="6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16,454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16,257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17,107</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28,357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23,618</w:t>
            </w:r>
          </w:p>
        </w:tc>
        <w:tc>
          <w:tcPr>
            <w:tcW w:w="0" w:type="dxa"/>
            <w:vAlign w:val="bottom"/>
          </w:tcPr>
          <w:p>
            <w:pPr>
              <w:spacing w:after="0"/>
              <w:rPr>
                <w:sz w:val="1"/>
                <w:szCs w:val="1"/>
                <w:color w:val="auto"/>
              </w:rPr>
            </w:pPr>
          </w:p>
        </w:tc>
      </w:tr>
      <w:tr>
        <w:trPr>
          <w:trHeight w:val="195"/>
        </w:trPr>
        <w:tc>
          <w:tcPr>
            <w:tcW w:w="6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18,253</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taxes, net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(85,574)</w:t>
            </w:r>
          </w:p>
        </w:tc>
        <w:tc>
          <w:tcPr>
            <w:tcW w:w="0" w:type="dxa"/>
            <w:vAlign w:val="bottom"/>
          </w:tcPr>
          <w:p>
            <w:pPr>
              <w:spacing w:after="0"/>
              <w:rPr>
                <w:sz w:val="1"/>
                <w:szCs w:val="1"/>
                <w:color w:val="auto"/>
              </w:rPr>
            </w:pPr>
          </w:p>
        </w:tc>
      </w:tr>
      <w:tr>
        <w:trPr>
          <w:trHeight w:val="195"/>
        </w:trPr>
        <w:tc>
          <w:tcPr>
            <w:tcW w:w="6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Loss on sale of businesses</w:t>
            </w: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64,289</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Loss on extinguishment of debt, net</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95"/>
        </w:trPr>
        <w:tc>
          <w:tcPr>
            <w:tcW w:w="6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Goodwill impairment</w:t>
            </w:r>
          </w:p>
        </w:tc>
        <w:tc>
          <w:tcPr>
            <w:tcW w:w="38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38,480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Restructuring, non-cash</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8,744</w:t>
            </w:r>
          </w:p>
        </w:tc>
        <w:tc>
          <w:tcPr>
            <w:tcW w:w="0" w:type="dxa"/>
            <w:vAlign w:val="bottom"/>
          </w:tcPr>
          <w:p>
            <w:pPr>
              <w:spacing w:after="0"/>
              <w:rPr>
                <w:sz w:val="1"/>
                <w:szCs w:val="1"/>
                <w:color w:val="auto"/>
              </w:rPr>
            </w:pPr>
          </w:p>
        </w:tc>
      </w:tr>
      <w:tr>
        <w:trPr>
          <w:trHeight w:val="195"/>
        </w:trPr>
        <w:tc>
          <w:tcPr>
            <w:tcW w:w="6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adjustments, net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 and sale of businesses: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5,064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60,242</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(3,721)</w:t>
            </w:r>
          </w:p>
        </w:tc>
        <w:tc>
          <w:tcPr>
            <w:tcW w:w="0" w:type="dxa"/>
            <w:vAlign w:val="bottom"/>
          </w:tcPr>
          <w:p>
            <w:pPr>
              <w:spacing w:after="0"/>
              <w:rPr>
                <w:sz w:val="1"/>
                <w:szCs w:val="1"/>
                <w:color w:val="auto"/>
              </w:rPr>
            </w:pPr>
          </w:p>
        </w:tc>
      </w:tr>
      <w:tr>
        <w:trPr>
          <w:trHeight w:val="195"/>
        </w:trPr>
        <w:tc>
          <w:tcPr>
            <w:tcW w:w="6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current assets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41,461</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4,515</w:t>
            </w:r>
          </w:p>
        </w:tc>
        <w:tc>
          <w:tcPr>
            <w:tcW w:w="0" w:type="dxa"/>
            <w:vAlign w:val="bottom"/>
          </w:tcPr>
          <w:p>
            <w:pPr>
              <w:spacing w:after="0"/>
              <w:rPr>
                <w:sz w:val="1"/>
                <w:szCs w:val="1"/>
                <w:color w:val="auto"/>
              </w:rPr>
            </w:pPr>
          </w:p>
        </w:tc>
      </w:tr>
      <w:tr>
        <w:trPr>
          <w:trHeight w:val="195"/>
        </w:trPr>
        <w:tc>
          <w:tcPr>
            <w:tcW w:w="6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other current liabilities, and taxes payable</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(43,657)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45,085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(23,330)</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44,700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30,915</w:t>
            </w:r>
          </w:p>
        </w:tc>
        <w:tc>
          <w:tcPr>
            <w:tcW w:w="0" w:type="dxa"/>
            <w:vAlign w:val="bottom"/>
          </w:tcPr>
          <w:p>
            <w:pPr>
              <w:spacing w:after="0"/>
              <w:rPr>
                <w:sz w:val="1"/>
                <w:szCs w:val="1"/>
                <w:color w:val="auto"/>
              </w:rPr>
            </w:pPr>
          </w:p>
        </w:tc>
      </w:tr>
      <w:tr>
        <w:trPr>
          <w:trHeight w:val="195"/>
        </w:trPr>
        <w:tc>
          <w:tcPr>
            <w:tcW w:w="6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Unearned revenue</w:t>
            </w: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28,329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18,466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(29,366)</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(8,169)</w:t>
            </w:r>
          </w:p>
        </w:tc>
        <w:tc>
          <w:tcPr>
            <w:tcW w:w="0" w:type="dxa"/>
            <w:vAlign w:val="bottom"/>
          </w:tcPr>
          <w:p>
            <w:pPr>
              <w:spacing w:after="0"/>
              <w:rPr>
                <w:sz w:val="1"/>
                <w:szCs w:val="1"/>
                <w:color w:val="auto"/>
              </w:rPr>
            </w:pPr>
          </w:p>
        </w:tc>
      </w:tr>
      <w:tr>
        <w:trPr>
          <w:trHeight w:val="195"/>
        </w:trPr>
        <w:tc>
          <w:tcPr>
            <w:tcW w:w="6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Restructuring</w:t>
            </w: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29,866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operating, net</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0" w:type="dxa"/>
            <w:vAlign w:val="bottom"/>
          </w:tcPr>
          <w:p>
            <w:pPr>
              <w:spacing w:after="0"/>
              <w:rPr>
                <w:sz w:val="1"/>
                <w:szCs w:val="1"/>
                <w:color w:val="auto"/>
              </w:rPr>
            </w:pPr>
          </w:p>
        </w:tc>
      </w:tr>
      <w:tr>
        <w:trPr>
          <w:trHeight w:val="189"/>
        </w:trPr>
        <w:tc>
          <w:tcPr>
            <w:tcW w:w="60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124,971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24,500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154,794</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proceeds (payments) related to the sale of businesses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55,933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0" w:type="dxa"/>
            <w:vAlign w:val="bottom"/>
          </w:tcPr>
          <w:p>
            <w:pPr>
              <w:spacing w:after="0"/>
              <w:rPr>
                <w:sz w:val="1"/>
                <w:szCs w:val="1"/>
                <w:color w:val="auto"/>
              </w:rPr>
            </w:pPr>
          </w:p>
        </w:tc>
      </w:tr>
      <w:tr>
        <w:trPr>
          <w:trHeight w:val="195"/>
        </w:trPr>
        <w:tc>
          <w:tcPr>
            <w:tcW w:w="6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(34,682)</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Business acquisitions, net of cash and cash equivalents acquired</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(8,670)</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investing, net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4,348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4,307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5,326</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40,516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(34,884)</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8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460,000</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on debt</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(946,094)</w:t>
            </w:r>
          </w:p>
        </w:tc>
        <w:tc>
          <w:tcPr>
            <w:tcW w:w="0" w:type="dxa"/>
            <w:vAlign w:val="bottom"/>
          </w:tcPr>
          <w:p>
            <w:pPr>
              <w:spacing w:after="0"/>
              <w:rPr>
                <w:sz w:val="1"/>
                <w:szCs w:val="1"/>
                <w:color w:val="auto"/>
              </w:rPr>
            </w:pPr>
          </w:p>
        </w:tc>
      </w:tr>
      <w:tr>
        <w:trPr>
          <w:trHeight w:val="195"/>
        </w:trPr>
        <w:tc>
          <w:tcPr>
            <w:tcW w:w="6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3,674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3,452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5,080</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common stock offering</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389,419</w:t>
            </w:r>
          </w:p>
        </w:tc>
        <w:tc>
          <w:tcPr>
            <w:tcW w:w="0" w:type="dxa"/>
            <w:vAlign w:val="bottom"/>
          </w:tcPr>
          <w:p>
            <w:pPr>
              <w:spacing w:after="0"/>
              <w:rPr>
                <w:sz w:val="1"/>
                <w:szCs w:val="1"/>
                <w:color w:val="auto"/>
              </w:rPr>
            </w:pPr>
          </w:p>
        </w:tc>
      </w:tr>
      <w:tr>
        <w:trPr>
          <w:trHeight w:val="195"/>
        </w:trPr>
        <w:tc>
          <w:tcPr>
            <w:tcW w:w="6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sale of warrants</w:t>
            </w:r>
          </w:p>
        </w:tc>
        <w:tc>
          <w:tcPr>
            <w:tcW w:w="38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45,349</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convertible note hedge contracts</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(84,139)</w:t>
            </w:r>
          </w:p>
        </w:tc>
        <w:tc>
          <w:tcPr>
            <w:tcW w:w="0" w:type="dxa"/>
            <w:vAlign w:val="bottom"/>
          </w:tcPr>
          <w:p>
            <w:pPr>
              <w:spacing w:after="0"/>
              <w:rPr>
                <w:sz w:val="1"/>
                <w:szCs w:val="1"/>
                <w:color w:val="auto"/>
              </w:rPr>
            </w:pPr>
          </w:p>
        </w:tc>
      </w:tr>
      <w:tr>
        <w:trPr>
          <w:trHeight w:val="195"/>
        </w:trPr>
        <w:tc>
          <w:tcPr>
            <w:tcW w:w="6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8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(8,028)</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debt fees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(12,031)</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financing, net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(152,887)</w:t>
            </w:r>
          </w:p>
        </w:tc>
        <w:tc>
          <w:tcPr>
            <w:tcW w:w="0" w:type="dxa"/>
            <w:vAlign w:val="bottom"/>
          </w:tcPr>
          <w:p>
            <w:pPr>
              <w:spacing w:after="0"/>
              <w:rPr>
                <w:sz w:val="1"/>
                <w:szCs w:val="1"/>
                <w:color w:val="auto"/>
              </w:rPr>
            </w:pPr>
          </w:p>
        </w:tc>
      </w:tr>
      <w:tr>
        <w:trPr>
          <w:trHeight w:val="202"/>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Less: Cash classified within assets held for sale</w:t>
            </w:r>
          </w:p>
        </w:tc>
        <w:tc>
          <w:tcPr>
            <w:tcW w:w="3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0" w:type="dxa"/>
            <w:vAlign w:val="bottom"/>
          </w:tcPr>
          <w:p>
            <w:pPr>
              <w:spacing w:after="0"/>
              <w:rPr>
                <w:sz w:val="1"/>
                <w:szCs w:val="1"/>
                <w:color w:val="auto"/>
              </w:rPr>
            </w:pPr>
          </w:p>
        </w:tc>
      </w:tr>
      <w:tr>
        <w:trPr>
          <w:trHeight w:val="189"/>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100,042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39,428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(44,354)</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202,007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162,579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206,933</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302,049</w:t>
            </w:r>
          </w:p>
        </w:tc>
        <w:tc>
          <w:tcPr>
            <w:tcW w:w="100" w:type="dxa"/>
            <w:vAlign w:val="bottom"/>
          </w:tcPr>
          <w:p>
            <w:pPr>
              <w:spacing w:after="0"/>
              <w:rPr>
                <w:sz w:val="17"/>
                <w:szCs w:val="17"/>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202,007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162,579</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Income taxes, net</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54,550</w:t>
            </w:r>
          </w:p>
        </w:tc>
        <w:tc>
          <w:tcPr>
            <w:tcW w:w="10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11,915</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7,073</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Interest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8,983</w:t>
            </w:r>
          </w:p>
        </w:tc>
        <w:tc>
          <w:tcPr>
            <w:tcW w:w="0" w:type="dxa"/>
            <w:vAlign w:val="bottom"/>
          </w:tcPr>
          <w:p>
            <w:pPr>
              <w:spacing w:after="0"/>
              <w:rPr>
                <w:sz w:val="1"/>
                <w:szCs w:val="1"/>
                <w:color w:val="auto"/>
              </w:rPr>
            </w:pPr>
          </w:p>
        </w:tc>
      </w:tr>
      <w:tr>
        <w:trPr>
          <w:trHeight w:val="195"/>
        </w:trPr>
        <w:tc>
          <w:tcPr>
            <w:tcW w:w="6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operating, investing and financing activities: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Deferred tax on purchase of convertible note hedge contracts</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20,563</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the terms "we", "us", "our", "Itron", and the "Company" refer to Itron, Inc.</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incorporated in the state of Washington in 1977 and are a technology company, offering end-to-end solutions to enhance productivity and efficiency, primarily focused on utilities and municipalities around the globe. We operate under the Itron brand worldwide and manage and report under three operating segments: Device Solutions, Networked Solutions, and Outcomes.</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presented in this Annual Report include the Consolidated Statements of Operations, Consolidated Statements of Comprehensive Income (Loss), Consolidated Statements of Equity, and Consolidated Statements of Cash Flows for the years ended December 31, 2023, 2022, and 2021 and the Consolidated Balance Sheets as of December 31, 2023 and 2022 of Itron, Inc. and its subsidiaries, prepared in accordance with U.S. generally accepted accounting principles (GAAP).</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Examples of significant estimates include revenue recognition, warranty, restructuring, income taxes, business combinations, goodwill and intangible assets, defined benefit pension plans, contingencies, and stock-based compensation. Due to various factors affecting future costs and operations, actual results could differ materially from these estimates.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Global economic impacts, such as pandemics and various ongoing conflicts around the world, may create disruption in customer demand and global supply chains, resulting in market volatility, which our management continues to monitor. In the aftermath of these types of events, global supply chains, including labor, struggle to keep pace with rapidly changing demand. While recently improving from 2022 levels, our ability to obtain adequate supply of semiconductor components has impacted our ability to service customer demand in a timely manner. The temporary imbalance in supply and demand creates business uncertainties that include costs and availability. Efforts continue with suppliers to improve supply resiliency, including the approval of alternate sources. Recently, inflation in our raw materials and component costs, freight charges, and labor costs have increased above historical levels due to, among other things, the continuing impacts of the uncertain economic environment. We may or may not be able to fully recover these increased costs through pricing actions with our customers. Currently, we have not identified any significant decrease in long-term customer demand for our products and services. Certain of our customer projects have experienced delays in deliveries, with revenues originally forecasted in prior periods shifting to future periods.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limited direct business exposure in areas with current conflict, such as Ukraine and Israel, military actions globally and any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 and our management continues to monitor these events closely</w:t>
      </w:r>
      <w:r>
        <w:rPr>
          <w:rFonts w:ascii="Times New Roman" w:cs="Times New Roman" w:eastAsia="Times New Roman" w:hAnsi="Times New Roman"/>
          <w:sz w:val="18"/>
          <w:szCs w:val="18"/>
          <w:color w:val="333333"/>
        </w:rPr>
        <w:t>.</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consolidate all entities in which we have a greater than 50% ownership interest or in which we exercise control over the operations. We use the equity method of accounting for entities in which we have a 20% to 50% investment and exercise significant influence. Entities in which we have less than a 20% investment and where we do not exercise significant influence are accounted for under the fair value method. Intercompany transactions and balances are eliminated upon consolidation.</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several of our consolidated international subsidiaries, we have joint venture partners, who are minority shareholders. Although these entities are not wholly owned by Itron, we consolidate them because we have a greater than 50% ownership</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as well as contributions from and distributions to the owners. The noncontrolling interest balance in our Consolidated Balance Sheets represents the proportional share of the equity of the joint venture entities, which is attributable to the minority shareholders.</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instruments with remaining maturities of three months or less at the date of acquisition to be cash equivalents.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Cash and Cash Equivalents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and cash equivalents that are contractually restricted from operating use are classified as restricted cash and cash equivalents. We have $1.8 million that is pledged for standby letters of credit as of December 31, 2023.</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Accounts receivable are recognized for invoices issued to customers in accordance with our contractual arrangements. Interest and late payment fees are minimal. Unbilled receivables are recognized when revenues are recognized upon product shipment or service delivery and invoicing occurs at a later date. We recognize an allowance for credit losses representing our estimate of the expected losses in accounts receivable at the date of the balance sheet based on our historical experience of bad debts, our specific review of outstanding receivables, and our review of current and expected economic conditions. Accounts receivable are written-off against the allowance when we believe an account, or a portion thereof, is no longer collectible.</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using the first-in, first-out method. Cost includes raw materials and labor, plus applied direct and indirect overhead costs. Net realizable value is the estimated selling price in the normal course of business, minus the cost of completion, disposal and transportation.</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derivative instruments, whether designated in hedging relationships or not, are recognized on the Consolidated Balance Sheets at fair value as either assets or liabilities. The fair values of our derivative instruments are determined using the fair value measurements of significant other observable inputs (Level 2), as defined by GAAP. The fair value of our derivative instruments may switch between an asset and a liability depending on market circumstances at the end of the period. We include the effect of our counterparty credit risk based on current published credit default swap rates when the net fair value of our derivative instruments is in a net asset position and the effect of our own nonperformance risk when the net fair value of our derivative instruments is in a net liability position.</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any derivative designated as a fair value hedge, the changes in the fair value of the derivative and of the hedged item attributable to the hedged risk are recognized in earnings. For any derivative designated as a cash flow hedge, changes in the fair value of the derivative are recognized as a component of other comprehensive income (loss) (OCI) and are recognized in earnings when the hedged item affects earnings. For a hedge of a net investment, any unrealized gain or loss from the foreign currency revaluation of the hedging instrument is reported in OCI as a net unrealized gain or loss on derivative instruments. Upon termination of a net investment hedge, the net derivative gain/loss will remain in accumulated other comprehensive income (loss) (AOCI) until such time when earnings are impacted by a sale or liquidation of the associated operations. We classify cash flows from our derivative programs as cash flows from operating activities in the Consolidated Statements of Cash Flows.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Derivatives are not used for trading or speculative purposes. Our derivatives are with credit-worthy multinational commercial banks, with which we have master netting agreements; however, our derivative positions are not recognized on a net basis in the Consolidated Balance Sheets. There are no credit-risk related contingent features within our derivative instruments. Refer to Note 7: Derivative Financial Instruments and Note 14: Shareholders' Equity for further disclosures of our derivative instruments and their impact on OCI.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computed using the straight-line method over the estimated useful lives of the assets, generally 30 years for buildings and improvements and three years to 10 years for machinery and equipment, computers and software, and furniture. Leasehold improvements are capitalized and depreciated over the term of the applicable lease, including renewable periods if reasonably certain,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recognized as incurred. We have no major planned maintenance activities.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Statements of Operations according to the use of the asset, except those gains and losses recognized in conjunction with our restructuring activities, which are classified within restructuring expense, or impairment losses recognized in conjunction with an announced or completed sale of a business, which are classified within loss on sale of businesses.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Prepaid Debt Fees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Prepaid debt fees for term debt represent the capitalized direct costs incurred related to the issuance of debt and are recognized as a deduction from the carrying amount of the corresponding debt liability. We have elected to present prepaid debt fees for revolving debt within other long-term assets in the Consolidated Balance Sheets. These costs are amortized to interest expense over the terms of the respective borrowings, including any contingent maturity or call features, using the effective interest method or the straight-line method when associated with a revolving credit facility. When debt is repaid early, the related portion of unamortized prepaid debt fees is written off and included in interest expense.</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the date of acquisition, the assets acquired, liabilities assumed, and any noncontrolling interests in the acquiree are recognized at their fair values. The acquiree's results of operations are also included as of the date of acquisition in our consolidated results. Intangible assets that arise from contractual/legal rights, or are capable of being separated, are measured and recognized at fair value, and amortized over the estimated useful life. If practicable, assets acquired and liabilities assumed arising from contingencies are measured and recognized at fair value. If not practicable, such assets and liabilities are measured and recognized when it is probable that a gain or loss has occurred and the amount can be reasonably estimated. The residual balance of the purchase price, after fair value allocations to all identified assets and liabilities, represents goodwill. Acquisition-related costs are recognized as incurred. Integration costs associated with an acquisition are generally recognized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requires us to recognize the fair value of the estimated liability at the time of the acquisition. Subsequent changes in the estimate of the amount to be paid under the contingent consideration arrangement are recognized in the Consolidated Statements of Operations.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estimate the preliminary fair value of acquired assets and liabilities as of the date of acquisition based on information available at that time utilizing either a cost or income approach. The determination of the fair value is judgmental in nature and involves the use of significant estimates and assumptions. Contingent consideration is recognized at fair value as of the date of the acquisition with adjustments occurring after the purchase price allocation period, which could be up to one year, recognized in earnings. Changes to valuation allowances on acquired deferred tax assets that occur after the acquisition date are recognized in the provision for, or benefit from, income taxes. The valuation of these tangible and identifiable intangible assets and liabilities is subject to further management review and may change materially between the preliminary allocation and end of the purchase price allocation period. Any changes in these estimates may have a material effect on our consolidated operating results or financial position.</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determine if an arrangement is a lease at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(ROU) assets, other current liabilities, and operating lease liabilities on our Consolidated Balance Sheets. Finance leases are included in property, plant, and equipment, other long-term assets, other current liabilities, and other long-term obligations on our Consolidated Balance Sheets.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use the rate implicit in the lease agreement when readily determinable. As most of our leases do not provide an implicit rate, we use our incremental borrowing rate, which is the estimated rate of interest we expect to pay on a collateralized basis over a similar term, based on the information available at the lease commencement date. The Operating lease ROU asset also includes any lease payments made and is reduced by lease incentives received and initial direct costs incurred. Our lease terms may include options to extend or terminate the lease when it is reasonably certain that we will exercise that option. Lease expense for operating lease payments is recognized on a straight-line basis over the lease term.</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lease agreements that include lease and nonlease components. When nonlease components are fixed, we have elected the practical expedient to account for lease and nonlease components as a single lease component, except for leases embedded in service contracts.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leases with a lease term that is greater than one month are subject to recognition and measurement on the balance sheet, except where we have leases in service contracts with contract manufacturers. For leases with contract manufacturers, we have elected to utilize the short-term lease exemption.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expense for variable lease payments, where the timing or amount of the payment is not fixed, are recognized when the obligation is incurred. Variable lease payments generally arise in our net lease arrangements where executory and other lease-related costs are billed to Itron when incurred by the lessor.</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Goodwill and intangible assets may result from our business acquisitions. Intangible assets may also result from the purchase of assets and intellectual property in a transaction that does not qualify as a business combination.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generally three years to 10 years for core-developed technology and customer contracts and relationships.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when their useful lives are determined to be no longer indefinite.</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 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quantitative impairment test. The impairment test involves comparing the fair values of the reporting units to their carrying amounts. If the carrying amount of a reporting unit exceeds its fair value, we first evaluate the long-lived assets within the reporting unit for impairment and then recognize goodwill impairment loss in an amount equal to any excess.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loss contingency is recognized if it is probable that an asset has been impaired or a liability has been incurred, and the amount of the loss can be reasonably estimated. We evaluate, among other factors, the degree of probability of an unfavorable outcome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our ability to make a reasonable estimate of the amount of the ultimate loss. Loss contingencies that we determine to be reasonably possible, but not probable, are disclosed but not recognized. Legal costs to defend against contingent liabilities are recognized as incurred.</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various employee bonus plans, which provide award amounts for the achievement of financial and nonfinancial targets. If management determines it is probable that the discretionary targets will be achieved and the amounts can be reasonably estimated, a compensation accrual is recognized based on the proportional achievement of the financial and nonfinancial targets. In addition, management or the Board of Directors may decide to grant monetary bonus awards, at their discretion, and accrue such awards when it becomes probable they will be paid.</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recognized if a failure event is probable and the cost can be reasonably estimated. When new products are introduced, our process relies on historical averages of similar products until sufficient data is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long-term warranty balance includes estimated warranty claims beyond one year. Warranty expense is classified within cost of revenues.</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a liability for costs associated with an exit or disposal activity under a restructuring project in the period in which the liability is incurred. Employee termination benefits considered postemployment benefits are accrued when the obligation is probable and estimable, such as benefits stipulated by human resource policies and practices or statutory requirements. If the employee must provide future service, such benefits are recognized ratably over the future service period. For contract termination costs, we recognize a liability upon the termination of a contract in accordance with the contract terms or the cessation of the use of the rights conveyed by the contract, whichever occurs later.</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for certain international employees. We recognize a liability for the projected benefit obligation in excess of plan assets. We recognize an asset when plan assets exceed the projected benefit obligation. We also recognize the funded status of our defined benefit pension plans on our Consolidated Balance Sheets and recognize as a component of OCI, net of tax, the actuarial gains or losses and prior service costs or credits, if any, which arise during the period but that are not recognized as components of net periodic benefit cost. If actuarial gains and losses exceed 10 percent of the greater of plan assets or plan liabilities, we amortize them over the employees' average future service period.</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Share Repurchase Plans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repurchase shares of Itron common stock under programs authorized by our Board of Directors. Share repurchases are made in the open market or in privately negotiated transactions and in accordance with applicable securities laws. Under applicable Washington State law, shares repurchased are retired and not displayed separately as treasury stock on the financial statements; the value of the repurchased shares is deducted from common stock.</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Product Revenues and Service Revenues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Product revenues include sales from standard and smart meters, systems or software, and any associated implementation and installation revenue. Service revenues include sales from post-sale maintenance support, consulting, outsourcing, and managed services.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majority of our revenues consist primarily of hardware sales, but may also include the license of software, software implementation services, cloud services and Software-as-a-Service (SaaS), project management services, installation services, consulting services, post-sale maintenance support, and extended or customer-specific warranties. We account for a contract when it has approval and commitment from both parties, the rights of the parties are identified, payment terms are identified, the contract has commercial substance, and collectability of consideration is probable. In determining whether the definition of a contract has been met, we consider whether the arrangement creates enforceable rights and obligations, which involves evaluation of contractual terms that would allow for the customer to terminate the agreement. If the customer has the unilateral right to terminate the agreement without providing further consideration to us, the agreement would not be considered to meet the definition of a contract.</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revenue arrangements involve multiple performance obligations as our hardware and services are often sold together. Separate contracts entered into with the same customer (or related parties of the customer) at or near the same time are accounted for as a single contract when one or more of the following criteria are met:</w:t>
      </w:r>
    </w:p>
    <w:p>
      <w:pPr>
        <w:spacing w:after="0" w:line="6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contracts are negotiated as a package with a single commercial objective.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consideration to be paid in one contract depends on the price or performance of the other contract: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goods or services promised in the contracts (or some goods or services promised in each of the contracts) are a single performance obligation.</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Once the contract has been defined, we evaluate whether the promises in the contract should be accounted for as more than one performance obligation. This evaluation requires significant judgment, and the decision to separate the combined or single contract into multiple performance obligations could change the amount of revenue and profit recognized in a given period. Some of our contracts contain a significant service of integrating, customizing or modifying goods or services in the contract, in which case the goods or services would be combined into a single performance obligation. It is common that we may promise to provide multiple distinct goods or services,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will maximize the use of observable inputs and considers several factors, including our pricing practices, costs to provide a good or service, the type of good or service, and availability of other transactional data, among others.</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contracts with customers include variable consideration, which can include liquidated damage provisions, rebates and volume and early payment discounts. Some of our contracts with customers contain clauses for liquidated damages related to the timing of delivery or milestone accomplishments, which could become material in the event of failure to meet the contractual deadlines. At the inception of the arrangement and on an ongoing basis, we evaluate the probability and magnitude of having to pay liquidated damages. We estimate variable consideration using the expected value method, taking into consideration contract terms, historical customer behavior, and historical sales. In the case of liquidated damages, we also take into consideration progress towards meeting contractual milestones, including whether milestones have not been achieved, specified rates, if applicable, stated in the contract, and history of paying liquidated damages to the customer or similar customers. Variable consideration is included in the transaction price if, in our judgment, it is probable that a significant future reversal of cumulative revenue under the contract will not occur.</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do not accept product returns unless the item is defective as manufactured. We establish provisions for estimated returns and warranties. In addition, we do not typically provide customers with the right to a refund.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Hardware revenue is recognized at a point in time. Transfer of control is typically at the time of shipment, receipt by the customer, or, if applicable, upon receipt of customer acceptance provisions. We will recognize revenue prior to receipt of customer acceptance for hardware in cases where the customer acceptance provision is determined to be a formality. Transfer of control would not occur until receipt of customer acceptance in hardware arrangements where such provisions are subjective or where we do not have history of meeting the acceptance criteria.</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Perpetual software licenses are a right to use intellectual property and are recognized at a point in time. Transfer of control is at the point at which it is available to the customer to download and use or upon receipt of customer acceptance. In certain contracts, software licenses may be sold with implementation services that include a significant service of integrating, customizing or modifying the software. In these instances, the software license is combined into single performance obligation with the implementation services and recognized over time as the implementation services are performed.</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Hardware and software licenses (when not combined with professional services) are typically billed when shipped and revenue recognized at a point-in-time. As a result, the timing of revenue recognition and invoicing does not have a significant impact on contract assets and liabilities.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Professional services, which include implementation, project management, installation, and consulting services are recognized over time. We measure progress towards satisfying these performance obligations using input methods, most commonly based on the costs incurred in relation to the total expected costs to provide the service. We expect this method to best depict our performance in transferring control of services promised to the customer or represents a reasonable proxy for measuring progress. The estimate of expected costs to provide services requires judgment. Cost estimates take into consideration our historical experience and the specific scope requested by the customer and are updated quarterly. We may also offer professional services on a stand-ready basis over a specified period of time, in which case revenue would be recognized ratably over the term. Invoicing of these services is commensurate with performance and occurs on a monthly basis. As such, these services do not have a significant impact on contract assets and contract liabilities.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Cloud services and SaaS arrangements where customers have access to certain of our software within a cloud-based IT environment that we manage, host, and support are offered to customers on a subscription basis. Revenue for the cloud services and SaaS offerings are generally recognized over time, ratably over the contact term commencing with the date the services are made available to the customer.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Professional services are typically billed monthly in arrears or as milestones are achieved. Other services, including cloud services and SaaS arrangements, are commonly billed annually upfront resulting in a contract liability.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revenue arrangements include an extended or customer-specific warranty provision that covers all or a portion of a customer's replacement or repair costs beyond the standard warranty period. Whether or not the extended warranty is separately priced in the arrangement, such warranties are a separate good or service, and a portion of the transaction price is allocated to this extended warranty performance obligation. This revenue is recognized ratably over the extended warranty coverage period.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Hardware and software post-sale maintenance support fees are recognized ratably over the life of the related service contract. Support fees are typically billed in advance on an annual basis, resulting in a contract liability. Shipping and handling costs and incidental expenses billed to customers are recognized as revenue in the period incurred, with the associated cost charged to cost of revenues in the same period. We recognize sales, use, and value added taxes billed to our customers on a net basis.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 terms with customers can vary by customer; however, amounts billed are typically payable within 30 to 90 days, depending on the destination country. We do not typically offer financing as part of our contracts with customers.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incur certain incremental costs to obtain contracts with customers, primarily in the form of sales commissions. Where the amortization period is one year or less, we have elected to apply the practical expedient and recognize the related commissions expense as incurred. Otherwise, such incremental costs are capitalized and amortized over the contract period. Capitalized incremental costs are not material.</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Product and Software Development Costs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and software development costs primarily include employee compensation and third-party contracting fees. We do not capitalize product development costs, and we do not generally capitalize development expenses for computer software to be sold, leased, or otherwise marketed as the costs incurred are immaterial for the relatively short period of time between technological feasibility and the completion of software development.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grant various stock-based compensation awards to our officers, employees, and Board of Directors with service, performance, and market vesting conditions, including restricted stock units, phantom stock units, and unrestricted stock units (awards). Prior to December 31, 2020, stock options were also granted as part of the stock-based compensation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where vesting is probable, we expense the stock-based compensation on a straight-line basis over the requisite service period for each separately vesting portion of the award. For awards with a market condition, we expense the fair value over the requisite service period. We have elected to account for forfeitures of any awards in stock-based compensation expense prospectively as they occur.</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a restricted stock unit is the market close price of our common stock on the date of grant. Restricted stock units vest over a maximum period of three years. After vesting, the restricted stock units are converted into shares of our common stock on a one-for-one basis and issued to employees. Certain restricted stock units are issued under the Long-Term Performance Restricted Stock Unit Award Agreement and include performance and market conditions. The final number of shares issued will be based on the achievement of financial targets and our total shareholder return relative to the Russell 3000 Index during the performance periods. Due to the presence of a market condition, we utilize a Monte Carlo valuation model to determine the fair value of the awards at the grant date. 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grant date on zero-coupon U.S. government issues with a term equal to the expected term of the award. The expected term is the remaining term of an award based on the period of time between the grant date and the date the award is expected to vest.</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Phantom stock units are a form of share-based award that are indexed to our stock price and are settled in cash upon vesting and accounted for as liability-based awards. Fair value is remeasured at the end of each reporting period based on the market close price of our common stock. Phantom stock units vest over a maximum period of three years. Since phantom stock units are settled in cash, compensation expense recognized over the vesting period will vary based on changes in the fair value of the awards.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unrestricted stock awards is the market close price of our common stock on the date of grant, and the awards are deemed fully vested. We expense stock-based compensation at the date of grant for unrestricted stock awards.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stock options was estimated at the date of grant using the Black-Scholes option-pricing model. Options to purchase our common stock were granted with an exercise price equal to the market close price of the stock on the date the Board of Directors approved the grant. Options generally became exercisable in three equal annual installments beginning one year from the date of grant and expiring 10 years from the date of grant. Expected volatility was based on a combination of the historical volatility of our common stock and the implied volatility of our traded options for the related expected term. We believe this combined approach was reflective of current and historical market conditions and was an appropriate indicator of expected volatility. The risk-free interest rate was the rate available as of the award date on zero-coupon U.S. government issues with a term equal to the expected term of the award. The expected term was the weighted average expected term of an award based on the period of time between the date the award was granted and the estimated date the award will be fully exercised. Factors considered in estimating the expected term included historical experience of similar awards, contractual terms, vesting schedules, and expectations of future employee behavior.</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Excess tax benefits and deficiencies resulting from employee share-based payment are recognized as income tax provision or benefit in the Consolidated Statements of Operations, and as an operating activity on the Consolidated Statements of Cash Flows.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maintain an Employee Stock Purchase Plan (ESPP) for our employees. Under the terms of the ESPP, employees can deduct up to 10% of eligible compensation to purchase our common stock at a 5% discount from the fair market value of the stock at the end of each fiscal quarter, subject to other limitations under the plan. The sale of the stock to the employees occurs at the beginning of the subsequent quarter. The ESPP is not considered compensatory, and no compensation expense is recognized for sales of our common stock to employees.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of accounting. Deferred tax assets and liabilities are recognized based upon anticipated future tax consequences, in each of the jurisdictions that we operate, attributable to: (1) the differences between the financial statement carrying amounts of existing assets and liabilities and their respective income tax bases; and (2) net operating loss and tax credit carryforwards. Deferred tax assets and liabilities are measured annually using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legislation and/or rates is recognized in the period that includes the enactment date. A valuation allowance is recognized to reduce the carrying amounts of deferred tax assets if it is not more likely than not that such assets will be realized. We do not recognize tax liabilities on undistributed earnings of international subsidiaries that are permanently reinvested.</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Exchange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an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 Foreign currency losses, net of hedging, of $3.1 million, $2.9 million, and $3.2 million were included in other expenses, net, for the years ended December 31, 2023, 2022, and 2021.</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October 2021, the Financial Accounting Standards Board (FASB) issued Accounting Standards Update (ASU) 2021-08 amending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Topic 805), </w:t>
      </w:r>
      <w:r>
        <w:rPr>
          <w:rFonts w:ascii="Times New Roman" w:cs="Times New Roman" w:eastAsia="Times New Roman" w:hAnsi="Times New Roman"/>
          <w:sz w:val="18"/>
          <w:szCs w:val="18"/>
          <w:color w:val="auto"/>
        </w:rPr>
        <w:t>which was necessary due to 2014-09,</w:t>
      </w:r>
      <w:r>
        <w:rPr>
          <w:rFonts w:ascii="Times New Roman" w:cs="Times New Roman" w:eastAsia="Times New Roman" w:hAnsi="Times New Roman"/>
          <w:sz w:val="18"/>
          <w:szCs w:val="18"/>
          <w:i w:val="1"/>
          <w:iCs w:val="1"/>
          <w:color w:val="auto"/>
        </w:rPr>
        <w:t xml:space="preserve"> Revenue from Contracts with Customers (Topic 606). </w:t>
      </w:r>
      <w:r>
        <w:rPr>
          <w:rFonts w:ascii="Times New Roman" w:cs="Times New Roman" w:eastAsia="Times New Roman" w:hAnsi="Times New Roman"/>
          <w:sz w:val="18"/>
          <w:szCs w:val="18"/>
          <w:color w:val="auto"/>
        </w:rPr>
        <w:t>The FASB issued this update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the accounting for acquired revenue contracts with customers in a business combination by addressing diversity in practice and inconsistency related to (1) recognition of an acquired contract liability and (2) payment terms and their effect on subsequent revenue recognized by the acquirer. We adopted this amendment as of the effective date of January 1, 2023. These amendments are to be applied prospectively to business combinations occurring on or after the effective date of the amendments. We currently plan to apply the practical expedients as needed for any future acquisitions. The practical expedients cover contracts that were modified prior to acquisition date as well as determining which date an acquirer would have to determine the standalone selling price of each performance obligation in an acquired contract.</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amends the reportable segment disclosure requirements, primarily through enhanced disclosures about significant segment expenses. ASU 2023-07 is effective for our annual financial reporting in 2024 and interim financial reports for the first quarter of 2025, with early adoption permitted. These amendments are to be applied retrospectively to all prior periods presented in the financial statements. We are currently evaluating the impact this standard will have on our consolidated financial statement disclosures for our reportable segment information.</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amends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The FASB issued this update to improve annual basis income tax disclosures related to (1) rate reconciliation, (2) income taxes paid, and (3) other disclosures related to pretax income (or loss) and income tax expense (or benefit) from continuing operations. The effective date for this amendment is January 1, 2025, with early adoption permitted. These amendments are to be applied on a prospective basis. Retrospective application is permitted. We are currently evaluating the impact this standard will have on our consolidated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(EPS):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common shareholders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(81,255)</w:t>
            </w:r>
          </w:p>
        </w:tc>
      </w:tr>
      <w:tr>
        <w:trPr>
          <w:trHeight w:val="256"/>
        </w:trPr>
        <w:tc>
          <w:tcPr>
            <w:tcW w:w="6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44,301</w:t>
            </w:r>
          </w:p>
        </w:tc>
      </w:tr>
      <w:tr>
        <w:trPr>
          <w:trHeight w:val="213"/>
        </w:trPr>
        <w:tc>
          <w:tcPr>
            <w:tcW w:w="6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Dilutive effect of convertible notes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45,836</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45,101</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44,301</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5"/>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19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1"/>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0.3 million, 0.7 million, and 0.5 million stock-based awards were excluded from the calculation of diluted EPS for the years ended December 31, 2023, 2022, and 2021, because they were anti-dilutive. These stock-based awards could be dilutive in future periods.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Convertible Notes and Warrants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March 2021,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quarterly closing prices of our common stock for the year ended December 31, 2023 were used as the basis for determining the dilutive effect on EPS. The quarterly average closing prices for our common stock did not exceed the conversion price of $126.00, and therefore all associated shares were anti-dilutive.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issuance of the convertible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year ended December 31, 2023, the quarterly average closing prices of our common stock did not exceed the warrant strike price and therefore 3.7 million shares were considered anti-dilutive.</w:t>
      </w: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Convertible Note Hedge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privately negotiated call option contracts on our common stock (the convertible note hedge transactions) with certain commercial banks (the counterparties).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Exercise of the convertible note hedge transactions would reduce the number of shares of our common stock outstanding and therefore would be anti-dilutive.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from contracts with customers is as follows: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1"/>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(net of allowance of $738 and $4,863)</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272,890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249,771</w:t>
            </w:r>
          </w:p>
        </w:tc>
      </w:tr>
      <w:tr>
        <w:trPr>
          <w:trHeight w:val="213"/>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30,931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30,664</w:t>
            </w:r>
          </w:p>
        </w:tc>
      </w:tr>
      <w:tr>
        <w:trPr>
          <w:trHeight w:val="237"/>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280,435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Allowance for credit losses account activity</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18"/>
                <w:szCs w:val="18"/>
                <w:color w:val="auto"/>
              </w:rPr>
            </w:pPr>
          </w:p>
        </w:tc>
        <w:tc>
          <w:tcPr>
            <w:tcW w:w="124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20" w:type="dxa"/>
            <w:vAlign w:val="bottom"/>
            <w:gridSpan w:val="2"/>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0" w:type="dxa"/>
            <w:vAlign w:val="bottom"/>
          </w:tcPr>
          <w:p>
            <w:pPr>
              <w:spacing w:after="0"/>
              <w:rPr>
                <w:sz w:val="1"/>
                <w:szCs w:val="1"/>
                <w:color w:val="auto"/>
              </w:rPr>
            </w:pPr>
          </w:p>
        </w:tc>
      </w:tr>
      <w:tr>
        <w:trPr>
          <w:trHeight w:val="213"/>
        </w:trPr>
        <w:tc>
          <w:tcPr>
            <w:tcW w:w="6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(release of) doubtful accounts, net</w:t>
            </w:r>
          </w:p>
        </w:tc>
        <w:tc>
          <w:tcPr>
            <w:tcW w:w="3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written-off</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Inventories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60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213,303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182,118</w:t>
            </w: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17,849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8,386</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38,197</w:t>
            </w:r>
          </w:p>
        </w:tc>
        <w:tc>
          <w:tcPr>
            <w:tcW w:w="0" w:type="dxa"/>
            <w:vAlign w:val="bottom"/>
          </w:tcPr>
          <w:p>
            <w:pPr>
              <w:spacing w:after="0"/>
              <w:rPr>
                <w:sz w:val="1"/>
                <w:szCs w:val="1"/>
                <w:color w:val="auto"/>
              </w:rPr>
            </w:pPr>
          </w:p>
        </w:tc>
      </w:tr>
      <w:tr>
        <w:trPr>
          <w:trHeight w:val="209"/>
        </w:trPr>
        <w:tc>
          <w:tcPr>
            <w:tcW w:w="6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inventories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283,686</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228,701</w:t>
            </w:r>
          </w:p>
        </w:tc>
        <w:tc>
          <w:tcPr>
            <w:tcW w:w="0" w:type="dxa"/>
            <w:vAlign w:val="bottom"/>
          </w:tcPr>
          <w:p>
            <w:pPr>
              <w:spacing w:after="0"/>
              <w:rPr>
                <w:sz w:val="1"/>
                <w:szCs w:val="1"/>
                <w:color w:val="auto"/>
              </w:rPr>
            </w:pPr>
          </w:p>
        </w:tc>
      </w:tr>
      <w:tr>
        <w:trPr>
          <w:trHeight w:val="21"/>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2"/>
        </w:trPr>
        <w:tc>
          <w:tcPr>
            <w:tcW w:w="60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318,546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306,699</w:t>
            </w: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126,149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119,670</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furniture, and improvements</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126,041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130,301</w:t>
            </w: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7,846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8,566</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 including purchased equipment</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19,403</w:t>
            </w:r>
          </w:p>
        </w:tc>
        <w:tc>
          <w:tcPr>
            <w:tcW w:w="0" w:type="dxa"/>
            <w:vAlign w:val="bottom"/>
          </w:tcPr>
          <w:p>
            <w:pPr>
              <w:spacing w:after="0"/>
              <w:rPr>
                <w:sz w:val="1"/>
                <w:szCs w:val="1"/>
                <w:color w:val="auto"/>
              </w:rPr>
            </w:pPr>
          </w:p>
        </w:tc>
      </w:tr>
      <w:tr>
        <w:trPr>
          <w:trHeight w:val="207"/>
        </w:trPr>
        <w:tc>
          <w:tcPr>
            <w:tcW w:w="6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cost</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602,898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584,639</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(474,092)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(444,516)</w:t>
            </w:r>
          </w:p>
        </w:tc>
        <w:tc>
          <w:tcPr>
            <w:tcW w:w="0" w:type="dxa"/>
            <w:vAlign w:val="bottom"/>
          </w:tcPr>
          <w:p>
            <w:pPr>
              <w:spacing w:after="0"/>
              <w:rPr>
                <w:sz w:val="1"/>
                <w:szCs w:val="1"/>
                <w:color w:val="auto"/>
              </w:rPr>
            </w:pPr>
          </w:p>
        </w:tc>
      </w:tr>
      <w:tr>
        <w:trPr>
          <w:trHeight w:val="210"/>
        </w:trPr>
        <w:tc>
          <w:tcPr>
            <w:tcW w:w="60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128,806</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140,123</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Depreciation expense</w:t>
            </w: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6060" w:type="dxa"/>
            <w:vAlign w:val="bottom"/>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18"/>
                <w:szCs w:val="18"/>
                <w:color w:val="auto"/>
              </w:rPr>
            </w:pPr>
          </w:p>
        </w:tc>
        <w:tc>
          <w:tcPr>
            <w:tcW w:w="124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20" w:type="dxa"/>
            <w:vAlign w:val="bottom"/>
            <w:gridSpan w:val="2"/>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36,845</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41,046</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(accretion) of our intangible assets and liabilities, other than goodwill,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3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(Amortization)</w:t>
            </w:r>
          </w:p>
        </w:tc>
        <w:tc>
          <w:tcPr>
            <w:tcW w:w="28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Net</w:t>
            </w: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(Amortization)</w:t>
            </w:r>
          </w:p>
        </w:tc>
        <w:tc>
          <w:tcPr>
            <w:tcW w:w="280" w:type="dxa"/>
            <w:vAlign w:val="bottom"/>
          </w:tcPr>
          <w:p>
            <w:pPr>
              <w:spacing w:after="0"/>
              <w:rPr>
                <w:sz w:val="14"/>
                <w:szCs w:val="14"/>
                <w:color w:val="auto"/>
              </w:rPr>
            </w:pPr>
          </w:p>
        </w:tc>
        <w:tc>
          <w:tcPr>
            <w:tcW w:w="90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Accretion</w:t>
            </w:r>
          </w:p>
        </w:tc>
        <w:tc>
          <w:tcPr>
            <w:tcW w:w="2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Accretion</w:t>
            </w: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Core-developed technology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502,010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(492,782)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5,819</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322,360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56,857</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0" w:type="dxa"/>
            <w:vAlign w:val="bottom"/>
          </w:tcPr>
          <w:p>
            <w:pPr>
              <w:spacing w:after="0"/>
              <w:rPr>
                <w:sz w:val="1"/>
                <w:szCs w:val="1"/>
                <w:color w:val="auto"/>
              </w:rPr>
            </w:pPr>
          </w:p>
        </w:tc>
      </w:tr>
      <w:tr>
        <w:trPr>
          <w:trHeight w:val="213"/>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917,178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(870,896)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(840,193)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64,941</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and liabilities activity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gross beginning balance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905,134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928,422</w:t>
            </w:r>
          </w:p>
        </w:tc>
      </w:tr>
      <w:tr>
        <w:trPr>
          <w:trHeight w:val="213"/>
        </w:trPr>
        <w:tc>
          <w:tcPr>
            <w:tcW w:w="7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(23,288)</w:t>
            </w: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gross ending balance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917,178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905,134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liabilities, gross beginning balance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liabilities, gross ending balance</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Assumed intangible liabilities reflect the present value of the projected cash outflows for an existing contract where remaining costs were expected to exceed projected revenues.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Estimated Annual</w:t>
            </w:r>
          </w:p>
        </w:tc>
        <w:tc>
          <w:tcPr>
            <w:tcW w:w="0" w:type="dxa"/>
            <w:vAlign w:val="bottom"/>
          </w:tcPr>
          <w:p>
            <w:pPr>
              <w:spacing w:after="0"/>
              <w:rPr>
                <w:sz w:val="1"/>
                <w:szCs w:val="1"/>
                <w:color w:val="auto"/>
              </w:rPr>
            </w:pPr>
          </w:p>
        </w:tc>
      </w:tr>
      <w:tr>
        <w:trPr>
          <w:trHeight w:val="214"/>
        </w:trPr>
        <w:tc>
          <w:tcPr>
            <w:tcW w:w="96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09"/>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15,164</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14,403</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10,369</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5,636</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1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r>
        <w:trPr>
          <w:trHeight w:val="237"/>
        </w:trPr>
        <w:tc>
          <w:tcPr>
            <w:tcW w:w="9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 subject to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46,282</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Amortization Expense</w:t>
            </w:r>
          </w:p>
        </w:tc>
        <w:tc>
          <w:tcPr>
            <w:tcW w:w="1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0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35,801</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recognized amortization expense within operating expenses in the Consolidated Statements of Operations. These expenses relate to intangible assets acquired and liabilities assumed as part of business combinations.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changes in the carrying amount of goodwill for the years ended December 31, 2023 and 2022:</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24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6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40"/>
        </w:trPr>
        <w:tc>
          <w:tcPr>
            <w:tcW w:w="47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January 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1,098,975</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 to goodwill acquired</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(38,480)</w:t>
            </w:r>
          </w:p>
        </w:tc>
      </w:tr>
      <w:tr>
        <w:trPr>
          <w:trHeight w:val="21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(18,095)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(21,751)</w:t>
            </w: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December 31, 2022</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899,887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138,834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1,038,721</w:t>
            </w:r>
          </w:p>
        </w:tc>
      </w:tr>
      <w:tr>
        <w:trPr>
          <w:trHeight w:val="239"/>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13,783</w:t>
            </w: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balance at December 31,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911,847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140,657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1,052,504</w:t>
            </w:r>
          </w:p>
        </w:tc>
      </w:tr>
      <w:tr>
        <w:trPr>
          <w:trHeight w:val="21"/>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accumulated goodwill impairment losses at December 31, 2023 and 2022 were $714.9 million. The goodwill impairment losses were originally recognized in 2011, 2013, and 2022.</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October 12, 2021, we completed the acquisition of 100% of the shares of SELC Group Limited (SELC), a private limited company incorporated in Ireland. The purchase resulted in the recognition of $5.4 million in goodwill allocated to our Networked Solutions segment. During the year ended December 31, 2022, an immaterial adjustment was recorded to the goodwill acquired.</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of 2022, as the result of increases in raw material, component, labor and other costs, coupled with a decrease in forecasted revenue within the Device Solutions operating segment and reporting unit, we performed an interim goodwill impairment test. At the conclusion of the test, a goodwill impairment of $38.5 million was recognized in our Corporate unallocated segment as of June 30, 2022.</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test goodwill for impairment each year as of October 1. Changes in market demand, fluctuations in the markets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position. Based on the results of the annual impairment testing for our reporting units performed as of October 1, 2023, no adjustments to the carrying value of goodwill were required. Refer to Note 1: Summary of Significant Accounting Policies for further details regarding the annual goodwill impairment process.</w:t>
      </w:r>
    </w:p>
    <w:p>
      <w:pPr>
        <w:spacing w:after="0" w:line="20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borrowings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0"/>
        </w:trPr>
        <w:tc>
          <w:tcPr>
            <w:tcW w:w="6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2"/>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67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Less: unamortized prepaid debt fees - convertible notes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7,474</w:t>
            </w:r>
          </w:p>
        </w:tc>
      </w:tr>
      <w:tr>
        <w:trPr>
          <w:trHeight w:val="234"/>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454,827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credit facility, originally entered on January 5, 2018 (as amended, the 2018 credit facility), originally provided for committed credit facilities in the amount of $1.2 billion U.S. dollars. This facility now consists of a multicurrency revolving line of credit (the revolver) with a principal amount of up to $500 million. The revolver also contains a $300 million standby letter of credit sub-facility and a $50 million swingline sub-facility. The $650 million U.S. dollar term loan (the term loan) included in the original facility was fully repaid in August 2021.</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2018 credit facility permits us and certain of our foreign subsidiaries to borrow in U.S. dollars, euros, or, with lender approval, other currencies readily convertible into U.S. dollars. All obligations under the 2018 credit facility are guaranteed by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December 31, 2023.</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firstLine="8"/>
        <w:spacing w:after="0" w:line="253" w:lineRule="auto"/>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The cessation of LIBOR occurred in June 2023</w:t>
      </w:r>
      <w:r>
        <w:rPr>
          <w:rFonts w:ascii="Cambria" w:cs="Cambria" w:eastAsia="Cambria" w:hAnsi="Cambria"/>
          <w:sz w:val="19"/>
          <w:szCs w:val="19"/>
          <w:b w:val="1"/>
          <w:bCs w:val="1"/>
          <w:color w:val="1F497D"/>
        </w:rPr>
        <w:t>.</w:t>
      </w:r>
      <w:r>
        <w:rPr>
          <w:rFonts w:ascii="Times New Roman" w:cs="Times New Roman" w:eastAsia="Times New Roman" w:hAnsi="Times New Roman"/>
          <w:sz w:val="18"/>
          <w:szCs w:val="18"/>
          <w:color w:val="auto"/>
        </w:rPr>
        <w:t xml:space="preserve"> On November 23, 2022, we amended the 2018 credit facility to replace the LIBOR rate with the Term Secured Overnight Financing Rate (SOFR) as the base interest rate. On February 21, 2023, we entered into a sixth amendment to the 2018 credit facility. This amendment modified debt covenant provisions to allow for the addback of non-recurring cash expenses related to restructuring charges incurred during the quarter ended March 31, 2023. On October 13, 2023, we entered into a seventh amendment to extend the maturity date to October 18, 2026. However, that date may be advanced to December 14, 2025 if Itron does not settle or extend a sufficient portion of outstanding convertible notes detailed in the amendment. In addition, the amendment revises the interest cost,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Leverage Ratio</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Cost</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 Fee</w:t>
            </w:r>
          </w:p>
        </w:tc>
      </w:tr>
      <w:tr>
        <w:trPr>
          <w:trHeight w:val="21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4.00</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+ 250 bps</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 bps</w:t>
            </w:r>
          </w:p>
        </w:tc>
      </w:tr>
      <w:tr>
        <w:trPr>
          <w:trHeight w:val="21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3.51 to 4.00</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+ 225 bps</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 bps</w:t>
            </w:r>
          </w:p>
        </w:tc>
      </w:tr>
      <w:tr>
        <w:trPr>
          <w:trHeight w:val="21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2.51 to 3.50</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+ 200 bps</w:t>
            </w: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bps</w:t>
            </w:r>
          </w:p>
        </w:tc>
      </w:tr>
      <w:tr>
        <w:trPr>
          <w:trHeight w:val="21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or equal to 2.50</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+ 175 bps</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 bps</w:t>
            </w:r>
          </w:p>
        </w:tc>
      </w:tr>
    </w:tbl>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2023, there were no outstanding loan balances under the credit facility, and $59.1 million was utilized by outstanding standby letters of credit, resulting in $440.9 million available for additional borrowings or standby letters of credit within the revolver. At December 31, 2023</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$240.9 million was available for additional standby letters of credit under the letter of credit sub-facility, and no amounts were outstanding under the swingline sub-facility.</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12, 2021, we closed the sale of the convertible notes in a private placement to qualified institutional buyers, resulting in net proceeds to us of $448.5 million after deducting initial purchasers' discounts of the offering. The convertible notes do not bear regular interest, and the principal amount does not accrete. The convertible notes will mature on March 15, 2026, unless earlier repurchased, redeemed, or converted in accordance with their terms. No sinking fund is provided for the convertible notes.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convertible notes is 7.9365 shares of our common stock per $1,000 principal amount of notes, which is equivalent to an initial conversion price of approximately $126.00 per share. The conversion rate of the convertible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December 15, 2025, the convertible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convertible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2025, until the close of business on the second scheduled trading day immediately preceding March 15, 2026, holders of the convertible notes may convert all or a portion of their notes at any time. Upon conversion, we will pay cash up to</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convertible notes to be converted and pay and/or deliver, as the case may be, cash, shares of common stock or a combination of cash and shares of common stock, at our election, in respect of the remainder, if any, of our conversion obligation in excess of the aggregate principal amount of the convertible notes being converted.</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or after March 20, 2024 and prior to December 15, 2025, we may redeem for cash all or part of the convertible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convertible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Debt Maturities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required minimum principal payments on our long-term debt in aggregate over the next five years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1"/>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8"/>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payments on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 Summary of Significant Accounting Policies, Note 14: Shareholders' Equity, and Note 15: Fair Value of Financial Instruments for additional disclosures on our derivative instruments.</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December 31, 2023, a total of 42 contracts were offsetting our exposures from the euro, pound sterling, Indonesian rupiah, Canadian dollar, Australian dollar, and various other currencies, with notional amounts ranging from $117,000 to $23.4 million.</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continue to monitor and assess our interest rate and foreign exchange risk and may institute additional derivative instruments to manage such risk in the future.</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offering death and disability, retirement, and special termination benefits for certain of our international employees, primarily in Germany, France, India, and Indonesia. The defined benefit obligation is calculated annually by using the projected unit credit method. The measurement date for the pension plans was December 31, 2023.</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components of the changes in benefit obligations and fair value of plan assets</w:t>
      </w:r>
      <w:r>
        <w:rPr>
          <w:rFonts w:ascii="Times New Roman" w:cs="Times New Roman" w:eastAsia="Times New Roman" w:hAnsi="Times New Roman"/>
          <w:sz w:val="16"/>
          <w:szCs w:val="16"/>
          <w:color w:val="auto"/>
        </w:rPr>
        <w: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benefit obligation: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January 1,</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69,739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112,073</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Service cost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cost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Actuarial gain (loss)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(23,682)</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Benefits paid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 currency exchange rate changes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(7,162)</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Curtailment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Settlement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Release for divestiture</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10"/>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December 31,</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76,270</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69,739</w:t>
            </w:r>
          </w:p>
        </w:tc>
      </w:tr>
      <w:tr>
        <w:trPr>
          <w:trHeight w:val="239"/>
        </w:trPr>
        <w:tc>
          <w:tcPr>
            <w:tcW w:w="7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plan assets: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January 1,</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8,662</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9,609</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Company contributions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Benefits paid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 currency exchange rate changes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Settlement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3"/>
        </w:trPr>
        <w:tc>
          <w:tcPr>
            <w:tcW w:w="7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December 31,</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8,662</w:t>
            </w:r>
          </w:p>
        </w:tc>
      </w:tr>
      <w:tr>
        <w:trPr>
          <w:trHeight w:val="207"/>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pension benefit obligation at fair value</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67,430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61,077</w:t>
            </w:r>
          </w:p>
        </w:tc>
      </w:tr>
      <w:tr>
        <w:trPr>
          <w:trHeight w:val="23"/>
        </w:trPr>
        <w:tc>
          <w:tcPr>
            <w:tcW w:w="7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consist of:</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14"/>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Plan assets in other long-term assets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47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of pension benefit obligation in wages and benefits payable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w:t>
            </w:r>
          </w:p>
        </w:tc>
      </w:tr>
      <w:tr>
        <w:trPr>
          <w:trHeight w:val="210"/>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portion of pension benefit obligation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63,887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57,839</w:t>
            </w:r>
          </w:p>
        </w:tc>
      </w:tr>
      <w:tr>
        <w:trPr>
          <w:trHeight w:val="262"/>
        </w:trPr>
        <w:tc>
          <w:tcPr>
            <w:tcW w:w="78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32"/>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benefit obligation, net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67,430</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61,077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OCI (pre-tax)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actuarial (gain) loss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(14,565)</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Curtailment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 asset (gain) loss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net actuarial gain (loss)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7"/>
        </w:trPr>
        <w:tc>
          <w:tcPr>
            <w:tcW w:w="6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(25,225)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(16,121)</w:t>
            </w:r>
          </w:p>
        </w:tc>
      </w:tr>
      <w:tr>
        <w:trPr>
          <w:trHeight w:val="23"/>
        </w:trPr>
        <w:tc>
          <w:tcPr>
            <w:tcW w:w="60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actuarial gains and losses exceed 10 percent of the greater of plan assets or plan liabilities, we amortize them over the employees' average future service period. The estimated net actuarial gain and prior service cost that will be amortized from AOCI into net periodic benefit cost during 2024 is $0.2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 for our plans include the following components: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actuarial net (gain) loss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Curtailment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r>
      <w:tr>
        <w:trPr>
          <w:trHeight w:val="207"/>
        </w:trPr>
        <w:tc>
          <w:tcPr>
            <w:tcW w:w="6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7,211</w:t>
            </w:r>
          </w:p>
        </w:tc>
      </w:tr>
      <w:tr>
        <w:trPr>
          <w:trHeight w:val="23"/>
        </w:trPr>
        <w:tc>
          <w:tcPr>
            <w:tcW w:w="60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total other income (expense) on the Consolidated Statements of Operations.</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significant actuarial weighted average assumptions used in determining the benefit obligations and net periodic benefit cost for our benefit plans are as follows:</w:t>
      </w:r>
    </w:p>
    <w:p>
      <w:pPr>
        <w:spacing w:after="0" w:line="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Actuarial assumptions used to determine benefit obligations at end of period:</w:t>
            </w: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9"/>
        </w:trPr>
        <w:tc>
          <w:tcPr>
            <w:tcW w:w="6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Discount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r>
      <w:tr>
        <w:trPr>
          <w:trHeight w:val="213"/>
        </w:trPr>
        <w:tc>
          <w:tcPr>
            <w:tcW w:w="69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Expected annual rate of compensation increase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3.88 %</w:t>
            </w:r>
          </w:p>
        </w:tc>
      </w:tr>
      <w:tr>
        <w:trPr>
          <w:trHeight w:val="21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Actuarial assumptions used to determine net periodic benefit cost for the period:</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3"/>
        </w:trPr>
        <w:tc>
          <w:tcPr>
            <w:tcW w:w="69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Discount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219"/>
        </w:trPr>
        <w:tc>
          <w:tcPr>
            <w:tcW w:w="6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Expected rate of return on plan assets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3.45 %</w:t>
            </w:r>
          </w:p>
        </w:tc>
      </w:tr>
      <w:tr>
        <w:trPr>
          <w:trHeight w:val="210"/>
        </w:trPr>
        <w:tc>
          <w:tcPr>
            <w:tcW w:w="69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Expected annual rate of compensation increase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3.68 %</w:t>
            </w:r>
          </w:p>
        </w:tc>
      </w:tr>
    </w:tbl>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determine a discount rate for our plans based on the estimated duration of each plan's liabilities. For euro denominated defined benefit pension plans, which represent 84% of our projected benefit obligation, we use discount rates with consideration of the duration of each of the plans, using a hypothetical yield curve developed from euro-denominated AA-rated corporate bond issues. These bonds are assigned different weights to adjust their relative influence on the yield curve, and the highest and lowest yielding 10% of bonds are excluded within each maturity group. The discount rate used was 3.25%.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expected rate of return on plan assets is derived from a study of actual historic returns achieved and anticipated future long-term performance of plan assets, specific to plan investment asset category. While the study primarily gives consideration to recent insurers' performance and historical returns, the assumption represents a long-term prospective return.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accumulated benefit obligation for our defined benefit pension plans was $68.8 million and $63.2 million at December 31, 2023 and 2022.</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obligations and fair value of plan assets for plans with projected benefit obligations and accumulated benefit obligations exceeding the fair value of plan assets are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36"/>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Projected benefit obligation</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68,799</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benefit obligation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68,022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62,503</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7,560</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plan investments by asset category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00" w:type="dxa"/>
            <w:vAlign w:val="bottom"/>
          </w:tcPr>
          <w:p>
            <w:pPr>
              <w:spacing w:after="0"/>
              <w:rPr>
                <w:sz w:val="16"/>
                <w:szCs w:val="16"/>
                <w:color w:val="auto"/>
              </w:rPr>
            </w:pPr>
          </w:p>
        </w:tc>
        <w:tc>
          <w:tcPr>
            <w:tcW w:w="15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1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100" w:type="dxa"/>
            <w:vAlign w:val="bottom"/>
          </w:tcPr>
          <w:p>
            <w:pPr>
              <w:spacing w:after="0"/>
              <w:rPr>
                <w:sz w:val="14"/>
                <w:szCs w:val="14"/>
                <w:color w:val="auto"/>
              </w:rPr>
            </w:pPr>
          </w:p>
        </w:tc>
        <w:tc>
          <w:tcPr>
            <w:tcW w:w="15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 Inputs</w:t>
            </w:r>
          </w:p>
        </w:tc>
        <w:tc>
          <w:tcPr>
            <w:tcW w:w="0" w:type="dxa"/>
            <w:vAlign w:val="bottom"/>
          </w:tcPr>
          <w:p>
            <w:pPr>
              <w:spacing w:after="0"/>
              <w:rPr>
                <w:sz w:val="1"/>
                <w:szCs w:val="1"/>
                <w:color w:val="auto"/>
              </w:rPr>
            </w:pPr>
          </w:p>
        </w:tc>
      </w:tr>
      <w:tr>
        <w:trPr>
          <w:trHeight w:val="212"/>
        </w:trPr>
        <w:tc>
          <w:tcPr>
            <w:tcW w:w="606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1"/>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 funds</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0" w:type="dxa"/>
            <w:vAlign w:val="bottom"/>
          </w:tcPr>
          <w:p>
            <w:pPr>
              <w:spacing w:after="0"/>
              <w:rPr>
                <w:sz w:val="1"/>
                <w:szCs w:val="1"/>
                <w:color w:val="auto"/>
              </w:rPr>
            </w:pPr>
          </w:p>
        </w:tc>
      </w:tr>
      <w:tr>
        <w:trPr>
          <w:trHeight w:val="234"/>
        </w:trPr>
        <w:tc>
          <w:tcPr>
            <w:tcW w:w="60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fair value of plan assets</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 funds</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7,805</w:t>
            </w:r>
          </w:p>
        </w:tc>
        <w:tc>
          <w:tcPr>
            <w:tcW w:w="0" w:type="dxa"/>
            <w:vAlign w:val="bottom"/>
          </w:tcPr>
          <w:p>
            <w:pPr>
              <w:spacing w:after="0"/>
              <w:rPr>
                <w:sz w:val="1"/>
                <w:szCs w:val="1"/>
                <w:color w:val="auto"/>
              </w:rPr>
            </w:pPr>
          </w:p>
        </w:tc>
      </w:tr>
      <w:tr>
        <w:trPr>
          <w:trHeight w:val="235"/>
        </w:trPr>
        <w:tc>
          <w:tcPr>
            <w:tcW w:w="60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fair value of plan assets</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reconciliation of Level 3 assets held during the years ended December 31, 2023 and 2022: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25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Balance at January 1,</w:t>
            </w:r>
          </w:p>
        </w:tc>
        <w:tc>
          <w:tcPr>
            <w:tcW w:w="160" w:type="dxa"/>
            <w:vAlign w:val="bottom"/>
          </w:tcPr>
          <w:p>
            <w:pPr>
              <w:spacing w:after="0"/>
              <w:rPr>
                <w:sz w:val="16"/>
                <w:szCs w:val="16"/>
                <w:color w:val="auto"/>
              </w:rPr>
            </w:pPr>
          </w:p>
        </w:tc>
        <w:tc>
          <w:tcPr>
            <w:tcW w:w="15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Realized and</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Net Purchases,</w:t>
            </w:r>
          </w:p>
        </w:tc>
        <w:tc>
          <w:tcPr>
            <w:tcW w:w="180" w:type="dxa"/>
            <w:vAlign w:val="bottom"/>
          </w:tcPr>
          <w:p>
            <w:pPr>
              <w:spacing w:after="0"/>
              <w:rPr>
                <w:sz w:val="16"/>
                <w:szCs w:val="16"/>
                <w:color w:val="auto"/>
              </w:rPr>
            </w:pPr>
          </w:p>
        </w:tc>
        <w:tc>
          <w:tcPr>
            <w:tcW w:w="15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Effect of Foreign</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at December</w:t>
            </w:r>
          </w:p>
        </w:tc>
        <w:tc>
          <w:tcPr>
            <w:tcW w:w="0" w:type="dxa"/>
            <w:vAlign w:val="bottom"/>
          </w:tcPr>
          <w:p>
            <w:pPr>
              <w:spacing w:after="0"/>
              <w:rPr>
                <w:sz w:val="1"/>
                <w:szCs w:val="1"/>
                <w:color w:val="auto"/>
              </w:rPr>
            </w:pPr>
          </w:p>
        </w:tc>
      </w:tr>
      <w:tr>
        <w:trPr>
          <w:trHeight w:val="162"/>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Issuances, Settlements,</w:t>
            </w: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8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2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18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8"/>
                <w:szCs w:val="18"/>
                <w:color w:val="auto"/>
              </w:rPr>
            </w:pPr>
          </w:p>
        </w:tc>
        <w:tc>
          <w:tcPr>
            <w:tcW w:w="13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31, 2023</w:t>
            </w:r>
          </w:p>
        </w:tc>
        <w:tc>
          <w:tcPr>
            <w:tcW w:w="0" w:type="dxa"/>
            <w:vAlign w:val="bottom"/>
          </w:tcPr>
          <w:p>
            <w:pPr>
              <w:spacing w:after="0"/>
              <w:rPr>
                <w:sz w:val="1"/>
                <w:szCs w:val="1"/>
                <w:color w:val="auto"/>
              </w:rPr>
            </w:pPr>
          </w:p>
        </w:tc>
      </w:tr>
      <w:tr>
        <w:trPr>
          <w:trHeight w:val="211"/>
        </w:trPr>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funds</w:t>
            </w:r>
          </w:p>
        </w:tc>
        <w:tc>
          <w:tcPr>
            <w:tcW w:w="11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0" w:type="dxa"/>
            <w:vAlign w:val="bottom"/>
          </w:tcPr>
          <w:p>
            <w:pPr>
              <w:spacing w:after="0"/>
              <w:rPr>
                <w:sz w:val="1"/>
                <w:szCs w:val="1"/>
                <w:color w:val="auto"/>
              </w:rPr>
            </w:pPr>
          </w:p>
        </w:tc>
      </w:tr>
      <w:tr>
        <w:trPr>
          <w:trHeight w:val="284"/>
        </w:trPr>
        <w:tc>
          <w:tcPr>
            <w:tcW w:w="1860" w:type="dxa"/>
            <w:vAlign w:val="bottom"/>
          </w:tcPr>
          <w:p>
            <w:pPr>
              <w:spacing w:after="0"/>
              <w:rPr>
                <w:sz w:val="24"/>
                <w:szCs w:val="24"/>
                <w:color w:val="auto"/>
              </w:rPr>
            </w:pPr>
          </w:p>
        </w:tc>
        <w:tc>
          <w:tcPr>
            <w:tcW w:w="25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Balance at January 1,</w:t>
            </w:r>
          </w:p>
        </w:tc>
        <w:tc>
          <w:tcPr>
            <w:tcW w:w="160" w:type="dxa"/>
            <w:vAlign w:val="bottom"/>
          </w:tcPr>
          <w:p>
            <w:pPr>
              <w:spacing w:after="0"/>
              <w:rPr>
                <w:sz w:val="24"/>
                <w:szCs w:val="24"/>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Realized and</w:t>
            </w:r>
          </w:p>
        </w:tc>
        <w:tc>
          <w:tcPr>
            <w:tcW w:w="20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Net Purchases,</w:t>
            </w:r>
          </w:p>
        </w:tc>
        <w:tc>
          <w:tcPr>
            <w:tcW w:w="180" w:type="dxa"/>
            <w:vAlign w:val="bottom"/>
          </w:tcPr>
          <w:p>
            <w:pPr>
              <w:spacing w:after="0"/>
              <w:rPr>
                <w:sz w:val="24"/>
                <w:szCs w:val="24"/>
                <w:color w:val="auto"/>
              </w:rPr>
            </w:pPr>
          </w:p>
        </w:tc>
        <w:tc>
          <w:tcPr>
            <w:tcW w:w="15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Effect of Foreign</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at December</w:t>
            </w:r>
          </w:p>
        </w:tc>
        <w:tc>
          <w:tcPr>
            <w:tcW w:w="0" w:type="dxa"/>
            <w:vAlign w:val="bottom"/>
          </w:tcPr>
          <w:p>
            <w:pPr>
              <w:spacing w:after="0"/>
              <w:rPr>
                <w:sz w:val="1"/>
                <w:szCs w:val="1"/>
                <w:color w:val="auto"/>
              </w:rPr>
            </w:pPr>
          </w:p>
        </w:tc>
      </w:tr>
      <w:tr>
        <w:trPr>
          <w:trHeight w:val="162"/>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7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Issuances, Settlements,</w:t>
            </w: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8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Gains/(Loss)</w:t>
            </w:r>
          </w:p>
        </w:tc>
        <w:tc>
          <w:tcPr>
            <w:tcW w:w="2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18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8"/>
                <w:szCs w:val="18"/>
                <w:color w:val="auto"/>
              </w:rPr>
            </w:pPr>
          </w:p>
        </w:tc>
        <w:tc>
          <w:tcPr>
            <w:tcW w:w="13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31, 2022</w:t>
            </w:r>
          </w:p>
        </w:tc>
        <w:tc>
          <w:tcPr>
            <w:tcW w:w="0" w:type="dxa"/>
            <w:vAlign w:val="bottom"/>
          </w:tcPr>
          <w:p>
            <w:pPr>
              <w:spacing w:after="0"/>
              <w:rPr>
                <w:sz w:val="1"/>
                <w:szCs w:val="1"/>
                <w:color w:val="auto"/>
              </w:rPr>
            </w:pPr>
          </w:p>
        </w:tc>
      </w:tr>
      <w:tr>
        <w:trPr>
          <w:trHeight w:val="211"/>
        </w:trPr>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funds</w:t>
            </w:r>
          </w:p>
        </w:tc>
        <w:tc>
          <w:tcPr>
            <w:tcW w:w="11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7,805</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plan assets and contributions are not significant to our total company assets, no further disclosures are considered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 benefit payments for the next 10 years, including amounts to be paid from our assets for unfunded plans and reflecting expected future service, as appropriate, are expected to be paid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4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Year Ending December 31,</w:t>
            </w:r>
          </w:p>
        </w:tc>
        <w:tc>
          <w:tcPr>
            <w:tcW w:w="4100" w:type="dxa"/>
            <w:vAlign w:val="bottom"/>
          </w:tcPr>
          <w:p>
            <w:pPr>
              <w:spacing w:after="0"/>
              <w:rPr>
                <w:sz w:val="14"/>
                <w:szCs w:val="14"/>
                <w:color w:val="auto"/>
              </w:rPr>
            </w:pPr>
          </w:p>
        </w:tc>
        <w:tc>
          <w:tcPr>
            <w:tcW w:w="144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Annual Benefit</w:t>
            </w:r>
          </w:p>
        </w:tc>
        <w:tc>
          <w:tcPr>
            <w:tcW w:w="0" w:type="dxa"/>
            <w:vAlign w:val="bottom"/>
          </w:tcPr>
          <w:p>
            <w:pPr>
              <w:spacing w:after="0"/>
              <w:rPr>
                <w:sz w:val="1"/>
                <w:szCs w:val="1"/>
                <w:color w:val="auto"/>
              </w:rPr>
            </w:pPr>
          </w:p>
        </w:tc>
      </w:tr>
      <w:tr>
        <w:trPr>
          <w:trHeight w:val="214"/>
        </w:trPr>
        <w:tc>
          <w:tcPr>
            <w:tcW w:w="5700" w:type="dxa"/>
            <w:vAlign w:val="bottom"/>
            <w:tcBorders>
              <w:bottom w:val="single" w:sz="8" w:color="auto"/>
            </w:tcBorders>
            <w:vMerge w:val="continue"/>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w:t>
            </w:r>
          </w:p>
        </w:tc>
        <w:tc>
          <w:tcPr>
            <w:tcW w:w="0" w:type="dxa"/>
            <w:vAlign w:val="bottom"/>
          </w:tcPr>
          <w:p>
            <w:pPr>
              <w:spacing w:after="0"/>
              <w:rPr>
                <w:sz w:val="1"/>
                <w:szCs w:val="1"/>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4,191</w:t>
            </w:r>
          </w:p>
        </w:tc>
        <w:tc>
          <w:tcPr>
            <w:tcW w:w="0" w:type="dxa"/>
            <w:vAlign w:val="bottom"/>
          </w:tcPr>
          <w:p>
            <w:pPr>
              <w:spacing w:after="0"/>
              <w:rPr>
                <w:sz w:val="1"/>
                <w:szCs w:val="1"/>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2029-2033</w:t>
            </w:r>
          </w:p>
        </w:tc>
        <w:tc>
          <w:tcPr>
            <w:tcW w:w="4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28,547</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10,357,273 shares of common stock authorized for issuance subject to stock splits, dividends, and other similar events, and at December 31, 2023, 1,843,272 shares were available for grant. The reduction in shares available for grant from prior periods is largely attributed to the shares held in Itron's INS share pool, which expired August 21, 2023. We issue new shares of common stock upon the exercise of stock options or when vesting conditions on restricted stock units are fully satisfied. These shares are subject to a fungible share provision such that the authorized share available for grant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award phantom stock units, which are settled in cash upon vesting and accounted for as liability-based awards, with no impact to the shares available for grant.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maintain the Employee Stock Purchase Plan (ESPP), for which 520,200 shares of common stock were available for future issuance at December 31, 2023. In May 2023, the shareholders authorized, via a proxy approval, the reallocation of 500,000 reserved shares from the shares available for grant in the Stock Incentive Plan to the ESPP.</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ESPP activity and stock-based grants other than stock options and restricted stock units were not significant for the years ended December 31, 2023, 2022, and 2021.</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and the related tax benefit were as follows</w:t>
      </w:r>
      <w:r>
        <w:rPr>
          <w:rFonts w:ascii="Times New Roman" w:cs="Times New Roman" w:eastAsia="Times New Roman" w:hAnsi="Times New Roman"/>
          <w:sz w:val="16"/>
          <w:szCs w:val="16"/>
          <w:color w:val="auto"/>
        </w:rPr>
        <w: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4"/>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21,391</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Unrestricted stock awards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r>
      <w:tr>
        <w:trPr>
          <w:trHeight w:val="21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Phantom stock units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3,242</w:t>
            </w:r>
          </w:p>
        </w:tc>
      </w:tr>
      <w:tr>
        <w:trPr>
          <w:trHeight w:val="235"/>
        </w:trPr>
        <w:tc>
          <w:tcPr>
            <w:tcW w:w="6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tax benefit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6,928</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00" w:type="dxa"/>
            <w:vAlign w:val="bottom"/>
          </w:tcPr>
          <w:p>
            <w:pPr>
              <w:spacing w:after="0"/>
              <w:rPr>
                <w:sz w:val="16"/>
                <w:szCs w:val="16"/>
                <w:color w:val="auto"/>
              </w:rPr>
            </w:pPr>
          </w:p>
        </w:tc>
        <w:tc>
          <w:tcPr>
            <w:tcW w:w="170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4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4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4"/>
                <w:szCs w:val="14"/>
                <w:color w:val="auto"/>
              </w:rPr>
            </w:pPr>
          </w:p>
        </w:tc>
        <w:tc>
          <w:tcPr>
            <w:tcW w:w="15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7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4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00" w:type="dxa"/>
            <w:vAlign w:val="bottom"/>
          </w:tcPr>
          <w:p>
            <w:pPr>
              <w:spacing w:after="0"/>
              <w:rPr>
                <w:sz w:val="18"/>
                <w:szCs w:val="18"/>
                <w:color w:val="auto"/>
              </w:rPr>
            </w:pPr>
          </w:p>
        </w:tc>
        <w:tc>
          <w:tcPr>
            <w:tcW w:w="17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3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Years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61.95</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67.21</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Outstanding, December 31, 2021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61.18</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87.27</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Outstanding, December 31, 2022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60.63</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Outstanding and Exercisable, December 31,</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61.36</w:t>
            </w:r>
          </w:p>
        </w:tc>
        <w:tc>
          <w:tcPr>
            <w:tcW w:w="12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all stock-based compensation expense related to nonvested stock options has been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1260" w:type="dxa"/>
            <w:vAlign w:val="bottom"/>
            <w:vMerge w:val="restart"/>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6"/>
                <w:szCs w:val="16"/>
                <w:color w:val="auto"/>
              </w:rPr>
            </w:pPr>
          </w:p>
        </w:tc>
        <w:tc>
          <w:tcPr>
            <w:tcW w:w="14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2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rPr>
                <w:sz w:val="18"/>
                <w:szCs w:val="18"/>
                <w:color w:val="auto"/>
              </w:rPr>
            </w:pPr>
          </w:p>
        </w:tc>
        <w:tc>
          <w:tcPr>
            <w:tcW w:w="17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220" w:type="dxa"/>
            <w:vAlign w:val="bottom"/>
          </w:tcPr>
          <w:p>
            <w:pPr>
              <w:spacing w:after="0"/>
              <w:rPr>
                <w:sz w:val="18"/>
                <w:szCs w:val="18"/>
                <w:color w:val="auto"/>
              </w:rPr>
            </w:pPr>
          </w:p>
        </w:tc>
        <w:tc>
          <w:tcPr>
            <w:tcW w:w="14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260" w:type="dxa"/>
            <w:vAlign w:val="bottom"/>
            <w:tcBorders>
              <w:top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0" w:type="dxa"/>
            <w:vAlign w:val="bottom"/>
          </w:tcPr>
          <w:p>
            <w:pPr>
              <w:spacing w:after="0"/>
              <w:rPr>
                <w:sz w:val="1"/>
                <w:szCs w:val="1"/>
                <w:color w:val="auto"/>
              </w:rPr>
            </w:pPr>
          </w:p>
        </w:tc>
      </w:tr>
      <w:tr>
        <w:trPr>
          <w:trHeight w:val="218"/>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20,639</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Outstanding, December 31, 2021</w:t>
            </w:r>
          </w:p>
        </w:tc>
        <w:tc>
          <w:tcPr>
            <w:tcW w:w="12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85.77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18,169</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2022</w:t>
            </w: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12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Vested but not released, December 31, 2023</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Shares released is presented as gross shares and does not reflect shares withheld by us for employee payroll tax obligations.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total unrecognized compensation expense on restricted stock units was $32.0 million, which is expected to be recognized over a weighted average period of approximately 1.8 years.</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weighted average assumptions used to estimate the fair value of performance-based restricted stock units granted with a service and market condition and the resulting weighted average fair value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1"/>
        </w:trPr>
        <w:tc>
          <w:tcPr>
            <w:tcW w:w="58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54.2 %</w:t>
            </w:r>
          </w:p>
        </w:tc>
      </w:tr>
      <w:tr>
        <w:trPr>
          <w:trHeight w:val="21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57"/>
        </w:trPr>
        <w:tc>
          <w:tcPr>
            <w:tcW w:w="5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73.41</w:t>
            </w: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57.88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Phantom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phantom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Phantom</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6"/>
                <w:szCs w:val="16"/>
                <w:color w:val="auto"/>
              </w:rPr>
            </w:pPr>
          </w:p>
        </w:tc>
        <w:tc>
          <w:tcPr>
            <w:tcW w:w="144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2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080" w:type="dxa"/>
            <w:vAlign w:val="bottom"/>
          </w:tcPr>
          <w:p>
            <w:pPr>
              <w:spacing w:after="0"/>
              <w:rPr>
                <w:sz w:val="18"/>
                <w:szCs w:val="18"/>
                <w:color w:val="auto"/>
              </w:rPr>
            </w:pPr>
          </w:p>
        </w:tc>
        <w:tc>
          <w:tcPr>
            <w:tcW w:w="130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200" w:type="dxa"/>
            <w:vAlign w:val="bottom"/>
          </w:tcPr>
          <w:p>
            <w:pPr>
              <w:spacing w:after="0"/>
              <w:rPr>
                <w:sz w:val="18"/>
                <w:szCs w:val="18"/>
                <w:color w:val="auto"/>
              </w:rPr>
            </w:pPr>
          </w:p>
        </w:tc>
        <w:tc>
          <w:tcPr>
            <w:tcW w:w="14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1300" w:type="dxa"/>
            <w:vAlign w:val="bottom"/>
            <w:tcBorders>
              <w:top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Released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0" w:type="dxa"/>
            <w:vAlign w:val="bottom"/>
          </w:tcPr>
          <w:p>
            <w:pPr>
              <w:spacing w:after="0"/>
              <w:rPr>
                <w:sz w:val="1"/>
                <w:szCs w:val="1"/>
                <w:color w:val="auto"/>
              </w:rPr>
            </w:pPr>
          </w:p>
        </w:tc>
      </w:tr>
      <w:tr>
        <w:trPr>
          <w:trHeight w:val="213"/>
        </w:trPr>
        <w:tc>
          <w:tcPr>
            <w:tcW w:w="73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2021</w:t>
            </w: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0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Released</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0" w:type="dxa"/>
            <w:vAlign w:val="bottom"/>
          </w:tcPr>
          <w:p>
            <w:pPr>
              <w:spacing w:after="0"/>
              <w:rPr>
                <w:sz w:val="1"/>
                <w:szCs w:val="1"/>
                <w:color w:val="auto"/>
              </w:rPr>
            </w:pPr>
          </w:p>
        </w:tc>
      </w:tr>
      <w:tr>
        <w:trPr>
          <w:trHeight w:val="219"/>
        </w:trPr>
        <w:tc>
          <w:tcPr>
            <w:tcW w:w="7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Outstanding, December 31, 2022</w:t>
            </w:r>
          </w:p>
        </w:tc>
        <w:tc>
          <w:tcPr>
            <w:tcW w:w="13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66.46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Released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66.19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December 31, 2023, total unrecognized compensation expense on phantom stock units was $4.4 million, which is expected to be recognized over a weighted average period of approximately 1.7 years. As of December 31, 2023 and 2022, we have recognized a phantom stock liability of $4.4 million and $1.7 million within wages and benefits payable in the Consolidated Balance Sheets.</w:t>
      </w:r>
    </w:p>
    <w:p>
      <w:pPr>
        <w:spacing w:after="0" w:line="22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Defined Contribution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United Kingdom, and certain other countries, we make contributions to defined contribution plans. For our U.S. employee savings plan, which represents a majority of our contribution expense, we provide a 75% match on the first 6% of the employee salary deferral, subject to statutory limitations. For our international defined contribution plans, we provide various levels of contributions, based on salary, subject to stipulated or statutory limitations. The expense for our defined contribution plans was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Defined contribution plans expense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18,287</w:t>
            </w:r>
          </w:p>
        </w:tc>
      </w:tr>
    </w:tbl>
    <w:p>
      <w:pPr>
        <w:spacing w:after="0" w:line="30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January 1, 2022, the Tax Cuts and Jobs Act of 2017 eliminated the option to deduct research and development expenditures currently and requires taxpayers to capitalize and amortize them over five or fifteen years, dependent upon the geography in which the expenditures are incurred. Although Congress has considered legislation that would defer, modify, or repeal the capitalization and amortization requirement, as of year-end no such deferral has been passed. The income tax provision has been prepared according to currently enacted tax legislation, including the effect of guidance issued in December 2023 that provided clarity regarding research providers and recipients.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2022, the Inflation Reduction Act was signed into law, which made a number of changes to the Internal Revenue Code, including adding a 1% excise tax on stock buybacks by publicly traded corporations and a 15% minimum tax on adjusted financial statement income of certain large companies. We are subject to the new 1% excise tax beginning January 1, 2023, but the amount will vary depending upon various factors. The 15% minimum tax only applies to corporations with average book income in excess of $1 billion, therefore it is not currently applicable.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Legislation is in various stages of adoption, from formal legislative proposals to passage into law, in most countries where Itron has significant operations, and is expected to take effect for calendar year 2024. The OECD continues to release more guidance on these rules and framework and we are evaluating the impact to our financial position. These enactments or amendments could adversely affect our tax rate and ultimately result in a negative impact on our operating results and cash flows. Based upon preliminary calculations for calendar year 2024, the Company anticipates it will meet the safe harbors in most jurisdictions, and any remaining top-up tax should be immaterial.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provision (benefit) for U.S. federal, state, and foreign taxes on income from continuing operations: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8"/>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Federal</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43,101</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20,197</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State and local</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7,271</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12,594</w:t>
            </w:r>
          </w:p>
        </w:tc>
      </w:tr>
      <w:tr>
        <w:trPr>
          <w:trHeight w:val="207"/>
        </w:trPr>
        <w:tc>
          <w:tcPr>
            <w:tcW w:w="6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63,713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40,062</w:t>
            </w:r>
          </w:p>
        </w:tc>
      </w:tr>
      <w:tr>
        <w:trPr>
          <w:trHeight w:val="259"/>
        </w:trPr>
        <w:tc>
          <w:tcPr>
            <w:tcW w:w="6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Federal</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(36,196)</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State and local</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(12,186)</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(12,657)</w:t>
            </w:r>
          </w:p>
        </w:tc>
      </w:tr>
      <w:tr>
        <w:trPr>
          <w:trHeight w:val="207"/>
        </w:trPr>
        <w:tc>
          <w:tcPr>
            <w:tcW w:w="6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deferred</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(61,039)</w:t>
            </w:r>
          </w:p>
        </w:tc>
      </w:tr>
      <w:tr>
        <w:trPr>
          <w:trHeight w:val="259"/>
        </w:trPr>
        <w:tc>
          <w:tcPr>
            <w:tcW w:w="6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(24,535)</w:t>
            </w:r>
          </w:p>
        </w:tc>
      </w:tr>
      <w:tr>
        <w:trPr>
          <w:trHeight w:val="234"/>
        </w:trPr>
        <w:tc>
          <w:tcPr>
            <w:tcW w:w="61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provision (benefit) for income taxes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(45,512)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valuation allowance does not include the impacts of currency translation adjustments, acquisitions, or significant intercompany transactions.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tax provision (benefit) as a percentage of income before tax was 23%, 39%, and 37% for 2023, 2022, and 2021. A reconciliation of income taxes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statutory rate of 21% to the consolidated actual tax rate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9"/>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Domestic</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88,258</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(91,579)</w:t>
            </w:r>
          </w:p>
        </w:tc>
      </w:tr>
      <w:tr>
        <w:trPr>
          <w:trHeight w:val="213"/>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Foreign</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39,128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(32,231)</w:t>
            </w:r>
          </w:p>
        </w:tc>
      </w:tr>
      <w:tr>
        <w:trPr>
          <w:trHeight w:val="234"/>
        </w:trPr>
        <w:tc>
          <w:tcPr>
            <w:tcW w:w="6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income (loss) before income taxes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127,386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(123,810)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federal income tax provision (benefit)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26,751</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Divestitures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(24,535)</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Onshoring of international operations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(10,933)</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earnings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25,738</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(8,988)</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Uncertain tax positions, including interest and penalties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6,693</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tax rates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income tax provision (benefit), net of federal effect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(5,722)</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tax provision on foreign earnings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Nondeductible goodwill impairment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Local foreign taxes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r>
      <w:tr>
        <w:trPr>
          <w:trHeight w:val="21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w:t>
            </w:r>
          </w:p>
        </w:tc>
      </w:tr>
      <w:tr>
        <w:trPr>
          <w:trHeight w:val="234"/>
        </w:trPr>
        <w:tc>
          <w:tcPr>
            <w:tcW w:w="6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provision (benefit) from income taxes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(45,512)</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consist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Loss carryforwards</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419,327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405,674</w:t>
            </w:r>
          </w:p>
        </w:tc>
      </w:tr>
      <w:tr>
        <w:trPr>
          <w:trHeight w:val="216"/>
        </w:trPr>
        <w:tc>
          <w:tcPr>
            <w:tcW w:w="784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Tax credits</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44,790</w:t>
            </w:r>
          </w:p>
        </w:tc>
      </w:tr>
      <w:tr>
        <w:trPr>
          <w:trHeight w:val="216"/>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18,774</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Pension plan benefits 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7,037</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Warranty reserves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8,535</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64,959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72,505</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Inventory valuation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5,356</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13,346</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11,721</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9,543</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Capitalized research costs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113,465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74,058</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deferred tax assets,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7,986</w:t>
            </w:r>
          </w:p>
        </w:tc>
      </w:tr>
      <w:tr>
        <w:trPr>
          <w:trHeight w:val="207"/>
        </w:trPr>
        <w:tc>
          <w:tcPr>
            <w:tcW w:w="78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725,651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686,386</w:t>
            </w:r>
          </w:p>
        </w:tc>
      </w:tr>
      <w:tr>
        <w:trPr>
          <w:trHeight w:val="219"/>
        </w:trPr>
        <w:tc>
          <w:tcPr>
            <w:tcW w:w="78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(445,170)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(427,423)</w:t>
            </w:r>
          </w:p>
        </w:tc>
      </w:tr>
      <w:tr>
        <w:trPr>
          <w:trHeight w:val="207"/>
        </w:trPr>
        <w:tc>
          <w:tcPr>
            <w:tcW w:w="78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deferred tax assets, net of valuation allowance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280,481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258,963</w:t>
            </w:r>
          </w:p>
        </w:tc>
      </w:tr>
      <w:tr>
        <w:trPr>
          <w:trHeight w:val="259"/>
        </w:trPr>
        <w:tc>
          <w:tcPr>
            <w:tcW w:w="78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(34,909)</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(8,274)</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deferred tax liabilities,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w:t>
            </w:r>
          </w:p>
        </w:tc>
      </w:tr>
      <w:tr>
        <w:trPr>
          <w:trHeight w:val="207"/>
        </w:trPr>
        <w:tc>
          <w:tcPr>
            <w:tcW w:w="78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(33,967)</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(47,814)</w:t>
            </w: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246,514</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211,149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both"/>
        <w:ind w:left="340" w:hanging="332"/>
        <w:spacing w:after="0" w:line="232"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tax return purposes at December 31, 2023, we had U.S. federal loss carryforwards of $3.6 million, which begin to expire in the year 2024. At December 31, 2023, we have net operating loss carryforwards in Luxembourg of $1.3 billion, the majority of which can be carried forward indefinitely, offset by a full valuation allowance. The remaining portion of the loss carryforwards are composed primarily of losses in various other state and foreign jurisdictions. The majority of these losses can be carried forward indefinitely. At December 31, 2023, there was a valuation allowance of $445.2 million primarily associated with foreign loss carryforwards.</w:t>
      </w:r>
    </w:p>
    <w:p>
      <w:pPr>
        <w:spacing w:after="0" w:line="88" w:lineRule="exact"/>
        <w:rPr>
          <w:rFonts w:ascii="Times New Roman" w:cs="Times New Roman" w:eastAsia="Times New Roman" w:hAnsi="Times New Roman"/>
          <w:sz w:val="23"/>
          <w:szCs w:val="23"/>
          <w:color w:val="auto"/>
          <w:vertAlign w:val="superscript"/>
        </w:rPr>
      </w:pPr>
    </w:p>
    <w:p>
      <w:pPr>
        <w:ind w:left="340" w:right="20" w:hanging="332"/>
        <w:spacing w:after="0" w:line="220"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tax return purposes at December 31, 2023, we had: U.S. general business credits of $5.4 million, which begin to expire in 2043; and state tax credits of $41.9 million, which begin to expire in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valuation allowance for deferred tax assets are summarized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503,859</w:t>
            </w: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adjustments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(35,731)</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(24,535)</w:t>
            </w:r>
          </w:p>
        </w:tc>
      </w:tr>
      <w:tr>
        <w:trPr>
          <w:trHeight w:val="209"/>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 noncurrent</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445,170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427,423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443,593</w:t>
            </w:r>
          </w:p>
        </w:tc>
      </w:tr>
      <w:tr>
        <w:trPr>
          <w:trHeight w:val="21"/>
        </w:trPr>
        <w:tc>
          <w:tcPr>
            <w:tcW w:w="6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net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valuation allowance, will be realized. The amount of deferred tax assets considered realizable, however, could be reduced in the near term if estimates of future taxable income during the carryforward periods are reduced.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provide U.S. deferred taxes on temporary differences related to our foreign investments that are considered permanent in duration. These temporary differences include undistributed foreign earnings of $30.8 million and $43.0 million at December 31, 2023 and 2022. Foreign taxes have been provided on these undistributed foreign earnings. As a result of recent changes in U.S. tax legislation, any repatriation of these earnings would not result in additional U.S. federal income tax.</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at January 1, 2021</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135,910</w:t>
            </w: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increase to positions in prior years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decrease to positions in prior years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(19,709)</w:t>
            </w: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increases to current period tax positions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31,456</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Audit settlements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Decrease related to lapsing of statute of limitations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w:t>
            </w:r>
          </w:p>
        </w:tc>
      </w:tr>
      <w:tr>
        <w:trPr>
          <w:trHeight w:val="207"/>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Unrecognized tax benefits at December 31, 2021</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139,529</w:t>
            </w:r>
          </w:p>
        </w:tc>
      </w:tr>
      <w:tr>
        <w:trPr>
          <w:trHeight w:val="259"/>
        </w:trPr>
        <w:tc>
          <w:tcPr>
            <w:tcW w:w="94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increase to positions in prior years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14,450</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decrease to positions in prior years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(2,786)</w:t>
            </w: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increases to current period tax positions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4,702</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Audit settlements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Decrease related to lapsing of statute of limitations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(23,164)</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r>
      <w:tr>
        <w:trPr>
          <w:trHeight w:val="207"/>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Unrecognized tax benefits at December 31, 2022</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130,144</w:t>
            </w:r>
          </w:p>
        </w:tc>
      </w:tr>
      <w:tr>
        <w:trPr>
          <w:trHeight w:val="259"/>
        </w:trPr>
        <w:tc>
          <w:tcPr>
            <w:tcW w:w="94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increase to positions in prior years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decrease to positions in prior years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(8,666)</w:t>
            </w: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increases to current period tax positions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10,967</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Audit settlements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w:t>
            </w: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Decrease related to lapsing of statute of limitations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r>
      <w:tr>
        <w:trPr>
          <w:trHeight w:val="207"/>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Unrecognized tax benefits at December 31, 2023</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130,067</w:t>
            </w:r>
          </w:p>
        </w:tc>
      </w:tr>
      <w:tr>
        <w:trPr>
          <w:trHeight w:val="23"/>
        </w:trPr>
        <w:tc>
          <w:tcPr>
            <w:tcW w:w="9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57"/>
        </w:trPr>
        <w:tc>
          <w:tcPr>
            <w:tcW w:w="60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The amount of unrecognized tax benefits that, if recognized, would affect our effective tax</w:t>
            </w:r>
          </w:p>
        </w:tc>
        <w:tc>
          <w:tcPr>
            <w:tcW w:w="38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129,591</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130,137</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139,503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rate</w:t>
            </w:r>
          </w:p>
        </w:tc>
        <w:tc>
          <w:tcPr>
            <w:tcW w:w="3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certain unrecognized tax benefits are recognized they would create additional deferred tax assets. These assets would require a full valuation allowance in certain locations based upon present circumstances.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benefits and interest income on tax overpayments as components of income tax expense. The net interest and penalties expense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and penalties expense (benefit)</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and penalties recognized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7,575</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penalties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r>
    </w:tbl>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file income tax returns in various jurisdictions. We are subject to income tax examination by tax authorities in our major tax jurisdictions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Tax Jurisdiction</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Years Subject to Audit</w:t>
            </w:r>
          </w:p>
        </w:tc>
      </w:tr>
      <w:tr>
        <w:trPr>
          <w:trHeight w:val="213"/>
        </w:trPr>
        <w:tc>
          <w:tcPr>
            <w:tcW w:w="8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w:t>
            </w:r>
          </w:p>
        </w:tc>
        <w:tc>
          <w:tcPr>
            <w:tcW w:w="1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Subsequent to 2019</w:t>
            </w:r>
          </w:p>
        </w:tc>
      </w:tr>
      <w:tr>
        <w:trPr>
          <w:trHeight w:val="213"/>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France</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Subsequent to 2020</w:t>
            </w:r>
          </w:p>
        </w:tc>
      </w:tr>
      <w:tr>
        <w:trPr>
          <w:trHeight w:val="219"/>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Subsequent to 2013</w:t>
            </w:r>
          </w:p>
        </w:tc>
      </w:tr>
      <w:tr>
        <w:trPr>
          <w:trHeight w:val="213"/>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Subsequent to 2018</w:t>
            </w:r>
          </w:p>
        </w:tc>
      </w:tr>
      <w:tr>
        <w:trPr>
          <w:trHeight w:val="219"/>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Subsequent to 2017</w:t>
            </w:r>
          </w:p>
        </w:tc>
      </w:tr>
      <w:tr>
        <w:trPr>
          <w:trHeight w:val="210"/>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Italy</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Subsequent to 2017</w:t>
            </w:r>
          </w:p>
        </w:tc>
      </w:tr>
    </w:tbl>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above years are subject to audit based on the local jurisdiction's statute of limitations, tax attributes carrying over into the above years may also be adjusted upon audit.</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bonds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14"/>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7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(59,059)</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(55,990)</w:t>
            </w:r>
          </w:p>
        </w:tc>
      </w:tr>
      <w:tr>
        <w:trPr>
          <w:trHeight w:val="234"/>
        </w:trPr>
        <w:tc>
          <w:tcPr>
            <w:tcW w:w="78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under the multicurrency revolving line of credit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440,941</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444,010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8"/>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available for additional standby LOCs under sub-facility</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240,941</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244,010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lines of credit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84,318</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81,781</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(22,530)</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780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59,251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271,164</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285,754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were called, we would be obligated to reimburse the issuer of the standby LOC or bond; however, as of February 26, 2024, we do not believe any outstanding standby LOCs or bonds will be called.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41,390</w:t>
            </w:r>
          </w:p>
        </w:tc>
      </w:tr>
      <w:tr>
        <w:trPr>
          <w:trHeight w:val="213"/>
        </w:trPr>
        <w:tc>
          <w:tcPr>
            <w:tcW w:w="5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New product warranties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4,848</w:t>
            </w:r>
          </w:p>
        </w:tc>
      </w:tr>
      <w:tr>
        <w:trPr>
          <w:trHeight w:val="219"/>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adjustments and expirations,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13"/>
        </w:trPr>
        <w:tc>
          <w:tcPr>
            <w:tcW w:w="5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Claims activity</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(13,593)</w:t>
            </w:r>
          </w:p>
        </w:tc>
      </w:tr>
      <w:tr>
        <w:trPr>
          <w:trHeight w:val="219"/>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Warranties reclassified to held for sale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5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w:t>
            </w:r>
          </w:p>
        </w:tc>
      </w:tr>
      <w:tr>
        <w:trPr>
          <w:trHeight w:val="21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32,022</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18,203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18,406</w:t>
            </w:r>
          </w:p>
        </w:tc>
      </w:tr>
      <w:tr>
        <w:trPr>
          <w:trHeight w:val="237"/>
        </w:trPr>
        <w:tc>
          <w:tcPr>
            <w:tcW w:w="5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warranty</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insurance and supplier recoveries, other changes and adjustments to warranties, and customer claims.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 2021, Itron entered into an agreement to sell certain Gas product lines from our Device Solutions manufacturing and business operations in Europe and North America to Dresser Utility Solutions (Dresser). In conjunction with the business divestiture to Dresser, the related disposal group was classified as held for sale during the fourth quarter of 2021. The disposal group was removed from the balance sheet when the transaction closed on February 28, 2022. Refer to Note 18: Sale of Businesses for additional information on the transaction.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expense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warranty expense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w:t>
            </w: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Health Benefits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self-insured for a substantial portion of the cost of our U.S. employee group health insurance. We purchase insurance from a third-party,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costs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 costs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39,187</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IBNR accrual, which is included in wages and benefits payable,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14"/>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IBNR accrual</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3,673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w:t>
      </w:r>
    </w:p>
    <w:p>
      <w:pPr>
        <w:spacing w:after="0" w:line="22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tab/>
        <w:t>Restructuring</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2023 Projects</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expected to be substantially complete by early 2025.</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2023 Projects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Expected Costs at</w:t>
            </w:r>
          </w:p>
        </w:tc>
        <w:tc>
          <w:tcPr>
            <w:tcW w:w="2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20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Costs Recognized During</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Expected Remaining Costs</w:t>
            </w:r>
          </w:p>
        </w:tc>
        <w:tc>
          <w:tcPr>
            <w:tcW w:w="0" w:type="dxa"/>
            <w:vAlign w:val="bottom"/>
          </w:tcPr>
          <w:p>
            <w:pPr>
              <w:spacing w:after="0"/>
              <w:rPr>
                <w:sz w:val="1"/>
                <w:szCs w:val="1"/>
                <w:color w:val="auto"/>
              </w:rPr>
            </w:pPr>
          </w:p>
        </w:tc>
      </w:tr>
      <w:tr>
        <w:trPr>
          <w:trHeight w:val="162"/>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202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the Year Ended December</w:t>
            </w:r>
          </w:p>
        </w:tc>
        <w:tc>
          <w:tcPr>
            <w:tcW w:w="220" w:type="dxa"/>
            <w:vAlign w:val="bottom"/>
          </w:tcPr>
          <w:p>
            <w:pPr>
              <w:spacing w:after="0"/>
              <w:rPr>
                <w:sz w:val="14"/>
                <w:szCs w:val="14"/>
                <w:color w:val="auto"/>
              </w:rPr>
            </w:pPr>
          </w:p>
        </w:tc>
        <w:tc>
          <w:tcPr>
            <w:tcW w:w="1760" w:type="dxa"/>
            <w:vAlign w:val="bottom"/>
          </w:tcPr>
          <w:p>
            <w:pPr>
              <w:jc w:val="center"/>
              <w:ind w:right="133"/>
              <w:spacing w:after="0" w:line="162" w:lineRule="exact"/>
              <w:rPr>
                <w:sz w:val="20"/>
                <w:szCs w:val="20"/>
                <w:color w:val="auto"/>
              </w:rPr>
            </w:pPr>
            <w:r>
              <w:rPr>
                <w:rFonts w:ascii="Times New Roman" w:cs="Times New Roman" w:eastAsia="Times New Roman" w:hAnsi="Times New Roman"/>
                <w:sz w:val="16"/>
                <w:szCs w:val="16"/>
                <w:b w:val="1"/>
                <w:bCs w:val="1"/>
                <w:color w:val="auto"/>
              </w:rPr>
              <w:t>to be Recognized at</w:t>
            </w:r>
          </w:p>
        </w:tc>
        <w:tc>
          <w:tcPr>
            <w:tcW w:w="0" w:type="dxa"/>
            <w:vAlign w:val="bottom"/>
          </w:tcPr>
          <w:p>
            <w:pPr>
              <w:spacing w:after="0"/>
              <w:rPr>
                <w:sz w:val="1"/>
                <w:szCs w:val="1"/>
                <w:color w:val="auto"/>
              </w:rPr>
            </w:pPr>
          </w:p>
        </w:tc>
      </w:tr>
      <w:tr>
        <w:trPr>
          <w:trHeight w:val="214"/>
        </w:trPr>
        <w:tc>
          <w:tcPr>
            <w:tcW w:w="3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292"/>
              <w:spacing w:after="0"/>
              <w:rPr>
                <w:sz w:val="20"/>
                <w:szCs w:val="20"/>
                <w:color w:val="auto"/>
              </w:rPr>
            </w:pPr>
            <w:r>
              <w:rPr>
                <w:rFonts w:ascii="Times New Roman" w:cs="Times New Roman" w:eastAsia="Times New Roman" w:hAnsi="Times New Roman"/>
                <w:sz w:val="16"/>
                <w:szCs w:val="16"/>
                <w:b w:val="1"/>
                <w:bCs w:val="1"/>
                <w:color w:val="auto"/>
                <w:w w:val="99"/>
              </w:rPr>
              <w:t>31, 2023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5"/>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 sale or</w:t>
            </w:r>
          </w:p>
        </w:tc>
        <w:tc>
          <w:tcPr>
            <w:tcW w:w="12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disposal</w:t>
            </w:r>
          </w:p>
        </w:tc>
        <w:tc>
          <w:tcPr>
            <w:tcW w:w="1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0" w:type="dxa"/>
            <w:vAlign w:val="bottom"/>
          </w:tcPr>
          <w:p>
            <w:pPr>
              <w:spacing w:after="0"/>
              <w:rPr>
                <w:sz w:val="1"/>
                <w:szCs w:val="1"/>
                <w:color w:val="auto"/>
              </w:rPr>
            </w:pPr>
          </w:p>
        </w:tc>
      </w:tr>
      <w:tr>
        <w:trPr>
          <w:trHeight w:val="223"/>
        </w:trPr>
        <w:tc>
          <w:tcPr>
            <w:tcW w:w="3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51,703</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48,528</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2021 Projects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(refer to Note 18: Sale of Businesses), includes activities to drive reductions in certain locations and functional support areas. These projects are expected to be substantially complete by the end of 2024.</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2021 Projects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Total Expected Costs at</w:t>
            </w:r>
          </w:p>
        </w:tc>
        <w:tc>
          <w:tcPr>
            <w:tcW w:w="2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0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 Recognized</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Expected Remaining Costs</w:t>
            </w:r>
          </w:p>
        </w:tc>
        <w:tc>
          <w:tcPr>
            <w:tcW w:w="0" w:type="dxa"/>
            <w:vAlign w:val="bottom"/>
          </w:tcPr>
          <w:p>
            <w:pPr>
              <w:spacing w:after="0"/>
              <w:rPr>
                <w:sz w:val="1"/>
                <w:szCs w:val="1"/>
                <w:color w:val="auto"/>
              </w:rPr>
            </w:pPr>
          </w:p>
        </w:tc>
      </w:tr>
      <w:tr>
        <w:trPr>
          <w:trHeight w:val="162"/>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2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During the Year Ended</w:t>
            </w:r>
          </w:p>
        </w:tc>
        <w:tc>
          <w:tcPr>
            <w:tcW w:w="200" w:type="dxa"/>
            <w:vAlign w:val="bottom"/>
          </w:tcPr>
          <w:p>
            <w:pPr>
              <w:spacing w:after="0"/>
              <w:rPr>
                <w:sz w:val="14"/>
                <w:szCs w:val="14"/>
                <w:color w:val="auto"/>
              </w:rPr>
            </w:pPr>
          </w:p>
        </w:tc>
        <w:tc>
          <w:tcPr>
            <w:tcW w:w="178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to be Recognized at</w:t>
            </w:r>
          </w:p>
        </w:tc>
        <w:tc>
          <w:tcPr>
            <w:tcW w:w="0" w:type="dxa"/>
            <w:vAlign w:val="bottom"/>
          </w:tcPr>
          <w:p>
            <w:pPr>
              <w:spacing w:after="0"/>
              <w:rPr>
                <w:sz w:val="1"/>
                <w:szCs w:val="1"/>
                <w:color w:val="auto"/>
              </w:rPr>
            </w:pPr>
          </w:p>
        </w:tc>
      </w:tr>
      <w:tr>
        <w:trPr>
          <w:trHeight w:val="214"/>
        </w:trPr>
        <w:tc>
          <w:tcPr>
            <w:tcW w:w="3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20" w:type="dxa"/>
            <w:vAlign w:val="bottom"/>
          </w:tcPr>
          <w:p>
            <w:pPr>
              <w:spacing w:after="0"/>
              <w:rPr>
                <w:sz w:val="18"/>
                <w:szCs w:val="18"/>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0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18"/>
                <w:szCs w:val="18"/>
                <w:color w:val="auto"/>
              </w:rPr>
            </w:pPr>
          </w:p>
        </w:tc>
        <w:tc>
          <w:tcPr>
            <w:tcW w:w="17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1"/>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34,821</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 sale or</w:t>
            </w:r>
          </w:p>
        </w:tc>
        <w:tc>
          <w:tcPr>
            <w:tcW w:w="12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8,379</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disposal</w:t>
            </w:r>
          </w:p>
        </w:tc>
        <w:tc>
          <w:tcPr>
            <w:tcW w:w="1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0" w:type="dxa"/>
            <w:vAlign w:val="bottom"/>
          </w:tcPr>
          <w:p>
            <w:pPr>
              <w:spacing w:after="0"/>
              <w:rPr>
                <w:sz w:val="1"/>
                <w:szCs w:val="1"/>
                <w:color w:val="auto"/>
              </w:rPr>
            </w:pPr>
          </w:p>
        </w:tc>
      </w:tr>
      <w:tr>
        <w:trPr>
          <w:trHeight w:val="212"/>
        </w:trPr>
        <w:tc>
          <w:tcPr>
            <w:tcW w:w="3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48,679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50,042</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2020 Projects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2020, our Board of Directors approved a restructuring plan (the 2020 Projects), which includes activities that continue our efforts to optimize our global supply chain and manufacturing operations, sales and marketing organizations, and other overhead. These projects were substantially complete by the end of 2023.</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2020 Projects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Total Expected Costs at</w:t>
            </w:r>
          </w:p>
        </w:tc>
        <w:tc>
          <w:tcPr>
            <w:tcW w:w="2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0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 Recognized</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Expected Remaining Costs</w:t>
            </w:r>
          </w:p>
        </w:tc>
        <w:tc>
          <w:tcPr>
            <w:tcW w:w="0" w:type="dxa"/>
            <w:vAlign w:val="bottom"/>
          </w:tcPr>
          <w:p>
            <w:pPr>
              <w:spacing w:after="0"/>
              <w:rPr>
                <w:sz w:val="1"/>
                <w:szCs w:val="1"/>
                <w:color w:val="auto"/>
              </w:rPr>
            </w:pPr>
          </w:p>
        </w:tc>
      </w:tr>
      <w:tr>
        <w:trPr>
          <w:trHeight w:val="162"/>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2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During the Year Ended</w:t>
            </w:r>
          </w:p>
        </w:tc>
        <w:tc>
          <w:tcPr>
            <w:tcW w:w="200" w:type="dxa"/>
            <w:vAlign w:val="bottom"/>
          </w:tcPr>
          <w:p>
            <w:pPr>
              <w:spacing w:after="0"/>
              <w:rPr>
                <w:sz w:val="14"/>
                <w:szCs w:val="14"/>
                <w:color w:val="auto"/>
              </w:rPr>
            </w:pPr>
          </w:p>
        </w:tc>
        <w:tc>
          <w:tcPr>
            <w:tcW w:w="1780" w:type="dxa"/>
            <w:vAlign w:val="bottom"/>
          </w:tcPr>
          <w:p>
            <w:pPr>
              <w:jc w:val="right"/>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to be Recognized at</w:t>
            </w:r>
          </w:p>
        </w:tc>
        <w:tc>
          <w:tcPr>
            <w:tcW w:w="0" w:type="dxa"/>
            <w:vAlign w:val="bottom"/>
          </w:tcPr>
          <w:p>
            <w:pPr>
              <w:spacing w:after="0"/>
              <w:rPr>
                <w:sz w:val="1"/>
                <w:szCs w:val="1"/>
                <w:color w:val="auto"/>
              </w:rPr>
            </w:pPr>
          </w:p>
        </w:tc>
      </w:tr>
      <w:tr>
        <w:trPr>
          <w:trHeight w:val="214"/>
        </w:trPr>
        <w:tc>
          <w:tcPr>
            <w:tcW w:w="3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20" w:type="dxa"/>
            <w:vAlign w:val="bottom"/>
          </w:tcPr>
          <w:p>
            <w:pPr>
              <w:spacing w:after="0"/>
              <w:rPr>
                <w:sz w:val="18"/>
                <w:szCs w:val="18"/>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0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18"/>
                <w:szCs w:val="18"/>
                <w:color w:val="auto"/>
              </w:rPr>
            </w:pPr>
          </w:p>
        </w:tc>
        <w:tc>
          <w:tcPr>
            <w:tcW w:w="1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1"/>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18,524</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 sale or</w:t>
            </w:r>
          </w:p>
        </w:tc>
        <w:tc>
          <w:tcPr>
            <w:tcW w:w="12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5,940</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disposal</w:t>
            </w:r>
          </w:p>
        </w:tc>
        <w:tc>
          <w:tcPr>
            <w:tcW w:w="1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32,762</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34,188</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within the restructuring related balance sheet accounts for the 2023 Projects, the 2021 Projects, and the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Projects during the year ended December 31,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Accrued Employee</w:t>
            </w:r>
          </w:p>
        </w:tc>
        <w:tc>
          <w:tcPr>
            <w:tcW w:w="100" w:type="dxa"/>
            <w:vAlign w:val="bottom"/>
          </w:tcPr>
          <w:p>
            <w:pPr>
              <w:spacing w:after="0"/>
              <w:rPr>
                <w:sz w:val="16"/>
                <w:szCs w:val="16"/>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Asset Impairments &amp; Net</w:t>
            </w: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Loss (Gain) on Sale or</w:t>
            </w:r>
          </w:p>
        </w:tc>
        <w:tc>
          <w:tcPr>
            <w:tcW w:w="160" w:type="dxa"/>
            <w:vAlign w:val="bottom"/>
          </w:tcPr>
          <w:p>
            <w:pPr>
              <w:spacing w:after="0"/>
              <w:rPr>
                <w:sz w:val="14"/>
                <w:szCs w:val="14"/>
                <w:color w:val="auto"/>
              </w:rPr>
            </w:pPr>
          </w:p>
        </w:tc>
        <w:tc>
          <w:tcPr>
            <w:tcW w:w="1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 Accrued Costs</w:t>
            </w:r>
          </w:p>
        </w:tc>
        <w:tc>
          <w:tcPr>
            <w:tcW w:w="460" w:type="dxa"/>
            <w:vAlign w:val="bottom"/>
          </w:tcPr>
          <w:p>
            <w:pPr>
              <w:spacing w:after="0"/>
              <w:rPr>
                <w:sz w:val="14"/>
                <w:szCs w:val="14"/>
                <w:color w:val="auto"/>
              </w:rPr>
            </w:pPr>
          </w:p>
        </w:tc>
        <w:tc>
          <w:tcPr>
            <w:tcW w:w="1520" w:type="dxa"/>
            <w:vAlign w:val="bottom"/>
            <w:vMerge w:val="restart"/>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0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Disposal</w:t>
            </w:r>
          </w:p>
        </w:tc>
        <w:tc>
          <w:tcPr>
            <w:tcW w:w="16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2023</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42,444</w:t>
            </w:r>
          </w:p>
        </w:tc>
        <w:tc>
          <w:tcPr>
            <w:tcW w:w="0" w:type="dxa"/>
            <w:vAlign w:val="bottom"/>
          </w:tcPr>
          <w:p>
            <w:pPr>
              <w:spacing w:after="0"/>
              <w:rPr>
                <w:sz w:val="1"/>
                <w:szCs w:val="1"/>
                <w:color w:val="auto"/>
              </w:rPr>
            </w:pPr>
          </w:p>
        </w:tc>
      </w:tr>
      <w:tr>
        <w:trPr>
          <w:trHeight w:val="213"/>
        </w:trPr>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charged to expense</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43,989</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(16,523)</w:t>
            </w:r>
          </w:p>
        </w:tc>
        <w:tc>
          <w:tcPr>
            <w:tcW w:w="0" w:type="dxa"/>
            <w:vAlign w:val="bottom"/>
          </w:tcPr>
          <w:p>
            <w:pPr>
              <w:spacing w:after="0"/>
              <w:rPr>
                <w:sz w:val="1"/>
                <w:szCs w:val="1"/>
                <w:color w:val="auto"/>
              </w:rPr>
            </w:pPr>
          </w:p>
        </w:tc>
      </w:tr>
      <w:tr>
        <w:trPr>
          <w:trHeight w:val="213"/>
        </w:trPr>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receipts</w:t>
            </w:r>
          </w:p>
        </w:tc>
        <w:tc>
          <w:tcPr>
            <w:tcW w:w="20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assets disposed and impaired</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0" w:type="dxa"/>
            <w:vAlign w:val="bottom"/>
          </w:tcPr>
          <w:p>
            <w:pPr>
              <w:spacing w:after="0"/>
              <w:rPr>
                <w:sz w:val="1"/>
                <w:szCs w:val="1"/>
                <w:color w:val="auto"/>
              </w:rPr>
            </w:pPr>
          </w:p>
        </w:tc>
      </w:tr>
      <w:tr>
        <w:trPr>
          <w:trHeight w:val="213"/>
        </w:trPr>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0" w:type="dxa"/>
            <w:vAlign w:val="bottom"/>
          </w:tcPr>
          <w:p>
            <w:pPr>
              <w:spacing w:after="0"/>
              <w:rPr>
                <w:sz w:val="1"/>
                <w:szCs w:val="1"/>
                <w:color w:val="auto"/>
              </w:rPr>
            </w:pPr>
          </w:p>
        </w:tc>
      </w:tr>
      <w:tr>
        <w:trPr>
          <w:trHeight w:val="237"/>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December 31, 2023</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recognized within the Corporate unallocated segment and does not impact the results of our operating segments.</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current portions of restructuring liabilities were $21.0 million and $14.5 million as of December 31, 2023 and 2022 and are classified within other current liabilities on the Consolidated Balance Sheets. The long-term portions of restructuring liabilities were $51.4 million and $27.9 million as of December 31, 2023 and 2022. The long-term portions of restructuring liabilities are classified within other long-term obligations on the Consolidated Balance Sheets and include severance accruals and facility exit costs.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December 31, 2023 or 2022.</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May 11, 2023, Itron's Board of Directors authorized a share repurchase up to $100 million of our common stock over an 18-month period (the 2023 Stock Repurchase Program). Repurchases will be made in the open market pursuant to the terms of any Rule 10b5-1 plans that we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There have been no repurchases under the 2023 Stock Repurchase Program through February 26, 2024.</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Convertible Note Hedge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our convertible notes and/or offset any cash payments we are required to make in excess of the principal amount of the converted notes, as the case may be, in the event that the market price per share of our common stock, as measured under the terms of the convertible note hedge transactions, is greater than the strike price of the convertible note hedge transactions. The convertible note hedge transactions meet the criteria in Accounting Standards Codification (ASC) 815-40 to be classified within Stockholders' Equity, and therefore the convertible note hedge transactions are not revalued after their issuance.</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convertible notes, and results in a $20.6 million deferred tax asset recognized through equity.</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concurrently with entering into the convertible note hedge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components of AOCI, net of tax,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20" w:type="dxa"/>
            <w:vAlign w:val="bottom"/>
          </w:tcPr>
          <w:p>
            <w:pPr>
              <w:spacing w:after="0"/>
              <w:rPr>
                <w:sz w:val="16"/>
                <w:szCs w:val="16"/>
                <w:color w:val="auto"/>
              </w:rPr>
            </w:pPr>
          </w:p>
        </w:tc>
        <w:tc>
          <w:tcPr>
            <w:tcW w:w="1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Net Unrealized Gain</w:t>
            </w: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 Unrealized Gain</w:t>
            </w:r>
          </w:p>
        </w:tc>
        <w:tc>
          <w:tcPr>
            <w:tcW w:w="180" w:type="dxa"/>
            <w:vAlign w:val="bottom"/>
          </w:tcPr>
          <w:p>
            <w:pPr>
              <w:spacing w:after="0"/>
              <w:rPr>
                <w:sz w:val="16"/>
                <w:szCs w:val="16"/>
                <w:color w:val="auto"/>
              </w:rPr>
            </w:pPr>
          </w:p>
        </w:tc>
        <w:tc>
          <w:tcPr>
            <w:tcW w:w="15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Pension Benefit</w:t>
            </w:r>
          </w:p>
        </w:tc>
        <w:tc>
          <w:tcPr>
            <w:tcW w:w="100" w:type="dxa"/>
            <w:vAlign w:val="bottom"/>
          </w:tcPr>
          <w:p>
            <w:pPr>
              <w:spacing w:after="0"/>
              <w:rPr>
                <w:sz w:val="16"/>
                <w:szCs w:val="16"/>
                <w:color w:val="auto"/>
              </w:rPr>
            </w:pPr>
          </w:p>
        </w:tc>
        <w:tc>
          <w:tcPr>
            <w:tcW w:w="15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 on</w:t>
            </w: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4"/>
                <w:szCs w:val="14"/>
                <w:color w:val="auto"/>
              </w:rPr>
            </w:pPr>
          </w:p>
        </w:tc>
        <w:tc>
          <w:tcPr>
            <w:tcW w:w="15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20" w:type="dxa"/>
            <w:vAlign w:val="bottom"/>
          </w:tcPr>
          <w:p>
            <w:pPr>
              <w:spacing w:after="0"/>
              <w:rPr>
                <w:sz w:val="14"/>
                <w:szCs w:val="14"/>
                <w:color w:val="auto"/>
              </w:rPr>
            </w:pPr>
          </w:p>
        </w:tc>
        <w:tc>
          <w:tcPr>
            <w:tcW w:w="16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(Loss) on Derivative</w:t>
            </w:r>
          </w:p>
        </w:tc>
        <w:tc>
          <w:tcPr>
            <w:tcW w:w="120" w:type="dxa"/>
            <w:vAlign w:val="bottom"/>
          </w:tcPr>
          <w:p>
            <w:pPr>
              <w:spacing w:after="0"/>
              <w:rPr>
                <w:sz w:val="14"/>
                <w:szCs w:val="14"/>
                <w:color w:val="auto"/>
              </w:rPr>
            </w:pPr>
          </w:p>
        </w:tc>
        <w:tc>
          <w:tcPr>
            <w:tcW w:w="16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w:t>
            </w:r>
          </w:p>
        </w:tc>
        <w:tc>
          <w:tcPr>
            <w:tcW w:w="180" w:type="dxa"/>
            <w:vAlign w:val="bottom"/>
          </w:tcPr>
          <w:p>
            <w:pPr>
              <w:spacing w:after="0"/>
              <w:rPr>
                <w:sz w:val="14"/>
                <w:szCs w:val="14"/>
                <w:color w:val="auto"/>
              </w:rPr>
            </w:pPr>
          </w:p>
        </w:tc>
        <w:tc>
          <w:tcPr>
            <w:tcW w:w="15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Obligation</w:t>
            </w:r>
          </w:p>
        </w:tc>
        <w:tc>
          <w:tcPr>
            <w:tcW w:w="100" w:type="dxa"/>
            <w:vAlign w:val="bottom"/>
          </w:tcPr>
          <w:p>
            <w:pPr>
              <w:spacing w:after="0"/>
              <w:rPr>
                <w:sz w:val="14"/>
                <w:szCs w:val="14"/>
                <w:color w:val="auto"/>
              </w:rPr>
            </w:pPr>
          </w:p>
        </w:tc>
        <w:tc>
          <w:tcPr>
            <w:tcW w:w="15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0" w:type="dxa"/>
            <w:vAlign w:val="bottom"/>
          </w:tcPr>
          <w:p>
            <w:pPr>
              <w:spacing w:after="0"/>
              <w:rPr>
                <w:sz w:val="1"/>
                <w:szCs w:val="1"/>
                <w:color w:val="auto"/>
              </w:rPr>
            </w:pPr>
          </w:p>
        </w:tc>
      </w:tr>
      <w:tr>
        <w:trPr>
          <w:trHeight w:val="214"/>
        </w:trPr>
        <w:tc>
          <w:tcPr>
            <w:tcW w:w="2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2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8"/>
                <w:szCs w:val="18"/>
                <w:color w:val="auto"/>
              </w:rPr>
            </w:pPr>
          </w:p>
        </w:tc>
        <w:tc>
          <w:tcPr>
            <w:tcW w:w="15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0" w:type="dxa"/>
            <w:vAlign w:val="bottom"/>
          </w:tcPr>
          <w:p>
            <w:pPr>
              <w:spacing w:after="0"/>
              <w:rPr>
                <w:sz w:val="1"/>
                <w:szCs w:val="1"/>
                <w:color w:val="auto"/>
              </w:rPr>
            </w:pPr>
          </w:p>
        </w:tc>
      </w:tr>
      <w:tr>
        <w:trPr>
          <w:trHeight w:val="211"/>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(84,843)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(138,526)</w:t>
            </w:r>
          </w:p>
        </w:tc>
        <w:tc>
          <w:tcPr>
            <w:tcW w:w="0" w:type="dxa"/>
            <w:vAlign w:val="bottom"/>
          </w:tcPr>
          <w:p>
            <w:pPr>
              <w:spacing w:after="0"/>
              <w:rPr>
                <w:sz w:val="1"/>
                <w:szCs w:val="1"/>
                <w:color w:val="auto"/>
              </w:rPr>
            </w:pPr>
          </w:p>
        </w:tc>
      </w:tr>
      <w:tr>
        <w:trPr>
          <w:trHeight w:val="213"/>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0" w:type="dxa"/>
            <w:vAlign w:val="bottom"/>
          </w:tcPr>
          <w:p>
            <w:pPr>
              <w:spacing w:after="0"/>
              <w:rPr>
                <w:sz w:val="1"/>
                <w:szCs w:val="1"/>
                <w:color w:val="auto"/>
              </w:rPr>
            </w:pPr>
          </w:p>
        </w:tc>
      </w:tr>
      <w:tr>
        <w:trPr>
          <w:trHeight w:val="142"/>
        </w:trPr>
        <w:tc>
          <w:tcPr>
            <w:tcW w:w="25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other comprehensive income</w:t>
            </w:r>
          </w:p>
        </w:tc>
        <w:tc>
          <w:tcPr>
            <w:tcW w:w="1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15,940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(9,572)</w:t>
            </w:r>
          </w:p>
        </w:tc>
        <w:tc>
          <w:tcPr>
            <w:tcW w:w="0" w:type="dxa"/>
            <w:vAlign w:val="bottom"/>
          </w:tcPr>
          <w:p>
            <w:pPr>
              <w:spacing w:after="0"/>
              <w:rPr>
                <w:sz w:val="1"/>
                <w:szCs w:val="1"/>
                <w:color w:val="auto"/>
              </w:rPr>
            </w:pPr>
          </w:p>
        </w:tc>
      </w:tr>
      <w:tr>
        <w:trPr>
          <w:trHeight w:val="213"/>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w:t>
            </w: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2021</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(148,098)</w:t>
            </w:r>
          </w:p>
        </w:tc>
        <w:tc>
          <w:tcPr>
            <w:tcW w:w="0" w:type="dxa"/>
            <w:vAlign w:val="bottom"/>
          </w:tcPr>
          <w:p>
            <w:pPr>
              <w:spacing w:after="0"/>
              <w:rPr>
                <w:sz w:val="1"/>
                <w:szCs w:val="1"/>
                <w:color w:val="auto"/>
              </w:rPr>
            </w:pPr>
          </w:p>
        </w:tc>
      </w:tr>
      <w:tr>
        <w:trPr>
          <w:trHeight w:val="207"/>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59,002</w:t>
            </w:r>
          </w:p>
        </w:tc>
        <w:tc>
          <w:tcPr>
            <w:tcW w:w="0" w:type="dxa"/>
            <w:vAlign w:val="bottom"/>
          </w:tcPr>
          <w:p>
            <w:pPr>
              <w:spacing w:after="0"/>
              <w:rPr>
                <w:sz w:val="1"/>
                <w:szCs w:val="1"/>
                <w:color w:val="auto"/>
              </w:rPr>
            </w:pPr>
          </w:p>
        </w:tc>
      </w:tr>
      <w:tr>
        <w:trPr>
          <w:trHeight w:val="142"/>
        </w:trPr>
        <w:tc>
          <w:tcPr>
            <w:tcW w:w="25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other comprehensive income</w:t>
            </w:r>
          </w:p>
        </w:tc>
        <w:tc>
          <w:tcPr>
            <w:tcW w:w="1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28,573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64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53,424</w:t>
            </w:r>
          </w:p>
        </w:tc>
        <w:tc>
          <w:tcPr>
            <w:tcW w:w="0" w:type="dxa"/>
            <w:vAlign w:val="bottom"/>
          </w:tcPr>
          <w:p>
            <w:pPr>
              <w:spacing w:after="0"/>
              <w:rPr>
                <w:sz w:val="1"/>
                <w:szCs w:val="1"/>
                <w:color w:val="auto"/>
              </w:rPr>
            </w:pPr>
          </w:p>
        </w:tc>
      </w:tr>
      <w:tr>
        <w:trPr>
          <w:trHeight w:val="213"/>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w:t>
            </w: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2022</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(83,193)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(94,674)</w:t>
            </w:r>
          </w:p>
        </w:tc>
        <w:tc>
          <w:tcPr>
            <w:tcW w:w="0" w:type="dxa"/>
            <w:vAlign w:val="bottom"/>
          </w:tcPr>
          <w:p>
            <w:pPr>
              <w:spacing w:after="0"/>
              <w:rPr>
                <w:sz w:val="1"/>
                <w:szCs w:val="1"/>
                <w:color w:val="auto"/>
              </w:rPr>
            </w:pPr>
          </w:p>
        </w:tc>
      </w:tr>
      <w:tr>
        <w:trPr>
          <w:trHeight w:val="207"/>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13,603</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42"/>
        </w:trPr>
        <w:tc>
          <w:tcPr>
            <w:tcW w:w="25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other comprehensive income</w:t>
            </w:r>
          </w:p>
        </w:tc>
        <w:tc>
          <w:tcPr>
            <w:tcW w:w="1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64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13,484</w:t>
            </w:r>
          </w:p>
        </w:tc>
        <w:tc>
          <w:tcPr>
            <w:tcW w:w="0" w:type="dxa"/>
            <w:vAlign w:val="bottom"/>
          </w:tcPr>
          <w:p>
            <w:pPr>
              <w:spacing w:after="0"/>
              <w:rPr>
                <w:sz w:val="1"/>
                <w:szCs w:val="1"/>
                <w:color w:val="auto"/>
              </w:rPr>
            </w:pPr>
          </w:p>
        </w:tc>
      </w:tr>
      <w:tr>
        <w:trPr>
          <w:trHeight w:val="213"/>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w:t>
            </w: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amount of the impairment loss for the assets of the transaction with Dresser during the fourth quarter of 2021, we included $59.7 million of accumulated foreign currency translation losses and $0.9 million in unrealized defined benefit plan losses. Upon closing of the sale transaction in the first quarter of 2022, the then outstanding amounts in AOCI were reclassified to net income (loss) through loss on sale of businesses for a total of $55.4 million, with a corresponding reversal of the impairment loss originally booked in the fourth quarter of 2021. Refer to Note 18: Sale of Businesses for additional information on the transaction.</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2022, we substantially liquidated our legal entity in Russia, recognizing a loss of $1.9 million for the reclassification of the currency translation adjustment from accumulated other comprehensive income (loss) related to the disposal of the business.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income tax (provision) benefit, and net-of-tax amounts related to each component of OCI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15,622</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(26,757)</w:t>
            </w:r>
          </w:p>
        </w:tc>
        <w:tc>
          <w:tcPr>
            <w:tcW w:w="0" w:type="dxa"/>
            <w:vAlign w:val="bottom"/>
          </w:tcPr>
          <w:p>
            <w:pPr>
              <w:spacing w:after="0"/>
              <w:rPr>
                <w:sz w:val="1"/>
                <w:szCs w:val="1"/>
                <w:color w:val="auto"/>
              </w:rPr>
            </w:pPr>
          </w:p>
        </w:tc>
      </w:tr>
      <w:tr>
        <w:trPr>
          <w:trHeight w:val="162"/>
        </w:trPr>
        <w:tc>
          <w:tcPr>
            <w:tcW w:w="60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Foreign currency translation adjustment reclassified to net income (loss) on sale or</w:t>
            </w:r>
          </w:p>
        </w:tc>
        <w:tc>
          <w:tcPr>
            <w:tcW w:w="3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57,321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disposal of businesses</w:t>
            </w: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 cash flow hedges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0" w:type="dxa"/>
            <w:vAlign w:val="bottom"/>
          </w:tcPr>
          <w:p>
            <w:pPr>
              <w:spacing w:after="0"/>
              <w:rPr>
                <w:sz w:val="1"/>
                <w:szCs w:val="1"/>
                <w:color w:val="auto"/>
              </w:rPr>
            </w:pPr>
          </w:p>
        </w:tc>
      </w:tr>
      <w:tr>
        <w:trPr>
          <w:trHeight w:val="213"/>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 (loss)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14,426</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 (loss)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53,625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(8,741)</w:t>
            </w: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165"/>
        </w:trPr>
        <w:tc>
          <w:tcPr>
            <w:tcW w:w="606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Foreign currency translation adjustment reclassified to net income (loss) on sale or</w:t>
            </w:r>
          </w:p>
        </w:tc>
        <w:tc>
          <w:tcPr>
            <w:tcW w:w="3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disposal of businesses</w:t>
            </w:r>
          </w:p>
        </w:tc>
        <w:tc>
          <w:tcPr>
            <w:tcW w:w="3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 cash flow hedges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 (loss)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13"/>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7"/>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tax (provision) benefit</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r>
        <w:trPr>
          <w:trHeight w:val="239"/>
        </w:trPr>
        <w:tc>
          <w:tcPr>
            <w:tcW w:w="6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(26,923)</w:t>
            </w:r>
          </w:p>
        </w:tc>
        <w:tc>
          <w:tcPr>
            <w:tcW w:w="0" w:type="dxa"/>
            <w:vAlign w:val="bottom"/>
          </w:tcPr>
          <w:p>
            <w:pPr>
              <w:spacing w:after="0"/>
              <w:rPr>
                <w:sz w:val="1"/>
                <w:szCs w:val="1"/>
                <w:color w:val="auto"/>
              </w:rPr>
            </w:pPr>
          </w:p>
        </w:tc>
      </w:tr>
      <w:tr>
        <w:trPr>
          <w:trHeight w:val="162"/>
        </w:trPr>
        <w:tc>
          <w:tcPr>
            <w:tcW w:w="60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Foreign currency translation adjustment reclassified to net income (loss) on sale or</w:t>
            </w:r>
          </w:p>
        </w:tc>
        <w:tc>
          <w:tcPr>
            <w:tcW w:w="3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57,321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disposal of businesses</w:t>
            </w: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 cash flow hedges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0" w:type="dxa"/>
            <w:vAlign w:val="bottom"/>
          </w:tcPr>
          <w:p>
            <w:pPr>
              <w:spacing w:after="0"/>
              <w:rPr>
                <w:sz w:val="1"/>
                <w:szCs w:val="1"/>
                <w:color w:val="auto"/>
              </w:rPr>
            </w:pPr>
          </w:p>
        </w:tc>
      </w:tr>
      <w:tr>
        <w:trPr>
          <w:trHeight w:val="213"/>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 (loss)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14,264</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 (loss)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fair values at December 31, 2023 and 2022 do not reflect subsequent changes in the economy, interest rates, tax rates, and other variables that may affect the determination of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040" w:type="dxa"/>
            <w:vAlign w:val="bottom"/>
            <w:gridSpan w:val="4"/>
          </w:tcPr>
          <w:p>
            <w:pPr>
              <w:ind w:left="80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46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Credit facility</w:t>
            </w: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13"/>
        </w:trPr>
        <w:tc>
          <w:tcPr>
            <w:tcW w:w="46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gridSpan w:val="3"/>
          </w:tcPr>
          <w:p>
            <w:pPr>
              <w:ind w:left="1180"/>
              <w:spacing w:after="0"/>
              <w:rPr>
                <w:sz w:val="20"/>
                <w:szCs w:val="20"/>
                <w:color w:val="auto"/>
              </w:rPr>
            </w:pPr>
            <w:r>
              <w:rPr>
                <w:rFonts w:ascii="Times New Roman" w:cs="Times New Roman" w:eastAsia="Times New Roman" w:hAnsi="Times New Roman"/>
                <w:sz w:val="16"/>
                <w:szCs w:val="16"/>
                <w:color w:val="auto"/>
              </w:rPr>
              <w:t>—   $</w:t>
            </w:r>
          </w:p>
        </w:tc>
        <w:tc>
          <w:tcPr>
            <w:tcW w:w="152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   $</w:t>
            </w:r>
          </w:p>
        </w:tc>
        <w:tc>
          <w:tcPr>
            <w:tcW w:w="1760" w:type="dxa"/>
            <w:vAlign w:val="bottom"/>
            <w:gridSpan w:val="3"/>
          </w:tcPr>
          <w:p>
            <w:pPr>
              <w:ind w:left="116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Convertible notes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454,827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452,526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377,200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Due to the liquid nature of these instruments, the carrying amount approximates fair value (Level 1).</w:t>
      </w:r>
    </w:p>
    <w:p>
      <w:pPr>
        <w:spacing w:after="0" w:line="25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facility - multicurrency revolving line of credit: </w:t>
      </w:r>
      <w:r>
        <w:rPr>
          <w:rFonts w:ascii="Times New Roman" w:cs="Times New Roman" w:eastAsia="Times New Roman" w:hAnsi="Times New Roman"/>
          <w:sz w:val="18"/>
          <w:szCs w:val="18"/>
          <w:color w:val="auto"/>
        </w:rPr>
        <w:t>The revolver is not traded publicly. The fair values, which are determined based upon a hypothetical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participant, are calculated using a discounted cash flow model with Level 2</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inputs, including estimates of incremental borrowing rates for debt with similar terms, maturities, and credit profiles. Refer to Note 6: Debt for a further discussion of our debt.</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The convertible notes are not listed on any securities exchange but may be actively traded. The fair value is estimated using 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as it is based on quoted prices for these instruments in active markets.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Each derivative asset and liability has a carrying value equal to fair value. The fair values of our derivative instruments are determined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income approach and significant other observable inputs (and are classified as Level 2 in the fair value hierarchy). We have used observable market inputs based on the type of derivative and the nature of the underlying instrument. The key inputs include foreign exchange spot and forward rates, all of which are available in an active market. We have utilized the mid-market pricing convention for these inputs.</w:t>
      </w:r>
    </w:p>
    <w:p>
      <w:pPr>
        <w:spacing w:after="0" w:line="23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 Outcomes.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Goodwill impairment charges are recognized in Corporate unallocated. In addition, we allocate only certain production assets and intangible assets to our operating segments. We do not manage the performance of the segments on a balance sheet basis.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Products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Device Solutions – </w:t>
      </w:r>
      <w:r>
        <w:rPr>
          <w:rFonts w:ascii="Times New Roman" w:cs="Times New Roman" w:eastAsia="Times New Roman" w:hAnsi="Times New Roman"/>
          <w:sz w:val="18"/>
          <w:szCs w:val="18"/>
          <w:color w:val="auto"/>
        </w:rPr>
        <w:t>This segment primarily includes hardware products used for measurement, control, or sensing. These products generally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capability or may be designed for use with non-Itron systems.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and designed to meet market requirements; and the implementation and installation of said hardware products.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Networked Solutions – </w:t>
      </w:r>
      <w:r>
        <w:rPr>
          <w:rFonts w:ascii="Times New Roman" w:cs="Times New Roman" w:eastAsia="Times New Roman" w:hAnsi="Times New Roman"/>
          <w:sz w:val="18"/>
          <w:szCs w:val="18"/>
          <w:color w:val="auto"/>
        </w:rPr>
        <w:t>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and associated head-end management and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for electricity, water and gas; distributed energy resource management (DERMs); smart grid and distribution automation; smart street lighting; and leak detection and applications for both gas and water systems. Our IIoT platform allows utility and smart city applications to be run and managed on a flexible multi-purpose network.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 </w:t>
      </w:r>
      <w:r>
        <w:rPr>
          <w:rFonts w:ascii="Times New Roman" w:cs="Times New Roman" w:eastAsia="Times New Roman" w:hAnsi="Times New Roman"/>
          <w:sz w:val="18"/>
          <w:szCs w:val="18"/>
          <w:color w:val="auto"/>
        </w:rPr>
        <w:t>This segment primarily includes our value-added, enhanced software and services, artificial intelligence, and machine learning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 grid edge intelligence and manage, organize, analyze, and interpret raw, anonymized data to improve decision making, maximize operational profitability, enhance resource efficiency, improve grid analytics, and deliver results for consumers, utilities, and smart cities.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gross profit, and operating income (loss) associated with our operating segments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Product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452,718</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433,354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635,103</w:t>
            </w:r>
          </w:p>
        </w:tc>
      </w:tr>
      <w:tr>
        <w:trPr>
          <w:trHeight w:val="213"/>
        </w:trPr>
        <w:tc>
          <w:tcPr>
            <w:tcW w:w="6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1,331,546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1,002,156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974,531</w:t>
            </w:r>
          </w:p>
        </w:tc>
      </w:tr>
      <w:tr>
        <w:trPr>
          <w:trHeight w:val="219"/>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68,561</w:t>
            </w:r>
          </w:p>
        </w:tc>
      </w:tr>
      <w:tr>
        <w:trPr>
          <w:trHeight w:val="207"/>
        </w:trPr>
        <w:tc>
          <w:tcPr>
            <w:tcW w:w="6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1,863,489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1,500,243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1,678,195</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6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Service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10,001</w:t>
            </w:r>
          </w:p>
        </w:tc>
      </w:tr>
      <w:tr>
        <w:trPr>
          <w:trHeight w:val="213"/>
        </w:trPr>
        <w:tc>
          <w:tcPr>
            <w:tcW w:w="6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118,100</w:t>
            </w:r>
          </w:p>
        </w:tc>
      </w:tr>
      <w:tr>
        <w:trPr>
          <w:trHeight w:val="219"/>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188,391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175,276</w:t>
            </w:r>
          </w:p>
        </w:tc>
      </w:tr>
      <w:tr>
        <w:trPr>
          <w:trHeight w:val="207"/>
        </w:trPr>
        <w:tc>
          <w:tcPr>
            <w:tcW w:w="6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310,144</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295,321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303,377</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6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455,726</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645,104</w:t>
            </w:r>
          </w:p>
        </w:tc>
      </w:tr>
      <w:tr>
        <w:trPr>
          <w:trHeight w:val="213"/>
        </w:trPr>
        <w:tc>
          <w:tcPr>
            <w:tcW w:w="6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1,450,291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1,119,268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1,092,631</w:t>
            </w:r>
          </w:p>
        </w:tc>
      </w:tr>
      <w:tr>
        <w:trPr>
          <w:trHeight w:val="219"/>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237,586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243,837</w:t>
            </w:r>
          </w:p>
        </w:tc>
      </w:tr>
      <w:tr>
        <w:trPr>
          <w:trHeight w:val="207"/>
        </w:trPr>
        <w:tc>
          <w:tcPr>
            <w:tcW w:w="6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2,173,633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1,795,564</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1,981,572</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6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105,917</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61,778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99,355</w:t>
            </w:r>
          </w:p>
        </w:tc>
      </w:tr>
      <w:tr>
        <w:trPr>
          <w:trHeight w:val="213"/>
        </w:trPr>
        <w:tc>
          <w:tcPr>
            <w:tcW w:w="6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378,633</w:t>
            </w:r>
          </w:p>
        </w:tc>
      </w:tr>
      <w:tr>
        <w:trPr>
          <w:trHeight w:val="219"/>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108,266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98,436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95,181</w:t>
            </w:r>
          </w:p>
        </w:tc>
      </w:tr>
      <w:tr>
        <w:trPr>
          <w:trHeight w:val="207"/>
        </w:trPr>
        <w:tc>
          <w:tcPr>
            <w:tcW w:w="6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713,908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522,189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573,169</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6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65,690</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57,217</w:t>
            </w:r>
          </w:p>
        </w:tc>
      </w:tr>
      <w:tr>
        <w:trPr>
          <w:trHeight w:val="213"/>
        </w:trPr>
        <w:tc>
          <w:tcPr>
            <w:tcW w:w="6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248,268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254,434</w:t>
            </w:r>
          </w:p>
        </w:tc>
      </w:tr>
      <w:tr>
        <w:trPr>
          <w:trHeight w:val="219"/>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50,631</w:t>
            </w:r>
          </w:p>
        </w:tc>
      </w:tr>
      <w:tr>
        <w:trPr>
          <w:trHeight w:val="213"/>
        </w:trPr>
        <w:tc>
          <w:tcPr>
            <w:tcW w:w="6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Corporate unallocated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(356,090)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(328,657)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(441,581)</w:t>
            </w:r>
          </w:p>
        </w:tc>
      </w:tr>
      <w:tr>
        <w:trPr>
          <w:trHeight w:val="212"/>
        </w:trPr>
        <w:tc>
          <w:tcPr>
            <w:tcW w:w="6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128,867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(79,299)</w:t>
            </w:r>
          </w:p>
        </w:tc>
      </w:tr>
      <w:tr>
        <w:trPr>
          <w:trHeight w:val="21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(44,511)</w:t>
            </w:r>
          </w:p>
        </w:tc>
      </w:tr>
      <w:tr>
        <w:trPr>
          <w:trHeight w:val="23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127,386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(123,810)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unallocated operating loss for the years ended December 31, 2023, 2022, and 2021 include losses from the sale of businesses of $0.7 million, $3.5 million and $64.3 million and restructuring expenses of $44.0 million, $(13.6) million, and $54.6 million. Our Corporate unallocated operating loss for the year ended 2022 also includes goodwill impairment of $38.5 million. Refer to Note 5: Goodwill, Note 13: Restructuring, and Note 18: Sale of Businesses for additional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periods presented, no single customer represents more than 10% of total company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region were as follows:</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United States and Canada</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Europe, Middle East, and Africa</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Asia Pacific</w:t>
      </w:r>
    </w:p>
    <w:p>
      <w:pPr>
        <w:spacing w:after="0" w:line="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Total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7"/>
        </w:trPr>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1,733,680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1,302,241</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1,273,868</w:t>
            </w:r>
          </w:p>
        </w:tc>
      </w:tr>
      <w:tr>
        <w:trPr>
          <w:trHeight w:val="216"/>
        </w:trPr>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568,008</w:t>
            </w:r>
          </w:p>
        </w:tc>
      </w:tr>
      <w:tr>
        <w:trPr>
          <w:trHeight w:val="246"/>
        </w:trPr>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99,099</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101,767</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139,696</w:t>
            </w:r>
          </w:p>
        </w:tc>
      </w:tr>
      <w:tr>
        <w:trPr>
          <w:trHeight w:val="210"/>
        </w:trPr>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2,173,633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1,795,564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1,981,572</w:t>
            </w:r>
          </w:p>
        </w:tc>
      </w:tr>
      <w:tr>
        <w:trPr>
          <w:trHeight w:val="23"/>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-334010</wp:posOffset>
            </wp:positionV>
            <wp:extent cx="7106285"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-616585</wp:posOffset>
            </wp:positionV>
            <wp:extent cx="710628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720"/>
            <w:col w:w="5200"/>
          </w:cols>
          <w:pgMar w:left="320" w:top="121" w:right="339" w:bottom="1440" w:gutter="0" w:footer="0" w:header="0"/>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by geographic area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14"/>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80,035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85,704</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Outside United States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48,771</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54,419</w:t>
            </w:r>
          </w:p>
        </w:tc>
      </w:tr>
      <w:tr>
        <w:trPr>
          <w:trHeight w:val="237"/>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128,806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140,123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allocated to the operating segments based upon each segment's use of the assets. All amortization expense is recognized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unallocated. Depreciation and amortization of intangible assets expense associated with our operating segments was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22,884</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16,607</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4,454</w:t>
            </w:r>
          </w:p>
        </w:tc>
      </w:tr>
      <w:tr>
        <w:trPr>
          <w:trHeight w:val="21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21,668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29,271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40,208</w:t>
            </w:r>
          </w:p>
        </w:tc>
      </w:tr>
      <w:tr>
        <w:trPr>
          <w:trHeight w:val="235"/>
        </w:trPr>
        <w:tc>
          <w:tcPr>
            <w:tcW w:w="6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84,153</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net changes in the contract assets and the contract liabilities balances during the period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6"/>
                <w:szCs w:val="16"/>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Contract liabilities,</w:t>
            </w:r>
          </w:p>
        </w:tc>
        <w:tc>
          <w:tcPr>
            <w:tcW w:w="0" w:type="dxa"/>
            <w:vAlign w:val="bottom"/>
          </w:tcPr>
          <w:p>
            <w:pPr>
              <w:spacing w:after="0"/>
              <w:rPr>
                <w:sz w:val="1"/>
                <w:szCs w:val="1"/>
                <w:color w:val="auto"/>
              </w:rPr>
            </w:pPr>
          </w:p>
        </w:tc>
      </w:tr>
      <w:tr>
        <w:trPr>
          <w:trHeight w:val="214"/>
        </w:trPr>
        <w:tc>
          <w:tcPr>
            <w:tcW w:w="95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less contract assets</w:t>
            </w:r>
          </w:p>
        </w:tc>
        <w:tc>
          <w:tcPr>
            <w:tcW w:w="0" w:type="dxa"/>
            <w:vAlign w:val="bottom"/>
          </w:tcPr>
          <w:p>
            <w:pPr>
              <w:spacing w:after="0"/>
              <w:rPr>
                <w:sz w:val="1"/>
                <w:szCs w:val="1"/>
                <w:color w:val="auto"/>
              </w:rPr>
            </w:pPr>
          </w:p>
        </w:tc>
      </w:tr>
      <w:tr>
        <w:trPr>
          <w:trHeight w:val="211"/>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75,958</w:t>
            </w:r>
          </w:p>
        </w:tc>
        <w:tc>
          <w:tcPr>
            <w:tcW w:w="0" w:type="dxa"/>
            <w:vAlign w:val="bottom"/>
          </w:tcPr>
          <w:p>
            <w:pPr>
              <w:spacing w:after="0"/>
              <w:rPr>
                <w:sz w:val="1"/>
                <w:szCs w:val="1"/>
                <w:color w:val="auto"/>
              </w:rPr>
            </w:pPr>
          </w:p>
        </w:tc>
      </w:tr>
      <w:tr>
        <w:trPr>
          <w:trHeight w:val="213"/>
        </w:trPr>
        <w:tc>
          <w:tcPr>
            <w:tcW w:w="9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Revenues recognized from beginning contract liability</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(62,011)</w:t>
            </w:r>
          </w:p>
        </w:tc>
        <w:tc>
          <w:tcPr>
            <w:tcW w:w="0" w:type="dxa"/>
            <w:vAlign w:val="bottom"/>
          </w:tcPr>
          <w:p>
            <w:pPr>
              <w:spacing w:after="0"/>
              <w:rPr>
                <w:sz w:val="1"/>
                <w:szCs w:val="1"/>
                <w:color w:val="auto"/>
              </w:rPr>
            </w:pPr>
          </w:p>
        </w:tc>
      </w:tr>
      <w:tr>
        <w:trPr>
          <w:trHeight w:val="219"/>
        </w:trPr>
        <w:tc>
          <w:tcPr>
            <w:tcW w:w="9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Cumulative catch-up adjustments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10,959</w:t>
            </w:r>
          </w:p>
        </w:tc>
        <w:tc>
          <w:tcPr>
            <w:tcW w:w="0" w:type="dxa"/>
            <w:vAlign w:val="bottom"/>
          </w:tcPr>
          <w:p>
            <w:pPr>
              <w:spacing w:after="0"/>
              <w:rPr>
                <w:sz w:val="1"/>
                <w:szCs w:val="1"/>
                <w:color w:val="auto"/>
              </w:rPr>
            </w:pPr>
          </w:p>
        </w:tc>
      </w:tr>
      <w:tr>
        <w:trPr>
          <w:trHeight w:val="213"/>
        </w:trPr>
        <w:tc>
          <w:tcPr>
            <w:tcW w:w="9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Increases due to amounts collected or due</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335,465</w:t>
            </w:r>
          </w:p>
        </w:tc>
        <w:tc>
          <w:tcPr>
            <w:tcW w:w="0" w:type="dxa"/>
            <w:vAlign w:val="bottom"/>
          </w:tcPr>
          <w:p>
            <w:pPr>
              <w:spacing w:after="0"/>
              <w:rPr>
                <w:sz w:val="1"/>
                <w:szCs w:val="1"/>
                <w:color w:val="auto"/>
              </w:rPr>
            </w:pPr>
          </w:p>
        </w:tc>
      </w:tr>
      <w:tr>
        <w:trPr>
          <w:trHeight w:val="219"/>
        </w:trPr>
        <w:tc>
          <w:tcPr>
            <w:tcW w:w="9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 recognized from current period increases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(278,905)</w:t>
            </w:r>
          </w:p>
        </w:tc>
        <w:tc>
          <w:tcPr>
            <w:tcW w:w="0" w:type="dxa"/>
            <w:vAlign w:val="bottom"/>
          </w:tcPr>
          <w:p>
            <w:pPr>
              <w:spacing w:after="0"/>
              <w:rPr>
                <w:sz w:val="1"/>
                <w:szCs w:val="1"/>
                <w:color w:val="auto"/>
              </w:rPr>
            </w:pPr>
          </w:p>
        </w:tc>
      </w:tr>
      <w:tr>
        <w:trPr>
          <w:trHeight w:val="213"/>
        </w:trPr>
        <w:tc>
          <w:tcPr>
            <w:tcW w:w="9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0" w:type="dxa"/>
            <w:vAlign w:val="bottom"/>
          </w:tcPr>
          <w:p>
            <w:pPr>
              <w:spacing w:after="0"/>
              <w:rPr>
                <w:sz w:val="1"/>
                <w:szCs w:val="1"/>
                <w:color w:val="auto"/>
              </w:rPr>
            </w:pPr>
          </w:p>
        </w:tc>
      </w:tr>
      <w:tr>
        <w:trPr>
          <w:trHeight w:val="237"/>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82,885</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2023, total contract assets were $57.0 million and total contract liabilities were $133.0 million. On December 31, 2023, total contract assets were $80.1 million and total contract liabilities were $163.0 million. The contract assets primarily relate to contracts that include a retention clause and allocations related to contracts with multiple performance obligations. The contract liabilities primarily relate to deferred revenue, such as extended warranty and maintenance cost. The cumulative catch-up adjustments relate to contract modifications, measure-of-progress changes, and changes in the estimate of the transaction price.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related to contracts is approximately $1.9 billion for the next 12 months and approximately $1.8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to obtain a contract and cost to fulfill a contract with a customer</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Note 16: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Sale of Businesses</w:t>
      </w: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Sale to Dresser</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2, 2021, Itron entered into a definitive securities and asset purchase agreement to sell certain Gas product lines from our Device Solutions manufacturing and business operations in Europe and North America to Dresser. The sale included one German subsidiary – Itron GmbH along with its business operations, personnel, and the owned manufacturing facility in Karlsruhe; the business operations, personnel, and assets associated with the leased manufacturing facility in Argenteuil, France; and the business and manufacturing assets maintained at one of our contract manufacturers in North America. The base sale price of this divestiture was $75.0 million, with adjustments for (1) pension liabilities assumed by Dresser for related active employees and (2) the final working capital balance. Cash proceeds from the sale were $55.9 million.</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transaction closed on February 28, 2022. The final sales price and loss on sale were determined after the finalization of the working capital adjustment, recognized in the fourth quarter of 2022. As of December 31, 2021, we recognized a pre-tax impairment loss of $34.4 million as well as $3.1 million for professional services in conjunction with the planned sale to Dresser (classified within loss on sale of businesses within the Consolidated Statements of Operations). In determining the amount of the impairment loss for the assets of this transaction during the fourth quarter of 2021, we included $59.7 million of accumulated foreign currency translation losses and $0.9 million in unrealized loss on defined benefit pension plans, both classified within AOCI. Upon closing of the sale transaction in the first quarter of 2022, the then outstanding amounts in AOCI were reclassified to net income through loss on sale of businesses for a total of $55.4 million, with a corresponding reversal of the impairment loss originally booked in the fourth quarter of 2021. The difference between the amounts included for the impairment loss in the fourth quarter of 2021 and the first quarter of 2022 was driven by the change in the euro to U.S. dollar exchange rate, and operating results for the period owned in 2022. During 2022, we recognized a total loss of $3.5 million related to adjustments to the working capital balances and additional professional services. We recognized a total loss of $0.7 million in 2023 in other charges related to the finalization of the transaction.</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Latin America Divestiture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total sales price of $35.0 million included deferred payments of $21.1 million for working capital, which was to be paid in full by December 31, 2020, as evidenced by a promissory note, and the remainder in cash ($4.5 million) and other deferred consideration.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2021, we agreed to extend the payment terms on the remaining outstanding working capital balance of $18.4 million. Accell had agreed to make monthly payments including interest through September 2022, under which we received full payments for January through March and partial payments in April and May (totaling $3.8 million including $0.7 million in interest). Based on Accell's failure to make timely payments, continued requests to defer payments significantly beyond the original maturity of the working capital note and the unfavorable impact of the COVID-19 pandemic on the Latin American markets, we determined to fully reserve the working capital and other deferred receivables, recognizing a loss on sale of business of $26.8 million for the year ended December 31, 2021. All receivables from Accell were fully written off in the fourth quarter of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Leases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certain factories, service and distribution locations, offices, and equipment under operating leases. Our operating leases have initial lease terms ranging from one to 12 years, some of which include options to extend or renew the leases for up to 10 years. Certain lease agreements contain provisions for future rent increases. Our leases do not contain material residual value guarantees, and finance leases are not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operating lease expense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74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19,092</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4,107</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74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19,214</w:t>
            </w: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Pr>
          <w:p>
            <w:pPr>
              <w:spacing w:after="0"/>
              <w:rPr>
                <w:sz w:val="18"/>
                <w:szCs w:val="18"/>
                <w:color w:val="auto"/>
              </w:rPr>
            </w:pPr>
          </w:p>
        </w:tc>
        <w:tc>
          <w:tcPr>
            <w:tcW w:w="1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13"/>
        </w:trPr>
        <w:tc>
          <w:tcPr>
            <w:tcW w:w="7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41,186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52,826</w:t>
            </w:r>
          </w:p>
        </w:tc>
        <w:tc>
          <w:tcPr>
            <w:tcW w:w="0" w:type="dxa"/>
            <w:vAlign w:val="bottom"/>
          </w:tcPr>
          <w:p>
            <w:pPr>
              <w:spacing w:after="0"/>
              <w:rPr>
                <w:sz w:val="1"/>
                <w:szCs w:val="1"/>
                <w:color w:val="auto"/>
              </w:rPr>
            </w:pPr>
          </w:p>
        </w:tc>
      </w:tr>
      <w:tr>
        <w:trPr>
          <w:trHeight w:val="256"/>
        </w:trPr>
        <w:tc>
          <w:tcPr>
            <w:tcW w:w="7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15,967</w:t>
            </w:r>
          </w:p>
        </w:tc>
        <w:tc>
          <w:tcPr>
            <w:tcW w:w="0" w:type="dxa"/>
            <w:vAlign w:val="bottom"/>
          </w:tcPr>
          <w:p>
            <w:pPr>
              <w:spacing w:after="0"/>
              <w:rPr>
                <w:sz w:val="1"/>
                <w:szCs w:val="1"/>
                <w:color w:val="auto"/>
              </w:rPr>
            </w:pPr>
          </w:p>
        </w:tc>
      </w:tr>
      <w:tr>
        <w:trPr>
          <w:trHeight w:val="21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32,656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44,370</w:t>
            </w:r>
          </w:p>
        </w:tc>
        <w:tc>
          <w:tcPr>
            <w:tcW w:w="0" w:type="dxa"/>
            <w:vAlign w:val="bottom"/>
          </w:tcPr>
          <w:p>
            <w:pPr>
              <w:spacing w:after="0"/>
              <w:rPr>
                <w:sz w:val="1"/>
                <w:szCs w:val="1"/>
                <w:color w:val="auto"/>
              </w:rPr>
            </w:pPr>
          </w:p>
        </w:tc>
      </w:tr>
      <w:tr>
        <w:trPr>
          <w:trHeight w:val="23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lease liability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47,637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60,337</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 Operating leases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years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years</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 - Operating leases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under operating lease liabilities as of December 31, 2023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16,614</w:t>
            </w:r>
          </w:p>
        </w:tc>
      </w:tr>
      <w:tr>
        <w:trPr>
          <w:trHeight w:val="213"/>
        </w:trPr>
        <w:tc>
          <w:tcPr>
            <w:tcW w:w="9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14,712</w:t>
            </w:r>
          </w:p>
        </w:tc>
      </w:tr>
      <w:tr>
        <w:trPr>
          <w:trHeight w:val="21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12,486</w:t>
            </w:r>
          </w:p>
        </w:tc>
      </w:tr>
      <w:tr>
        <w:trPr>
          <w:trHeight w:val="213"/>
        </w:trPr>
        <w:tc>
          <w:tcPr>
            <w:tcW w:w="9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4,154</w:t>
            </w:r>
          </w:p>
        </w:tc>
      </w:tr>
      <w:tr>
        <w:trPr>
          <w:trHeight w:val="21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w:t>
            </w:r>
          </w:p>
        </w:tc>
      </w:tr>
      <w:tr>
        <w:trPr>
          <w:trHeight w:val="213"/>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w:t>
            </w:r>
          </w:p>
        </w:tc>
      </w:tr>
      <w:tr>
        <w:trPr>
          <w:trHeight w:val="212"/>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payments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51,506</w:t>
            </w:r>
          </w:p>
        </w:tc>
      </w:tr>
      <w:tr>
        <w:trPr>
          <w:trHeight w:val="213"/>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(3,869)</w:t>
            </w:r>
          </w:p>
        </w:tc>
      </w:tr>
      <w:tr>
        <w:trPr>
          <w:trHeight w:val="237"/>
        </w:trPr>
        <w:tc>
          <w:tcPr>
            <w:tcW w:w="9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47,637</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disagreements with our independent accountants on accounting and financial disclosure matters within the three year period ended December 31, 2023, or in any period subsequent to such date, through the date of this report.</w:t>
      </w:r>
    </w:p>
    <w:p>
      <w:pPr>
        <w:spacing w:after="0" w:line="18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December 31, 2023,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issued by the Committee of Sponsoring Organizations of the Treadway Commission (2013 Framework). Based on our evaluation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Framework, management concluded that our internal control over financial reporting was effective as of December 31, 2023.</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Deloitte &amp; Touche LLP, an independent registered public accounting firm, as stated in their report that is included in this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December 31, 2023 that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50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Itron, Inc.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Itron, Inc. and subsidiaries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26, 2024,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Annual 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section entitled "Proposal 1 – Election of Directors" appearing in our Proxy Statement for the Annual Meeting of Shareholders to be held on May 9, 2024 (the 2024 Proxy Statement) sets forth certain information with regard to our directors as required by Item 401 of Regulation S-K and is incorporated herein by reference.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information with respect to persons who are or may be deemed to be executive officers of Itron, Inc. as required by Item 401 of Regulation S-K is set forth under the caption "Information about our Executive Officers" in Part I of this Annual Report.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section entitled "Corporate Governance" appearing in the 2024 Proxy Statement sets forth certain information with respect to the Registrant's code of conduct and policies related to ethical standards as required by Item 406 of Regulation S-K and is incorporated herein by reference. Our code of conduct and policies related to ethical standards can be accessed on our website, at </w:t>
      </w:r>
      <w:r>
        <w:rPr>
          <w:rFonts w:ascii="Times New Roman" w:cs="Times New Roman" w:eastAsia="Times New Roman" w:hAnsi="Times New Roman"/>
          <w:sz w:val="18"/>
          <w:szCs w:val="18"/>
          <w:i w:val="1"/>
          <w:iCs w:val="1"/>
          <w:color w:val="auto"/>
        </w:rPr>
        <w:t>www.itron.com</w:t>
      </w:r>
      <w:r>
        <w:rPr>
          <w:rFonts w:ascii="Times New Roman" w:cs="Times New Roman" w:eastAsia="Times New Roman" w:hAnsi="Times New Roman"/>
          <w:sz w:val="18"/>
          <w:szCs w:val="18"/>
          <w:color w:val="auto"/>
        </w:rPr>
        <w:t xml:space="preserve"> under the Investors section.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procedures by which security holders may recommend nominees to Itron's board of directors during 2024, as set forth by Item 407(c)(3) of Regulation 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section entitled "Corporate Governance" appearing in the 2024 Proxy Statement sets forth certain information regarding the Audit/Finance Committee, including the members of the Committee and the Audit/Finance Committee financial experts, as set forth by Item 407(d)(4) and (d)(5) of Regulation S-K and is incorporated herein by reference.</w:t>
      </w:r>
    </w:p>
    <w:p>
      <w:pPr>
        <w:spacing w:after="0" w:line="19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sections entitled "Compensation of Directors" and "Executive Compensation" appearing in the 2024 Proxy Statement set forth certain information with respect to the compensation of directors and management of Itron as required by Item 402 of Regulation S-K and are incorporated herein by reference.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"Corporate Governance" appearing in the 2024 Proxy Statement sets forth certain information regarding members of the Compensation Committee required by Item 407(e)(4) of Regulation S-K and is incorporated herein by reference.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section entitled "Compensation Committee Report" appearing in the 2024 Proxy Statement sets forth certain information required by Item 407(e)(5) of Regulation S-K and is incorporated herein by reference.</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"Equity Compensation Plan Information" appearing in the 2024 Proxy Statement sets forth certain information required by Item 201(d) of Regulation S-K and is incorporated herein by reference.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section entitled "Security Ownership of Certain Beneficial Owners and Management" appearing in the 2024 Proxy Statement sets forth certain information with respect to the ownership of our common stock as required by Item 403 of Regulation S-K and is incorporated herein by reference.</w:t>
      </w:r>
    </w:p>
    <w:p>
      <w:pPr>
        <w:spacing w:after="0" w:line="2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"Corporate Governance" appearing in the 2024 Proxy Statement sets forth certain information required by Item 404 of Regulation S-K and is incorporated herein by reference.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"Corporate Governance" appearing in the 2024 Proxy Statement sets forth certain information with respect to director independence as required by Item 407(a) of Regulation S-K and is incorporated herein by reference.</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"Independent Registered Public Accounting Firm's Audit Fees and Services" appearing in the 2024 Proxy Statement sets forth certain information with respect to the principal accounting fees and services and the Audit/Finance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Committee's policy on pre-approval of audit and permissible non-audit services performed by our independent auditors as required by Item 9(e) of Schedule 14A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this item are submitted in Part II, Item 8: Financial Statements and Supplementary Data of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(2) Financial Statement Schedule:</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of the absence of conditions under which they are required or because the required information is included in the consolidated financial statements or the notes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(3)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980" w:type="dxa"/>
            <w:vAlign w:val="bottom"/>
            <w:gridSpan w:val="21"/>
            <w:vMerge w:val="restart"/>
          </w:tcPr>
          <w:p>
            <w:pPr>
              <w:ind w:left="196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38"/>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980" w:type="dxa"/>
            <w:vAlign w:val="bottom"/>
            <w:gridSpan w:val="21"/>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60" w:type="dxa"/>
            <w:vAlign w:val="bottom"/>
            <w:tcBorders>
              <w:top w:val="single" w:sz="8" w:color="auto"/>
              <w:bottom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Amended and Restated Articles of Incorporation of Itron, Inc. (Filed as Exhibit 3.1 to Itron, Inc.'s Annual Report on Form 10-K, filed on</w:t>
              </w:r>
            </w:hyperlink>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60" w:type="dxa"/>
            <w:vAlign w:val="bottom"/>
            <w:gridSpan w:val="8"/>
          </w:tcPr>
          <w:p>
            <w:pPr>
              <w:spacing w:after="0" w:line="149"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March 27, 2003)</w:t>
              </w:r>
            </w:hyperlink>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5"/>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Amended and Restated Bylaws of Itron, Inc. (Filed as Exhibit 3.2 to Itron, Inc.'s Current Report on Form 8-K, filed on February 28,</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2022)</w:t>
              </w:r>
            </w:hyperlink>
          </w:p>
        </w:tc>
        <w:tc>
          <w:tcPr>
            <w:tcW w:w="76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274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5"/>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Security Agreement dated August 5, 2011 among Itron, Inc. and Wells Fargo Bank, National Association (Filed as Exhibit 4.2 to Form</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8-K filed on August 8, 2011)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5"/>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First Amendment to Security Agreement dated June 23, 2015 among Itron, Inc. and Wells Fargo Bank, National Association. (Filed as</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Exhibit 4.2 to Itron, Inc.'s Current Report on Form 8-K, filed on June 23, 2015)</w:t>
              </w:r>
            </w:hyperlink>
          </w:p>
        </w:tc>
        <w:tc>
          <w:tcPr>
            <w:tcW w:w="420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5"/>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Indenture, dated as of December 22, 2017 among Itron, Inc., the guarantors from time to time party thereto and U.S. Bank National</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0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Association, as trustee. (Filed as Exhibit 4.1 to Itron, Inc.'s Current Report on Form 8-K, filed on December 22, 2017)</w:t>
              </w:r>
            </w:hyperlink>
          </w:p>
        </w:tc>
        <w:tc>
          <w:tcPr>
            <w:tcW w:w="154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5"/>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Second Amended and Restated Credit Agreement dated January 5, 2018 among Itron, Inc. and a syndicate of banks led by Wells Fargo</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Bank, National Association, JPMorgan Chase Bank, N.A., J.P. Morgan Europe Limited, J.P. Morgan Securities PLC, BNP Paribas, and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Silicon Valley Bank (Filed as Exhibit 4.1 to Itron, Inc.'s Current Report on Form 8-K, filed on January 12, 2018)</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5"/>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Amendment No. 1 dated October 18, 2019, to the Second Amended and Restated Credit Agreement dated January 5, 2018 among Itron,</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Inc., certain foreign borrowers, guarantors, lenders and issuing parties thereto, and Wells Fargo Bank, National Association, as</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administrative agent. (Filed as Exhibit 4.1 to Itron, Inc.'s Current Report on Form 8-K, filed on October 24, 2019)</w:t>
              </w:r>
            </w:hyperlink>
          </w:p>
        </w:tc>
        <w:tc>
          <w:tcPr>
            <w:tcW w:w="1740" w:type="dxa"/>
            <w:vAlign w:val="bottom"/>
            <w:tcBorders>
              <w:top w:val="single" w:sz="8" w:color="0000FF"/>
            </w:tcBorders>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5"/>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Amendment No. 2 dated October 19, 2020, to the Second Amended and Restated Credit Agreement dated January 5, 2018 among Itron,</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 certain foreign borrowers, guarantors, lenders and issuing parties thereto, and Wells Fargo Bank, National Association, as</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administrative agent. (Filed as Exhibit 4.1 to Itron, Inc's Quarterly Report on Form 10-Q filed on November 2, 2020)</w:t>
              </w:r>
            </w:hyperlink>
          </w:p>
        </w:tc>
        <w:tc>
          <w:tcPr>
            <w:tcW w:w="1520" w:type="dxa"/>
            <w:vAlign w:val="bottom"/>
            <w:tcBorders>
              <w:top w:val="single" w:sz="8" w:color="0000FF"/>
            </w:tcBorders>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5"/>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Amendment No. 3, dated March 8, 2021, to the Credit Agreement, dated January 5, 2018 among Itron, Inc. and certain foreign</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borrowers, guarantors, lenders and issuing parties thereto, and Wells Fargo Bank, National Association, as administrative agent. (Filed</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as Exhibit 10.3 to Itron, Inc.'s Current Report on Form 8-K, filed on March 12, 2021)</w:t>
              </w:r>
            </w:hyperlink>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5"/>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Indenture, dated as of March 12, 2021, by and between Itron, Inc. and U.S. Bank National Association, as trustee (Filed as Exhibit 4.1 to</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Itron, Inc.'s Current Report on Form 8-K, filed on March 12, 2021)</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0" w:type="dxa"/>
            <w:vAlign w:val="bottom"/>
            <w:gridSpan w:val="4"/>
            <w:shd w:val="clear" w:color="auto" w:fill="0000FF"/>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5"/>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0.00% Convertible Senior Note due 2026 (Filed as Exhibit 4.2 to Itron, Inc.'s Current Report on Form 8-K, filed on March 12,</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125">
              <w:r>
                <w:rPr>
                  <w:rFonts w:ascii="Times New Roman" w:cs="Times New Roman" w:eastAsia="Times New Roman" w:hAnsi="Times New Roman"/>
                  <w:sz w:val="18"/>
                  <w:szCs w:val="18"/>
                  <w:color w:val="0000FF"/>
                  <w:w w:val="95"/>
                </w:rPr>
                <w:t>2021)</w:t>
              </w:r>
            </w:hyperlink>
          </w:p>
        </w:tc>
        <w:tc>
          <w:tcPr>
            <w:tcW w:w="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274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5"/>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Convertible Note Hedge (Filed as Exhibit 10.1 to Itron, Inc.'s Current Report on Form 8-K, filed on March 12, 2021)</w:t>
              </w:r>
            </w:hyperlink>
          </w:p>
        </w:tc>
        <w:tc>
          <w:tcPr>
            <w:tcW w:w="0" w:type="dxa"/>
            <w:vAlign w:val="bottom"/>
          </w:tcPr>
          <w:p>
            <w:pPr>
              <w:spacing w:after="0"/>
              <w:rPr>
                <w:sz w:val="1"/>
                <w:szCs w:val="1"/>
                <w:color w:val="auto"/>
              </w:rPr>
            </w:pPr>
          </w:p>
        </w:tc>
      </w:tr>
      <w:tr>
        <w:trPr>
          <w:trHeight w:val="885"/>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tcBorders>
              <w:top w:val="single" w:sz="8" w:color="0000FF"/>
            </w:tcBorders>
            <w:gridSpan w:val="5"/>
          </w:tcPr>
          <w:p>
            <w:pPr>
              <w:ind w:left="4180"/>
              <w:spacing w:after="0"/>
              <w:rPr>
                <w:sz w:val="20"/>
                <w:szCs w:val="20"/>
                <w:color w:val="auto"/>
              </w:rPr>
            </w:pPr>
            <w:r>
              <w:rPr>
                <w:rFonts w:ascii="Times New Roman" w:cs="Times New Roman" w:eastAsia="Times New Roman" w:hAnsi="Times New Roman"/>
                <w:sz w:val="18"/>
                <w:szCs w:val="18"/>
                <w:color w:val="auto"/>
              </w:rPr>
              <w:t>99</w:t>
            </w:r>
          </w:p>
        </w:tc>
        <w:tc>
          <w:tcPr>
            <w:tcW w:w="9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3340" w:type="dxa"/>
            <w:vAlign w:val="bottom"/>
          </w:tcPr>
          <w:p>
            <w:pPr>
              <w:jc w:val="center"/>
              <w:ind w:right="1970"/>
              <w:spacing w:after="0"/>
              <w:rPr>
                <w:sz w:val="20"/>
                <w:szCs w:val="20"/>
                <w:color w:val="auto"/>
              </w:rPr>
            </w:pPr>
            <w:r>
              <w:rPr>
                <w:rFonts w:ascii="Times New Roman" w:cs="Times New Roman" w:eastAsia="Times New Roman" w:hAnsi="Times New Roman"/>
                <w:sz w:val="18"/>
                <w:szCs w:val="18"/>
                <w:u w:val="single" w:color="auto"/>
                <w:color w:val="0000FF"/>
                <w:w w:val="99"/>
              </w:rPr>
              <w:t>Table of Contents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334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84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Description of Exhibits</w:t>
            </w:r>
          </w:p>
        </w:tc>
        <w:tc>
          <w:tcPr>
            <w:tcW w:w="0" w:type="dxa"/>
            <w:vAlign w:val="bottom"/>
          </w:tcPr>
          <w:p>
            <w:pPr>
              <w:spacing w:after="0"/>
              <w:rPr>
                <w:sz w:val="1"/>
                <w:szCs w:val="1"/>
                <w:color w:val="auto"/>
              </w:rPr>
            </w:pPr>
          </w:p>
        </w:tc>
      </w:tr>
      <w:tr>
        <w:trPr>
          <w:trHeight w:val="243"/>
        </w:trPr>
        <w:tc>
          <w:tcPr>
            <w:tcW w:w="334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p>
      <w:pPr>
        <w:ind w:left="460"/>
        <w:spacing w:after="0"/>
        <w:tabs>
          <w:tab w:leader="none" w:pos="13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4.11</w:t>
      </w:r>
      <w:r>
        <w:rPr>
          <w:sz w:val="20"/>
          <w:szCs w:val="20"/>
          <w:color w:val="auto"/>
        </w:rPr>
        <w:tab/>
      </w:r>
      <w:hyperlink r:id="rId130">
        <w:r>
          <w:rPr>
            <w:rFonts w:ascii="Times New Roman" w:cs="Times New Roman" w:eastAsia="Times New Roman" w:hAnsi="Times New Roman"/>
            <w:sz w:val="17"/>
            <w:szCs w:val="17"/>
            <w:u w:val="single" w:color="auto"/>
            <w:color w:val="0000FF"/>
          </w:rPr>
          <w:t>Form of Warrant Confirmation (Filed as Exhibit 10.2 to Itron, Inc.'s Current Report on Form 8-K, filed on March 12, 2021)</w:t>
        </w:r>
      </w:hyperlink>
    </w:p>
    <w:p>
      <w:pPr>
        <w:spacing w:after="0" w:line="185" w:lineRule="exact"/>
        <w:rPr>
          <w:sz w:val="20"/>
          <w:szCs w:val="20"/>
          <w:color w:val="auto"/>
        </w:rPr>
      </w:pPr>
    </w:p>
    <w:p>
      <w:pPr>
        <w:ind w:left="460"/>
        <w:spacing w:after="0"/>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4.12</w:t>
      </w:r>
      <w:r>
        <w:rPr>
          <w:sz w:val="20"/>
          <w:szCs w:val="20"/>
          <w:color w:val="auto"/>
        </w:rPr>
        <w:tab/>
      </w:r>
      <w:hyperlink r:id="rId131">
        <w:r>
          <w:rPr>
            <w:rFonts w:ascii="Times New Roman" w:cs="Times New Roman" w:eastAsia="Times New Roman" w:hAnsi="Times New Roman"/>
            <w:sz w:val="18"/>
            <w:szCs w:val="18"/>
            <w:u w:val="single" w:color="auto"/>
            <w:color w:val="0000FF"/>
          </w:rPr>
          <w:t>Description of Registrant's Securities (Filed as Exhibit 4.12 to Itron, Inc's Annual Report on Form 10-K, filed February 27, 2023)</w:t>
        </w:r>
      </w:hyperlink>
    </w:p>
    <w:p>
      <w:pPr>
        <w:spacing w:after="0" w:line="185" w:lineRule="exact"/>
        <w:rPr>
          <w:sz w:val="20"/>
          <w:szCs w:val="20"/>
          <w:color w:val="auto"/>
        </w:rPr>
      </w:pPr>
    </w:p>
    <w:p>
      <w:pPr>
        <w:jc w:val="right"/>
        <w:ind w:left="4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4.13       </w:t>
      </w:r>
      <w:hyperlink r:id="rId132">
        <w:r>
          <w:rPr>
            <w:rFonts w:ascii="Times New Roman" w:cs="Times New Roman" w:eastAsia="Times New Roman" w:hAnsi="Times New Roman"/>
            <w:sz w:val="18"/>
            <w:szCs w:val="18"/>
            <w:u w:val="single" w:color="auto"/>
            <w:color w:val="0000FF"/>
          </w:rPr>
          <w:t>Amendment No. 4, dated February 25, 2022, to the Credit Agreement, dated January 5, 2018 among Itron, Inc. and certain foreign</w:t>
        </w:r>
      </w:hyperlink>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u w:val="single" w:color="auto"/>
            <w:color w:val="0000FF"/>
          </w:rPr>
          <w:t>borrowers, guarantors, lenders and issuing parties thereto, and Wells Fargo Bank, National Association, as administrative agent. (Filed</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as Exhibit 4.13 to Itron, Inc's Annual Report on Form 10-K, filed on February 28, 2022)</w:t>
        </w:r>
      </w:hyperlink>
    </w:p>
    <w:p>
      <w:pPr>
        <w:spacing w:after="0" w:line="165" w:lineRule="exact"/>
        <w:rPr>
          <w:sz w:val="20"/>
          <w:szCs w:val="20"/>
          <w:color w:val="auto"/>
        </w:rPr>
      </w:pPr>
    </w:p>
    <w:p>
      <w:pPr>
        <w:jc w:val="right"/>
        <w:ind w:left="4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4.14       </w:t>
      </w:r>
      <w:hyperlink r:id="rId133">
        <w:r>
          <w:rPr>
            <w:rFonts w:ascii="Times New Roman" w:cs="Times New Roman" w:eastAsia="Times New Roman" w:hAnsi="Times New Roman"/>
            <w:sz w:val="18"/>
            <w:szCs w:val="18"/>
            <w:u w:val="single" w:color="auto"/>
            <w:color w:val="0000FF"/>
          </w:rPr>
          <w:t>Amendment No. 6, dated February 21, 2023, to the Credit Agreement, dated January 5, 2018 among Itron, Inc. and certain foreign</w:t>
        </w:r>
      </w:hyperlink>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u w:val="single" w:color="auto"/>
            <w:color w:val="0000FF"/>
          </w:rPr>
          <w:t>borrowers, guarantors, lenders and issuing parties thereto, and Wells Fargo Bank, National Association, as administrative agent. (Filed</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as Exhibit 10.1 to Itron, Inc's Current Report on Form 8-K, filed on February 27, 2023)</w:t>
        </w:r>
      </w:hyperlink>
    </w:p>
    <w:p>
      <w:pPr>
        <w:spacing w:after="0" w:line="165" w:lineRule="exact"/>
        <w:rPr>
          <w:sz w:val="20"/>
          <w:szCs w:val="20"/>
          <w:color w:val="auto"/>
        </w:rPr>
      </w:pPr>
    </w:p>
    <w:p>
      <w:pPr>
        <w:jc w:val="right"/>
        <w:ind w:left="4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4.15       </w:t>
      </w:r>
      <w:hyperlink r:id="rId134">
        <w:r>
          <w:rPr>
            <w:rFonts w:ascii="Times New Roman" w:cs="Times New Roman" w:eastAsia="Times New Roman" w:hAnsi="Times New Roman"/>
            <w:sz w:val="18"/>
            <w:szCs w:val="18"/>
            <w:u w:val="single" w:color="auto"/>
            <w:color w:val="0000FF"/>
          </w:rPr>
          <w:t>Amendment No. 7, dated October 13, 2023, to the Credit Agreement, dated January 5, 2018 among Itron, Inc. and certain foreign</w:t>
        </w:r>
      </w:hyperlink>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u w:val="single" w:color="auto"/>
            <w:color w:val="0000FF"/>
          </w:rPr>
          <w:t>borrowers, guarantors, lenders and issuing parties thereto, and Wells Fargo Bank, National Association, as administrative agent. (Filed</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as Exhibit 10.1 to Itron Inc.'s Current Report on Form 8-K, filed on October 16, 2023)</w:t>
        </w:r>
      </w:hyperlink>
    </w:p>
    <w:p>
      <w:pPr>
        <w:spacing w:after="0" w:line="165"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Form of Second Amended and Restated Change in Control Severance Agreement for Executive Officers. (Filed with this report)</w:t>
      </w:r>
    </w:p>
    <w:p>
      <w:pPr>
        <w:spacing w:after="0" w:line="185" w:lineRule="exact"/>
        <w:rPr>
          <w:sz w:val="20"/>
          <w:szCs w:val="20"/>
          <w:color w:val="auto"/>
        </w:rPr>
      </w:pPr>
    </w:p>
    <w:p>
      <w:pPr>
        <w:ind w:left="1360" w:hanging="942"/>
        <w:spacing w:after="0" w:line="237"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35">
        <w:r>
          <w:rPr>
            <w:rFonts w:ascii="Times New Roman" w:cs="Times New Roman" w:eastAsia="Times New Roman" w:hAnsi="Times New Roman"/>
            <w:sz w:val="18"/>
            <w:szCs w:val="18"/>
            <w:u w:val="single" w:color="auto"/>
            <w:color w:val="0000FF"/>
          </w:rPr>
          <w:t>Second Amended and Restated Change in Control Severance Agreement, dated May 12, 2022, by and between Itron, Inc. and Thomas</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L. Deitrich (Filed as Exhibit 10.2 to Itron, Inc.'s Quarterly Report on Form 10-Q, filed on August 4, 2022)</w:t>
        </w:r>
      </w:hyperlink>
    </w:p>
    <w:p>
      <w:pPr>
        <w:spacing w:after="0" w:line="172"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0000FF"/>
        </w:rPr>
        <w:t>Form of Indemnification Agreements between Itron, Inc. and certain directors and officers. (Filed with this report)</w:t>
      </w:r>
    </w:p>
    <w:p>
      <w:pPr>
        <w:spacing w:after="0" w:line="185"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u w:val="single" w:color="auto"/>
          <w:color w:val="0000FF"/>
        </w:rPr>
        <w:t>Second Amended and Restated 2010 Stock Incentive Plan. (Filed with this report)</w:t>
      </w:r>
    </w:p>
    <w:p>
      <w:pPr>
        <w:spacing w:after="0" w:line="185" w:lineRule="exact"/>
        <w:rPr>
          <w:sz w:val="20"/>
          <w:szCs w:val="20"/>
          <w:color w:val="auto"/>
        </w:rPr>
      </w:pPr>
    </w:p>
    <w:p>
      <w:pPr>
        <w:jc w:val="right"/>
        <w:ind w:left="4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10.5*      </w:t>
      </w:r>
      <w:hyperlink r:id="rId136">
        <w:r>
          <w:rPr>
            <w:rFonts w:ascii="Times New Roman" w:cs="Times New Roman" w:eastAsia="Times New Roman" w:hAnsi="Times New Roman"/>
            <w:sz w:val="18"/>
            <w:szCs w:val="18"/>
            <w:u w:val="single" w:color="auto"/>
            <w:color w:val="0000FF"/>
          </w:rPr>
          <w:t>Form of Stock Option Grant Notice and Agreement for use in connection with both incentive and non-qualified stock options granted</w:t>
        </w:r>
      </w:hyperlink>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u w:val="single" w:color="auto"/>
            <w:color w:val="0000FF"/>
          </w:rPr>
          <w:t>under Itron, Inc.'s Amended and Restated 2000 Stock Incentive Plan. (Filed as Exhibit 10.6 to Itron, Inc.'s Current Report on Form 8-K,</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filed on February 18, 2010)</w:t>
        </w:r>
      </w:hyperlink>
    </w:p>
    <w:p>
      <w:pPr>
        <w:spacing w:after="0" w:line="165" w:lineRule="exact"/>
        <w:rPr>
          <w:sz w:val="20"/>
          <w:szCs w:val="20"/>
          <w:color w:val="auto"/>
        </w:rPr>
      </w:pPr>
    </w:p>
    <w:p>
      <w:pPr>
        <w:ind w:left="1360" w:hanging="942"/>
        <w:spacing w:after="0" w:line="237"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37">
        <w:r>
          <w:rPr>
            <w:rFonts w:ascii="Times New Roman" w:cs="Times New Roman" w:eastAsia="Times New Roman" w:hAnsi="Times New Roman"/>
            <w:sz w:val="18"/>
            <w:szCs w:val="18"/>
            <w:u w:val="single" w:color="auto"/>
            <w:color w:val="0000FF"/>
          </w:rPr>
          <w:t>Form of RSU Award Notice and Agreement for all Participants (excluding France) for use in connection with Itron, Inc.'s Amended and</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Restated 2000 Stock Incentive Plan. (Filed as Exhibit 10.4 to Itron, Inc.'s Current Report on Form 8-K, filed on February 18, 2010)</w:t>
        </w:r>
      </w:hyperlink>
    </w:p>
    <w:p>
      <w:pPr>
        <w:spacing w:after="0" w:line="172" w:lineRule="exact"/>
        <w:rPr>
          <w:sz w:val="20"/>
          <w:szCs w:val="20"/>
          <w:color w:val="auto"/>
        </w:rPr>
      </w:pPr>
    </w:p>
    <w:p>
      <w:pPr>
        <w:jc w:val="right"/>
        <w:ind w:left="4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      </w:t>
      </w:r>
      <w:hyperlink r:id="rId138">
        <w:r>
          <w:rPr>
            <w:rFonts w:ascii="Times New Roman" w:cs="Times New Roman" w:eastAsia="Times New Roman" w:hAnsi="Times New Roman"/>
            <w:sz w:val="18"/>
            <w:szCs w:val="18"/>
            <w:u w:val="single" w:color="auto"/>
            <w:color w:val="0000FF"/>
          </w:rPr>
          <w:t>Form of Long Term Performance RSU Award Notice and Agreement for U.S. Participants for use in connection with Itron, Inc.'s</w:t>
        </w:r>
      </w:hyperlink>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u w:val="single" w:color="auto"/>
            <w:color w:val="0000FF"/>
          </w:rPr>
          <w:t>Amended and Restated 2010 Stock Incentive Plan. (Filed as Exhibit 10.4 to Itron, Inc.'s Quarterly Report on Form 10-Q, filed on August</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6, 2014)</w:t>
        </w:r>
      </w:hyperlink>
    </w:p>
    <w:p>
      <w:pPr>
        <w:spacing w:after="0" w:line="165" w:lineRule="exact"/>
        <w:rPr>
          <w:sz w:val="20"/>
          <w:szCs w:val="20"/>
          <w:color w:val="auto"/>
        </w:rPr>
      </w:pPr>
    </w:p>
    <w:p>
      <w:pPr>
        <w:jc w:val="right"/>
        <w:ind w:left="4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10.8*      </w:t>
      </w:r>
      <w:hyperlink r:id="rId139">
        <w:r>
          <w:rPr>
            <w:rFonts w:ascii="Times New Roman" w:cs="Times New Roman" w:eastAsia="Times New Roman" w:hAnsi="Times New Roman"/>
            <w:sz w:val="18"/>
            <w:szCs w:val="18"/>
            <w:u w:val="single" w:color="auto"/>
            <w:color w:val="0000FF"/>
          </w:rPr>
          <w:t>Form of Long Term Performance RSU Award Notice and Agreement for International Participants (excluding France) for use in</w:t>
        </w:r>
      </w:hyperlink>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u w:val="single" w:color="auto"/>
            <w:color w:val="0000FF"/>
          </w:rPr>
          <w:t>connection with Itron, Inc.'s Amended and Restated 2010 Stock Incentive Plan. (Filed as Exhibit 10.19 to Itron, Inc.'s Annual Report on</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Form 10-K, filed on February 25, 2011)</w:t>
        </w:r>
      </w:hyperlink>
    </w:p>
    <w:p>
      <w:pPr>
        <w:spacing w:after="0" w:line="165" w:lineRule="exact"/>
        <w:rPr>
          <w:sz w:val="20"/>
          <w:szCs w:val="20"/>
          <w:color w:val="auto"/>
        </w:rPr>
      </w:pPr>
    </w:p>
    <w:p>
      <w:pPr>
        <w:ind w:left="1360" w:hanging="942"/>
        <w:spacing w:after="0" w:line="237"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40">
        <w:r>
          <w:rPr>
            <w:rFonts w:ascii="Times New Roman" w:cs="Times New Roman" w:eastAsia="Times New Roman" w:hAnsi="Times New Roman"/>
            <w:sz w:val="18"/>
            <w:szCs w:val="18"/>
            <w:u w:val="single" w:color="auto"/>
            <w:color w:val="0000FF"/>
          </w:rPr>
          <w:t>Form of RSU Award Notice and Agreement for all Participants (excluding France) for use in connection with Itron, Inc.'s Amended and</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Restated 2010 Stock Incentive Plan. (Filed as Exhibit 10.2 to Itron, Inc.'s Quarterly Report on Form 10-Q, filed on August 6, 2014)</w:t>
        </w:r>
      </w:hyperlink>
    </w:p>
    <w:p>
      <w:pPr>
        <w:spacing w:after="0" w:line="160" w:lineRule="exact"/>
        <w:rPr>
          <w:sz w:val="20"/>
          <w:szCs w:val="20"/>
          <w:color w:val="auto"/>
        </w:rPr>
      </w:pPr>
    </w:p>
    <w:p>
      <w:pPr>
        <w:ind w:left="380"/>
        <w:spacing w:after="0"/>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41">
        <w:r>
          <w:rPr>
            <w:rFonts w:ascii="Times New Roman" w:cs="Times New Roman" w:eastAsia="Times New Roman" w:hAnsi="Times New Roman"/>
            <w:sz w:val="18"/>
            <w:szCs w:val="18"/>
            <w:u w:val="single" w:color="auto"/>
            <w:color w:val="0000FF"/>
          </w:rPr>
          <w:t>Form of RSU Award Notice and Agreement for Non-employee Directors for use in connection with Itron, Inc.'s Amended and Restated</w:t>
        </w:r>
      </w:hyperlink>
    </w:p>
    <w:p>
      <w:pPr>
        <w:ind w:left="1360"/>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2010 Stock Incentive Plan. (Filed as Exhibit 10.3 to Itron, Inc.'s Quarterly Report on Form 10-Q, filed on May 3, 2013)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3340" w:type="dxa"/>
            <w:vAlign w:val="bottom"/>
          </w:tcPr>
          <w:p>
            <w:pPr>
              <w:jc w:val="center"/>
              <w:ind w:right="1970"/>
              <w:spacing w:after="0"/>
              <w:rPr>
                <w:sz w:val="20"/>
                <w:szCs w:val="20"/>
                <w:color w:val="auto"/>
              </w:rPr>
            </w:pPr>
            <w:r>
              <w:rPr>
                <w:rFonts w:ascii="Times New Roman" w:cs="Times New Roman" w:eastAsia="Times New Roman" w:hAnsi="Times New Roman"/>
                <w:sz w:val="18"/>
                <w:szCs w:val="18"/>
                <w:u w:val="single" w:color="auto"/>
                <w:color w:val="0000FF"/>
                <w:w w:val="99"/>
              </w:rPr>
              <w:t>Table of Contents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334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84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Description of Exhibits</w:t>
            </w:r>
          </w:p>
        </w:tc>
        <w:tc>
          <w:tcPr>
            <w:tcW w:w="0" w:type="dxa"/>
            <w:vAlign w:val="bottom"/>
          </w:tcPr>
          <w:p>
            <w:pPr>
              <w:spacing w:after="0"/>
              <w:rPr>
                <w:sz w:val="1"/>
                <w:szCs w:val="1"/>
                <w:color w:val="auto"/>
              </w:rPr>
            </w:pPr>
          </w:p>
        </w:tc>
      </w:tr>
      <w:tr>
        <w:trPr>
          <w:trHeight w:val="243"/>
        </w:trPr>
        <w:tc>
          <w:tcPr>
            <w:tcW w:w="334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ind w:left="3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10.11*      </w:t>
      </w:r>
      <w:hyperlink r:id="rId144">
        <w:r>
          <w:rPr>
            <w:rFonts w:ascii="Times New Roman" w:cs="Times New Roman" w:eastAsia="Times New Roman" w:hAnsi="Times New Roman"/>
            <w:sz w:val="18"/>
            <w:szCs w:val="18"/>
            <w:u w:val="single" w:color="auto"/>
            <w:color w:val="0000FF"/>
          </w:rPr>
          <w:t>Form of Stock Option Grant Notice and Agreement for use in connection with both incentive and non-qualified stock options granted</w:t>
        </w:r>
      </w:hyperlink>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FF"/>
          </w:rPr>
          <w:t>under Itron, Inc.'s Amended and Restated 2010 Stock Incentive Plan. (Filed as Exhibit 10.1 to Itron, Inc.'s Quarterly Report on Form 10-</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Q, filed on August 6, 2014)</w:t>
        </w:r>
      </w:hyperlink>
    </w:p>
    <w:p>
      <w:pPr>
        <w:spacing w:after="0" w:line="165" w:lineRule="exact"/>
        <w:rPr>
          <w:sz w:val="20"/>
          <w:szCs w:val="20"/>
          <w:color w:val="auto"/>
        </w:rPr>
      </w:pPr>
    </w:p>
    <w:p>
      <w:pPr>
        <w:ind w:left="1360" w:hanging="987"/>
        <w:spacing w:after="0" w:line="237"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45">
        <w:r>
          <w:rPr>
            <w:rFonts w:ascii="Times New Roman" w:cs="Times New Roman" w:eastAsia="Times New Roman" w:hAnsi="Times New Roman"/>
            <w:sz w:val="18"/>
            <w:szCs w:val="18"/>
            <w:u w:val="single" w:color="auto"/>
            <w:color w:val="0000FF"/>
          </w:rPr>
          <w:t>Amendment to the Executive Deferred Compensation Plan. (Filed as Exhibit 10.1 to Itron, Inc.'s Quarterly Report on Form 10-Q, filed</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on November 3, 2016)</w:t>
        </w:r>
      </w:hyperlink>
    </w:p>
    <w:p>
      <w:pPr>
        <w:spacing w:after="0" w:line="172" w:lineRule="exact"/>
        <w:rPr>
          <w:sz w:val="20"/>
          <w:szCs w:val="20"/>
          <w:color w:val="auto"/>
        </w:rPr>
      </w:pPr>
    </w:p>
    <w:p>
      <w:pPr>
        <w:ind w:left="1360" w:right="20" w:hanging="987"/>
        <w:spacing w:after="0" w:line="237"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46">
        <w:r>
          <w:rPr>
            <w:rFonts w:ascii="Times New Roman" w:cs="Times New Roman" w:eastAsia="Times New Roman" w:hAnsi="Times New Roman"/>
            <w:sz w:val="18"/>
            <w:szCs w:val="18"/>
            <w:u w:val="single" w:color="auto"/>
            <w:color w:val="0000FF"/>
          </w:rPr>
          <w:t>Amended and Restated 2012 Employee Stock Purchase Plan. (Filed as Exhibit 10.21 to Itron, Inc.'s Annual Report on Form 10-K, filed</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on February 24, 2021)</w:t>
        </w:r>
      </w:hyperlink>
    </w:p>
    <w:p>
      <w:pPr>
        <w:spacing w:after="0" w:line="172" w:lineRule="exact"/>
        <w:rPr>
          <w:sz w:val="20"/>
          <w:szCs w:val="20"/>
          <w:color w:val="auto"/>
        </w:rPr>
      </w:pPr>
    </w:p>
    <w:p>
      <w:pPr>
        <w:jc w:val="right"/>
        <w:ind w:left="4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10.14      </w:t>
      </w:r>
      <w:hyperlink r:id="rId147">
        <w:r>
          <w:rPr>
            <w:rFonts w:ascii="Times New Roman" w:cs="Times New Roman" w:eastAsia="Times New Roman" w:hAnsi="Times New Roman"/>
            <w:sz w:val="18"/>
            <w:szCs w:val="18"/>
            <w:u w:val="single" w:color="auto"/>
            <w:color w:val="0000FF"/>
          </w:rPr>
          <w:t>Cooperation Agreement by and among Itron, Inc., Coppersmith Capital Management LLC, Scopia Management, Inc. and certain of their</w:t>
        </w:r>
      </w:hyperlink>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u w:val="single" w:color="auto"/>
            <w:color w:val="0000FF"/>
          </w:rPr>
          <w:t>specified affiliates, Jerome J. Lande and Peter Mainz, dated as of December 9, 2015. (Filed as Exhibit 10.1 to Itron, Inc.'s Current</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Report on Form 8-K, filed on December 11, 2015)</w:t>
        </w:r>
      </w:hyperlink>
    </w:p>
    <w:p>
      <w:pPr>
        <w:spacing w:after="0" w:line="165" w:lineRule="exact"/>
        <w:rPr>
          <w:sz w:val="20"/>
          <w:szCs w:val="20"/>
          <w:color w:val="auto"/>
        </w:rPr>
      </w:pPr>
    </w:p>
    <w:p>
      <w:pPr>
        <w:jc w:val="right"/>
        <w:ind w:left="4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10.15      </w:t>
      </w:r>
      <w:hyperlink r:id="rId148">
        <w:r>
          <w:rPr>
            <w:rFonts w:ascii="Times New Roman" w:cs="Times New Roman" w:eastAsia="Times New Roman" w:hAnsi="Times New Roman"/>
            <w:sz w:val="18"/>
            <w:szCs w:val="18"/>
            <w:u w:val="single" w:color="auto"/>
            <w:color w:val="0000FF"/>
          </w:rPr>
          <w:t>Amendment to Cooperation Agreement by and among Itron, Inc., Coppersmith Capital Management LLC, Scopia Management, Inc.</w:t>
        </w:r>
      </w:hyperlink>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u w:val="single" w:color="auto"/>
            <w:color w:val="0000FF"/>
          </w:rPr>
          <w:t>and certain of their specified affiliates, Jerome J. Lande and Peter Mainz. (Filed as Exhibit 10.2 to Itron, Inc.'s Quarterly Report on Form</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10-Q, filed on November 3, 2016)</w:t>
        </w:r>
      </w:hyperlink>
    </w:p>
    <w:p>
      <w:pPr>
        <w:spacing w:after="0" w:line="165" w:lineRule="exact"/>
        <w:rPr>
          <w:sz w:val="20"/>
          <w:szCs w:val="20"/>
          <w:color w:val="auto"/>
        </w:rPr>
      </w:pPr>
    </w:p>
    <w:p>
      <w:pPr>
        <w:jc w:val="right"/>
        <w:ind w:left="42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10.16      </w:t>
      </w:r>
      <w:hyperlink r:id="rId149">
        <w:r>
          <w:rPr>
            <w:rFonts w:ascii="Times New Roman" w:cs="Times New Roman" w:eastAsia="Times New Roman" w:hAnsi="Times New Roman"/>
            <w:sz w:val="18"/>
            <w:szCs w:val="18"/>
            <w:u w:val="single" w:color="auto"/>
            <w:color w:val="0000FF"/>
          </w:rPr>
          <w:t>First Amendment to Cooperation Agreement, dated November 1, 2017, by and among Itron, Inc., Scopia Management, Inc. and certain</w:t>
        </w:r>
      </w:hyperlink>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0000FF"/>
          </w:rPr>
          <w:t>of their specified affiliates, Jerome J. Lande and certain other individuals. (Filed as Exhibit 10.1 to Itron, Inc.'s Current Report on Form</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8-K, filed on November 2, 2017)</w:t>
        </w:r>
      </w:hyperlink>
    </w:p>
    <w:p>
      <w:pPr>
        <w:spacing w:after="0" w:line="165" w:lineRule="exact"/>
        <w:rPr>
          <w:sz w:val="20"/>
          <w:szCs w:val="20"/>
          <w:color w:val="auto"/>
        </w:rPr>
      </w:pPr>
    </w:p>
    <w:p>
      <w:pPr>
        <w:jc w:val="right"/>
        <w:ind w:left="3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10.17*      </w:t>
      </w:r>
      <w:hyperlink r:id="rId150">
        <w:r>
          <w:rPr>
            <w:rFonts w:ascii="Times New Roman" w:cs="Times New Roman" w:eastAsia="Times New Roman" w:hAnsi="Times New Roman"/>
            <w:sz w:val="18"/>
            <w:szCs w:val="18"/>
            <w:u w:val="single" w:color="auto"/>
            <w:color w:val="0000FF"/>
          </w:rPr>
          <w:t>Form of Stock Option Grant Notice and Agreement for use in connection with both incentive and non-qualified stock options granted</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FF"/>
          </w:rPr>
          <w:t>under Itron, Inc.'s Amended and Restated 2010 Stock Incentive Plan. (Filed as Exhibit 10.1 to Itron, Inc.'s Quarterly Report on Form 10-</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Q, filed on May 4, 2017)</w:t>
        </w:r>
      </w:hyperlink>
    </w:p>
    <w:p>
      <w:pPr>
        <w:spacing w:after="0" w:line="165" w:lineRule="exact"/>
        <w:rPr>
          <w:sz w:val="20"/>
          <w:szCs w:val="20"/>
          <w:color w:val="auto"/>
        </w:rPr>
      </w:pPr>
    </w:p>
    <w:p>
      <w:pPr>
        <w:jc w:val="right"/>
        <w:ind w:left="3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10.18*      </w:t>
      </w:r>
      <w:hyperlink r:id="rId151">
        <w:r>
          <w:rPr>
            <w:rFonts w:ascii="Times New Roman" w:cs="Times New Roman" w:eastAsia="Times New Roman" w:hAnsi="Times New Roman"/>
            <w:sz w:val="18"/>
            <w:szCs w:val="18"/>
            <w:u w:val="single" w:color="auto"/>
            <w:color w:val="0000FF"/>
          </w:rPr>
          <w:t>Form of Long-Term Performance RSU Award Notice and Agreement for U.S. Participants for use in connection with Itron, Inc.'s</w:t>
        </w:r>
      </w:hyperlink>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u w:val="single" w:color="auto"/>
            <w:color w:val="0000FF"/>
          </w:rPr>
          <w:t>Amended and Restated 2010 Stock Incentive Plan. (Filed as Exhibit 10.2 to Itron, Inc.'s Quarterly Report on Form 10-Q, filed on May 4,</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2017)</w:t>
        </w:r>
      </w:hyperlink>
    </w:p>
    <w:p>
      <w:pPr>
        <w:spacing w:after="0" w:line="165" w:lineRule="exact"/>
        <w:rPr>
          <w:sz w:val="20"/>
          <w:szCs w:val="20"/>
          <w:color w:val="auto"/>
        </w:rPr>
      </w:pPr>
    </w:p>
    <w:p>
      <w:pPr>
        <w:ind w:left="1360" w:hanging="987"/>
        <w:spacing w:after="0" w:line="237"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52">
        <w:r>
          <w:rPr>
            <w:rFonts w:ascii="Times New Roman" w:cs="Times New Roman" w:eastAsia="Times New Roman" w:hAnsi="Times New Roman"/>
            <w:sz w:val="18"/>
            <w:szCs w:val="18"/>
            <w:u w:val="single" w:color="auto"/>
            <w:color w:val="0000FF"/>
          </w:rPr>
          <w:t>Form of RSU Award Notice and Agreement for all Participants for use in connection with Itron, Inc.'s Amended and Restated 2010</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Stock Incentive Plan. (Filed as Exhibit 10.3 to Itron, Inc.'s Quarterly Report on Form 10-Q, filed on May 4, 2017)</w:t>
        </w:r>
      </w:hyperlink>
    </w:p>
    <w:p>
      <w:pPr>
        <w:spacing w:after="0" w:line="172" w:lineRule="exact"/>
        <w:rPr>
          <w:sz w:val="20"/>
          <w:szCs w:val="20"/>
          <w:color w:val="auto"/>
        </w:rPr>
      </w:pPr>
    </w:p>
    <w:p>
      <w:pPr>
        <w:jc w:val="right"/>
        <w:ind w:left="3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10.20*      </w:t>
      </w:r>
      <w:hyperlink r:id="rId153">
        <w:r>
          <w:rPr>
            <w:rFonts w:ascii="Times New Roman" w:cs="Times New Roman" w:eastAsia="Times New Roman" w:hAnsi="Times New Roman"/>
            <w:sz w:val="18"/>
            <w:szCs w:val="18"/>
            <w:u w:val="single" w:color="auto"/>
            <w:color w:val="0000FF"/>
          </w:rPr>
          <w:t>Form of Stock Option Grant Notice and Agreement for use in connection with both incentive and non-qualified stock options granted</w:t>
        </w:r>
      </w:hyperlink>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u w:val="single" w:color="auto"/>
            <w:color w:val="0000FF"/>
          </w:rPr>
          <w:t>under Itron, Inc.'s Amended and Restated 2010 Stock Incentive Plan. (Filed as Exhibit 10.32 to Itron, Inc.'s Annual Report on Form 10-</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K, filed on February 28, 2019)</w:t>
        </w:r>
      </w:hyperlink>
    </w:p>
    <w:p>
      <w:pPr>
        <w:spacing w:after="0" w:line="165" w:lineRule="exact"/>
        <w:rPr>
          <w:sz w:val="20"/>
          <w:szCs w:val="20"/>
          <w:color w:val="auto"/>
        </w:rPr>
      </w:pPr>
    </w:p>
    <w:p>
      <w:pPr>
        <w:jc w:val="right"/>
        <w:ind w:left="3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      </w:t>
      </w:r>
      <w:hyperlink r:id="rId154">
        <w:r>
          <w:rPr>
            <w:rFonts w:ascii="Times New Roman" w:cs="Times New Roman" w:eastAsia="Times New Roman" w:hAnsi="Times New Roman"/>
            <w:sz w:val="18"/>
            <w:szCs w:val="18"/>
            <w:u w:val="single" w:color="auto"/>
            <w:color w:val="0000FF"/>
          </w:rPr>
          <w:t>Form of Long-Term Performance RSU Award Notice and Agreement for U.S. Participants for use in connection with Itron, Inc.'s</w:t>
        </w:r>
      </w:hyperlink>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u w:val="single" w:color="auto"/>
            <w:color w:val="0000FF"/>
          </w:rPr>
          <w:t>Amended and Restated 2010 Stock Incentive Plan. (Filed as Exhibit 10.33 to Itron, Inc.'s Annual Report on Form 10-K, filed on</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February 28, 2019)</w:t>
        </w:r>
      </w:hyperlink>
    </w:p>
    <w:p>
      <w:pPr>
        <w:spacing w:after="0" w:line="165" w:lineRule="exact"/>
        <w:rPr>
          <w:sz w:val="20"/>
          <w:szCs w:val="20"/>
          <w:color w:val="auto"/>
        </w:rPr>
      </w:pPr>
    </w:p>
    <w:p>
      <w:pPr>
        <w:jc w:val="right"/>
        <w:ind w:left="3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10.22*      </w:t>
      </w:r>
      <w:hyperlink r:id="rId155">
        <w:r>
          <w:rPr>
            <w:rFonts w:ascii="Times New Roman" w:cs="Times New Roman" w:eastAsia="Times New Roman" w:hAnsi="Times New Roman"/>
            <w:sz w:val="18"/>
            <w:szCs w:val="18"/>
            <w:u w:val="single" w:color="auto"/>
            <w:color w:val="0000FF"/>
          </w:rPr>
          <w:t>Form of RSU Award Notice for awards with 1 year vesting and Agreement for all Participants for use in connection with Itron, Inc.'s</w:t>
        </w:r>
      </w:hyperlink>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u w:val="single" w:color="auto"/>
            <w:color w:val="0000FF"/>
          </w:rPr>
          <w:t>Amended and Restated 2010 Stock Incentive Plan. (Filed as Exhibit 10.34 to Itron, Inc.'s Annual Report on Form 10-K, filed on</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February 28, 2019)</w:t>
        </w:r>
      </w:hyperlink>
    </w:p>
    <w:p>
      <w:pPr>
        <w:spacing w:after="0" w:line="165" w:lineRule="exact"/>
        <w:rPr>
          <w:sz w:val="20"/>
          <w:szCs w:val="20"/>
          <w:color w:val="auto"/>
        </w:rPr>
      </w:pPr>
    </w:p>
    <w:p>
      <w:pPr>
        <w:jc w:val="right"/>
        <w:ind w:left="3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10.23*      </w:t>
      </w:r>
      <w:hyperlink r:id="rId156">
        <w:r>
          <w:rPr>
            <w:rFonts w:ascii="Times New Roman" w:cs="Times New Roman" w:eastAsia="Times New Roman" w:hAnsi="Times New Roman"/>
            <w:sz w:val="18"/>
            <w:szCs w:val="18"/>
            <w:u w:val="single" w:color="auto"/>
            <w:color w:val="0000FF"/>
          </w:rPr>
          <w:t>Form of RSU Award Notice for awards with 2 year vesting and Agreement for all Participants for use in connection with Itron, Inc.'s</w:t>
        </w:r>
      </w:hyperlink>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u w:val="single" w:color="auto"/>
            <w:color w:val="0000FF"/>
          </w:rPr>
          <w:t>Amended and Restated 2010 Stock Incentive Plan. (Filed as Exhibit 10.35 to Itron, Inc.'s Annual Report on Form 10-K, filed on</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February 28, 2019)</w:t>
        </w:r>
      </w:hyperlink>
    </w:p>
    <w:p>
      <w:pPr>
        <w:spacing w:after="0" w:line="165" w:lineRule="exact"/>
        <w:rPr>
          <w:sz w:val="20"/>
          <w:szCs w:val="20"/>
          <w:color w:val="auto"/>
        </w:rPr>
      </w:pPr>
    </w:p>
    <w:p>
      <w:pPr>
        <w:jc w:val="right"/>
        <w:ind w:left="3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10.24*      </w:t>
      </w:r>
      <w:hyperlink r:id="rId157">
        <w:r>
          <w:rPr>
            <w:rFonts w:ascii="Times New Roman" w:cs="Times New Roman" w:eastAsia="Times New Roman" w:hAnsi="Times New Roman"/>
            <w:sz w:val="18"/>
            <w:szCs w:val="18"/>
            <w:u w:val="single" w:color="auto"/>
            <w:color w:val="0000FF"/>
          </w:rPr>
          <w:t>Form of RSU Award Notice for awards with 3 year vesting and Agreement for all Participants for use in connection with Itron, Inc.'s</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FF"/>
          </w:rPr>
          <w:t>Amended and Restated 2010 Stock Incentive Plan. (Filed as Exhibit 10.36 to Itron, Inc.'s Annual Report on Form 10-K, filed on</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February 28, 2019)</w:t>
        </w:r>
      </w:hyperlink>
    </w:p>
    <w:p>
      <w:pPr>
        <w:spacing w:after="0" w:line="165" w:lineRule="exact"/>
        <w:rPr>
          <w:sz w:val="20"/>
          <w:szCs w:val="20"/>
          <w:color w:val="auto"/>
        </w:rPr>
      </w:pPr>
    </w:p>
    <w:p>
      <w:pPr>
        <w:ind w:left="1360" w:hanging="987"/>
        <w:spacing w:after="0" w:line="237"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58">
        <w:r>
          <w:rPr>
            <w:rFonts w:ascii="Times New Roman" w:cs="Times New Roman" w:eastAsia="Times New Roman" w:hAnsi="Times New Roman"/>
            <w:sz w:val="18"/>
            <w:szCs w:val="18"/>
            <w:u w:val="single" w:color="auto"/>
            <w:color w:val="0000FF"/>
          </w:rPr>
          <w:t>Employment Agreement between Itron, Inc. and Thomas L. Deitrich, dated July 16, 2019. (Filed as Exhibit 10.1 to Itron, Inc.'s Current</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Report on Form 8-K, filed on July 22, 2019)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280" w:type="dxa"/>
            <w:vAlign w:val="bottom"/>
            <w:tcBorders>
              <w:top w:val="single" w:sz="8" w:color="0000FF"/>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40" w:type="dxa"/>
            <w:vAlign w:val="bottom"/>
            <w:gridSpan w:val="11"/>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43"/>
        </w:trPr>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40" w:type="dxa"/>
            <w:vAlign w:val="bottom"/>
            <w:gridSpan w:val="11"/>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6"/>
              </w:rPr>
              <w:t>10.26*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20" w:type="dxa"/>
            <w:vAlign w:val="bottom"/>
            <w:tcBorders>
              <w:top w:val="single" w:sz="8" w:color="auto"/>
            </w:tcBorders>
            <w:gridSpan w:val="17"/>
          </w:tcPr>
          <w:p>
            <w:pPr>
              <w:spacing w:after="0" w:line="182"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Long-Term Performance RSU Award Notice and Agreement for U.S Participants for use in connection with Itron, Inc.'s Second</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Amended and Restated 2010 Stock Incentive Plan. (Filed as Exhibit 10.39 to Itron, Inc's Annual report on Form 10-K, filed on February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26, 2020)</w:t>
              </w:r>
            </w:hyperlink>
          </w:p>
        </w:tc>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RSU Award Notice and Agreement for all Participants for use in connection with Itron, Inc.'s Second Amended and Restated</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2010 Stock Incentive Plan. (Filed as Exhibit 10.36 to Itron. Inc.'s Annual Report on Form 10-K, filed on February 24, 2021)</w:t>
              </w:r>
            </w:hyperlink>
          </w:p>
        </w:tc>
        <w:tc>
          <w:tcPr>
            <w:tcW w:w="92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Amended and Restated 2012 Employee Stock Purchase Plan. (Filed as Appendix A to Itron, Inc.'s Proxy Statement for the 2023 Annual</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Meeting of Shareholders, filed on March 21, 2023)</w:t>
              </w:r>
            </w:hyperlink>
          </w:p>
        </w:tc>
        <w:tc>
          <w:tcPr>
            <w:tcW w:w="62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2023 Itron Incentive Plan (filed with this report)</w:t>
            </w:r>
          </w:p>
        </w:tc>
        <w:tc>
          <w:tcPr>
            <w:tcW w:w="64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Executive Officer Severance Pay Policy (filed with this report)</w:t>
            </w:r>
          </w:p>
        </w:tc>
        <w:tc>
          <w:tcPr>
            <w:tcW w:w="0" w:type="dxa"/>
            <w:vAlign w:val="bottom"/>
          </w:tcPr>
          <w:p>
            <w:pPr>
              <w:spacing w:after="0"/>
              <w:rPr>
                <w:sz w:val="1"/>
                <w:szCs w:val="1"/>
                <w:color w:val="auto"/>
              </w:rPr>
            </w:pPr>
          </w:p>
        </w:tc>
      </w:tr>
      <w:tr>
        <w:trPr>
          <w:trHeight w:val="37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u w:val="single" w:color="auto"/>
                <w:color w:val="0000FF"/>
              </w:rPr>
              <w:t>Insider</w:t>
            </w:r>
            <w:r>
              <w:rPr>
                <w:rFonts w:ascii="Times New Roman" w:cs="Times New Roman" w:eastAsia="Times New Roman" w:hAnsi="Times New Roman"/>
                <w:sz w:val="18"/>
                <w:szCs w:val="18"/>
                <w:color w:val="0000FF"/>
              </w:rPr>
              <w:t xml:space="preserve"> Trading Policy (filed with this report)</w:t>
            </w:r>
          </w:p>
        </w:tc>
        <w:tc>
          <w:tcPr>
            <w:tcW w:w="54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Itron, Inc. Executive Deferred Compensation Plan (filed with this report)</w:t>
            </w:r>
          </w:p>
        </w:tc>
        <w:tc>
          <w:tcPr>
            <w:tcW w:w="46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Subsidiaries of Itron, Inc. (filed with this report)</w:t>
            </w:r>
          </w:p>
        </w:tc>
        <w:tc>
          <w:tcPr>
            <w:tcW w:w="6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 Independent Registered Public Accounting Firm. (filed with this report)</w:t>
            </w:r>
          </w:p>
        </w:tc>
        <w:tc>
          <w:tcPr>
            <w:tcW w:w="2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 (filed with this report)</w:t>
            </w:r>
          </w:p>
        </w:tc>
        <w:tc>
          <w:tcPr>
            <w:tcW w:w="30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 (filed with this report)</w:t>
            </w:r>
          </w:p>
        </w:tc>
        <w:tc>
          <w:tcPr>
            <w:tcW w:w="30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(furnished with this report)</w:t>
            </w:r>
          </w:p>
        </w:tc>
        <w:tc>
          <w:tcPr>
            <w:tcW w:w="0" w:type="dxa"/>
            <w:vAlign w:val="bottom"/>
          </w:tcPr>
          <w:p>
            <w:pPr>
              <w:spacing w:after="0"/>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Incentive Compensation Recovery (Clawback) Policy (filed with this report)</w:t>
            </w:r>
          </w:p>
        </w:tc>
        <w:tc>
          <w:tcPr>
            <w:tcW w:w="1740" w:type="dxa"/>
            <w:vAlign w:val="bottom"/>
            <w:tcBorders>
              <w:top w:val="single" w:sz="8" w:color="0000FF"/>
            </w:tcBorders>
            <w:gridSpan w:val="2"/>
          </w:tcPr>
          <w:p>
            <w:pPr>
              <w:spacing w:after="0"/>
              <w:rPr>
                <w:sz w:val="24"/>
                <w:szCs w:val="24"/>
                <w:color w:val="auto"/>
              </w:rPr>
            </w:pPr>
          </w:p>
        </w:tc>
        <w:tc>
          <w:tcPr>
            <w:tcW w:w="26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1360" w:right="20" w:hanging="873"/>
        <w:spacing w:after="0" w:line="224" w:lineRule="auto"/>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Itron, Inc.'s Annual Report on Form 10-K for the year ended December 31, 2023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159" w:lineRule="exact"/>
        <w:rPr>
          <w:sz w:val="20"/>
          <w:szCs w:val="20"/>
          <w:color w:val="auto"/>
        </w:rPr>
      </w:pPr>
    </w:p>
    <w:p>
      <w:pPr>
        <w:ind w:left="480"/>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85" w:lineRule="exact"/>
        <w:rPr>
          <w:sz w:val="20"/>
          <w:szCs w:val="20"/>
          <w:color w:val="auto"/>
        </w:rPr>
      </w:pPr>
    </w:p>
    <w:p>
      <w:pPr>
        <w:ind w:left="1360" w:hanging="783"/>
        <w:spacing w:after="0"/>
        <w:tabs>
          <w:tab w:leader="none" w:pos="1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26th day of February, 2024.</w:t>
      </w:r>
    </w:p>
    <w:p>
      <w:pPr>
        <w:spacing w:after="0" w:line="14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ITRON, INC.</w:t>
      </w:r>
    </w:p>
    <w:p>
      <w:pPr>
        <w:spacing w:after="0" w:line="293" w:lineRule="exact"/>
        <w:rPr>
          <w:sz w:val="20"/>
          <w:szCs w:val="20"/>
          <w:color w:val="auto"/>
        </w:rPr>
      </w:pPr>
    </w:p>
    <w:p>
      <w:pPr>
        <w:ind w:left="382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17145</wp:posOffset>
            </wp:positionV>
            <wp:extent cx="45091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2"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26th day of February,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center"/>
              <w:ind w:right="1247"/>
              <w:spacing w:after="0"/>
              <w:rPr>
                <w:sz w:val="20"/>
                <w:szCs w:val="20"/>
                <w:color w:val="auto"/>
              </w:rPr>
            </w:pPr>
            <w:r>
              <w:rPr>
                <w:rFonts w:ascii="Times New Roman" w:cs="Times New Roman" w:eastAsia="Times New Roman" w:hAnsi="Times New Roman"/>
                <w:sz w:val="16"/>
                <w:szCs w:val="16"/>
                <w:b w:val="1"/>
                <w:bCs w:val="1"/>
                <w:color w:val="auto"/>
              </w:rPr>
              <w:t>Signatures</w:t>
            </w:r>
          </w:p>
        </w:tc>
        <w:tc>
          <w:tcPr>
            <w:tcW w:w="220" w:type="dxa"/>
            <w:vAlign w:val="bottom"/>
          </w:tcPr>
          <w:p>
            <w:pPr>
              <w:spacing w:after="0"/>
              <w:rPr>
                <w:sz w:val="18"/>
                <w:szCs w:val="18"/>
                <w:color w:val="auto"/>
              </w:rPr>
            </w:pPr>
          </w:p>
        </w:tc>
        <w:tc>
          <w:tcPr>
            <w:tcW w:w="7100" w:type="dxa"/>
            <w:vAlign w:val="bottom"/>
            <w:tcBorders>
              <w:bottom w:val="single" w:sz="8" w:color="auto"/>
            </w:tcBorders>
          </w:tcPr>
          <w:p>
            <w:pPr>
              <w:ind w:left="33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0" w:type="dxa"/>
            <w:vAlign w:val="bottom"/>
          </w:tcPr>
          <w:p>
            <w:pPr>
              <w:spacing w:after="0"/>
              <w:rPr>
                <w:sz w:val="1"/>
                <w:szCs w:val="1"/>
                <w:color w:val="auto"/>
              </w:rPr>
            </w:pPr>
          </w:p>
        </w:tc>
      </w:tr>
      <w:tr>
        <w:trPr>
          <w:trHeight w:val="378"/>
        </w:trPr>
        <w:tc>
          <w:tcPr>
            <w:tcW w:w="12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/s/</w:t>
            </w:r>
          </w:p>
        </w:tc>
        <w:tc>
          <w:tcPr>
            <w:tcW w:w="100" w:type="dxa"/>
            <w:vAlign w:val="bottom"/>
          </w:tcPr>
          <w:p>
            <w:pPr>
              <w:spacing w:after="0"/>
              <w:rPr>
                <w:sz w:val="24"/>
                <w:szCs w:val="24"/>
                <w:color w:val="auto"/>
              </w:rPr>
            </w:pPr>
          </w:p>
        </w:tc>
        <w:tc>
          <w:tcPr>
            <w:tcW w:w="2540" w:type="dxa"/>
            <w:vAlign w:val="bottom"/>
          </w:tcPr>
          <w:p>
            <w:pPr>
              <w:jc w:val="center"/>
              <w:ind w:right="987"/>
              <w:spacing w:after="0"/>
              <w:rPr>
                <w:sz w:val="20"/>
                <w:szCs w:val="20"/>
                <w:color w:val="auto"/>
              </w:rPr>
            </w:pPr>
            <w:r>
              <w:rPr>
                <w:rFonts w:ascii="Times New Roman" w:cs="Times New Roman" w:eastAsia="Times New Roman" w:hAnsi="Times New Roman"/>
                <w:sz w:val="14"/>
                <w:szCs w:val="14"/>
                <w:color w:val="auto"/>
              </w:rPr>
              <w:t>THOMAS L. DEITRICH</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 (Principal Executive Officer), Director</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jc w:val="center"/>
              <w:ind w:right="1267"/>
              <w:spacing w:after="0"/>
              <w:rPr>
                <w:sz w:val="20"/>
                <w:szCs w:val="20"/>
                <w:color w:val="auto"/>
              </w:rPr>
            </w:pPr>
            <w:r>
              <w:rPr>
                <w:rFonts w:ascii="Times New Roman" w:cs="Times New Roman" w:eastAsia="Times New Roman" w:hAnsi="Times New Roman"/>
                <w:sz w:val="14"/>
                <w:szCs w:val="14"/>
                <w:b w:val="1"/>
                <w:bCs w:val="1"/>
                <w:color w:val="auto"/>
              </w:rPr>
              <w:t>Thomas L. Deitrich</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240" w:type="dxa"/>
            <w:vAlign w:val="bottom"/>
          </w:tcPr>
          <w:p>
            <w:pPr>
              <w:spacing w:after="0"/>
              <w:rPr>
                <w:sz w:val="24"/>
                <w:szCs w:val="24"/>
                <w:color w:val="auto"/>
              </w:rPr>
            </w:pPr>
          </w:p>
        </w:tc>
        <w:tc>
          <w:tcPr>
            <w:tcW w:w="2640" w:type="dxa"/>
            <w:vAlign w:val="bottom"/>
            <w:gridSpan w:val="2"/>
          </w:tcPr>
          <w:p>
            <w:pPr>
              <w:jc w:val="center"/>
              <w:ind w:right="1147"/>
              <w:spacing w:after="0"/>
              <w:rPr>
                <w:sz w:val="20"/>
                <w:szCs w:val="20"/>
                <w:color w:val="auto"/>
              </w:rPr>
            </w:pPr>
            <w:r>
              <w:rPr>
                <w:rFonts w:ascii="Times New Roman" w:cs="Times New Roman" w:eastAsia="Times New Roman" w:hAnsi="Times New Roman"/>
                <w:sz w:val="14"/>
                <w:szCs w:val="14"/>
                <w:color w:val="auto"/>
              </w:rPr>
              <w:t>/s/  JOAN S. HOOPER</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jc w:val="center"/>
              <w:ind w:right="1247"/>
              <w:spacing w:after="0"/>
              <w:rPr>
                <w:sz w:val="20"/>
                <w:szCs w:val="20"/>
                <w:color w:val="auto"/>
              </w:rPr>
            </w:pPr>
            <w:r>
              <w:rPr>
                <w:rFonts w:ascii="Times New Roman" w:cs="Times New Roman" w:eastAsia="Times New Roman" w:hAnsi="Times New Roman"/>
                <w:sz w:val="14"/>
                <w:szCs w:val="14"/>
                <w:b w:val="1"/>
                <w:bCs w:val="1"/>
                <w:color w:val="auto"/>
              </w:rPr>
              <w:t>Joan S. Hooper</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/s/</w:t>
            </w:r>
          </w:p>
        </w:tc>
        <w:tc>
          <w:tcPr>
            <w:tcW w:w="2640" w:type="dxa"/>
            <w:vAlign w:val="bottom"/>
            <w:gridSpan w:val="2"/>
          </w:tcPr>
          <w:p>
            <w:pPr>
              <w:jc w:val="center"/>
              <w:ind w:right="887"/>
              <w:spacing w:after="0"/>
              <w:rPr>
                <w:sz w:val="20"/>
                <w:szCs w:val="20"/>
                <w:color w:val="auto"/>
              </w:rPr>
            </w:pPr>
            <w:r>
              <w:rPr>
                <w:rFonts w:ascii="Times New Roman" w:cs="Times New Roman" w:eastAsia="Times New Roman" w:hAnsi="Times New Roman"/>
                <w:sz w:val="14"/>
                <w:szCs w:val="14"/>
                <w:color w:val="auto"/>
              </w:rPr>
              <w:t>MARY C. HEMMINGSEN</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5"/>
                <w:szCs w:val="15"/>
                <w:color w:val="auto"/>
              </w:rPr>
            </w:pPr>
          </w:p>
        </w:tc>
        <w:tc>
          <w:tcPr>
            <w:tcW w:w="2640" w:type="dxa"/>
            <w:vAlign w:val="bottom"/>
            <w:gridSpan w:val="2"/>
          </w:tcPr>
          <w:p>
            <w:pPr>
              <w:jc w:val="center"/>
              <w:ind w:right="1167"/>
              <w:spacing w:after="0"/>
              <w:rPr>
                <w:sz w:val="20"/>
                <w:szCs w:val="20"/>
                <w:color w:val="auto"/>
              </w:rPr>
            </w:pPr>
            <w:r>
              <w:rPr>
                <w:rFonts w:ascii="Times New Roman" w:cs="Times New Roman" w:eastAsia="Times New Roman" w:hAnsi="Times New Roman"/>
                <w:sz w:val="14"/>
                <w:szCs w:val="14"/>
                <w:b w:val="1"/>
                <w:bCs w:val="1"/>
                <w:color w:val="auto"/>
              </w:rPr>
              <w:t>Mary C. Hemmingsen</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2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/s/</w:t>
            </w:r>
          </w:p>
        </w:tc>
        <w:tc>
          <w:tcPr>
            <w:tcW w:w="100" w:type="dxa"/>
            <w:vAlign w:val="bottom"/>
          </w:tcPr>
          <w:p>
            <w:pPr>
              <w:spacing w:after="0"/>
              <w:rPr>
                <w:sz w:val="24"/>
                <w:szCs w:val="24"/>
                <w:color w:val="auto"/>
              </w:rPr>
            </w:pPr>
          </w:p>
        </w:tc>
        <w:tc>
          <w:tcPr>
            <w:tcW w:w="2540" w:type="dxa"/>
            <w:vAlign w:val="bottom"/>
          </w:tcPr>
          <w:p>
            <w:pPr>
              <w:jc w:val="center"/>
              <w:ind w:right="987"/>
              <w:spacing w:after="0"/>
              <w:rPr>
                <w:sz w:val="20"/>
                <w:szCs w:val="20"/>
                <w:color w:val="auto"/>
              </w:rPr>
            </w:pPr>
            <w:r>
              <w:rPr>
                <w:rFonts w:ascii="Times New Roman" w:cs="Times New Roman" w:eastAsia="Times New Roman" w:hAnsi="Times New Roman"/>
                <w:sz w:val="14"/>
                <w:szCs w:val="14"/>
                <w:color w:val="auto"/>
              </w:rPr>
              <w:t>FRANK M. JAEHNERT</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jc w:val="center"/>
              <w:ind w:right="1247"/>
              <w:spacing w:after="0"/>
              <w:rPr>
                <w:sz w:val="20"/>
                <w:szCs w:val="20"/>
                <w:color w:val="auto"/>
              </w:rPr>
            </w:pPr>
            <w:r>
              <w:rPr>
                <w:rFonts w:ascii="Times New Roman" w:cs="Times New Roman" w:eastAsia="Times New Roman" w:hAnsi="Times New Roman"/>
                <w:sz w:val="14"/>
                <w:szCs w:val="14"/>
                <w:b w:val="1"/>
                <w:bCs w:val="1"/>
                <w:color w:val="auto"/>
              </w:rPr>
              <w:t>Frank M. Jaehnert</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34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w w:val="90"/>
              </w:rPr>
              <w:t>/s/</w:t>
            </w:r>
          </w:p>
        </w:tc>
        <w:tc>
          <w:tcPr>
            <w:tcW w:w="2540" w:type="dxa"/>
            <w:vAlign w:val="bottom"/>
          </w:tcPr>
          <w:p>
            <w:pPr>
              <w:jc w:val="center"/>
              <w:ind w:right="967"/>
              <w:spacing w:after="0"/>
              <w:rPr>
                <w:sz w:val="20"/>
                <w:szCs w:val="20"/>
                <w:color w:val="auto"/>
              </w:rPr>
            </w:pPr>
            <w:r>
              <w:rPr>
                <w:rFonts w:ascii="Times New Roman" w:cs="Times New Roman" w:eastAsia="Times New Roman" w:hAnsi="Times New Roman"/>
                <w:sz w:val="14"/>
                <w:szCs w:val="14"/>
                <w:color w:val="auto"/>
              </w:rPr>
              <w:t>JEROME J. LANDE</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jc w:val="center"/>
              <w:ind w:right="1247"/>
              <w:spacing w:after="0"/>
              <w:rPr>
                <w:sz w:val="20"/>
                <w:szCs w:val="20"/>
                <w:color w:val="auto"/>
              </w:rPr>
            </w:pPr>
            <w:r>
              <w:rPr>
                <w:rFonts w:ascii="Times New Roman" w:cs="Times New Roman" w:eastAsia="Times New Roman" w:hAnsi="Times New Roman"/>
                <w:sz w:val="14"/>
                <w:szCs w:val="14"/>
                <w:b w:val="1"/>
                <w:bCs w:val="1"/>
                <w:color w:val="auto"/>
              </w:rPr>
              <w:t>Jerome J. Lande</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2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/s/</w:t>
            </w:r>
          </w:p>
        </w:tc>
        <w:tc>
          <w:tcPr>
            <w:tcW w:w="100" w:type="dxa"/>
            <w:vAlign w:val="bottom"/>
          </w:tcPr>
          <w:p>
            <w:pPr>
              <w:spacing w:after="0"/>
              <w:rPr>
                <w:sz w:val="24"/>
                <w:szCs w:val="24"/>
                <w:color w:val="auto"/>
              </w:rPr>
            </w:pPr>
          </w:p>
        </w:tc>
        <w:tc>
          <w:tcPr>
            <w:tcW w:w="2540" w:type="dxa"/>
            <w:vAlign w:val="bottom"/>
          </w:tcPr>
          <w:p>
            <w:pPr>
              <w:jc w:val="center"/>
              <w:ind w:right="987"/>
              <w:spacing w:after="0"/>
              <w:rPr>
                <w:sz w:val="20"/>
                <w:szCs w:val="20"/>
                <w:color w:val="auto"/>
              </w:rPr>
            </w:pPr>
            <w:r>
              <w:rPr>
                <w:rFonts w:ascii="Times New Roman" w:cs="Times New Roman" w:eastAsia="Times New Roman" w:hAnsi="Times New Roman"/>
                <w:sz w:val="14"/>
                <w:szCs w:val="14"/>
                <w:color w:val="auto"/>
              </w:rPr>
              <w:t>TIMOTHY M. LEYDEN</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5"/>
                <w:szCs w:val="15"/>
                <w:color w:val="auto"/>
              </w:rPr>
            </w:pPr>
          </w:p>
        </w:tc>
        <w:tc>
          <w:tcPr>
            <w:tcW w:w="2640" w:type="dxa"/>
            <w:vAlign w:val="bottom"/>
            <w:gridSpan w:val="2"/>
          </w:tcPr>
          <w:p>
            <w:pPr>
              <w:jc w:val="center"/>
              <w:ind w:right="1147"/>
              <w:spacing w:after="0"/>
              <w:rPr>
                <w:sz w:val="20"/>
                <w:szCs w:val="20"/>
                <w:color w:val="auto"/>
              </w:rPr>
            </w:pPr>
            <w:r>
              <w:rPr>
                <w:rFonts w:ascii="Times New Roman" w:cs="Times New Roman" w:eastAsia="Times New Roman" w:hAnsi="Times New Roman"/>
                <w:sz w:val="14"/>
                <w:szCs w:val="14"/>
                <w:b w:val="1"/>
                <w:bCs w:val="1"/>
                <w:color w:val="auto"/>
              </w:rPr>
              <w:t>Timothy M. Leyden</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2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/s/</w:t>
            </w:r>
          </w:p>
        </w:tc>
        <w:tc>
          <w:tcPr>
            <w:tcW w:w="2640" w:type="dxa"/>
            <w:vAlign w:val="bottom"/>
            <w:gridSpan w:val="2"/>
          </w:tcPr>
          <w:p>
            <w:pPr>
              <w:jc w:val="center"/>
              <w:ind w:right="867"/>
              <w:spacing w:after="0"/>
              <w:rPr>
                <w:sz w:val="20"/>
                <w:szCs w:val="20"/>
                <w:color w:val="auto"/>
              </w:rPr>
            </w:pPr>
            <w:r>
              <w:rPr>
                <w:rFonts w:ascii="Times New Roman" w:cs="Times New Roman" w:eastAsia="Times New Roman" w:hAnsi="Times New Roman"/>
                <w:sz w:val="14"/>
                <w:szCs w:val="14"/>
                <w:color w:val="auto"/>
              </w:rPr>
              <w:t>SANJAY MIRCHANDANI</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5"/>
                <w:szCs w:val="15"/>
                <w:color w:val="auto"/>
              </w:rPr>
            </w:pPr>
          </w:p>
        </w:tc>
        <w:tc>
          <w:tcPr>
            <w:tcW w:w="2640" w:type="dxa"/>
            <w:vAlign w:val="bottom"/>
            <w:gridSpan w:val="2"/>
          </w:tcPr>
          <w:p>
            <w:pPr>
              <w:jc w:val="center"/>
              <w:ind w:right="1147"/>
              <w:spacing w:after="0"/>
              <w:rPr>
                <w:sz w:val="20"/>
                <w:szCs w:val="20"/>
                <w:color w:val="auto"/>
              </w:rPr>
            </w:pPr>
            <w:r>
              <w:rPr>
                <w:rFonts w:ascii="Times New Roman" w:cs="Times New Roman" w:eastAsia="Times New Roman" w:hAnsi="Times New Roman"/>
                <w:sz w:val="14"/>
                <w:szCs w:val="14"/>
                <w:b w:val="1"/>
                <w:bCs w:val="1"/>
                <w:color w:val="auto"/>
              </w:rPr>
              <w:t>Sanjay Mirchandani</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34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w w:val="90"/>
              </w:rPr>
              <w:t>/s/</w:t>
            </w:r>
          </w:p>
        </w:tc>
        <w:tc>
          <w:tcPr>
            <w:tcW w:w="2540" w:type="dxa"/>
            <w:vAlign w:val="bottom"/>
          </w:tcPr>
          <w:p>
            <w:pPr>
              <w:jc w:val="center"/>
              <w:ind w:right="967"/>
              <w:spacing w:after="0"/>
              <w:rPr>
                <w:sz w:val="20"/>
                <w:szCs w:val="20"/>
                <w:color w:val="auto"/>
              </w:rPr>
            </w:pPr>
            <w:r>
              <w:rPr>
                <w:rFonts w:ascii="Times New Roman" w:cs="Times New Roman" w:eastAsia="Times New Roman" w:hAnsi="Times New Roman"/>
                <w:sz w:val="14"/>
                <w:szCs w:val="14"/>
                <w:color w:val="auto"/>
              </w:rPr>
              <w:t>SANTIAGO PEREZ</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jc w:val="center"/>
              <w:ind w:right="1267"/>
              <w:spacing w:after="0"/>
              <w:rPr>
                <w:sz w:val="20"/>
                <w:szCs w:val="20"/>
                <w:color w:val="auto"/>
              </w:rPr>
            </w:pPr>
            <w:r>
              <w:rPr>
                <w:rFonts w:ascii="Times New Roman" w:cs="Times New Roman" w:eastAsia="Times New Roman" w:hAnsi="Times New Roman"/>
                <w:sz w:val="14"/>
                <w:szCs w:val="14"/>
                <w:b w:val="1"/>
                <w:bCs w:val="1"/>
                <w:color w:val="auto"/>
              </w:rPr>
              <w:t>Santiago Perez</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2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/s/</w:t>
            </w:r>
          </w:p>
        </w:tc>
        <w:tc>
          <w:tcPr>
            <w:tcW w:w="100" w:type="dxa"/>
            <w:vAlign w:val="bottom"/>
          </w:tcPr>
          <w:p>
            <w:pPr>
              <w:spacing w:after="0"/>
              <w:rPr>
                <w:sz w:val="24"/>
                <w:szCs w:val="24"/>
                <w:color w:val="auto"/>
              </w:rPr>
            </w:pPr>
          </w:p>
        </w:tc>
        <w:tc>
          <w:tcPr>
            <w:tcW w:w="2540" w:type="dxa"/>
            <w:vAlign w:val="bottom"/>
          </w:tcPr>
          <w:p>
            <w:pPr>
              <w:jc w:val="center"/>
              <w:ind w:right="967"/>
              <w:spacing w:after="0"/>
              <w:rPr>
                <w:sz w:val="20"/>
                <w:szCs w:val="20"/>
                <w:color w:val="auto"/>
              </w:rPr>
            </w:pPr>
            <w:r>
              <w:rPr>
                <w:rFonts w:ascii="Times New Roman" w:cs="Times New Roman" w:eastAsia="Times New Roman" w:hAnsi="Times New Roman"/>
                <w:sz w:val="14"/>
                <w:szCs w:val="14"/>
                <w:color w:val="auto"/>
              </w:rPr>
              <w:t>DIANA D. TREMBLAY</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Chair of the Board</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jc w:val="center"/>
              <w:ind w:right="1247"/>
              <w:spacing w:after="0"/>
              <w:rPr>
                <w:sz w:val="20"/>
                <w:szCs w:val="20"/>
                <w:color w:val="auto"/>
              </w:rPr>
            </w:pPr>
            <w:r>
              <w:rPr>
                <w:rFonts w:ascii="Times New Roman" w:cs="Times New Roman" w:eastAsia="Times New Roman" w:hAnsi="Times New Roman"/>
                <w:sz w:val="14"/>
                <w:szCs w:val="14"/>
                <w:b w:val="1"/>
                <w:bCs w:val="1"/>
                <w:color w:val="auto"/>
              </w:rPr>
              <w:t>Diana D. Tremblay</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34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/s/</w:t>
            </w:r>
          </w:p>
        </w:tc>
        <w:tc>
          <w:tcPr>
            <w:tcW w:w="2540" w:type="dxa"/>
            <w:vAlign w:val="bottom"/>
          </w:tcPr>
          <w:p>
            <w:pPr>
              <w:jc w:val="center"/>
              <w:ind w:right="987"/>
              <w:spacing w:after="0"/>
              <w:rPr>
                <w:sz w:val="20"/>
                <w:szCs w:val="20"/>
                <w:color w:val="auto"/>
              </w:rPr>
            </w:pPr>
            <w:r>
              <w:rPr>
                <w:rFonts w:ascii="Times New Roman" w:cs="Times New Roman" w:eastAsia="Times New Roman" w:hAnsi="Times New Roman"/>
                <w:sz w:val="14"/>
                <w:szCs w:val="14"/>
                <w:color w:val="auto"/>
              </w:rPr>
              <w:t>LYNDA L. ZIEGLER</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jc w:val="center"/>
              <w:ind w:right="1267"/>
              <w:spacing w:after="0"/>
              <w:rPr>
                <w:sz w:val="20"/>
                <w:szCs w:val="20"/>
                <w:color w:val="auto"/>
              </w:rPr>
            </w:pPr>
            <w:r>
              <w:rPr>
                <w:rFonts w:ascii="Times New Roman" w:cs="Times New Roman" w:eastAsia="Times New Roman" w:hAnsi="Times New Roman"/>
                <w:sz w:val="14"/>
                <w:szCs w:val="14"/>
                <w:b w:val="1"/>
                <w:bCs w:val="1"/>
                <w:color w:val="auto"/>
              </w:rPr>
              <w:t>Lynda L. Ziegler</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SECOND AMENDED AND RESTATED CHANGE IN CONTROL SEVERANCE AGREEMENT</w:t>
      </w: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EXECUTIVE OFFICERS</w:t>
      </w:r>
    </w:p>
    <w:p>
      <w:pPr>
        <w:spacing w:after="0" w:line="286" w:lineRule="exact"/>
        <w:rPr>
          <w:sz w:val="20"/>
          <w:szCs w:val="20"/>
          <w:color w:val="auto"/>
        </w:rPr>
      </w:pPr>
    </w:p>
    <w:p>
      <w:pPr>
        <w:jc w:val="both"/>
        <w:ind w:left="220" w:right="220" w:firstLine="1089"/>
        <w:spacing w:after="0" w:line="237" w:lineRule="auto"/>
        <w:rPr>
          <w:sz w:val="20"/>
          <w:szCs w:val="20"/>
          <w:color w:val="auto"/>
        </w:rPr>
      </w:pPr>
      <w:r>
        <w:rPr>
          <w:rFonts w:ascii="Times New Roman" w:cs="Times New Roman" w:eastAsia="Times New Roman" w:hAnsi="Times New Roman"/>
          <w:sz w:val="18"/>
          <w:szCs w:val="18"/>
          <w:color w:val="auto"/>
        </w:rPr>
        <w:t>THIS SECOND AMENDED AND RESTATED CHANGE IN CONTROL SEVERANCE AGREEMENT FOR EXECUTIVE OFFICERS (“Agreement”), dated _________, 2022 is made by and between Itron, Inc. (the “Company”), and _________ (the “Executive”).</w:t>
      </w:r>
    </w:p>
    <w:p>
      <w:pPr>
        <w:spacing w:after="0" w:line="131" w:lineRule="exact"/>
        <w:rPr>
          <w:sz w:val="20"/>
          <w:szCs w:val="20"/>
          <w:color w:val="auto"/>
        </w:rPr>
      </w:pPr>
    </w:p>
    <w:p>
      <w:pPr>
        <w:jc w:val="both"/>
        <w:ind w:left="220" w:right="220" w:firstLine="1089"/>
        <w:spacing w:after="0" w:line="237" w:lineRule="auto"/>
        <w:rPr>
          <w:sz w:val="20"/>
          <w:szCs w:val="20"/>
          <w:color w:val="auto"/>
        </w:rPr>
      </w:pPr>
      <w:r>
        <w:rPr>
          <w:rFonts w:ascii="Times New Roman" w:cs="Times New Roman" w:eastAsia="Times New Roman" w:hAnsi="Times New Roman"/>
          <w:sz w:val="18"/>
          <w:szCs w:val="18"/>
          <w:color w:val="auto"/>
        </w:rPr>
        <w:t>WHEREAS, the Company and Executive are parties to an Amended and Restated Change in Control Severance Agreement for Executive Officers originally dated January 1, 2013 (“Prior Agreement”);</w:t>
      </w:r>
    </w:p>
    <w:p>
      <w:pPr>
        <w:spacing w:after="0" w:line="1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WHEREAS, the Company determined that the Executive’s Prior Agreement should be amended and restated with an effective date of</w:t>
      </w:r>
    </w:p>
    <w:p>
      <w:pPr>
        <w:ind w:left="220"/>
        <w:spacing w:after="0"/>
        <w:rPr>
          <w:sz w:val="20"/>
          <w:szCs w:val="20"/>
          <w:color w:val="auto"/>
        </w:rPr>
      </w:pPr>
      <w:r>
        <w:rPr>
          <w:rFonts w:ascii="Times New Roman" w:cs="Times New Roman" w:eastAsia="Times New Roman" w:hAnsi="Times New Roman"/>
          <w:sz w:val="18"/>
          <w:szCs w:val="18"/>
          <w:color w:val="auto"/>
        </w:rPr>
        <w:t>__________, 2022;</w:t>
      </w:r>
    </w:p>
    <w:p>
      <w:pPr>
        <w:spacing w:after="0" w:line="138" w:lineRule="exact"/>
        <w:rPr>
          <w:sz w:val="20"/>
          <w:szCs w:val="20"/>
          <w:color w:val="auto"/>
        </w:rPr>
      </w:pPr>
    </w:p>
    <w:p>
      <w:pPr>
        <w:jc w:val="both"/>
        <w:ind w:left="220" w:right="220" w:firstLine="1089"/>
        <w:spacing w:after="0" w:line="237" w:lineRule="auto"/>
        <w:rPr>
          <w:sz w:val="20"/>
          <w:szCs w:val="20"/>
          <w:color w:val="auto"/>
        </w:rPr>
      </w:pPr>
      <w:r>
        <w:rPr>
          <w:rFonts w:ascii="Times New Roman" w:cs="Times New Roman" w:eastAsia="Times New Roman" w:hAnsi="Times New Roman"/>
          <w:sz w:val="18"/>
          <w:szCs w:val="18"/>
          <w:color w:val="auto"/>
        </w:rPr>
        <w:t>WHEREAS, the Company considers the establishment and maintenance of a sound and vital management to be essential to protecting and enhancing the best interests of the Company and its stockholders; and</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WHEREAS, the Executive has made and is expected to make a significant contribution to the Company; and</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WHEREAS, the Company, as a publicly held corporation, recognizes that the possibility of a Change in Control may exist, and that</w:t>
      </w:r>
    </w:p>
    <w:p>
      <w:pPr>
        <w:spacing w:after="0" w:line="2" w:lineRule="exact"/>
        <w:rPr>
          <w:sz w:val="20"/>
          <w:szCs w:val="20"/>
          <w:color w:val="auto"/>
        </w:rPr>
      </w:pPr>
    </w:p>
    <w:p>
      <w:pPr>
        <w:jc w:val="both"/>
        <w:ind w:left="220" w:right="240"/>
        <w:spacing w:after="0" w:line="226" w:lineRule="auto"/>
        <w:rPr>
          <w:sz w:val="20"/>
          <w:szCs w:val="20"/>
          <w:color w:val="auto"/>
        </w:rPr>
      </w:pPr>
      <w:r>
        <w:rPr>
          <w:rFonts w:ascii="Times New Roman" w:cs="Times New Roman" w:eastAsia="Times New Roman" w:hAnsi="Times New Roman"/>
          <w:sz w:val="18"/>
          <w:szCs w:val="18"/>
          <w:color w:val="auto"/>
        </w:rPr>
        <w:t>such possibility and the uncertainty and questions which it may raise among management may result in the departure or distraction of the Executive in the performance of the Executive’s duties, to the detriment of the Company and its stockholders; and</w:t>
      </w:r>
    </w:p>
    <w:p>
      <w:pPr>
        <w:spacing w:after="0" w:line="130" w:lineRule="exact"/>
        <w:rPr>
          <w:sz w:val="20"/>
          <w:szCs w:val="20"/>
          <w:color w:val="auto"/>
        </w:rPr>
      </w:pPr>
    </w:p>
    <w:p>
      <w:pPr>
        <w:jc w:val="both"/>
        <w:ind w:left="220" w:right="240" w:firstLine="1089"/>
        <w:spacing w:after="0" w:line="226" w:lineRule="auto"/>
        <w:rPr>
          <w:sz w:val="20"/>
          <w:szCs w:val="20"/>
          <w:color w:val="auto"/>
        </w:rPr>
      </w:pPr>
      <w:r>
        <w:rPr>
          <w:rFonts w:ascii="Times New Roman" w:cs="Times New Roman" w:eastAsia="Times New Roman" w:hAnsi="Times New Roman"/>
          <w:sz w:val="18"/>
          <w:szCs w:val="18"/>
          <w:color w:val="auto"/>
        </w:rPr>
        <w:t>WHEREAS, it is in the best interests of the Company and its stockholders to reinforce and encourage the continued attention and dedication of management personnel, including the Executive, to their assigned duties without distraction and to ensure the continued availability to the Company of the Executive in the event of a Change in Control;</w:t>
      </w:r>
    </w:p>
    <w:p>
      <w:pPr>
        <w:spacing w:after="0" w:line="131" w:lineRule="exact"/>
        <w:rPr>
          <w:sz w:val="20"/>
          <w:szCs w:val="20"/>
          <w:color w:val="auto"/>
        </w:rPr>
      </w:pPr>
    </w:p>
    <w:p>
      <w:pPr>
        <w:jc w:val="both"/>
        <w:ind w:left="220" w:right="240" w:firstLine="1089"/>
        <w:spacing w:after="0" w:line="237" w:lineRule="auto"/>
        <w:rPr>
          <w:sz w:val="20"/>
          <w:szCs w:val="20"/>
          <w:color w:val="auto"/>
        </w:rPr>
      </w:pPr>
      <w:r>
        <w:rPr>
          <w:rFonts w:ascii="Times New Roman" w:cs="Times New Roman" w:eastAsia="Times New Roman" w:hAnsi="Times New Roman"/>
          <w:sz w:val="18"/>
          <w:szCs w:val="18"/>
          <w:color w:val="auto"/>
        </w:rPr>
        <w:t>THEREFORE, in consideration of the foregoing and other respective covenants and agreements of the parties herein contained, the parties hereto agree as follows:</w:t>
      </w:r>
    </w:p>
    <w:p>
      <w:pPr>
        <w:spacing w:after="0" w:line="131" w:lineRule="exact"/>
        <w:rPr>
          <w:sz w:val="20"/>
          <w:szCs w:val="20"/>
          <w:color w:val="auto"/>
        </w:rPr>
      </w:pPr>
    </w:p>
    <w:p>
      <w:pPr>
        <w:ind w:left="720" w:hanging="544"/>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The definitions of capitalized terms used in this Agreement are provided in Section 15.</w:t>
      </w:r>
    </w:p>
    <w:p>
      <w:pPr>
        <w:spacing w:after="0" w:line="157" w:lineRule="exact"/>
        <w:rPr>
          <w:rFonts w:ascii="Times New Roman" w:cs="Times New Roman" w:eastAsia="Times New Roman" w:hAnsi="Times New Roman"/>
          <w:sz w:val="18"/>
          <w:szCs w:val="18"/>
          <w:color w:val="auto"/>
        </w:rPr>
      </w:pPr>
    </w:p>
    <w:p>
      <w:pPr>
        <w:jc w:val="both"/>
        <w:ind w:left="720" w:right="220" w:hanging="544"/>
        <w:spacing w:after="0" w:line="207" w:lineRule="auto"/>
        <w:tabs>
          <w:tab w:leader="none" w:pos="7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xml:space="preserve">. The term of this Agreement (the “Term”) shall commence on __________, 2022 and shall continue in effect through December 31, 2023;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commencing on January 1, 2024 and each January 1 thereafter (“Anniversary Date”), the Term shall automatically be extended for one additional year unless, not later than one year prior to the Anniversary Date, the Company or the Executive shall have given notice not to extend the Term; and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Change in Control shall have occurred during the Term, the Term shall expire on the last day of the twenty-fourth (24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month following the month in which such Change in Control occurred.</w:t>
      </w:r>
    </w:p>
    <w:p>
      <w:pPr>
        <w:spacing w:after="0" w:line="134" w:lineRule="exact"/>
        <w:rPr>
          <w:rFonts w:ascii="Times New Roman" w:cs="Times New Roman" w:eastAsia="Times New Roman" w:hAnsi="Times New Roman"/>
          <w:sz w:val="18"/>
          <w:szCs w:val="18"/>
          <w:color w:val="auto"/>
        </w:rPr>
      </w:pPr>
    </w:p>
    <w:p>
      <w:pPr>
        <w:jc w:val="both"/>
        <w:ind w:left="720" w:right="220" w:hanging="544"/>
        <w:spacing w:after="0" w:line="217" w:lineRule="auto"/>
        <w:tabs>
          <w:tab w:leader="none" w:pos="7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Covenants Summarized</w:t>
      </w:r>
      <w:r>
        <w:rPr>
          <w:rFonts w:ascii="Times New Roman" w:cs="Times New Roman" w:eastAsia="Times New Roman" w:hAnsi="Times New Roman"/>
          <w:sz w:val="18"/>
          <w:szCs w:val="18"/>
          <w:color w:val="auto"/>
        </w:rPr>
        <w:t>. In order to induce the Executive to remain in the employ of the Company and in consideration of the Executive’s covenants in Section 14, the Company, under the conditions described herein, shall pay the Executive the Severance Payments and the other payments and benefits described herein. Except as provided in Section 4.3, no Severance Payments shall be payable under this Agreement unless there shall have been (or, pursuant to the second sentence of Section 5.1, there shall be deemed to have been) a termination of the Executive’s employment with the Company following a Change in Control and during the Term. This Agreement shall not be construed as creating an express or implied contract of employment and, except as otherwise agreed in writing between the Executive and the Company, the Executive shall not have any right to be retained in the employ of the Company.</w:t>
      </w:r>
    </w:p>
    <w:p>
      <w:pPr>
        <w:spacing w:after="0" w:line="120" w:lineRule="exact"/>
        <w:rPr>
          <w:rFonts w:ascii="Times New Roman" w:cs="Times New Roman" w:eastAsia="Times New Roman" w:hAnsi="Times New Roman"/>
          <w:sz w:val="18"/>
          <w:szCs w:val="18"/>
          <w:color w:val="auto"/>
        </w:rPr>
      </w:pPr>
    </w:p>
    <w:p>
      <w:pPr>
        <w:ind w:left="720" w:hanging="544"/>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Other Than Severance Payments; Equity Award Treatment.</w:t>
      </w:r>
    </w:p>
    <w:p>
      <w:pPr>
        <w:spacing w:after="0" w:line="158" w:lineRule="exact"/>
        <w:rPr>
          <w:sz w:val="20"/>
          <w:szCs w:val="20"/>
          <w:color w:val="auto"/>
        </w:rPr>
      </w:pPr>
    </w:p>
    <w:p>
      <w:pPr>
        <w:jc w:val="both"/>
        <w:ind w:left="340" w:right="220" w:firstLine="1102"/>
        <w:spacing w:after="0" w:line="222" w:lineRule="auto"/>
        <w:rPr>
          <w:sz w:val="20"/>
          <w:szCs w:val="20"/>
          <w:color w:val="auto"/>
        </w:rPr>
      </w:pPr>
      <w:r>
        <w:rPr>
          <w:rFonts w:ascii="Times New Roman" w:cs="Times New Roman" w:eastAsia="Times New Roman" w:hAnsi="Times New Roman"/>
          <w:sz w:val="18"/>
          <w:szCs w:val="18"/>
          <w:color w:val="auto"/>
        </w:rPr>
        <w:t>4.1 If the Executive’s employment shall be terminated for any reason following a Change in Control, the Company shall pay the Base Salary to the Executive through the Date of Termination, together with all compensation and benefits payable to the Executive through the</w:t>
      </w:r>
    </w:p>
    <w:p>
      <w:pPr>
        <w:spacing w:after="0" w:line="2" w:lineRule="exact"/>
        <w:rPr>
          <w:sz w:val="20"/>
          <w:szCs w:val="20"/>
          <w:color w:val="auto"/>
        </w:rPr>
      </w:pPr>
    </w:p>
    <w:p>
      <w:pPr>
        <w:jc w:val="both"/>
        <w:ind w:left="340" w:right="220"/>
        <w:spacing w:after="0" w:line="208" w:lineRule="auto"/>
        <w:rPr>
          <w:sz w:val="20"/>
          <w:szCs w:val="20"/>
          <w:color w:val="auto"/>
        </w:rPr>
      </w:pPr>
      <w:r>
        <w:rPr>
          <w:rFonts w:ascii="Times New Roman" w:cs="Times New Roman" w:eastAsia="Times New Roman" w:hAnsi="Times New Roman"/>
          <w:sz w:val="18"/>
          <w:szCs w:val="18"/>
          <w:color w:val="auto"/>
        </w:rPr>
        <w:t>Date of Termination under the terms of the Company’s compensation and benefit plans, programs or arrangements as in effect immediately prior to the Date of Termination or, if more favorable to the Executive, as in effect immediately prior to the first occurrence of an event or circumstance constituting Good Reason (including, without limitation, a payment in respect of the Executive’s accrued and unused vacation, determined without</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regard to any adverse change to the vacation accrual or payout policy occurring following the Change in Control).</w:t>
      </w:r>
    </w:p>
    <w:p>
      <w:pPr>
        <w:spacing w:after="0" w:line="124" w:lineRule="exact"/>
        <w:rPr>
          <w:sz w:val="20"/>
          <w:szCs w:val="20"/>
          <w:color w:val="auto"/>
        </w:rPr>
      </w:pPr>
    </w:p>
    <w:p>
      <w:pPr>
        <w:ind w:left="1440"/>
        <w:spacing w:after="0"/>
        <w:tabs>
          <w:tab w:leader="none" w:pos="19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If the Executive’s employment shall be terminated for any reason following a Change in Control, the Company shall pay to</w:t>
      </w:r>
    </w:p>
    <w:p>
      <w:pPr>
        <w:spacing w:after="0" w:line="2" w:lineRule="exact"/>
        <w:rPr>
          <w:sz w:val="20"/>
          <w:szCs w:val="20"/>
          <w:color w:val="auto"/>
        </w:rPr>
      </w:pPr>
    </w:p>
    <w:p>
      <w:pPr>
        <w:jc w:val="both"/>
        <w:ind w:left="340" w:right="220"/>
        <w:spacing w:after="0" w:line="208" w:lineRule="auto"/>
        <w:rPr>
          <w:sz w:val="20"/>
          <w:szCs w:val="20"/>
          <w:color w:val="auto"/>
        </w:rPr>
      </w:pPr>
      <w:r>
        <w:rPr>
          <w:rFonts w:ascii="Times New Roman" w:cs="Times New Roman" w:eastAsia="Times New Roman" w:hAnsi="Times New Roman"/>
          <w:sz w:val="18"/>
          <w:szCs w:val="18"/>
          <w:color w:val="auto"/>
        </w:rPr>
        <w:t>the Executive the Executive’s normal post-termination compensation and benefits as such payments become due. Such post-termination compensation and benefits shall be determined under, and paid in accordance with, the Company’s retirement, insurance and other compensation or benefit plans, programs and arrangements as in effect immediately prior to the Date of Termination or, if more favorable to the Executive, as in</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 immediately prior to the occurrence of the first event or circumstance constituting Good Reason, subject to the application of 6.1(D) hereof.</w:t>
      </w:r>
    </w:p>
    <w:p>
      <w:pPr>
        <w:spacing w:after="0" w:line="124" w:lineRule="exact"/>
        <w:rPr>
          <w:sz w:val="20"/>
          <w:szCs w:val="20"/>
          <w:color w:val="auto"/>
        </w:rPr>
      </w:pPr>
    </w:p>
    <w:p>
      <w:pPr>
        <w:jc w:val="both"/>
        <w:ind w:left="340" w:right="240" w:firstLine="1102"/>
        <w:spacing w:after="0" w:line="250" w:lineRule="auto"/>
        <w:rPr>
          <w:sz w:val="20"/>
          <w:szCs w:val="20"/>
          <w:color w:val="auto"/>
        </w:rPr>
      </w:pPr>
      <w:r>
        <w:rPr>
          <w:rFonts w:ascii="Times New Roman" w:cs="Times New Roman" w:eastAsia="Times New Roman" w:hAnsi="Times New Roman"/>
          <w:sz w:val="18"/>
          <w:szCs w:val="18"/>
          <w:color w:val="auto"/>
        </w:rPr>
        <w:t>4.3 Each outstanding equity or equity-based award granted to the Executive shall be governed by the terms of the applicable award agreement governing the treatment of such award in connection with a Change in Control.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240"/>
          </w:cols>
          <w:pgMar w:left="320" w:top="347" w:right="339" w:bottom="1440" w:gutter="0" w:footer="0" w:header="0"/>
        </w:sectPr>
      </w:pPr>
    </w:p>
    <w:bookmarkStart w:id="106" w:name="page107"/>
    <w:bookmarkEnd w:id="106"/>
    <w:p>
      <w:pPr>
        <w:ind w:left="720" w:hanging="54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Payments and Benefits.</w:t>
      </w:r>
    </w:p>
    <w:p>
      <w:pPr>
        <w:spacing w:after="0" w:line="158" w:lineRule="exact"/>
        <w:rPr>
          <w:sz w:val="20"/>
          <w:szCs w:val="20"/>
          <w:color w:val="auto"/>
        </w:rPr>
      </w:pPr>
    </w:p>
    <w:p>
      <w:pPr>
        <w:jc w:val="both"/>
        <w:ind w:left="340" w:firstLine="1102"/>
        <w:spacing w:after="0" w:line="216" w:lineRule="auto"/>
        <w:rPr>
          <w:sz w:val="20"/>
          <w:szCs w:val="20"/>
          <w:color w:val="auto"/>
        </w:rPr>
      </w:pPr>
      <w:r>
        <w:rPr>
          <w:rFonts w:ascii="Times New Roman" w:cs="Times New Roman" w:eastAsia="Times New Roman" w:hAnsi="Times New Roman"/>
          <w:sz w:val="18"/>
          <w:szCs w:val="18"/>
          <w:color w:val="auto"/>
        </w:rPr>
        <w:t>5.1 Subject to the terms and conditions set forth in this Agreement, if the Executive’s employment is terminated within twenty-four (24) months following a Change in Control, other than (a) by the Company for Cause, (b) by reason of death or Disability, or (c) by the Executive without Good Reason, then the Company shall pay the Executive the amounts, and provide the Executive the benefits, described in this</w:t>
      </w:r>
    </w:p>
    <w:p>
      <w:pPr>
        <w:spacing w:after="0" w:line="1" w:lineRule="exact"/>
        <w:rPr>
          <w:sz w:val="20"/>
          <w:szCs w:val="20"/>
          <w:color w:val="auto"/>
        </w:rPr>
      </w:pPr>
    </w:p>
    <w:p>
      <w:pPr>
        <w:jc w:val="both"/>
        <w:ind w:left="340"/>
        <w:spacing w:after="0" w:line="208" w:lineRule="auto"/>
        <w:rPr>
          <w:sz w:val="20"/>
          <w:szCs w:val="20"/>
          <w:color w:val="auto"/>
        </w:rPr>
      </w:pPr>
      <w:r>
        <w:rPr>
          <w:rFonts w:ascii="Times New Roman" w:cs="Times New Roman" w:eastAsia="Times New Roman" w:hAnsi="Times New Roman"/>
          <w:sz w:val="18"/>
          <w:szCs w:val="18"/>
          <w:color w:val="auto"/>
        </w:rPr>
        <w:t>Section 5.1 (“Severance Payments”), in addition to any payments and benefits to which the Executive is entitled under Section 4. For purposes of this Agreement, the Executive’s employment shall be deemed to have been terminated within twenty-four (24) months following a Change in Control and during the Term by the Company without Cause or by the Executive with Good Reason, if (i) the Executive’s employment is</w:t>
      </w:r>
    </w:p>
    <w:p>
      <w:pPr>
        <w:spacing w:after="0" w:line="2" w:lineRule="exact"/>
        <w:rPr>
          <w:sz w:val="20"/>
          <w:szCs w:val="20"/>
          <w:color w:val="auto"/>
        </w:rPr>
      </w:pPr>
    </w:p>
    <w:p>
      <w:pPr>
        <w:jc w:val="both"/>
        <w:ind w:left="340"/>
        <w:spacing w:after="0" w:line="218" w:lineRule="auto"/>
        <w:rPr>
          <w:sz w:val="20"/>
          <w:szCs w:val="20"/>
          <w:color w:val="auto"/>
        </w:rPr>
      </w:pPr>
      <w:r>
        <w:rPr>
          <w:rFonts w:ascii="Times New Roman" w:cs="Times New Roman" w:eastAsia="Times New Roman" w:hAnsi="Times New Roman"/>
          <w:sz w:val="18"/>
          <w:szCs w:val="18"/>
          <w:color w:val="auto"/>
        </w:rPr>
        <w:t>terminated by the Company without Cause during a Potential Change in Control Period, or (ii) the Executive terminates Executive’s employment for Good Reason during a Potential Change in Control Period. Except as described above, the Executive shall not be entitled to benefits pursuant to this Section 5.1 unless a Change in Control shall have occurred during the Term.</w:t>
      </w:r>
    </w:p>
    <w:p>
      <w:pPr>
        <w:spacing w:after="0" w:line="131" w:lineRule="exact"/>
        <w:rPr>
          <w:sz w:val="20"/>
          <w:szCs w:val="20"/>
          <w:color w:val="auto"/>
        </w:rPr>
      </w:pPr>
    </w:p>
    <w:p>
      <w:pPr>
        <w:jc w:val="both"/>
        <w:ind w:left="720" w:firstLine="1038"/>
        <w:spacing w:after="0" w:line="224" w:lineRule="auto"/>
        <w:tabs>
          <w:tab w:leader="none" w:pos="25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Executive a lump sum severance payment, in cash, equal to 2 times the sum of (a) the Base Salary, and (b) the target annual bonus available to the Executive pursuant to the Company’s annual bonus plan in which the Executive participates in respect of the fiscal year in which the Date of Termination occurs (without giving effect to any event or circumstance constituting Good Reason).</w:t>
      </w:r>
    </w:p>
    <w:p>
      <w:pPr>
        <w:spacing w:after="0" w:line="131" w:lineRule="exact"/>
        <w:rPr>
          <w:rFonts w:ascii="Times New Roman" w:cs="Times New Roman" w:eastAsia="Times New Roman" w:hAnsi="Times New Roman"/>
          <w:sz w:val="18"/>
          <w:szCs w:val="18"/>
          <w:color w:val="auto"/>
        </w:rPr>
      </w:pPr>
    </w:p>
    <w:p>
      <w:pPr>
        <w:jc w:val="both"/>
        <w:ind w:left="720" w:firstLine="1038"/>
        <w:spacing w:after="0" w:line="215" w:lineRule="auto"/>
        <w:tabs>
          <w:tab w:leader="none" w:pos="25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30 month period immediately following the Date of Termination, the Company shall arrange to provide the Executive and Executive’s dependents life, disability and health insurance benefits substantially similar to those provided to the Executive and Executive’s dependents immediately prior to the Date of Termination or, if more favorable to the Executive, those provided to the Executive and Executive’s dependents immediately prior to the first occurrence of an event or circumstance constituting Good Reason, at no greater after-tax cost to the Executive than the cost to the Executive immediately prior to such date or occurrence. The cost of providing the benefits set forth in this Section 5.1(B) shall be in addition to (and shall not reduce) the Severance Payments. Benefits otherwise receivable by the Executive pursuant to this Section 5.1(B) shall be reduced to the extent the Executive becomes eligible to receive comparable benefits at comparable cost from a new employer or pursuant to a government-sponsored health insurance or health care program.</w:t>
      </w:r>
    </w:p>
    <w:p>
      <w:pPr>
        <w:spacing w:after="0" w:line="136" w:lineRule="exact"/>
        <w:rPr>
          <w:rFonts w:ascii="Times New Roman" w:cs="Times New Roman" w:eastAsia="Times New Roman" w:hAnsi="Times New Roman"/>
          <w:sz w:val="18"/>
          <w:szCs w:val="18"/>
          <w:color w:val="auto"/>
        </w:rPr>
      </w:pPr>
    </w:p>
    <w:p>
      <w:pPr>
        <w:jc w:val="both"/>
        <w:ind w:left="720" w:firstLine="1038"/>
        <w:spacing w:after="0" w:line="226" w:lineRule="auto"/>
        <w:tabs>
          <w:tab w:leader="none" w:pos="25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Executive an amount in respect of the Executive’s target annual cash bonus compensation for the fiscal year in which the Date of Termination occurs, which amount shall be paid out pro-rata, based on the portion of the performance period which has elapsed as of the Date of Termination.</w:t>
      </w:r>
    </w:p>
    <w:p>
      <w:pPr>
        <w:spacing w:after="0" w:line="130" w:lineRule="exact"/>
        <w:rPr>
          <w:rFonts w:ascii="Times New Roman" w:cs="Times New Roman" w:eastAsia="Times New Roman" w:hAnsi="Times New Roman"/>
          <w:sz w:val="18"/>
          <w:szCs w:val="18"/>
          <w:color w:val="auto"/>
        </w:rPr>
      </w:pPr>
    </w:p>
    <w:p>
      <w:pPr>
        <w:ind w:left="720" w:firstLine="1038"/>
        <w:spacing w:after="0" w:line="237" w:lineRule="auto"/>
        <w:tabs>
          <w:tab w:leader="none" w:pos="25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Long Term Performance Plan award outstanding as of the Date of Termination shall be vested at the greater of target or actual performance for the year (if the Date of Termination occurs during the performance period applicable to such award).</w:t>
      </w:r>
    </w:p>
    <w:p>
      <w:pPr>
        <w:spacing w:after="0" w:line="131" w:lineRule="exact"/>
        <w:rPr>
          <w:sz w:val="20"/>
          <w:szCs w:val="20"/>
          <w:color w:val="auto"/>
        </w:rPr>
      </w:pPr>
    </w:p>
    <w:p>
      <w:pPr>
        <w:ind w:left="1440"/>
        <w:spacing w:after="0"/>
        <w:tabs>
          <w:tab w:leader="none" w:pos="19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Code Section 280G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720" w:firstLine="1038"/>
        <w:spacing w:after="0" w:line="216" w:lineRule="auto"/>
        <w:tabs>
          <w:tab w:leader="none" w:pos="25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the Agreement to the contrary notwithstanding, in the event the Auditor determines that receipt of all Payments would subject the Executive to the Excise Tax, the Auditor shall determine whether to reduce any of the Payments that are otherwise payable pursuant to this Agreement (the “Agreement Payments”) so that the Parachute Value of all Payments, in the aggregate, equals the Safe Harbor Amount. The Agreement Payments shall be so reduced only if the Auditor determines that the Executive would have a greater Net After-Tax Receipt of aggregate Payments if the Agreement Payments were so reduced. If the Auditor determines that the Executive would not have a greater Net After-Tax Receipt of aggregate Payments if the Agreement Payments were so reduced, the Executive shall receive the full amount of all Agreement Payments to which the Executive is otherwise entitled hereunder. The Auditor may make reasonable assumptions and approximations concerning applicable taxes and may rely on reasonable, good faith interpretations concerning the application of Sections 280G and 4999 of the Code in making its determination under this Section 5.2.</w:t>
      </w:r>
    </w:p>
    <w:p>
      <w:pPr>
        <w:spacing w:after="0" w:line="132" w:lineRule="exact"/>
        <w:rPr>
          <w:rFonts w:ascii="Times New Roman" w:cs="Times New Roman" w:eastAsia="Times New Roman" w:hAnsi="Times New Roman"/>
          <w:sz w:val="18"/>
          <w:szCs w:val="18"/>
          <w:color w:val="auto"/>
        </w:rPr>
      </w:pPr>
    </w:p>
    <w:p>
      <w:pPr>
        <w:jc w:val="both"/>
        <w:ind w:left="720" w:firstLine="1038"/>
        <w:spacing w:after="0" w:line="213" w:lineRule="auto"/>
        <w:tabs>
          <w:tab w:leader="none" w:pos="259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Auditor determines that aggregate Agreement Payments should be reduced so that the Parachute Value of all Payments, in the aggregate, equals the Safe Harbor Amount, the Company shall give the Executive notice to that effect and a copy of the detailed calculation thereof. All determinations made by the Auditor under this Section 5.2 shall be binding upon the Company and the Executive. For purposes of reducing the Agreement Payments so that the Parachute Value of all Payments, in the aggregate, equals the Safe Harbor Amount, only amounts payable under this Agreement (and no other Payments) shall be reduced. The reduction of the amounts payable hereunder, if applicable, shall be made by reducing the payments and benefits in the following order: (i) reduction of cash payments, which will occur in reverse chronological order with the cash payment owed on the latest date following the event triggering the Excise Tax being the first cash payment to be reduced; (ii) cancellation of accelerated vesting of equity awards, which will occur in the reverse order of the date of grant for the stock awards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vesting of the most recently granted equity awards will be reduced first); and (iii) reduction of other employee benefits, which will occur in reverse chronological order with the benefit owed on the latest date following the event triggering the Excise Tax being the first benefit to be reduced. With respect to each of clauses (i)-(iii), if any payments or benefits constitute deferred compensation subject to Section 409A of the Code, the reduction will occur first as to amounts that are not deferred. If two or more of the same type of awards are granted on the same date, the parachute payments associated with each award will be reduced on a pro-rata basis.</w:t>
      </w:r>
    </w:p>
    <w:p>
      <w:pPr>
        <w:spacing w:after="0" w:line="122" w:lineRule="exact"/>
        <w:rPr>
          <w:rFonts w:ascii="Times New Roman" w:cs="Times New Roman" w:eastAsia="Times New Roman" w:hAnsi="Times New Roman"/>
          <w:sz w:val="18"/>
          <w:szCs w:val="18"/>
          <w:color w:val="auto"/>
        </w:rPr>
      </w:pPr>
    </w:p>
    <w:p>
      <w:pPr>
        <w:ind w:left="2600" w:hanging="842"/>
        <w:spacing w:after="0"/>
        <w:tabs>
          <w:tab w:leader="none" w:pos="2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5.2, the following definitions apply:</w:t>
      </w:r>
    </w:p>
    <w:p>
      <w:pPr>
        <w:spacing w:after="0" w:line="14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“Auditor” means the accounting firm which was, immediately prior to the applicable Change in Control, the Company’s</w:t>
      </w:r>
    </w:p>
    <w:p>
      <w:pPr>
        <w:ind w:left="520"/>
        <w:spacing w:after="0"/>
        <w:rPr>
          <w:sz w:val="20"/>
          <w:szCs w:val="20"/>
          <w:color w:val="auto"/>
        </w:rPr>
      </w:pPr>
      <w:r>
        <w:rPr>
          <w:rFonts w:ascii="Times New Roman" w:cs="Times New Roman" w:eastAsia="Times New Roman" w:hAnsi="Times New Roman"/>
          <w:sz w:val="18"/>
          <w:szCs w:val="18"/>
          <w:color w:val="auto"/>
        </w:rPr>
        <w:t>independent auditor.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020"/>
          </w:cols>
          <w:pgMar w:left="320" w:top="1080" w:right="559" w:bottom="1440" w:gutter="0" w:footer="0" w:header="0"/>
        </w:sectPr>
      </w:pPr>
    </w:p>
    <w:bookmarkStart w:id="107" w:name="page108"/>
    <w:bookmarkEnd w:id="107"/>
    <w:p>
      <w:pPr>
        <w:jc w:val="both"/>
        <w:ind w:left="520" w:firstLine="1802"/>
        <w:spacing w:after="0" w:line="236" w:lineRule="auto"/>
        <w:rPr>
          <w:sz w:val="20"/>
          <w:szCs w:val="20"/>
          <w:color w:val="auto"/>
        </w:rPr>
      </w:pPr>
      <w:r>
        <w:rPr>
          <w:rFonts w:ascii="Times New Roman" w:cs="Times New Roman" w:eastAsia="Times New Roman" w:hAnsi="Times New Roman"/>
          <w:sz w:val="17"/>
          <w:szCs w:val="17"/>
          <w:color w:val="auto"/>
        </w:rPr>
        <w:t>“Net After-Tax Receipt” means the Parachute Value of a Payment net of all taxes imposed on the Executive with respect thereto under Sections 1, 3101 and 4999 of the Code and under applicable state and local laws, determined by applying the highest rate of federal</w:t>
      </w:r>
    </w:p>
    <w:p>
      <w:pPr>
        <w:jc w:val="both"/>
        <w:ind w:left="520"/>
        <w:spacing w:after="0" w:line="226" w:lineRule="auto"/>
        <w:rPr>
          <w:sz w:val="20"/>
          <w:szCs w:val="20"/>
          <w:color w:val="auto"/>
        </w:rPr>
      </w:pPr>
      <w:r>
        <w:rPr>
          <w:rFonts w:ascii="Times New Roman" w:cs="Times New Roman" w:eastAsia="Times New Roman" w:hAnsi="Times New Roman"/>
          <w:sz w:val="18"/>
          <w:szCs w:val="18"/>
          <w:color w:val="auto"/>
        </w:rPr>
        <w:t>income tax under Section 1 of the Code and under state and local laws which applied to the Executive’s taxable income for the immediately preceding taxable year, or such other rate(s) as the Auditor determines to be likely to apply to the Executive in the relevant tax year(s).</w:t>
      </w:r>
    </w:p>
    <w:p>
      <w:pPr>
        <w:spacing w:after="0" w:line="130" w:lineRule="exact"/>
        <w:rPr>
          <w:sz w:val="20"/>
          <w:szCs w:val="20"/>
          <w:color w:val="auto"/>
        </w:rPr>
      </w:pPr>
    </w:p>
    <w:p>
      <w:pPr>
        <w:jc w:val="both"/>
        <w:ind w:left="520" w:firstLine="1802"/>
        <w:spacing w:after="0" w:line="226" w:lineRule="auto"/>
        <w:rPr>
          <w:sz w:val="20"/>
          <w:szCs w:val="20"/>
          <w:color w:val="auto"/>
        </w:rPr>
      </w:pPr>
      <w:r>
        <w:rPr>
          <w:rFonts w:ascii="Times New Roman" w:cs="Times New Roman" w:eastAsia="Times New Roman" w:hAnsi="Times New Roman"/>
          <w:sz w:val="18"/>
          <w:szCs w:val="18"/>
          <w:color w:val="auto"/>
        </w:rPr>
        <w:t>“Parachute Value” means, with respect to a Payment, the present value (as determined in accordance with Sections 280G(b)(2)(A)(ii) and 280G(d)(4) of the Code) of the portion of such Payment that constitutes a “parachute payment” under Section 280G(b)(2) of the Code, as determined by the Auditor for purposes of determining whether and to what extent the Excise Tax will apply to such Payment.</w:t>
      </w:r>
    </w:p>
    <w:p>
      <w:pPr>
        <w:spacing w:after="0" w:line="131" w:lineRule="exact"/>
        <w:rPr>
          <w:sz w:val="20"/>
          <w:szCs w:val="20"/>
          <w:color w:val="auto"/>
        </w:rPr>
      </w:pPr>
    </w:p>
    <w:p>
      <w:pPr>
        <w:jc w:val="both"/>
        <w:ind w:left="520" w:firstLine="1802"/>
        <w:spacing w:after="0" w:line="237" w:lineRule="auto"/>
        <w:rPr>
          <w:sz w:val="20"/>
          <w:szCs w:val="20"/>
          <w:color w:val="auto"/>
        </w:rPr>
      </w:pPr>
      <w:r>
        <w:rPr>
          <w:rFonts w:ascii="Times New Roman" w:cs="Times New Roman" w:eastAsia="Times New Roman" w:hAnsi="Times New Roman"/>
          <w:sz w:val="18"/>
          <w:szCs w:val="18"/>
          <w:color w:val="auto"/>
        </w:rPr>
        <w:t>“Payments” means any payment or benefit in the nature of compensation (within the meaning of Section 280G(b)(2) of the Code) provided to or for the benefit of the Executive, whether pursuant to this Agreement or otherwise.</w:t>
      </w:r>
    </w:p>
    <w:p>
      <w:pPr>
        <w:spacing w:after="0" w:line="131" w:lineRule="exact"/>
        <w:rPr>
          <w:sz w:val="20"/>
          <w:szCs w:val="20"/>
          <w:color w:val="auto"/>
        </w:rPr>
      </w:pPr>
    </w:p>
    <w:p>
      <w:pPr>
        <w:jc w:val="both"/>
        <w:ind w:left="520" w:firstLine="1802"/>
        <w:spacing w:after="0" w:line="237" w:lineRule="auto"/>
        <w:rPr>
          <w:sz w:val="20"/>
          <w:szCs w:val="20"/>
          <w:color w:val="auto"/>
        </w:rPr>
      </w:pPr>
      <w:r>
        <w:rPr>
          <w:rFonts w:ascii="Times New Roman" w:cs="Times New Roman" w:eastAsia="Times New Roman" w:hAnsi="Times New Roman"/>
          <w:sz w:val="18"/>
          <w:szCs w:val="18"/>
          <w:color w:val="auto"/>
        </w:rPr>
        <w:t>“Safe Harbor Amount” means the greatest amount that the Auditor determines may be paid or provided to the Executive without having any portion of any Payment treated as an "excess parachute payment" within the meaning of Section 280G(b)(1) of the Code.</w:t>
      </w:r>
    </w:p>
    <w:p>
      <w:pPr>
        <w:spacing w:after="0" w:line="131" w:lineRule="exact"/>
        <w:rPr>
          <w:sz w:val="20"/>
          <w:szCs w:val="20"/>
          <w:color w:val="auto"/>
        </w:rPr>
      </w:pPr>
    </w:p>
    <w:p>
      <w:pPr>
        <w:jc w:val="both"/>
        <w:ind w:left="520" w:firstLine="1802"/>
        <w:spacing w:after="0" w:line="237" w:lineRule="auto"/>
        <w:rPr>
          <w:sz w:val="20"/>
          <w:szCs w:val="20"/>
          <w:color w:val="auto"/>
        </w:rPr>
      </w:pPr>
      <w:r>
        <w:rPr>
          <w:rFonts w:ascii="Times New Roman" w:cs="Times New Roman" w:eastAsia="Times New Roman" w:hAnsi="Times New Roman"/>
          <w:sz w:val="18"/>
          <w:szCs w:val="18"/>
          <w:color w:val="auto"/>
        </w:rPr>
        <w:t>“Section 280G Change of Control” means a change in the ownership or effective control of the Company, or in the ownership of a substantial portion of the assets of the Company, within the meaning of Section 280G(b)(2).</w:t>
      </w:r>
    </w:p>
    <w:p>
      <w:pPr>
        <w:spacing w:after="0" w:line="200" w:lineRule="exact"/>
        <w:rPr>
          <w:sz w:val="20"/>
          <w:szCs w:val="20"/>
          <w:color w:val="auto"/>
        </w:rPr>
      </w:pPr>
    </w:p>
    <w:p>
      <w:pPr>
        <w:spacing w:after="0" w:line="350" w:lineRule="exact"/>
        <w:rPr>
          <w:sz w:val="20"/>
          <w:szCs w:val="20"/>
          <w:color w:val="auto"/>
        </w:rPr>
      </w:pPr>
    </w:p>
    <w:p>
      <w:pPr>
        <w:ind w:left="1440"/>
        <w:spacing w:after="0"/>
        <w:tabs>
          <w:tab w:leader="none" w:pos="19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Except as set forth below or as required by the operation of Section 13.3, the payments provided in subsection (A) of Section</w:t>
      </w:r>
    </w:p>
    <w:p>
      <w:pPr>
        <w:spacing w:after="0" w:line="2" w:lineRule="exact"/>
        <w:rPr>
          <w:sz w:val="20"/>
          <w:szCs w:val="20"/>
          <w:color w:val="auto"/>
        </w:rPr>
      </w:pPr>
    </w:p>
    <w:p>
      <w:pPr>
        <w:jc w:val="both"/>
        <w:ind w:left="340"/>
        <w:spacing w:after="0" w:line="208" w:lineRule="auto"/>
        <w:rPr>
          <w:sz w:val="20"/>
          <w:szCs w:val="20"/>
          <w:color w:val="auto"/>
        </w:rPr>
      </w:pPr>
      <w:r>
        <w:rPr>
          <w:rFonts w:ascii="Times New Roman" w:cs="Times New Roman" w:eastAsia="Times New Roman" w:hAnsi="Times New Roman"/>
          <w:sz w:val="18"/>
          <w:szCs w:val="18"/>
          <w:color w:val="auto"/>
        </w:rPr>
        <w:t xml:space="preserve">5.1 and the benefits to be provided in subsection (D) of Section 5.1 shall be made or provided not later than the fifth day following the date upon which the release described in Section 5.5 becomes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amounts of such payments cannot be finally determined on or before such day, the Company shall pay to the Executive on such day an estimate, as determined in good faith by the Company</w:t>
      </w:r>
    </w:p>
    <w:p>
      <w:pPr>
        <w:spacing w:after="0" w:line="2" w:lineRule="exact"/>
        <w:rPr>
          <w:sz w:val="20"/>
          <w:szCs w:val="20"/>
          <w:color w:val="auto"/>
        </w:rPr>
      </w:pPr>
    </w:p>
    <w:p>
      <w:pPr>
        <w:jc w:val="both"/>
        <w:ind w:left="340"/>
        <w:spacing w:after="0" w:line="208" w:lineRule="auto"/>
        <w:rPr>
          <w:sz w:val="20"/>
          <w:szCs w:val="20"/>
          <w:color w:val="auto"/>
        </w:rPr>
      </w:pPr>
      <w:r>
        <w:rPr>
          <w:rFonts w:ascii="Times New Roman" w:cs="Times New Roman" w:eastAsia="Times New Roman" w:hAnsi="Times New Roman"/>
          <w:sz w:val="18"/>
          <w:szCs w:val="18"/>
          <w:color w:val="auto"/>
        </w:rPr>
        <w:t>and shall pay the remainder of such payments (together with interest on the unpaid remainder (or on all such payments to the extent the Company fails to make such payments when due) at 120% of the rate provided in section 1274(b)(2)(B) of the Code) as soon as the amount thereof can be determined but in no event later than the thirtieth (30th) day after the occurrence of a Date of Termination. In the event that the amount of the</w:t>
      </w:r>
    </w:p>
    <w:p>
      <w:pPr>
        <w:spacing w:after="0" w:line="2" w:lineRule="exact"/>
        <w:rPr>
          <w:sz w:val="20"/>
          <w:szCs w:val="20"/>
          <w:color w:val="auto"/>
        </w:rPr>
      </w:pPr>
    </w:p>
    <w:p>
      <w:pPr>
        <w:jc w:val="both"/>
        <w:ind w:left="340"/>
        <w:spacing w:after="0" w:line="208" w:lineRule="auto"/>
        <w:rPr>
          <w:sz w:val="20"/>
          <w:szCs w:val="20"/>
          <w:color w:val="auto"/>
        </w:rPr>
      </w:pPr>
      <w:r>
        <w:rPr>
          <w:rFonts w:ascii="Times New Roman" w:cs="Times New Roman" w:eastAsia="Times New Roman" w:hAnsi="Times New Roman"/>
          <w:sz w:val="18"/>
          <w:szCs w:val="18"/>
          <w:color w:val="auto"/>
        </w:rPr>
        <w:t>estimated payments exceeds the amount subsequently determined to have been due, such excess shall constitute a loan by the Company to the Executive, payable on the fifth (5th) business day after demand by the Company (together with interest at 120% of the rate provided in section 1274(b)(2)(B) of the Code). At the time that payments are made under this Agreement, the Company shall provide the Executive with a written</w:t>
      </w:r>
    </w:p>
    <w:p>
      <w:pPr>
        <w:spacing w:after="0" w:line="2" w:lineRule="exact"/>
        <w:rPr>
          <w:sz w:val="20"/>
          <w:szCs w:val="20"/>
          <w:color w:val="auto"/>
        </w:rPr>
      </w:pPr>
    </w:p>
    <w:p>
      <w:pPr>
        <w:jc w:val="both"/>
        <w:ind w:left="340"/>
        <w:spacing w:after="0" w:line="208" w:lineRule="auto"/>
        <w:rPr>
          <w:sz w:val="20"/>
          <w:szCs w:val="20"/>
          <w:color w:val="auto"/>
        </w:rPr>
      </w:pPr>
      <w:r>
        <w:rPr>
          <w:rFonts w:ascii="Times New Roman" w:cs="Times New Roman" w:eastAsia="Times New Roman" w:hAnsi="Times New Roman"/>
          <w:sz w:val="18"/>
          <w:szCs w:val="18"/>
          <w:color w:val="auto"/>
        </w:rPr>
        <w:t>statement setting forth the manner in which such payments were calculated and the basis for such calculations including, without limitation, any opinions or other advice the Company has received from the Auditor or other advisors or consultants (and any such opinions or advice which are in writing shall be attached to the statement. The payments provided in Section 5.1(C) will be paid not later than 75 days following the end of the</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calendar year in which the Date of Termination occurs, unless another payment date is required by the operation of Section 13.3.</w:t>
      </w:r>
    </w:p>
    <w:p>
      <w:pPr>
        <w:spacing w:after="0" w:line="124" w:lineRule="exact"/>
        <w:rPr>
          <w:sz w:val="20"/>
          <w:szCs w:val="20"/>
          <w:color w:val="auto"/>
        </w:rPr>
      </w:pPr>
    </w:p>
    <w:p>
      <w:pPr>
        <w:jc w:val="both"/>
        <w:ind w:left="340" w:firstLine="1102"/>
        <w:spacing w:after="0" w:line="222" w:lineRule="auto"/>
        <w:rPr>
          <w:sz w:val="20"/>
          <w:szCs w:val="20"/>
          <w:color w:val="auto"/>
        </w:rPr>
      </w:pPr>
      <w:r>
        <w:rPr>
          <w:rFonts w:ascii="Times New Roman" w:cs="Times New Roman" w:eastAsia="Times New Roman" w:hAnsi="Times New Roman"/>
          <w:sz w:val="18"/>
          <w:szCs w:val="18"/>
          <w:color w:val="auto"/>
        </w:rPr>
        <w:t>5.4 The Company shall pay to the Executive all legal fees and expenses incurred by the Executive in disputing in good faith any issue hereunder relating to the termination of the Executive's employment or in seeking in good faith to obtain or enforce any benefit or right</w:t>
      </w:r>
    </w:p>
    <w:p>
      <w:pPr>
        <w:spacing w:after="0" w:line="2" w:lineRule="exact"/>
        <w:rPr>
          <w:sz w:val="20"/>
          <w:szCs w:val="20"/>
          <w:color w:val="auto"/>
        </w:rPr>
      </w:pPr>
    </w:p>
    <w:p>
      <w:pPr>
        <w:jc w:val="both"/>
        <w:ind w:left="340"/>
        <w:spacing w:after="0" w:line="208" w:lineRule="auto"/>
        <w:rPr>
          <w:sz w:val="20"/>
          <w:szCs w:val="20"/>
          <w:color w:val="auto"/>
        </w:rPr>
      </w:pPr>
      <w:r>
        <w:rPr>
          <w:rFonts w:ascii="Times New Roman" w:cs="Times New Roman" w:eastAsia="Times New Roman" w:hAnsi="Times New Roman"/>
          <w:sz w:val="18"/>
          <w:szCs w:val="18"/>
          <w:color w:val="auto"/>
        </w:rPr>
        <w:t>provided by this Agreement or in connection with any tax audit or proceeding to the extent attributable to the application of section 4999 of the Code to any payment or benefit provided hereunder. Such payments shall be made within five (5) business days after delivery of the Executive's written requests for payment accompanied with such evidence of fees and expenses incurred as the Company reasonably may require. The</w:t>
      </w:r>
    </w:p>
    <w:p>
      <w:pPr>
        <w:spacing w:after="0" w:line="2" w:lineRule="exact"/>
        <w:rPr>
          <w:sz w:val="20"/>
          <w:szCs w:val="20"/>
          <w:color w:val="auto"/>
        </w:rPr>
      </w:pPr>
    </w:p>
    <w:p>
      <w:pPr>
        <w:jc w:val="both"/>
        <w:ind w:left="340"/>
        <w:spacing w:after="0" w:line="218" w:lineRule="auto"/>
        <w:rPr>
          <w:sz w:val="20"/>
          <w:szCs w:val="20"/>
          <w:color w:val="auto"/>
        </w:rPr>
      </w:pPr>
      <w:r>
        <w:rPr>
          <w:rFonts w:ascii="Times New Roman" w:cs="Times New Roman" w:eastAsia="Times New Roman" w:hAnsi="Times New Roman"/>
          <w:sz w:val="18"/>
          <w:szCs w:val="18"/>
          <w:color w:val="auto"/>
        </w:rPr>
        <w:t>Executive's reimbursement rights described in this Section 5.4 shall remain in effect for the life of the Executive, provided, that, in order for the Executive to be entitled to reimbursement hereunder, the Executive must submit the written reimbursement request described above within 180 days following the date upon which the applicable fee or expense is incurred.</w:t>
      </w:r>
    </w:p>
    <w:p>
      <w:pPr>
        <w:spacing w:after="0" w:line="131" w:lineRule="exact"/>
        <w:rPr>
          <w:sz w:val="20"/>
          <w:szCs w:val="20"/>
          <w:color w:val="auto"/>
        </w:rPr>
      </w:pPr>
    </w:p>
    <w:p>
      <w:pPr>
        <w:jc w:val="both"/>
        <w:ind w:left="340" w:firstLine="1102"/>
        <w:spacing w:after="0" w:line="222" w:lineRule="auto"/>
        <w:rPr>
          <w:sz w:val="20"/>
          <w:szCs w:val="20"/>
          <w:color w:val="auto"/>
        </w:rPr>
      </w:pPr>
      <w:r>
        <w:rPr>
          <w:rFonts w:ascii="Times New Roman" w:cs="Times New Roman" w:eastAsia="Times New Roman" w:hAnsi="Times New Roman"/>
          <w:sz w:val="18"/>
          <w:szCs w:val="18"/>
          <w:color w:val="auto"/>
        </w:rPr>
        <w:t>5.5 Notwithstanding anything in this Agreement to the contrary, the Executive’s entitlement to payments and benefits described in Section 5.1 hereof shall be conditioned upon the Executive’s execution and non-revocation of a customary and reasonable release of claims in</w:t>
      </w:r>
    </w:p>
    <w:p>
      <w:pPr>
        <w:spacing w:after="0" w:line="2" w:lineRule="exact"/>
        <w:rPr>
          <w:sz w:val="20"/>
          <w:szCs w:val="20"/>
          <w:color w:val="auto"/>
        </w:rPr>
      </w:pPr>
    </w:p>
    <w:p>
      <w:pPr>
        <w:jc w:val="both"/>
        <w:ind w:left="340"/>
        <w:spacing w:after="0" w:line="208" w:lineRule="auto"/>
        <w:rPr>
          <w:sz w:val="20"/>
          <w:szCs w:val="20"/>
          <w:color w:val="auto"/>
        </w:rPr>
      </w:pPr>
      <w:r>
        <w:rPr>
          <w:rFonts w:ascii="Times New Roman" w:cs="Times New Roman" w:eastAsia="Times New Roman" w:hAnsi="Times New Roman"/>
          <w:sz w:val="18"/>
          <w:szCs w:val="18"/>
          <w:color w:val="auto"/>
        </w:rPr>
        <w:t>favor of the Company, which release of claims shall be delivered to the Executive on the Date of Termination and which shall be required to be executed not later than the 60th day following such Date of Termination. If such a 60-day period includes portions of two calendar years, then for purposes of the first sentence of Section 5.3, the release of claims shall be deemed to have become irrevocable in the later of such calendar years,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notwithstanding that it may in fact have become irrevocable in the earlier calendar year.</w:t>
      </w:r>
    </w:p>
    <w:p>
      <w:pPr>
        <w:spacing w:after="0" w:line="124" w:lineRule="exact"/>
        <w:rPr>
          <w:sz w:val="20"/>
          <w:szCs w:val="20"/>
          <w:color w:val="auto"/>
        </w:rPr>
      </w:pPr>
    </w:p>
    <w:p>
      <w:pPr>
        <w:ind w:left="720" w:hanging="544"/>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Procedures and Compensation During Dispute.</w:t>
      </w:r>
    </w:p>
    <w:p>
      <w:pPr>
        <w:spacing w:after="0" w:line="158" w:lineRule="exact"/>
        <w:rPr>
          <w:sz w:val="20"/>
          <w:szCs w:val="20"/>
          <w:color w:val="auto"/>
        </w:rPr>
      </w:pPr>
    </w:p>
    <w:p>
      <w:pPr>
        <w:jc w:val="both"/>
        <w:ind w:left="340" w:right="20" w:firstLine="1102"/>
        <w:spacing w:after="0" w:line="22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After a Change in Control, any purported termination of the Executive’s employment (other than by reason of death) shall be communicated by written Notice of Termination from one party hereto to the other party hereto in accordance with</w:t>
      </w:r>
    </w:p>
    <w:p>
      <w:pPr>
        <w:spacing w:after="0" w:line="2" w:lineRule="exact"/>
        <w:rPr>
          <w:sz w:val="20"/>
          <w:szCs w:val="20"/>
          <w:color w:val="auto"/>
        </w:rPr>
      </w:pPr>
    </w:p>
    <w:p>
      <w:pPr>
        <w:jc w:val="both"/>
        <w:ind w:left="340"/>
        <w:spacing w:after="0" w:line="208" w:lineRule="auto"/>
        <w:rPr>
          <w:sz w:val="20"/>
          <w:szCs w:val="20"/>
          <w:color w:val="auto"/>
        </w:rPr>
      </w:pPr>
      <w:r>
        <w:rPr>
          <w:rFonts w:ascii="Times New Roman" w:cs="Times New Roman" w:eastAsia="Times New Roman" w:hAnsi="Times New Roman"/>
          <w:sz w:val="18"/>
          <w:szCs w:val="18"/>
          <w:color w:val="auto"/>
        </w:rPr>
        <w:t>Section 9. For purposes of this Agreement, a “Notice of Termination” shall mean a notice which shall indicate the specific termination provision in this Agreement relied upon and shall set forth in reasonable detail any facts and circumstances claimed to provide a basis for termination of the Executive’s employment under the provision so indicated. Further, a Notice of Termination for Cause is required to include a copy of a resolution</w:t>
      </w:r>
    </w:p>
    <w:p>
      <w:pPr>
        <w:spacing w:after="0" w:line="2" w:lineRule="exact"/>
        <w:rPr>
          <w:sz w:val="20"/>
          <w:szCs w:val="20"/>
          <w:color w:val="auto"/>
        </w:rPr>
      </w:pPr>
    </w:p>
    <w:p>
      <w:pPr>
        <w:jc w:val="both"/>
        <w:ind w:left="340"/>
        <w:spacing w:after="0" w:line="218" w:lineRule="auto"/>
        <w:rPr>
          <w:sz w:val="20"/>
          <w:szCs w:val="20"/>
          <w:color w:val="auto"/>
        </w:rPr>
      </w:pPr>
      <w:r>
        <w:rPr>
          <w:rFonts w:ascii="Times New Roman" w:cs="Times New Roman" w:eastAsia="Times New Roman" w:hAnsi="Times New Roman"/>
          <w:sz w:val="18"/>
          <w:szCs w:val="18"/>
          <w:color w:val="auto"/>
        </w:rPr>
        <w:t>duly adopted by the affirmative vote of not less than two-thirds (2/3) of the entire membership of the Board at a meeting of the Board which was called and held for the purpose of considering such termination (after reasonable notice to the Executive and an opportunity for the Executive, together with the Executive’s counsel, to be heard before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020"/>
          </w:cols>
          <w:pgMar w:left="320" w:top="1080" w:right="559" w:bottom="1440" w:gutter="0" w:footer="0" w:header="0"/>
        </w:sectPr>
      </w:pPr>
    </w:p>
    <w:bookmarkStart w:id="108" w:name="page109"/>
    <w:bookmarkEnd w:id="108"/>
    <w:p>
      <w:pPr>
        <w:ind w:left="340"/>
        <w:spacing w:after="0" w:line="237" w:lineRule="auto"/>
        <w:rPr>
          <w:sz w:val="20"/>
          <w:szCs w:val="20"/>
          <w:color w:val="auto"/>
        </w:rPr>
      </w:pPr>
      <w:r>
        <w:rPr>
          <w:rFonts w:ascii="Times New Roman" w:cs="Times New Roman" w:eastAsia="Times New Roman" w:hAnsi="Times New Roman"/>
          <w:sz w:val="18"/>
          <w:szCs w:val="18"/>
          <w:color w:val="auto"/>
        </w:rPr>
        <w:t>the Board) finding that, in the good faith opinion of the Board, the Executive was guilty of conduct set forth in clause (i), (ii) or (iii) of the definition of Cause herein, and specifying the particulars thereof in detail.</w:t>
      </w:r>
    </w:p>
    <w:p>
      <w:pPr>
        <w:spacing w:after="0" w:line="131" w:lineRule="exact"/>
        <w:rPr>
          <w:sz w:val="20"/>
          <w:szCs w:val="20"/>
          <w:color w:val="auto"/>
        </w:rPr>
      </w:pPr>
    </w:p>
    <w:p>
      <w:pPr>
        <w:ind w:left="340" w:firstLine="1102"/>
        <w:spacing w:after="0" w:line="22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with respect to any purported termination of the Executive’s employment after a Change in Control, shall mean (i) if the Executive’s employment is terminated for Disability, thirty (30) days after Notice of Termination is given</w:t>
      </w:r>
    </w:p>
    <w:p>
      <w:pPr>
        <w:ind w:left="340"/>
        <w:spacing w:after="0" w:line="205" w:lineRule="auto"/>
        <w:rPr>
          <w:sz w:val="20"/>
          <w:szCs w:val="20"/>
          <w:color w:val="auto"/>
        </w:rPr>
      </w:pPr>
      <w:r>
        <w:rPr>
          <w:rFonts w:ascii="Times New Roman" w:cs="Times New Roman" w:eastAsia="Times New Roman" w:hAnsi="Times New Roman"/>
          <w:sz w:val="18"/>
          <w:szCs w:val="18"/>
          <w:color w:val="auto"/>
        </w:rPr>
        <w:t>(provided that the Executive shall not have returned to the full-time performance of the Executive’s duties during such thirty (30) day period), and</w:t>
      </w:r>
    </w:p>
    <w:p>
      <w:pPr>
        <w:jc w:val="both"/>
        <w:ind w:left="340" w:hanging="8"/>
        <w:spacing w:after="0" w:line="218" w:lineRule="auto"/>
        <w:tabs>
          <w:tab w:leader="none" w:pos="63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for any other reason, the date specified in the Notice of Termination (which, in the case of a termination by the Company, shall not be less than thirty (30) days (except in the case of a termination for Cause) and, in the case of a termination by the Executive, shall not be less than fifteen (15) days nor more than sixty (60) days, respectively, from the date the Company’s right to cure set forth in Section 15.15 expires).</w:t>
      </w:r>
    </w:p>
    <w:p>
      <w:pPr>
        <w:spacing w:after="0" w:line="132" w:lineRule="exact"/>
        <w:rPr>
          <w:sz w:val="20"/>
          <w:szCs w:val="20"/>
          <w:color w:val="auto"/>
        </w:rPr>
      </w:pPr>
    </w:p>
    <w:p>
      <w:pPr>
        <w:jc w:val="both"/>
        <w:ind w:left="340" w:firstLine="1102"/>
        <w:spacing w:after="0" w:line="21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Dispute Concerning Termination</w:t>
      </w:r>
      <w:r>
        <w:rPr>
          <w:rFonts w:ascii="Times New Roman" w:cs="Times New Roman" w:eastAsia="Times New Roman" w:hAnsi="Times New Roman"/>
          <w:sz w:val="18"/>
          <w:szCs w:val="18"/>
          <w:color w:val="auto"/>
        </w:rPr>
        <w:t>. If within ten (10) days after any Notice of Termination is given, or, if later, prior to the Date of Termination (as determined without regard to this Section 6.3), the party receiving such Notice of Termination notifies the other party that a dispute exists concerning the termination, the Date of Termination shall be extended until the earlier of (i) the date on which the Term ends or</w:t>
      </w:r>
    </w:p>
    <w:p>
      <w:pPr>
        <w:spacing w:after="0" w:line="1" w:lineRule="exact"/>
        <w:rPr>
          <w:sz w:val="20"/>
          <w:szCs w:val="20"/>
          <w:color w:val="auto"/>
        </w:rPr>
      </w:pPr>
    </w:p>
    <w:p>
      <w:pPr>
        <w:jc w:val="both"/>
        <w:ind w:left="340" w:hanging="8"/>
        <w:spacing w:after="0" w:line="218" w:lineRule="auto"/>
        <w:tabs>
          <w:tab w:leader="none" w:pos="6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on which the dispute is finally resolved, either by mutual written agreement of the parties or by a final judgment, order or decree of an arbitrator or a court of competent jurisdiction (which is not appealable or with respect to which the time for appeal therefrom has expired and no appeal has been perfected);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Date of Termination shall be extended by a notice of dispute given by the Executive only if such notice is given in good faith and the Executive pursues the resolution of such dispute with reasonable diligence.</w:t>
      </w:r>
    </w:p>
    <w:p>
      <w:pPr>
        <w:spacing w:after="0" w:line="119" w:lineRule="exact"/>
        <w:rPr>
          <w:sz w:val="20"/>
          <w:szCs w:val="20"/>
          <w:color w:val="auto"/>
        </w:rPr>
      </w:pPr>
    </w:p>
    <w:p>
      <w:pPr>
        <w:ind w:left="1440"/>
        <w:spacing w:after="0"/>
        <w:tabs>
          <w:tab w:leader="none" w:pos="19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Compensation During Dispute</w:t>
      </w:r>
      <w:r>
        <w:rPr>
          <w:rFonts w:ascii="Times New Roman" w:cs="Times New Roman" w:eastAsia="Times New Roman" w:hAnsi="Times New Roman"/>
          <w:sz w:val="18"/>
          <w:szCs w:val="18"/>
          <w:color w:val="auto"/>
        </w:rPr>
        <w:t>. If the Date of Termination is extended in accordance with Section 6.3, the Company shall</w:t>
      </w:r>
    </w:p>
    <w:p>
      <w:pPr>
        <w:spacing w:after="0" w:line="2" w:lineRule="exact"/>
        <w:rPr>
          <w:sz w:val="20"/>
          <w:szCs w:val="20"/>
          <w:color w:val="auto"/>
        </w:rPr>
      </w:pPr>
    </w:p>
    <w:p>
      <w:pPr>
        <w:jc w:val="both"/>
        <w:ind w:left="340"/>
        <w:spacing w:after="0" w:line="208" w:lineRule="auto"/>
        <w:rPr>
          <w:sz w:val="20"/>
          <w:szCs w:val="20"/>
          <w:color w:val="auto"/>
        </w:rPr>
      </w:pPr>
      <w:r>
        <w:rPr>
          <w:rFonts w:ascii="Times New Roman" w:cs="Times New Roman" w:eastAsia="Times New Roman" w:hAnsi="Times New Roman"/>
          <w:sz w:val="18"/>
          <w:szCs w:val="18"/>
          <w:color w:val="auto"/>
        </w:rPr>
        <w:t>continue to pay the Executive the full compensation in effect when the notice giving rise to the dispute was given (including, but not limited to, the Base Salary) and continue the Executive as a participant in all compensation, benefit and insurance plans in which the Executive was participating when the notice giving rise to the dispute was given, until the Date of Termination, as determined in accordance with Section 6.3. Amounts paid</w:t>
      </w:r>
    </w:p>
    <w:p>
      <w:pPr>
        <w:spacing w:after="0" w:line="2" w:lineRule="exact"/>
        <w:rPr>
          <w:sz w:val="20"/>
          <w:szCs w:val="20"/>
          <w:color w:val="auto"/>
        </w:rPr>
      </w:pPr>
    </w:p>
    <w:p>
      <w:pPr>
        <w:jc w:val="both"/>
        <w:ind w:left="340"/>
        <w:spacing w:after="0" w:line="226" w:lineRule="auto"/>
        <w:rPr>
          <w:sz w:val="20"/>
          <w:szCs w:val="20"/>
          <w:color w:val="auto"/>
        </w:rPr>
      </w:pPr>
      <w:r>
        <w:rPr>
          <w:rFonts w:ascii="Times New Roman" w:cs="Times New Roman" w:eastAsia="Times New Roman" w:hAnsi="Times New Roman"/>
          <w:sz w:val="18"/>
          <w:szCs w:val="18"/>
          <w:color w:val="auto"/>
        </w:rPr>
        <w:t>under this Section 6.4 are in addition to all other amounts due under this Agreement (other than those due under Section 4.1) and shall not be offset against or reduce any other amounts due under this Agreement.</w:t>
      </w:r>
    </w:p>
    <w:p>
      <w:pPr>
        <w:spacing w:after="0" w:line="130" w:lineRule="exact"/>
        <w:rPr>
          <w:sz w:val="20"/>
          <w:szCs w:val="20"/>
          <w:color w:val="auto"/>
        </w:rPr>
      </w:pPr>
    </w:p>
    <w:p>
      <w:pPr>
        <w:jc w:val="both"/>
        <w:ind w:left="720" w:hanging="544"/>
        <w:spacing w:after="0" w:line="220" w:lineRule="auto"/>
        <w:tabs>
          <w:tab w:leader="none" w:pos="7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w:t>
      </w:r>
      <w:r>
        <w:rPr>
          <w:rFonts w:ascii="Times New Roman" w:cs="Times New Roman" w:eastAsia="Times New Roman" w:hAnsi="Times New Roman"/>
          <w:sz w:val="18"/>
          <w:szCs w:val="18"/>
          <w:color w:val="auto"/>
        </w:rPr>
        <w:t>. If the Executive’s employment with the Company terminates following a Change in Control, the Executive is not required to seek other employment or to attempt in any way to reduce any amounts payable to the Executive by the Company pursuant to Section 5 or Section 6.4. Except as set forth in Section 5.1(B), the amount of any payment or benefit provided for or referenced in this Agreement shall not be reduced by any compensation earned by the Executive as the result of employment by another employer, by retirement benefits, by offset against any amount claimed to be owed by the Executive to the Company, or otherwise.</w:t>
      </w:r>
    </w:p>
    <w:p>
      <w:pPr>
        <w:spacing w:after="0" w:line="131" w:lineRule="exact"/>
        <w:rPr>
          <w:rFonts w:ascii="Times New Roman" w:cs="Times New Roman" w:eastAsia="Times New Roman" w:hAnsi="Times New Roman"/>
          <w:sz w:val="18"/>
          <w:szCs w:val="18"/>
          <w:color w:val="auto"/>
        </w:rPr>
      </w:pPr>
    </w:p>
    <w:p>
      <w:pPr>
        <w:ind w:left="720" w:hanging="544"/>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Binding Agreement.</w:t>
      </w:r>
    </w:p>
    <w:p>
      <w:pPr>
        <w:spacing w:after="0" w:line="144" w:lineRule="exact"/>
        <w:rPr>
          <w:sz w:val="20"/>
          <w:szCs w:val="20"/>
          <w:color w:val="auto"/>
        </w:rPr>
      </w:pPr>
    </w:p>
    <w:p>
      <w:pPr>
        <w:jc w:val="both"/>
        <w:ind w:left="340" w:firstLine="1102"/>
        <w:spacing w:after="0" w:line="222" w:lineRule="auto"/>
        <w:rPr>
          <w:sz w:val="20"/>
          <w:szCs w:val="20"/>
          <w:color w:val="auto"/>
        </w:rPr>
      </w:pPr>
      <w:r>
        <w:rPr>
          <w:rFonts w:ascii="Times New Roman" w:cs="Times New Roman" w:eastAsia="Times New Roman" w:hAnsi="Times New Roman"/>
          <w:sz w:val="18"/>
          <w:szCs w:val="18"/>
          <w:color w:val="auto"/>
        </w:rPr>
        <w:t>8.1 This Agreement supersedes any other agreements, including the Prior Agreement, or representations, oral or otherwise, express or implied, with respect to the subject matter hereof (including the Change in Control Agreement by and between the Company and the</w:t>
      </w:r>
    </w:p>
    <w:p>
      <w:pPr>
        <w:spacing w:after="0" w:line="2" w:lineRule="exact"/>
        <w:rPr>
          <w:sz w:val="20"/>
          <w:szCs w:val="20"/>
          <w:color w:val="auto"/>
        </w:rPr>
      </w:pPr>
    </w:p>
    <w:p>
      <w:pPr>
        <w:jc w:val="both"/>
        <w:ind w:left="340"/>
        <w:spacing w:after="0" w:line="226" w:lineRule="auto"/>
        <w:rPr>
          <w:sz w:val="20"/>
          <w:szCs w:val="20"/>
          <w:color w:val="auto"/>
        </w:rPr>
      </w:pPr>
      <w:r>
        <w:rPr>
          <w:rFonts w:ascii="Times New Roman" w:cs="Times New Roman" w:eastAsia="Times New Roman" w:hAnsi="Times New Roman"/>
          <w:sz w:val="18"/>
          <w:szCs w:val="18"/>
          <w:color w:val="auto"/>
        </w:rPr>
        <w:t xml:space="preserve">Executive dated February 22, 2007) which have been made by either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shall not supersede any agreement setting forth the terms and conditions of the Executive’s employment with the Company or any subsidiary of the Company.</w:t>
      </w:r>
    </w:p>
    <w:p>
      <w:pPr>
        <w:spacing w:after="0" w:line="130" w:lineRule="exact"/>
        <w:rPr>
          <w:sz w:val="20"/>
          <w:szCs w:val="20"/>
          <w:color w:val="auto"/>
        </w:rPr>
      </w:pPr>
    </w:p>
    <w:p>
      <w:pPr>
        <w:jc w:val="both"/>
        <w:ind w:left="340" w:firstLine="1102"/>
        <w:spacing w:after="0" w:line="216" w:lineRule="auto"/>
        <w:rPr>
          <w:sz w:val="20"/>
          <w:szCs w:val="20"/>
          <w:color w:val="auto"/>
        </w:rPr>
      </w:pPr>
      <w:r>
        <w:rPr>
          <w:rFonts w:ascii="Times New Roman" w:cs="Times New Roman" w:eastAsia="Times New Roman" w:hAnsi="Times New Roman"/>
          <w:sz w:val="18"/>
          <w:szCs w:val="18"/>
          <w:color w:val="auto"/>
        </w:rPr>
        <w:t>8.2 This Agreement shall inure to the benefit of and be enforceable by the Executive’s personal or legal representatives, executors, administrators, successors, heirs, distributees, devisees and legatees. If the Executive shall die while any amount would still be payable to the Executive hereunder (other than amounts which, by their terms, terminate upon the death of the Executive) if the Executive had continued to</w:t>
      </w:r>
    </w:p>
    <w:p>
      <w:pPr>
        <w:spacing w:after="0" w:line="1" w:lineRule="exact"/>
        <w:rPr>
          <w:sz w:val="20"/>
          <w:szCs w:val="20"/>
          <w:color w:val="auto"/>
        </w:rPr>
      </w:pPr>
    </w:p>
    <w:p>
      <w:pPr>
        <w:jc w:val="both"/>
        <w:ind w:left="340"/>
        <w:spacing w:after="0" w:line="226" w:lineRule="auto"/>
        <w:rPr>
          <w:sz w:val="20"/>
          <w:szCs w:val="20"/>
          <w:color w:val="auto"/>
        </w:rPr>
      </w:pPr>
      <w:r>
        <w:rPr>
          <w:rFonts w:ascii="Times New Roman" w:cs="Times New Roman" w:eastAsia="Times New Roman" w:hAnsi="Times New Roman"/>
          <w:sz w:val="18"/>
          <w:szCs w:val="18"/>
          <w:color w:val="auto"/>
        </w:rPr>
        <w:t>live, all such amounts, unless otherwise provided herein, shall be paid in accordance with the terms of this Agreement to the executors, personal representatives or administrators of the Executive’s estate.</w:t>
      </w:r>
    </w:p>
    <w:p>
      <w:pPr>
        <w:spacing w:after="0" w:line="130" w:lineRule="exact"/>
        <w:rPr>
          <w:sz w:val="20"/>
          <w:szCs w:val="20"/>
          <w:color w:val="auto"/>
        </w:rPr>
      </w:pPr>
    </w:p>
    <w:p>
      <w:pPr>
        <w:jc w:val="both"/>
        <w:ind w:left="720" w:hanging="544"/>
        <w:spacing w:after="0" w:line="220" w:lineRule="auto"/>
        <w:tabs>
          <w:tab w:leader="none" w:pos="7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For the purpose of this Agreement, notices and all other communications provided for in the Agreement shall be in writing and shall be deemed to have been duly given when delivered or mailed by United States registered or certified mail, return receipt requested, postage prepaid, addressed to the last known residence address of the Executive or in the case of the Company, to its principal office to the attention of the General Counsel of the Company with a copy to its clerk or Secretary, or to such other address as either party may have furnished to the other in writing in accordance herewith, except that notice of change of address shall be effective only upon receipt.</w:t>
      </w:r>
    </w:p>
    <w:p>
      <w:pPr>
        <w:spacing w:after="0" w:line="131" w:lineRule="exact"/>
        <w:rPr>
          <w:rFonts w:ascii="Times New Roman" w:cs="Times New Roman" w:eastAsia="Times New Roman" w:hAnsi="Times New Roman"/>
          <w:sz w:val="18"/>
          <w:szCs w:val="18"/>
          <w:color w:val="auto"/>
        </w:rPr>
      </w:pPr>
    </w:p>
    <w:p>
      <w:pPr>
        <w:jc w:val="both"/>
        <w:ind w:left="720" w:hanging="544"/>
        <w:spacing w:after="0" w:line="215" w:lineRule="auto"/>
        <w:tabs>
          <w:tab w:leader="none" w:pos="7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No provision of this Agreement may be modified, waived or discharged unless such waiver, modification or discharge is agreed to in writing and signed by the Executive and such officer as may be specifically designated by the Board. No waiver by either party hereto at any time of any breach by the other party hereto of, or of any lack of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Agreement shall be governed by the laws of the State of Washington. All references to sections of the Exchange Act or the Code shall be deemed also to refer to any successor provisions to such sections. Any payments provided for hereunder shall be paid net of any applicable withholding required under federal, state or local law and any additional withholding to which the Executive has agreed. The obligations of the Company and the Executive under this Agreement which by their nature may require either partial or total performance after the expiration of the Term (including, without limitation, those under Sections 5, 6 and 14) shall survive such expiration.</w:t>
      </w:r>
    </w:p>
    <w:p>
      <w:pPr>
        <w:spacing w:after="0" w:line="116" w:lineRule="exact"/>
        <w:rPr>
          <w:rFonts w:ascii="Times New Roman" w:cs="Times New Roman" w:eastAsia="Times New Roman" w:hAnsi="Times New Roman"/>
          <w:sz w:val="18"/>
          <w:szCs w:val="18"/>
          <w:color w:val="auto"/>
        </w:rPr>
      </w:pPr>
    </w:p>
    <w:p>
      <w:pPr>
        <w:ind w:left="720" w:hanging="544"/>
        <w:spacing w:after="0" w:line="250" w:lineRule="auto"/>
        <w:tabs>
          <w:tab w:leader="none" w:pos="7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which shall remain in full force and effect.</w:t>
      </w:r>
    </w:p>
    <w:p>
      <w:pPr>
        <w:sectPr>
          <w:pgSz w:w="11900" w:h="16838" w:orient="portrait"/>
          <w:cols w:equalWidth="0" w:num="1">
            <w:col w:w="11020"/>
          </w:cols>
          <w:pgMar w:left="320" w:top="108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020"/>
          </w:cols>
          <w:pgMar w:left="320" w:top="1080" w:right="559" w:bottom="1440" w:gutter="0" w:footer="0" w:header="0"/>
          <w:type w:val="continuous"/>
        </w:sectPr>
      </w:pPr>
    </w:p>
    <w:bookmarkStart w:id="109" w:name="page110"/>
    <w:bookmarkEnd w:id="109"/>
    <w:p>
      <w:pPr>
        <w:ind w:left="720" w:hanging="544"/>
        <w:spacing w:after="0" w:line="237" w:lineRule="auto"/>
        <w:tabs>
          <w:tab w:leader="none" w:pos="7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each of which shall be deemed to be an original but all of which together will constitute one and the same instrument.</w:t>
      </w:r>
    </w:p>
    <w:p>
      <w:pPr>
        <w:spacing w:after="0" w:line="131" w:lineRule="exact"/>
        <w:rPr>
          <w:rFonts w:ascii="Times New Roman" w:cs="Times New Roman" w:eastAsia="Times New Roman" w:hAnsi="Times New Roman"/>
          <w:sz w:val="18"/>
          <w:szCs w:val="18"/>
          <w:color w:val="auto"/>
        </w:rPr>
      </w:pPr>
    </w:p>
    <w:p>
      <w:pPr>
        <w:ind w:left="720" w:hanging="544"/>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Disputes; Arbitration; 409A Compliance.</w:t>
      </w:r>
    </w:p>
    <w:p>
      <w:pPr>
        <w:spacing w:after="0" w:line="158" w:lineRule="exact"/>
        <w:rPr>
          <w:sz w:val="20"/>
          <w:szCs w:val="20"/>
          <w:color w:val="auto"/>
        </w:rPr>
      </w:pPr>
    </w:p>
    <w:p>
      <w:pPr>
        <w:jc w:val="both"/>
        <w:ind w:left="340" w:firstLine="1102"/>
        <w:spacing w:after="0" w:line="216" w:lineRule="auto"/>
        <w:rPr>
          <w:sz w:val="20"/>
          <w:szCs w:val="20"/>
          <w:color w:val="auto"/>
        </w:rPr>
      </w:pPr>
      <w:r>
        <w:rPr>
          <w:rFonts w:ascii="Times New Roman" w:cs="Times New Roman" w:eastAsia="Times New Roman" w:hAnsi="Times New Roman"/>
          <w:sz w:val="18"/>
          <w:szCs w:val="18"/>
          <w:color w:val="auto"/>
        </w:rPr>
        <w:t>13.1 All claims by the Executive for benefits under this Agreement shall be directed to and determined by the Board and shall be in writing. Any denial by the Board of a claim for benefits under this Agreement shall be delivered to the Executive in writing and shall set forth the specific reasons for the denial and the specific provisions of this Agreement relied upon. The Board shall afford a reasonable opportunity to the</w:t>
      </w:r>
    </w:p>
    <w:p>
      <w:pPr>
        <w:spacing w:after="0" w:line="1" w:lineRule="exact"/>
        <w:rPr>
          <w:sz w:val="20"/>
          <w:szCs w:val="20"/>
          <w:color w:val="auto"/>
        </w:rPr>
      </w:pPr>
    </w:p>
    <w:p>
      <w:pPr>
        <w:jc w:val="both"/>
        <w:ind w:left="340"/>
        <w:spacing w:after="0" w:line="226" w:lineRule="auto"/>
        <w:rPr>
          <w:sz w:val="20"/>
          <w:szCs w:val="20"/>
          <w:color w:val="auto"/>
        </w:rPr>
      </w:pPr>
      <w:r>
        <w:rPr>
          <w:rFonts w:ascii="Times New Roman" w:cs="Times New Roman" w:eastAsia="Times New Roman" w:hAnsi="Times New Roman"/>
          <w:sz w:val="18"/>
          <w:szCs w:val="18"/>
          <w:color w:val="auto"/>
        </w:rPr>
        <w:t>Executive for a review of the decision denying a claim and shall further allow the Executive to appeal to the Board a decision of the Board within sixty (60) days after notification by the Board that the Executive’s claim has been denied.</w:t>
      </w:r>
    </w:p>
    <w:p>
      <w:pPr>
        <w:spacing w:after="0" w:line="130" w:lineRule="exact"/>
        <w:rPr>
          <w:sz w:val="20"/>
          <w:szCs w:val="20"/>
          <w:color w:val="auto"/>
        </w:rPr>
      </w:pPr>
    </w:p>
    <w:p>
      <w:pPr>
        <w:jc w:val="both"/>
        <w:ind w:left="340" w:firstLine="1102"/>
        <w:spacing w:after="0" w:line="216" w:lineRule="auto"/>
        <w:rPr>
          <w:sz w:val="20"/>
          <w:szCs w:val="20"/>
          <w:color w:val="auto"/>
        </w:rPr>
      </w:pPr>
      <w:r>
        <w:rPr>
          <w:rFonts w:ascii="Times New Roman" w:cs="Times New Roman" w:eastAsia="Times New Roman" w:hAnsi="Times New Roman"/>
          <w:sz w:val="18"/>
          <w:szCs w:val="18"/>
          <w:color w:val="auto"/>
        </w:rPr>
        <w:t xml:space="preserve">13.2 Any further dispute or controversy arising under or in connection with this Agreement shall be settled exclusively by arbitration in Seattle, Washington in accordance with the rules of the American Arbitration Association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evidentiary standards set forth in this Agreement shall apply. Judgment may be entered on the arbitrator’s award in any court having jurisdiction.</w:t>
      </w:r>
    </w:p>
    <w:p>
      <w:pPr>
        <w:spacing w:after="0" w:line="1" w:lineRule="exact"/>
        <w:rPr>
          <w:sz w:val="20"/>
          <w:szCs w:val="20"/>
          <w:color w:val="auto"/>
        </w:rPr>
      </w:pPr>
    </w:p>
    <w:p>
      <w:pPr>
        <w:jc w:val="both"/>
        <w:ind w:left="340" w:right="20"/>
        <w:spacing w:after="0" w:line="239" w:lineRule="auto"/>
        <w:rPr>
          <w:sz w:val="20"/>
          <w:szCs w:val="20"/>
          <w:color w:val="auto"/>
        </w:rPr>
      </w:pPr>
      <w:r>
        <w:rPr>
          <w:rFonts w:ascii="Times New Roman" w:cs="Times New Roman" w:eastAsia="Times New Roman" w:hAnsi="Times New Roman"/>
          <w:sz w:val="17"/>
          <w:szCs w:val="17"/>
          <w:color w:val="auto"/>
        </w:rPr>
        <w:t>Notwithstanding any provision of this Agreement to the contrary, the Executive shall be entitled to seek specific performance of the Executive’s right to be paid until the Date of Termination during the pendency of any dispute or controversy arising under or in connection with this Agreement.</w:t>
      </w:r>
    </w:p>
    <w:p>
      <w:pPr>
        <w:spacing w:after="0" w:line="131" w:lineRule="exact"/>
        <w:rPr>
          <w:sz w:val="20"/>
          <w:szCs w:val="20"/>
          <w:color w:val="auto"/>
        </w:rPr>
      </w:pPr>
    </w:p>
    <w:p>
      <w:pPr>
        <w:jc w:val="both"/>
        <w:ind w:left="340" w:firstLine="1102"/>
        <w:spacing w:after="0" w:line="226" w:lineRule="auto"/>
        <w:rPr>
          <w:sz w:val="20"/>
          <w:szCs w:val="20"/>
          <w:color w:val="auto"/>
        </w:rPr>
      </w:pPr>
      <w:r>
        <w:rPr>
          <w:rFonts w:ascii="Times New Roman" w:cs="Times New Roman" w:eastAsia="Times New Roman" w:hAnsi="Times New Roman"/>
          <w:sz w:val="18"/>
          <w:szCs w:val="18"/>
          <w:color w:val="auto"/>
        </w:rPr>
        <w:t>13.3 It is the intention of the Company and the Executive that this Agreement not result in taxation of the Executive under Section 409A of the Code and the regulations and guidance promulgated thereunder and that the Agreement shall be construed in accordance with such intention. Without limiting the generality of the foregoing, the Company and the Executive agree as follows:</w:t>
      </w:r>
    </w:p>
    <w:p>
      <w:pPr>
        <w:spacing w:after="0" w:line="131" w:lineRule="exact"/>
        <w:rPr>
          <w:sz w:val="20"/>
          <w:szCs w:val="20"/>
          <w:color w:val="auto"/>
        </w:rPr>
      </w:pPr>
    </w:p>
    <w:p>
      <w:pPr>
        <w:jc w:val="both"/>
        <w:ind w:left="720" w:firstLine="1038"/>
        <w:spacing w:after="0" w:line="213" w:lineRule="auto"/>
        <w:tabs>
          <w:tab w:leader="none" w:pos="2587"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if the Executive is a “specified employee” (within the meaning of Section 409A(a)(2)(B)(i) of the Code) with respect to the Company, any amounts (or benefits) otherwise payable to or in respect of him under this Agreement pursuant to the Executive’s termination of employment with the Company shall be delayed, to the extent required so that taxes are not imposed on the Executive pursuant to Section 409A of the Code, and shall be paid upon the earliest date permitted by Section 409A(a)</w:t>
      </w:r>
    </w:p>
    <w:p>
      <w:pPr>
        <w:ind w:left="980" w:hanging="259"/>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137" w:lineRule="exact"/>
        <w:rPr>
          <w:rFonts w:ascii="Times New Roman" w:cs="Times New Roman" w:eastAsia="Times New Roman" w:hAnsi="Times New Roman"/>
          <w:sz w:val="18"/>
          <w:szCs w:val="18"/>
          <w:color w:val="auto"/>
        </w:rPr>
      </w:pPr>
    </w:p>
    <w:p>
      <w:pPr>
        <w:ind w:left="720" w:firstLine="1038"/>
        <w:spacing w:after="0" w:line="237" w:lineRule="auto"/>
        <w:tabs>
          <w:tab w:leader="none" w:pos="2591"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Executive’s employment with the Company will not be treated as terminated unless and until such termination of employment constitutes a “separation from service” for purposes of Section 409A of the Code;</w:t>
      </w:r>
    </w:p>
    <w:p>
      <w:pPr>
        <w:spacing w:after="0" w:line="131" w:lineRule="exact"/>
        <w:rPr>
          <w:rFonts w:ascii="Times New Roman" w:cs="Times New Roman" w:eastAsia="Times New Roman" w:hAnsi="Times New Roman"/>
          <w:sz w:val="18"/>
          <w:szCs w:val="18"/>
          <w:color w:val="auto"/>
        </w:rPr>
      </w:pPr>
    </w:p>
    <w:p>
      <w:pPr>
        <w:jc w:val="both"/>
        <w:ind w:left="720" w:firstLine="1038"/>
        <w:spacing w:after="0" w:line="215" w:lineRule="auto"/>
        <w:tabs>
          <w:tab w:leader="none" w:pos="2591"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comply with the provisions of Section 409A of the Code and the guidance issued thereunder (1) reimbursements to the Executive as a result of the operation of Section 5.1(B) or Section 5.4 hereof shall be made not later than the end of the calendar year following the year in which the reimbursable expense is incurred or applicable tax is paid and shall otherwise be made in a manner that complies with the requirements of Treasury Regulation Section 1.409A-3(i)(l)(iv), (2) if Executive is a “specified employee” (within the meaning of Section 409A(a)(2)(B)(i) of the Code), any reimbursements to the Executive as a result of the operation of such sections with respect to a reimbursable event within the first six months following the Date of Termination which are required to be delayed pursuant to Section 13.1(A) shall be made as soon as practicable following the date which is six months and one day following the Date of Termination (subject to clause (A) of this sentence); and</w:t>
      </w:r>
    </w:p>
    <w:p>
      <w:pPr>
        <w:spacing w:after="0" w:line="136" w:lineRule="exact"/>
        <w:rPr>
          <w:rFonts w:ascii="Times New Roman" w:cs="Times New Roman" w:eastAsia="Times New Roman" w:hAnsi="Times New Roman"/>
          <w:sz w:val="18"/>
          <w:szCs w:val="18"/>
          <w:color w:val="auto"/>
        </w:rPr>
      </w:pPr>
    </w:p>
    <w:p>
      <w:pPr>
        <w:jc w:val="both"/>
        <w:ind w:left="720" w:firstLine="1038"/>
        <w:spacing w:after="0" w:line="224" w:lineRule="auto"/>
        <w:tabs>
          <w:tab w:leader="none" w:pos="2587"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provisions of Section 4.3 or 5.1(C) are applicable to an equity or equity-based award subject to the provisions of Section 409A of the Code and the immediate payment of the award contemplated by such sections would result in taxation under Section 409A, payment of such awards shall be made upon the earliest date upon which such payment may be made without resulting in taxation under Section 409A of the Code.</w:t>
      </w:r>
    </w:p>
    <w:p>
      <w:pPr>
        <w:spacing w:after="0" w:line="118" w:lineRule="exact"/>
        <w:rPr>
          <w:rFonts w:ascii="Times New Roman" w:cs="Times New Roman" w:eastAsia="Times New Roman" w:hAnsi="Times New Roman"/>
          <w:sz w:val="18"/>
          <w:szCs w:val="18"/>
          <w:color w:val="auto"/>
        </w:rPr>
      </w:pPr>
    </w:p>
    <w:p>
      <w:pPr>
        <w:ind w:left="720" w:hanging="544"/>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Non-Disparagement.</w:t>
      </w:r>
    </w:p>
    <w:p>
      <w:pPr>
        <w:spacing w:after="0" w:line="158" w:lineRule="exact"/>
        <w:rPr>
          <w:sz w:val="20"/>
          <w:szCs w:val="20"/>
          <w:color w:val="auto"/>
        </w:rPr>
      </w:pPr>
    </w:p>
    <w:p>
      <w:pPr>
        <w:jc w:val="both"/>
        <w:ind w:left="340" w:firstLine="1102"/>
        <w:spacing w:after="0" w:line="222" w:lineRule="auto"/>
        <w:rPr>
          <w:sz w:val="20"/>
          <w:szCs w:val="20"/>
          <w:color w:val="auto"/>
        </w:rPr>
      </w:pPr>
      <w:r>
        <w:rPr>
          <w:rFonts w:ascii="Times New Roman" w:cs="Times New Roman" w:eastAsia="Times New Roman" w:hAnsi="Times New Roman"/>
          <w:sz w:val="18"/>
          <w:szCs w:val="18"/>
          <w:color w:val="auto"/>
        </w:rPr>
        <w:t>14.1 During the period commencing on the Date of Termination and ending upon the first anniversary of the Date of Termination, the Executive shall not, directly or indirectly: (i) recruit, hire or solicit for employment or engagement, any person who is employed by the</w:t>
      </w:r>
    </w:p>
    <w:p>
      <w:pPr>
        <w:spacing w:after="0" w:line="2" w:lineRule="exact"/>
        <w:rPr>
          <w:sz w:val="20"/>
          <w:szCs w:val="20"/>
          <w:color w:val="auto"/>
        </w:rPr>
      </w:pPr>
    </w:p>
    <w:p>
      <w:pPr>
        <w:jc w:val="both"/>
        <w:ind w:left="340"/>
        <w:spacing w:after="0" w:line="208" w:lineRule="auto"/>
        <w:rPr>
          <w:sz w:val="20"/>
          <w:szCs w:val="20"/>
          <w:color w:val="auto"/>
        </w:rPr>
      </w:pPr>
      <w:r>
        <w:rPr>
          <w:rFonts w:ascii="Times New Roman" w:cs="Times New Roman" w:eastAsia="Times New Roman" w:hAnsi="Times New Roman"/>
          <w:sz w:val="18"/>
          <w:szCs w:val="18"/>
          <w:color w:val="auto"/>
        </w:rPr>
        <w:t>Company or any Affiliate, or (ii) solicit (A) any client or customer doing business with the Company or any Affiliate, as of the Date of Termination and with whom or which the Executive had any contact or involvement during the Executive’s employment with the Company or (B) any prospective client or customer of the Company or any Affiliate whom or which is a prospective client of the Company or any Affiliate as of the</w:t>
      </w:r>
    </w:p>
    <w:p>
      <w:pPr>
        <w:spacing w:after="0" w:line="2" w:lineRule="exact"/>
        <w:rPr>
          <w:sz w:val="20"/>
          <w:szCs w:val="20"/>
          <w:color w:val="auto"/>
        </w:rPr>
      </w:pPr>
    </w:p>
    <w:p>
      <w:pPr>
        <w:jc w:val="both"/>
        <w:ind w:left="340"/>
        <w:spacing w:after="0" w:line="226" w:lineRule="auto"/>
        <w:rPr>
          <w:sz w:val="20"/>
          <w:szCs w:val="20"/>
          <w:color w:val="auto"/>
        </w:rPr>
      </w:pPr>
      <w:r>
        <w:rPr>
          <w:rFonts w:ascii="Times New Roman" w:cs="Times New Roman" w:eastAsia="Times New Roman" w:hAnsi="Times New Roman"/>
          <w:sz w:val="18"/>
          <w:szCs w:val="18"/>
          <w:color w:val="auto"/>
        </w:rPr>
        <w:t>Date of Termination and with whom or which the Executive had any contact or involvement during the Executive’s employment with the Company to adversely alter its relationship or cease doing business with the Company or any Affiliate.</w:t>
      </w:r>
    </w:p>
    <w:p>
      <w:pPr>
        <w:spacing w:after="0" w:line="130" w:lineRule="exact"/>
        <w:rPr>
          <w:sz w:val="20"/>
          <w:szCs w:val="20"/>
          <w:color w:val="auto"/>
        </w:rPr>
      </w:pPr>
    </w:p>
    <w:p>
      <w:pPr>
        <w:jc w:val="both"/>
        <w:ind w:left="340" w:firstLine="1102"/>
        <w:spacing w:after="0" w:line="237" w:lineRule="auto"/>
        <w:rPr>
          <w:sz w:val="20"/>
          <w:szCs w:val="20"/>
          <w:color w:val="auto"/>
        </w:rPr>
      </w:pPr>
      <w:r>
        <w:rPr>
          <w:rFonts w:ascii="Times New Roman" w:cs="Times New Roman" w:eastAsia="Times New Roman" w:hAnsi="Times New Roman"/>
          <w:sz w:val="18"/>
          <w:szCs w:val="18"/>
          <w:color w:val="auto"/>
        </w:rPr>
        <w:t>14.2 Following the Date of Termination and thereafter, the Executive shall not, directly or indirectly, make disparaging remarks about the Company or any Affiliate or any of their respective directors, officers or employees.</w:t>
      </w:r>
    </w:p>
    <w:p>
      <w:pPr>
        <w:spacing w:after="0" w:line="131" w:lineRule="exact"/>
        <w:rPr>
          <w:sz w:val="20"/>
          <w:szCs w:val="20"/>
          <w:color w:val="auto"/>
        </w:rPr>
      </w:pPr>
    </w:p>
    <w:p>
      <w:pPr>
        <w:ind w:left="720" w:hanging="544"/>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indicated below:</w:t>
      </w:r>
    </w:p>
    <w:p>
      <w:pPr>
        <w:spacing w:after="0" w:line="144"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“Affiliate” shall have the meaning set forth in Rule 12b-2 promulgated under Section 12 of the Exchange Act.</w:t>
      </w:r>
    </w:p>
    <w:p>
      <w:pPr>
        <w:spacing w:after="0" w:line="158"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“Agreement Payments” shall have the meaning set forth in Section 5.2.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020"/>
          </w:cols>
          <w:pgMar w:left="320" w:top="1080" w:right="559" w:bottom="1440" w:gutter="0" w:footer="0" w:header="0"/>
        </w:sectPr>
      </w:pPr>
    </w:p>
    <w:bookmarkStart w:id="110" w:name="page111"/>
    <w:bookmarkEnd w:id="110"/>
    <w:p>
      <w:pPr>
        <w:jc w:val="both"/>
        <w:ind w:left="340" w:firstLine="1102"/>
        <w:spacing w:after="0" w:line="222" w:lineRule="auto"/>
        <w:rPr>
          <w:sz w:val="20"/>
          <w:szCs w:val="20"/>
          <w:color w:val="auto"/>
        </w:rPr>
      </w:pPr>
      <w:r>
        <w:rPr>
          <w:rFonts w:ascii="Times New Roman" w:cs="Times New Roman" w:eastAsia="Times New Roman" w:hAnsi="Times New Roman"/>
          <w:sz w:val="18"/>
          <w:szCs w:val="18"/>
          <w:color w:val="auto"/>
        </w:rPr>
        <w:t>15.3 “Base Salary” shall mean the annual base salary in effect for the Executive immediately prior to a Change in Control, as such salary may be increased from time to time during the Term (in which case such increased amount shall be the Base Salary for purposes hereof), but</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without giving effect to any reduction thereto.</w:t>
      </w:r>
    </w:p>
    <w:p>
      <w:pPr>
        <w:spacing w:after="0" w:line="124"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color w:val="auto"/>
        </w:rPr>
        <w:t>“Beneficial Owner” shall have the meaning set forth in Rule 13d-3 under the Exchange Act.</w:t>
      </w:r>
    </w:p>
    <w:p>
      <w:pPr>
        <w:spacing w:after="0" w:line="158"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7"/>
          <w:szCs w:val="17"/>
          <w:color w:val="auto"/>
        </w:rPr>
        <w:t>“Board” shall mean the Board of Directors of the Company.</w:t>
      </w:r>
    </w:p>
    <w:p>
      <w:pPr>
        <w:spacing w:after="0" w:line="158" w:lineRule="exact"/>
        <w:rPr>
          <w:sz w:val="20"/>
          <w:szCs w:val="20"/>
          <w:color w:val="auto"/>
        </w:rPr>
      </w:pPr>
    </w:p>
    <w:p>
      <w:pPr>
        <w:jc w:val="both"/>
        <w:ind w:left="340" w:firstLine="1102"/>
        <w:spacing w:after="0" w:line="216" w:lineRule="auto"/>
        <w:rPr>
          <w:sz w:val="20"/>
          <w:szCs w:val="20"/>
          <w:color w:val="auto"/>
        </w:rPr>
      </w:pPr>
      <w:r>
        <w:rPr>
          <w:rFonts w:ascii="Times New Roman" w:cs="Times New Roman" w:eastAsia="Times New Roman" w:hAnsi="Times New Roman"/>
          <w:sz w:val="18"/>
          <w:szCs w:val="18"/>
          <w:color w:val="auto"/>
        </w:rPr>
        <w:t>15.6 “Cause” for termination by the Company of the Executive’s employment shall mean (i) the willful and continued failure by the Executive (other than any such failure resulting from (A) the Executive’s incapacity due to physical or mental illness, (B) any such actual or anticipated failure after the issuance of a Notice of Termination by the Executive for Good Reason or (C) the Company’s active or passive</w:t>
      </w:r>
    </w:p>
    <w:p>
      <w:pPr>
        <w:spacing w:after="0" w:line="1" w:lineRule="exact"/>
        <w:rPr>
          <w:sz w:val="20"/>
          <w:szCs w:val="20"/>
          <w:color w:val="auto"/>
        </w:rPr>
      </w:pPr>
    </w:p>
    <w:p>
      <w:pPr>
        <w:jc w:val="both"/>
        <w:ind w:left="340"/>
        <w:spacing w:after="0" w:line="208" w:lineRule="auto"/>
        <w:rPr>
          <w:sz w:val="20"/>
          <w:szCs w:val="20"/>
          <w:color w:val="auto"/>
        </w:rPr>
      </w:pPr>
      <w:r>
        <w:rPr>
          <w:rFonts w:ascii="Times New Roman" w:cs="Times New Roman" w:eastAsia="Times New Roman" w:hAnsi="Times New Roman"/>
          <w:sz w:val="18"/>
          <w:szCs w:val="18"/>
          <w:color w:val="auto"/>
        </w:rPr>
        <w:t>obstruction of the performance of the Executive’s duties and responsibilities) to perform substantially the duties and responsibilities of the Executive’s position with the Company after a written demand for substantial performance is delivered to the Executive by the Board, which demand specifically identifies the manner in which the Board believes that the Executive has not substantially performed such duties or</w:t>
      </w:r>
    </w:p>
    <w:p>
      <w:pPr>
        <w:spacing w:after="0" w:line="2" w:lineRule="exact"/>
        <w:rPr>
          <w:sz w:val="20"/>
          <w:szCs w:val="20"/>
          <w:color w:val="auto"/>
        </w:rPr>
      </w:pPr>
    </w:p>
    <w:p>
      <w:pPr>
        <w:jc w:val="both"/>
        <w:ind w:left="340"/>
        <w:spacing w:after="0" w:line="220" w:lineRule="auto"/>
        <w:rPr>
          <w:sz w:val="20"/>
          <w:szCs w:val="20"/>
          <w:color w:val="auto"/>
        </w:rPr>
      </w:pPr>
      <w:r>
        <w:rPr>
          <w:rFonts w:ascii="Times New Roman" w:cs="Times New Roman" w:eastAsia="Times New Roman" w:hAnsi="Times New Roman"/>
          <w:sz w:val="17"/>
          <w:szCs w:val="17"/>
          <w:color w:val="auto"/>
        </w:rPr>
        <w:t>responsibilities; (ii) the conviction of the Executive by a court of competent jurisdiction for felony criminal conduct; (iii) the willful engaging by the Executive in fraud or dishonesty which is demonstrably and materially injurious to the Company or its reputation, monetarily or otherwise; (iv) the willful and serious misconduct by the Executive; or (v) the material violation by the Executive of the Company’s policies or procedures in effect</w:t>
      </w:r>
    </w:p>
    <w:p>
      <w:pPr>
        <w:spacing w:after="0" w:line="2" w:lineRule="exact"/>
        <w:rPr>
          <w:sz w:val="20"/>
          <w:szCs w:val="20"/>
          <w:color w:val="auto"/>
        </w:rPr>
      </w:pPr>
    </w:p>
    <w:p>
      <w:pPr>
        <w:jc w:val="both"/>
        <w:ind w:left="340"/>
        <w:spacing w:after="0" w:line="218" w:lineRule="auto"/>
        <w:rPr>
          <w:sz w:val="20"/>
          <w:szCs w:val="20"/>
          <w:color w:val="auto"/>
        </w:rPr>
      </w:pPr>
      <w:r>
        <w:rPr>
          <w:rFonts w:ascii="Times New Roman" w:cs="Times New Roman" w:eastAsia="Times New Roman" w:hAnsi="Times New Roman"/>
          <w:sz w:val="18"/>
          <w:szCs w:val="18"/>
          <w:color w:val="auto"/>
        </w:rPr>
        <w:t>from time to time which results in a material adverse effect on the Company. No act, or failure to act, on the Executive’s part shall be deemed “willful” unless committed, or omitted by the Executive in bad faith and without reasonable belief that the Executive’s act or failure to act was in, or not opposed to, the best interest of the Company.</w:t>
      </w:r>
    </w:p>
    <w:p>
      <w:pPr>
        <w:spacing w:after="0" w:line="131" w:lineRule="exact"/>
        <w:rPr>
          <w:sz w:val="20"/>
          <w:szCs w:val="20"/>
          <w:color w:val="auto"/>
        </w:rPr>
      </w:pPr>
    </w:p>
    <w:p>
      <w:pPr>
        <w:jc w:val="both"/>
        <w:ind w:left="340" w:firstLine="1102"/>
        <w:spacing w:after="0" w:line="237" w:lineRule="auto"/>
        <w:rPr>
          <w:sz w:val="20"/>
          <w:szCs w:val="20"/>
          <w:color w:val="auto"/>
        </w:rPr>
      </w:pPr>
      <w:r>
        <w:rPr>
          <w:rFonts w:ascii="Times New Roman" w:cs="Times New Roman" w:eastAsia="Times New Roman" w:hAnsi="Times New Roman"/>
          <w:sz w:val="18"/>
          <w:szCs w:val="18"/>
          <w:color w:val="auto"/>
        </w:rPr>
        <w:t>15.7 A “Change in Control” shall be deemed to have occurred if any of the events set forth in any one of the following paragraphs shall have occurred:</w:t>
      </w:r>
    </w:p>
    <w:p>
      <w:pPr>
        <w:spacing w:after="0" w:line="131" w:lineRule="exact"/>
        <w:rPr>
          <w:sz w:val="20"/>
          <w:szCs w:val="20"/>
          <w:color w:val="auto"/>
        </w:rPr>
      </w:pPr>
    </w:p>
    <w:p>
      <w:pPr>
        <w:jc w:val="both"/>
        <w:ind w:left="720" w:firstLine="1038"/>
        <w:spacing w:after="0" w:line="224" w:lineRule="auto"/>
        <w:tabs>
          <w:tab w:leader="none" w:pos="258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or becomes the Beneficial Owner, directly or indirectly, of securities of the Company representing 25% or more of either the then outstanding shares of common stock of the Company or the combined voting power of the Company’s then outstanding securities, excluding any Person who becomes such a Beneficial Owner in connection with a transaction described in Section 15.7(C)(i);</w:t>
      </w:r>
    </w:p>
    <w:p>
      <w:pPr>
        <w:spacing w:after="0" w:line="131" w:lineRule="exact"/>
        <w:rPr>
          <w:rFonts w:ascii="Times New Roman" w:cs="Times New Roman" w:eastAsia="Times New Roman" w:hAnsi="Times New Roman"/>
          <w:sz w:val="18"/>
          <w:szCs w:val="18"/>
          <w:color w:val="auto"/>
        </w:rPr>
      </w:pPr>
    </w:p>
    <w:p>
      <w:pPr>
        <w:jc w:val="both"/>
        <w:ind w:left="720" w:firstLine="1038"/>
        <w:spacing w:after="0" w:line="215" w:lineRule="auto"/>
        <w:tabs>
          <w:tab w:leader="none" w:pos="25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during any two-year period such that the individuals who, as of the date of this agreement, constitute the Board (the “Incumbent Board”)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23" w:lineRule="exact"/>
        <w:rPr>
          <w:rFonts w:ascii="Times New Roman" w:cs="Times New Roman" w:eastAsia="Times New Roman" w:hAnsi="Times New Roman"/>
          <w:sz w:val="18"/>
          <w:szCs w:val="18"/>
          <w:color w:val="auto"/>
        </w:rPr>
      </w:pPr>
    </w:p>
    <w:p>
      <w:pPr>
        <w:jc w:val="both"/>
        <w:ind w:left="720" w:firstLine="1038"/>
        <w:spacing w:after="0" w:line="217" w:lineRule="auto"/>
        <w:tabs>
          <w:tab w:leader="none" w:pos="25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25% or more of the combined voting power of the Company’s then outstanding securities; or</w:t>
      </w:r>
    </w:p>
    <w:p>
      <w:pPr>
        <w:spacing w:after="0" w:line="134" w:lineRule="exact"/>
        <w:rPr>
          <w:rFonts w:ascii="Times New Roman" w:cs="Times New Roman" w:eastAsia="Times New Roman" w:hAnsi="Times New Roman"/>
          <w:sz w:val="18"/>
          <w:szCs w:val="18"/>
          <w:color w:val="auto"/>
        </w:rPr>
      </w:pPr>
    </w:p>
    <w:p>
      <w:pPr>
        <w:jc w:val="both"/>
        <w:ind w:left="720" w:firstLine="1038"/>
        <w:spacing w:after="0" w:line="220" w:lineRule="auto"/>
        <w:tabs>
          <w:tab w:leader="none" w:pos="258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of the Company in substantially the same proportions as their ownership of the Company immediately prior to such sale.</w:t>
      </w:r>
    </w:p>
    <w:p>
      <w:pPr>
        <w:spacing w:after="0" w:line="131"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7"/>
          <w:szCs w:val="17"/>
          <w:color w:val="auto"/>
        </w:rPr>
        <w:t>“Code” shall mean the Internal Revenue Code of 1986, as amended from time to time.</w:t>
      </w:r>
    </w:p>
    <w:p>
      <w:pPr>
        <w:spacing w:after="0" w:line="158" w:lineRule="exact"/>
        <w:rPr>
          <w:sz w:val="20"/>
          <w:szCs w:val="20"/>
          <w:color w:val="auto"/>
        </w:rPr>
      </w:pPr>
    </w:p>
    <w:p>
      <w:pPr>
        <w:jc w:val="both"/>
        <w:ind w:left="340" w:firstLine="1102"/>
        <w:spacing w:after="0" w:line="226" w:lineRule="auto"/>
        <w:rPr>
          <w:sz w:val="20"/>
          <w:szCs w:val="20"/>
          <w:color w:val="auto"/>
        </w:rPr>
      </w:pPr>
      <w:r>
        <w:rPr>
          <w:rFonts w:ascii="Times New Roman" w:cs="Times New Roman" w:eastAsia="Times New Roman" w:hAnsi="Times New Roman"/>
          <w:sz w:val="18"/>
          <w:szCs w:val="18"/>
          <w:color w:val="auto"/>
        </w:rPr>
        <w:t>15.9 “Company” shall mean Itron, Inc. and, except in determining under Section 15.7 whether or not any Change in Control of the Company has occurred, shall include any successor to its business and/or assets which assumes and agrees to perform this Agreement by operation of law, or otherwise.</w:t>
      </w:r>
    </w:p>
    <w:p>
      <w:pPr>
        <w:spacing w:after="0" w:line="1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15.10 “Date of Termination” shall have the meaning set forth in Section 6.2.</w:t>
      </w:r>
    </w:p>
    <w:p>
      <w:pPr>
        <w:spacing w:after="0" w:line="158" w:lineRule="exact"/>
        <w:rPr>
          <w:sz w:val="20"/>
          <w:szCs w:val="20"/>
          <w:color w:val="auto"/>
        </w:rPr>
      </w:pPr>
    </w:p>
    <w:p>
      <w:pPr>
        <w:jc w:val="both"/>
        <w:ind w:left="340" w:firstLine="1102"/>
        <w:spacing w:after="0" w:line="216" w:lineRule="auto"/>
        <w:rPr>
          <w:sz w:val="20"/>
          <w:szCs w:val="20"/>
          <w:color w:val="auto"/>
        </w:rPr>
      </w:pPr>
      <w:r>
        <w:rPr>
          <w:rFonts w:ascii="Times New Roman" w:cs="Times New Roman" w:eastAsia="Times New Roman" w:hAnsi="Times New Roman"/>
          <w:sz w:val="18"/>
          <w:szCs w:val="18"/>
          <w:color w:val="auto"/>
        </w:rPr>
        <w:t>15.11 “Disability” shall be deemed the reason for the termination by the Company of the Executive’s employment, if, as a result of the Executive’s incapacity due to physical or mental illness, the Executive shall have been absent from the full-time performance of the Executive’s duties with the Company for a period of at least one hundred twenty (120) days, the Company shall have given the Executive a Notice of</w:t>
      </w:r>
    </w:p>
    <w:p>
      <w:pPr>
        <w:spacing w:after="0" w:line="1" w:lineRule="exact"/>
        <w:rPr>
          <w:sz w:val="20"/>
          <w:szCs w:val="20"/>
          <w:color w:val="auto"/>
        </w:rPr>
      </w:pPr>
    </w:p>
    <w:p>
      <w:pPr>
        <w:jc w:val="both"/>
        <w:ind w:left="340"/>
        <w:spacing w:after="0" w:line="208" w:lineRule="auto"/>
        <w:rPr>
          <w:sz w:val="20"/>
          <w:szCs w:val="20"/>
          <w:color w:val="auto"/>
        </w:rPr>
      </w:pPr>
      <w:r>
        <w:rPr>
          <w:rFonts w:ascii="Times New Roman" w:cs="Times New Roman" w:eastAsia="Times New Roman" w:hAnsi="Times New Roman"/>
          <w:sz w:val="18"/>
          <w:szCs w:val="18"/>
          <w:color w:val="auto"/>
        </w:rPr>
        <w:t>Termination for Disability, and, within thirty (30) days after such Notice of Termination is given, the Executive shall not have returned to the full-time performance of the Executive’s duties. Any question as to the existence of the Executive’s Disability upon which the Executive and the Company cannot agree shall be determined by a qualified independent physician selected by the Executive (or, if the Executive is unable to make</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such selection, it shall be made by any adult member of the Executive’s immediate family)</w:t>
      </w:r>
    </w:p>
    <w:p>
      <w:pPr>
        <w:sectPr>
          <w:pgSz w:w="11900" w:h="16838" w:orient="portrait"/>
          <w:cols w:equalWidth="0" w:num="1">
            <w:col w:w="11020"/>
          </w:cols>
          <w:pgMar w:left="320" w:top="108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020"/>
          </w:cols>
          <w:pgMar w:left="320" w:top="1080" w:right="559" w:bottom="1440" w:gutter="0" w:footer="0" w:header="0"/>
          <w:type w:val="continuous"/>
        </w:sectPr>
      </w:pPr>
    </w:p>
    <w:bookmarkStart w:id="111" w:name="page112"/>
    <w:bookmarkEnd w:id="111"/>
    <w:p>
      <w:pPr>
        <w:jc w:val="both"/>
        <w:ind w:left="340"/>
        <w:spacing w:after="0" w:line="237" w:lineRule="auto"/>
        <w:rPr>
          <w:sz w:val="20"/>
          <w:szCs w:val="20"/>
          <w:color w:val="auto"/>
        </w:rPr>
      </w:pPr>
      <w:r>
        <w:rPr>
          <w:rFonts w:ascii="Times New Roman" w:cs="Times New Roman" w:eastAsia="Times New Roman" w:hAnsi="Times New Roman"/>
          <w:sz w:val="18"/>
          <w:szCs w:val="18"/>
          <w:color w:val="auto"/>
        </w:rPr>
        <w:t>and approved by the Company. The determination of such physician made in writing to the Company and to the Executive shall be final and conclusive for all purposes of this Agreement, absent fraud.</w:t>
      </w:r>
    </w:p>
    <w:p>
      <w:pPr>
        <w:spacing w:after="0" w:line="1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15.12 “Exchange Act” shall mean the Securities Exchange Act of 1934, as amended from time to time.</w:t>
      </w:r>
    </w:p>
    <w:p>
      <w:pPr>
        <w:spacing w:after="0" w:line="15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15.13 “Excise Tax” shall mean any excise tax imposed under section 4999 of the Code.</w:t>
      </w:r>
    </w:p>
    <w:p>
      <w:pPr>
        <w:spacing w:after="0" w:line="14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15.14 “Executive” shall mean the individual named in the first paragraph of this Agreement.</w:t>
      </w:r>
    </w:p>
    <w:p>
      <w:pPr>
        <w:spacing w:after="0" w:line="158" w:lineRule="exact"/>
        <w:rPr>
          <w:sz w:val="20"/>
          <w:szCs w:val="20"/>
          <w:color w:val="auto"/>
        </w:rPr>
      </w:pPr>
    </w:p>
    <w:p>
      <w:pPr>
        <w:jc w:val="both"/>
        <w:ind w:left="340" w:firstLine="1102"/>
        <w:spacing w:after="0" w:line="222" w:lineRule="auto"/>
        <w:rPr>
          <w:sz w:val="20"/>
          <w:szCs w:val="20"/>
          <w:color w:val="auto"/>
        </w:rPr>
      </w:pPr>
      <w:r>
        <w:rPr>
          <w:rFonts w:ascii="Times New Roman" w:cs="Times New Roman" w:eastAsia="Times New Roman" w:hAnsi="Times New Roman"/>
          <w:sz w:val="18"/>
          <w:szCs w:val="18"/>
          <w:color w:val="auto"/>
        </w:rPr>
        <w:t>15.15 “Good Reason” for termination by the Executive of the Executive’s employment shall mean the occurrence (without the Executive’s express written consent) after any Change in Control, or prior to a Change in Control under the circumstances described in the second</w:t>
      </w:r>
    </w:p>
    <w:p>
      <w:pPr>
        <w:spacing w:after="0" w:line="2" w:lineRule="exact"/>
        <w:rPr>
          <w:sz w:val="20"/>
          <w:szCs w:val="20"/>
          <w:color w:val="auto"/>
        </w:rPr>
      </w:pPr>
    </w:p>
    <w:p>
      <w:pPr>
        <w:jc w:val="both"/>
        <w:ind w:left="340"/>
        <w:spacing w:after="0" w:line="208" w:lineRule="auto"/>
        <w:rPr>
          <w:sz w:val="20"/>
          <w:szCs w:val="20"/>
          <w:color w:val="auto"/>
        </w:rPr>
      </w:pPr>
      <w:r>
        <w:rPr>
          <w:rFonts w:ascii="Times New Roman" w:cs="Times New Roman" w:eastAsia="Times New Roman" w:hAnsi="Times New Roman"/>
          <w:sz w:val="18"/>
          <w:szCs w:val="18"/>
          <w:color w:val="auto"/>
        </w:rPr>
        <w:t>sentence of Section 5.1 (treating all references in subsections (A) through (F) below to a “Change in Control” as references to a “Potential Change in Control”), of any one of the following acts by the Company, or failures by the Company to act, unless, in the case of any act or failure to act described in subsection (A), (B), (C), (D), (E) or (F) below, such act or failure to act is corrected prior to the Date of Termination specified in the</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Notice of Termination given in respect thereof:</w:t>
      </w:r>
    </w:p>
    <w:p>
      <w:pPr>
        <w:spacing w:after="0" w:line="124" w:lineRule="exact"/>
        <w:rPr>
          <w:sz w:val="20"/>
          <w:szCs w:val="20"/>
          <w:color w:val="auto"/>
        </w:rPr>
      </w:pPr>
    </w:p>
    <w:p>
      <w:pPr>
        <w:jc w:val="both"/>
        <w:ind w:left="720" w:firstLine="1038"/>
        <w:spacing w:after="0" w:line="223" w:lineRule="auto"/>
        <w:tabs>
          <w:tab w:leader="none" w:pos="25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change in the Executive’s status or position(s) as an officer of the Company as in effect immediately prior to the Change in Control, including, without limitation, any adverse change in the Executive’s status or position as a result of a diminution of the Executive’s duties or responsibilities or the assignment to the Executive of any duties or responsibilities which are inconsistent with such status or position(s), or any removal of the Executive from, or any failure to reappoint or reelect the Executive to, such position(s);</w:t>
      </w:r>
    </w:p>
    <w:p>
      <w:pPr>
        <w:spacing w:after="0" w:line="118" w:lineRule="exact"/>
        <w:rPr>
          <w:rFonts w:ascii="Times New Roman" w:cs="Times New Roman" w:eastAsia="Times New Roman" w:hAnsi="Times New Roman"/>
          <w:sz w:val="18"/>
          <w:szCs w:val="18"/>
          <w:color w:val="auto"/>
        </w:rPr>
      </w:pPr>
    </w:p>
    <w:p>
      <w:pPr>
        <w:ind w:left="2600" w:hanging="842"/>
        <w:spacing w:after="0"/>
        <w:tabs>
          <w:tab w:leader="none" w:pos="2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Executive’s Base Salary;</w:t>
      </w:r>
    </w:p>
    <w:p>
      <w:pPr>
        <w:spacing w:after="0" w:line="157" w:lineRule="exact"/>
        <w:rPr>
          <w:rFonts w:ascii="Times New Roman" w:cs="Times New Roman" w:eastAsia="Times New Roman" w:hAnsi="Times New Roman"/>
          <w:sz w:val="18"/>
          <w:szCs w:val="18"/>
          <w:color w:val="auto"/>
        </w:rPr>
      </w:pPr>
    </w:p>
    <w:p>
      <w:pPr>
        <w:ind w:left="720" w:right="20" w:firstLine="1038"/>
        <w:spacing w:after="0" w:line="237" w:lineRule="auto"/>
        <w:tabs>
          <w:tab w:leader="none" w:pos="259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Executive’s annual bonus opportunity or long-term incentive opportunity, as compared to the year immediately preceding the year in which the Change in Control occurs;</w:t>
      </w:r>
    </w:p>
    <w:p>
      <w:pPr>
        <w:spacing w:after="0" w:line="131" w:lineRule="exact"/>
        <w:rPr>
          <w:rFonts w:ascii="Times New Roman" w:cs="Times New Roman" w:eastAsia="Times New Roman" w:hAnsi="Times New Roman"/>
          <w:sz w:val="18"/>
          <w:szCs w:val="18"/>
          <w:color w:val="auto"/>
        </w:rPr>
      </w:pPr>
    </w:p>
    <w:p>
      <w:pPr>
        <w:ind w:left="720" w:firstLine="1038"/>
        <w:spacing w:after="0" w:line="237" w:lineRule="auto"/>
        <w:tabs>
          <w:tab w:leader="none" w:pos="25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continue to provide welfare, pension and fringe benefits which are in each case, in the aggregate, substantially similar to those provided to the Executive immediately prior to the Change in Control;</w:t>
      </w:r>
    </w:p>
    <w:p>
      <w:pPr>
        <w:spacing w:after="0" w:line="131" w:lineRule="exact"/>
        <w:rPr>
          <w:rFonts w:ascii="Times New Roman" w:cs="Times New Roman" w:eastAsia="Times New Roman" w:hAnsi="Times New Roman"/>
          <w:sz w:val="18"/>
          <w:szCs w:val="18"/>
          <w:color w:val="auto"/>
        </w:rPr>
      </w:pPr>
    </w:p>
    <w:p>
      <w:pPr>
        <w:jc w:val="both"/>
        <w:ind w:left="720" w:firstLine="1038"/>
        <w:spacing w:after="0" w:line="224" w:lineRule="auto"/>
        <w:tabs>
          <w:tab w:leader="none" w:pos="25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requiring the Executive to be based at an office that is greater than 50 miles from where the Executive’s office is located immediately prior to the Change in Control except for required travel on the Company’s business to an extent substantially consistent with the business travel obligations which the Executive undertook on behalf of the Company prior to the Change in Control; or</w:t>
      </w:r>
    </w:p>
    <w:p>
      <w:pPr>
        <w:spacing w:after="0" w:line="118" w:lineRule="exact"/>
        <w:rPr>
          <w:rFonts w:ascii="Times New Roman" w:cs="Times New Roman" w:eastAsia="Times New Roman" w:hAnsi="Times New Roman"/>
          <w:sz w:val="18"/>
          <w:szCs w:val="18"/>
          <w:color w:val="auto"/>
        </w:rPr>
      </w:pPr>
    </w:p>
    <w:p>
      <w:pPr>
        <w:jc w:val="both"/>
        <w:ind w:left="720" w:firstLine="1038"/>
        <w:spacing w:after="0" w:line="231" w:lineRule="auto"/>
        <w:tabs>
          <w:tab w:leader="none" w:pos="259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Company to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w:t>
      </w:r>
    </w:p>
    <w:p>
      <w:pPr>
        <w:spacing w:after="0" w:line="131" w:lineRule="exact"/>
        <w:rPr>
          <w:sz w:val="20"/>
          <w:szCs w:val="20"/>
          <w:color w:val="auto"/>
        </w:rPr>
      </w:pPr>
    </w:p>
    <w:p>
      <w:pPr>
        <w:jc w:val="both"/>
        <w:ind w:left="220" w:firstLine="1089"/>
        <w:spacing w:after="0" w:line="216" w:lineRule="auto"/>
        <w:rPr>
          <w:sz w:val="20"/>
          <w:szCs w:val="20"/>
          <w:color w:val="auto"/>
        </w:rPr>
      </w:pPr>
      <w:r>
        <w:rPr>
          <w:rFonts w:ascii="Times New Roman" w:cs="Times New Roman" w:eastAsia="Times New Roman" w:hAnsi="Times New Roman"/>
          <w:sz w:val="18"/>
          <w:szCs w:val="18"/>
          <w:color w:val="auto"/>
        </w:rPr>
        <w:t>Notwithstanding the foregoing, the events described in clauses (B), (C) or (D) above shall not constitute Good Reason hereunder to the extent they are as a result of across-the-board reductions of the applicable compensation element following the Change in Control which are equally applicable to all similarly situated employees of the surviving corporation and its Affiliates. The Executive’s right to terminate the</w:t>
      </w:r>
    </w:p>
    <w:p>
      <w:pPr>
        <w:spacing w:after="0" w:line="1" w:lineRule="exact"/>
        <w:rPr>
          <w:sz w:val="20"/>
          <w:szCs w:val="20"/>
          <w:color w:val="auto"/>
        </w:rPr>
      </w:pPr>
    </w:p>
    <w:p>
      <w:pPr>
        <w:jc w:val="both"/>
        <w:ind w:left="220"/>
        <w:spacing w:after="0" w:line="208" w:lineRule="auto"/>
        <w:rPr>
          <w:sz w:val="20"/>
          <w:szCs w:val="20"/>
          <w:color w:val="auto"/>
        </w:rPr>
      </w:pPr>
      <w:r>
        <w:rPr>
          <w:rFonts w:ascii="Times New Roman" w:cs="Times New Roman" w:eastAsia="Times New Roman" w:hAnsi="Times New Roman"/>
          <w:sz w:val="18"/>
          <w:szCs w:val="18"/>
          <w:color w:val="auto"/>
        </w:rPr>
        <w:t>Executive’s employment for Good Reason shall not be affected by the Executive’s incapacity due to physical or mental illness. In order for Good Reason to exist hereunder, the Executive must provide notice to the Company of the existence of the condition or circumstance described above within 90 days of the initial existence of the condition or circumstance (or, if later, within 90 days of the Executive’s becoming aware of such</w:t>
      </w:r>
    </w:p>
    <w:p>
      <w:pPr>
        <w:spacing w:after="0" w:line="2" w:lineRule="exact"/>
        <w:rPr>
          <w:sz w:val="20"/>
          <w:szCs w:val="20"/>
          <w:color w:val="auto"/>
        </w:rPr>
      </w:pPr>
    </w:p>
    <w:p>
      <w:pPr>
        <w:jc w:val="both"/>
        <w:ind w:left="220"/>
        <w:spacing w:after="0" w:line="218" w:lineRule="auto"/>
        <w:rPr>
          <w:sz w:val="20"/>
          <w:szCs w:val="20"/>
          <w:color w:val="auto"/>
        </w:rPr>
      </w:pPr>
      <w:r>
        <w:rPr>
          <w:rFonts w:ascii="Times New Roman" w:cs="Times New Roman" w:eastAsia="Times New Roman" w:hAnsi="Times New Roman"/>
          <w:sz w:val="18"/>
          <w:szCs w:val="18"/>
          <w:color w:val="auto"/>
        </w:rPr>
        <w:t>condition or circumstance), and the Company must have failed to cure such condition within 30 days of the receipt of such notice. Subject to the preceding sentence, the Executive’s continued employment shall not constitute consent to, or a waiver of rights with respect to, any act or failure to act constituting Good Reason hereunder.</w:t>
      </w:r>
    </w:p>
    <w:p>
      <w:pPr>
        <w:spacing w:after="0" w:line="1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15.16 “Notice of Termination” shall have the meaning set forth in Section 6.1.</w:t>
      </w:r>
    </w:p>
    <w:p>
      <w:pPr>
        <w:spacing w:after="0" w:line="158" w:lineRule="exact"/>
        <w:rPr>
          <w:sz w:val="20"/>
          <w:szCs w:val="20"/>
          <w:color w:val="auto"/>
        </w:rPr>
      </w:pPr>
    </w:p>
    <w:p>
      <w:pPr>
        <w:jc w:val="both"/>
        <w:ind w:left="340" w:firstLine="1102"/>
        <w:spacing w:after="0" w:line="216" w:lineRule="auto"/>
        <w:rPr>
          <w:sz w:val="20"/>
          <w:szCs w:val="20"/>
          <w:color w:val="auto"/>
        </w:rPr>
      </w:pPr>
      <w:r>
        <w:rPr>
          <w:rFonts w:ascii="Times New Roman" w:cs="Times New Roman" w:eastAsia="Times New Roman" w:hAnsi="Times New Roman"/>
          <w:sz w:val="18"/>
          <w:szCs w:val="18"/>
          <w:color w:val="auto"/>
        </w:rPr>
        <w:t>15.17 “Person”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w:t>
      </w:r>
    </w:p>
    <w:p>
      <w:pPr>
        <w:spacing w:after="0" w:line="1" w:lineRule="exact"/>
        <w:rPr>
          <w:sz w:val="20"/>
          <w:szCs w:val="20"/>
          <w:color w:val="auto"/>
        </w:rPr>
      </w:pPr>
    </w:p>
    <w:p>
      <w:pPr>
        <w:jc w:val="both"/>
        <w:ind w:left="340"/>
        <w:spacing w:after="0" w:line="226" w:lineRule="auto"/>
        <w:rPr>
          <w:sz w:val="20"/>
          <w:szCs w:val="20"/>
          <w:color w:val="auto"/>
        </w:rPr>
      </w:pPr>
      <w:r>
        <w:rPr>
          <w:rFonts w:ascii="Times New Roman" w:cs="Times New Roman" w:eastAsia="Times New Roman" w:hAnsi="Times New Roman"/>
          <w:sz w:val="18"/>
          <w:szCs w:val="18"/>
          <w:color w:val="auto"/>
        </w:rPr>
        <w:t>such securities or (iv) a corporation owned, directly or indirectly, by the stockholders of the Company in substantially the same proportions as their ownership of stock of the Company.</w:t>
      </w:r>
    </w:p>
    <w:p>
      <w:pPr>
        <w:spacing w:after="0" w:line="130" w:lineRule="exact"/>
        <w:rPr>
          <w:sz w:val="20"/>
          <w:szCs w:val="20"/>
          <w:color w:val="auto"/>
        </w:rPr>
      </w:pPr>
    </w:p>
    <w:p>
      <w:pPr>
        <w:jc w:val="both"/>
        <w:ind w:left="340" w:firstLine="1102"/>
        <w:spacing w:after="0" w:line="237" w:lineRule="auto"/>
        <w:rPr>
          <w:sz w:val="20"/>
          <w:szCs w:val="20"/>
          <w:color w:val="auto"/>
        </w:rPr>
      </w:pPr>
      <w:r>
        <w:rPr>
          <w:rFonts w:ascii="Times New Roman" w:cs="Times New Roman" w:eastAsia="Times New Roman" w:hAnsi="Times New Roman"/>
          <w:sz w:val="18"/>
          <w:szCs w:val="18"/>
          <w:color w:val="auto"/>
        </w:rPr>
        <w:t>15.18 “Potential Change in Control” shall be deemed to have occurred if the event set forth in any one of the following subsections shall have occurred:</w:t>
      </w:r>
    </w:p>
    <w:p>
      <w:pPr>
        <w:spacing w:after="0" w:line="120" w:lineRule="exact"/>
        <w:rPr>
          <w:sz w:val="20"/>
          <w:szCs w:val="20"/>
          <w:color w:val="auto"/>
        </w:rPr>
      </w:pPr>
    </w:p>
    <w:p>
      <w:pPr>
        <w:ind w:left="2580" w:hanging="822"/>
        <w:spacing w:after="0"/>
        <w:tabs>
          <w:tab w:leader="none" w:pos="2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an agreement, the consummation of which would result in the occurrence of a Change in</w:t>
      </w:r>
    </w:p>
    <w:p>
      <w:pPr>
        <w:ind w:left="720"/>
        <w:spacing w:after="0"/>
        <w:rPr>
          <w:sz w:val="20"/>
          <w:szCs w:val="20"/>
          <w:color w:val="auto"/>
        </w:rPr>
      </w:pPr>
      <w:r>
        <w:rPr>
          <w:rFonts w:ascii="Times New Roman" w:cs="Times New Roman" w:eastAsia="Times New Roman" w:hAnsi="Times New Roman"/>
          <w:sz w:val="18"/>
          <w:szCs w:val="18"/>
          <w:color w:val="auto"/>
        </w:rPr>
        <w:t>Control;</w:t>
      </w:r>
    </w:p>
    <w:p>
      <w:pPr>
        <w:spacing w:after="0" w:line="138" w:lineRule="exact"/>
        <w:rPr>
          <w:sz w:val="20"/>
          <w:szCs w:val="20"/>
          <w:color w:val="auto"/>
        </w:rPr>
      </w:pPr>
    </w:p>
    <w:p>
      <w:pPr>
        <w:ind w:left="720" w:right="20" w:firstLine="1038"/>
        <w:spacing w:after="0" w:line="237" w:lineRule="auto"/>
        <w:tabs>
          <w:tab w:leader="none" w:pos="25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Person publicly announces an intention to take or to consider taking actions which, if consummated, would constitute a Change in Control;</w:t>
      </w:r>
    </w:p>
    <w:p>
      <w:pPr>
        <w:spacing w:after="0" w:line="131" w:lineRule="exact"/>
        <w:rPr>
          <w:rFonts w:ascii="Times New Roman" w:cs="Times New Roman" w:eastAsia="Times New Roman" w:hAnsi="Times New Roman"/>
          <w:sz w:val="18"/>
          <w:szCs w:val="18"/>
          <w:color w:val="auto"/>
        </w:rPr>
      </w:pPr>
    </w:p>
    <w:p>
      <w:pPr>
        <w:jc w:val="both"/>
        <w:ind w:left="720" w:firstLine="1038"/>
        <w:spacing w:after="0" w:line="226" w:lineRule="auto"/>
        <w:tabs>
          <w:tab w:leader="none" w:pos="25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becomes the Beneficial Owner, directly or indirectly, of securities of the Company representing 15% or more of either the then outstanding shares of common stock of the Company or the combined voting power of the Company’s then outstanding securities; or</w:t>
      </w:r>
    </w:p>
    <w:p>
      <w:pPr>
        <w:sectPr>
          <w:pgSz w:w="11900" w:h="16838" w:orient="portrait"/>
          <w:cols w:equalWidth="0" w:num="1">
            <w:col w:w="11020"/>
          </w:cols>
          <w:pgMar w:left="320" w:top="108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020"/>
          </w:cols>
          <w:pgMar w:left="320" w:top="1080" w:right="559" w:bottom="1440" w:gutter="0" w:footer="0" w:header="0"/>
          <w:type w:val="continuous"/>
        </w:sectPr>
      </w:pPr>
    </w:p>
    <w:bookmarkStart w:id="112" w:name="page113"/>
    <w:bookmarkEnd w:id="112"/>
    <w:p>
      <w:pPr>
        <w:ind w:left="2580" w:hanging="822"/>
        <w:spacing w:after="0"/>
        <w:tabs>
          <w:tab w:leader="none" w:pos="2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adopts a resolution to the effect that, for purposes of this Agreement, a Potential Change in Control has</w:t>
      </w:r>
    </w:p>
    <w:p>
      <w:pPr>
        <w:ind w:left="720"/>
        <w:spacing w:after="0"/>
        <w:rPr>
          <w:sz w:val="20"/>
          <w:szCs w:val="20"/>
          <w:color w:val="auto"/>
        </w:rPr>
      </w:pPr>
      <w:r>
        <w:rPr>
          <w:rFonts w:ascii="Times New Roman" w:cs="Times New Roman" w:eastAsia="Times New Roman" w:hAnsi="Times New Roman"/>
          <w:sz w:val="18"/>
          <w:szCs w:val="18"/>
          <w:color w:val="auto"/>
        </w:rPr>
        <w:t>occurred.</w:t>
      </w:r>
    </w:p>
    <w:p>
      <w:pPr>
        <w:spacing w:after="0" w:line="138" w:lineRule="exact"/>
        <w:rPr>
          <w:sz w:val="20"/>
          <w:szCs w:val="20"/>
          <w:color w:val="auto"/>
        </w:rPr>
      </w:pPr>
    </w:p>
    <w:p>
      <w:pPr>
        <w:jc w:val="both"/>
        <w:ind w:left="340" w:firstLine="1102"/>
        <w:spacing w:after="0" w:line="222" w:lineRule="auto"/>
        <w:rPr>
          <w:sz w:val="20"/>
          <w:szCs w:val="20"/>
          <w:color w:val="auto"/>
        </w:rPr>
      </w:pPr>
      <w:r>
        <w:rPr>
          <w:rFonts w:ascii="Times New Roman" w:cs="Times New Roman" w:eastAsia="Times New Roman" w:hAnsi="Times New Roman"/>
          <w:sz w:val="18"/>
          <w:szCs w:val="18"/>
          <w:color w:val="auto"/>
        </w:rPr>
        <w:t>15.19 “Potential Change in Control Period” shall commence upon the occurrence of a Potential Change in Control and shall lapse upon the occurrence of a Change in Control or, if earlier (i) with respect to a Potential Change in Control occurring pursuant to Section 15.18(A),</w:t>
      </w:r>
    </w:p>
    <w:p>
      <w:pPr>
        <w:spacing w:after="0" w:line="2" w:lineRule="exact"/>
        <w:rPr>
          <w:sz w:val="20"/>
          <w:szCs w:val="20"/>
          <w:color w:val="auto"/>
        </w:rPr>
      </w:pPr>
    </w:p>
    <w:p>
      <w:pPr>
        <w:jc w:val="both"/>
        <w:ind w:left="340"/>
        <w:spacing w:after="0" w:line="220" w:lineRule="auto"/>
        <w:rPr>
          <w:sz w:val="20"/>
          <w:szCs w:val="20"/>
          <w:color w:val="auto"/>
        </w:rPr>
      </w:pPr>
      <w:r>
        <w:rPr>
          <w:rFonts w:ascii="Times New Roman" w:cs="Times New Roman" w:eastAsia="Times New Roman" w:hAnsi="Times New Roman"/>
          <w:sz w:val="17"/>
          <w:szCs w:val="17"/>
          <w:color w:val="auto"/>
        </w:rPr>
        <w:t>immediately upon the abandonment or termination of the applicable agreement, (ii) with respect to a Potential Change in Control occurring pursuant to Section 15.18(B), immediately upon a public announcement by the applicable party that such party has abandoned its intention to take or consider taking actions which if consummated would result in a Change in Control or (iii) with respect to a Potential Change in Control occurring</w:t>
      </w:r>
    </w:p>
    <w:p>
      <w:pPr>
        <w:spacing w:after="0" w:line="2" w:lineRule="exact"/>
        <w:rPr>
          <w:sz w:val="20"/>
          <w:szCs w:val="20"/>
          <w:color w:val="auto"/>
        </w:rPr>
      </w:pPr>
    </w:p>
    <w:p>
      <w:pPr>
        <w:jc w:val="both"/>
        <w:ind w:left="340" w:right="20"/>
        <w:spacing w:after="0" w:line="226" w:lineRule="auto"/>
        <w:rPr>
          <w:sz w:val="20"/>
          <w:szCs w:val="20"/>
          <w:color w:val="auto"/>
        </w:rPr>
      </w:pPr>
      <w:r>
        <w:rPr>
          <w:rFonts w:ascii="Times New Roman" w:cs="Times New Roman" w:eastAsia="Times New Roman" w:hAnsi="Times New Roman"/>
          <w:sz w:val="18"/>
          <w:szCs w:val="18"/>
          <w:color w:val="auto"/>
        </w:rPr>
        <w:t>pursuant to Section 15.18(C) or (D), upon the one year anniversary of the occurrence of a Potential Change in Control (or such earlier date as may be determined by the Board).</w:t>
      </w:r>
    </w:p>
    <w:p>
      <w:pPr>
        <w:spacing w:after="0" w:line="130" w:lineRule="exact"/>
        <w:rPr>
          <w:sz w:val="20"/>
          <w:szCs w:val="20"/>
          <w:color w:val="auto"/>
        </w:rPr>
      </w:pPr>
    </w:p>
    <w:p>
      <w:pPr>
        <w:jc w:val="both"/>
        <w:ind w:left="340" w:firstLine="1102"/>
        <w:spacing w:after="0" w:line="226" w:lineRule="auto"/>
        <w:rPr>
          <w:sz w:val="20"/>
          <w:szCs w:val="20"/>
          <w:color w:val="auto"/>
        </w:rPr>
      </w:pPr>
      <w:r>
        <w:rPr>
          <w:rFonts w:ascii="Times New Roman" w:cs="Times New Roman" w:eastAsia="Times New Roman" w:hAnsi="Times New Roman"/>
          <w:sz w:val="18"/>
          <w:szCs w:val="18"/>
          <w:color w:val="auto"/>
        </w:rPr>
        <w:t>15.20 “Retirement” shall be deemed the reason for the termination by the Executive of the Executive’s employment if such employment is terminated in accordance with the Company’s retirement policy, including early retirement, generally applicable to its salaried employees.</w:t>
      </w:r>
    </w:p>
    <w:p>
      <w:pPr>
        <w:spacing w:after="0" w:line="1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15.21 “Severance Payments” shall have the meaning set forth in Section 5.1.</w:t>
      </w:r>
    </w:p>
    <w:p>
      <w:pPr>
        <w:spacing w:after="0" w:line="14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15.22 “Term” shall mean the period of time described in Section 2 (including any extension, continuation or termination described</w:t>
      </w:r>
    </w:p>
    <w:p>
      <w:pPr>
        <w:ind w:left="340"/>
        <w:spacing w:after="0"/>
        <w:rPr>
          <w:sz w:val="20"/>
          <w:szCs w:val="20"/>
          <w:color w:val="auto"/>
        </w:rPr>
      </w:pPr>
      <w:r>
        <w:rPr>
          <w:rFonts w:ascii="Times New Roman" w:cs="Times New Roman" w:eastAsia="Times New Roman" w:hAnsi="Times New Roman"/>
          <w:sz w:val="18"/>
          <w:szCs w:val="18"/>
          <w:color w:val="auto"/>
        </w:rPr>
        <w:t>therein).</w:t>
      </w:r>
    </w:p>
    <w:p>
      <w:pPr>
        <w:spacing w:after="0" w:line="1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1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ITRON, INC.</w:t>
      </w:r>
    </w:p>
    <w:p>
      <w:pPr>
        <w:spacing w:after="0" w:line="200" w:lineRule="exact"/>
        <w:rPr>
          <w:sz w:val="20"/>
          <w:szCs w:val="20"/>
          <w:color w:val="auto"/>
        </w:rPr>
      </w:pPr>
    </w:p>
    <w:p>
      <w:pPr>
        <w:spacing w:after="0" w:line="3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-7620</wp:posOffset>
            </wp:positionV>
            <wp:extent cx="2286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w:t>
      </w:r>
    </w:p>
    <w:p>
      <w:pPr>
        <w:ind w:left="47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253365</wp:posOffset>
            </wp:positionV>
            <wp:extent cx="4572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8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EXECUTIVE</w:t>
      </w:r>
    </w:p>
    <w:p>
      <w:pPr>
        <w:spacing w:after="0" w:line="200" w:lineRule="exact"/>
        <w:rPr>
          <w:sz w:val="20"/>
          <w:szCs w:val="20"/>
          <w:color w:val="auto"/>
        </w:rPr>
      </w:pPr>
    </w:p>
    <w:p>
      <w:pPr>
        <w:spacing w:after="0" w:line="34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197485</wp:posOffset>
            </wp:positionV>
            <wp:extent cx="3429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325755</wp:posOffset>
            </wp:positionV>
            <wp:extent cx="3429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462915</wp:posOffset>
            </wp:positionV>
            <wp:extent cx="3429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(Please print carefully)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156750709.3</w:t>
      </w:r>
    </w:p>
    <w:p>
      <w:pPr>
        <w:sectPr>
          <w:pgSz w:w="11900" w:h="16838" w:orient="portrait"/>
          <w:cols w:equalWidth="0" w:num="1">
            <w:col w:w="11020"/>
          </w:cols>
          <w:pgMar w:left="320" w:top="1068" w:right="55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ITRON,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INDEMNIFICATION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INDEMNIFICATION AGREEMENT (this "Agreement") effective as of ___________________, 20____, is made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between Itron, Inc., a Washington corporation (the "Company"), and ________________, a director and/or officer of the Company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("Indemnitee").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33" w:lineRule="exact"/>
        <w:rPr>
          <w:sz w:val="20"/>
          <w:szCs w:val="20"/>
          <w:color w:val="auto"/>
        </w:rPr>
      </w:pPr>
    </w:p>
    <w:p>
      <w:pPr>
        <w:ind w:left="1060" w:hanging="404"/>
        <w:spacing w:after="0"/>
        <w:tabs>
          <w:tab w:leader="none" w:pos="106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Indemnitee is a director and/or officer of the Company and in such capacity is performing valuable services for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w:t>
      </w:r>
    </w:p>
    <w:p>
      <w:pPr>
        <w:spacing w:after="0" w:line="207" w:lineRule="exact"/>
        <w:rPr>
          <w:rFonts w:ascii="Times New Roman" w:cs="Times New Roman" w:eastAsia="Times New Roman" w:hAnsi="Times New Roman"/>
          <w:sz w:val="21"/>
          <w:szCs w:val="21"/>
          <w:color w:val="auto"/>
        </w:rPr>
      </w:pPr>
    </w:p>
    <w:p>
      <w:pPr>
        <w:ind w:right="880" w:firstLine="656"/>
        <w:spacing w:after="0" w:line="283" w:lineRule="auto"/>
        <w:tabs>
          <w:tab w:leader="none" w:pos="104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Indemnitee recognize the difficulty in obtaining directors' and officers' liability insurance, the significant cost of such insurance and the general reduction in the coverage of such insurance.</w:t>
      </w:r>
    </w:p>
    <w:p>
      <w:pPr>
        <w:spacing w:after="0" w:line="146" w:lineRule="exact"/>
        <w:rPr>
          <w:rFonts w:ascii="Times New Roman" w:cs="Times New Roman" w:eastAsia="Times New Roman" w:hAnsi="Times New Roman"/>
          <w:sz w:val="21"/>
          <w:szCs w:val="21"/>
          <w:color w:val="auto"/>
        </w:rPr>
      </w:pPr>
    </w:p>
    <w:p>
      <w:pPr>
        <w:ind w:right="300" w:firstLine="656"/>
        <w:spacing w:after="0" w:line="283" w:lineRule="auto"/>
        <w:tabs>
          <w:tab w:leader="none" w:pos="104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Indemnitee further recognize the substantial increase in litigation subjecting directors and officers to expensive litigation risks at the same time that such liability insurance has been severely limited.</w:t>
      </w:r>
    </w:p>
    <w:p>
      <w:pPr>
        <w:spacing w:after="0" w:line="146" w:lineRule="exact"/>
        <w:rPr>
          <w:rFonts w:ascii="Times New Roman" w:cs="Times New Roman" w:eastAsia="Times New Roman" w:hAnsi="Times New Roman"/>
          <w:sz w:val="21"/>
          <w:szCs w:val="21"/>
          <w:color w:val="auto"/>
        </w:rPr>
      </w:pPr>
    </w:p>
    <w:p>
      <w:pPr>
        <w:ind w:right="140" w:firstLine="656"/>
        <w:spacing w:after="0" w:line="262" w:lineRule="auto"/>
        <w:tabs>
          <w:tab w:leader="none" w:pos="105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shareholders of the Company have adopted bylaws (the "Bylaws") providing for the indemnification of the directors, officers, agents and employees of the Company to the full extent permitted by the Washington Business Corporation Act (the "Statute").</w:t>
      </w:r>
    </w:p>
    <w:p>
      <w:pPr>
        <w:spacing w:after="0" w:line="181" w:lineRule="exact"/>
        <w:rPr>
          <w:rFonts w:ascii="Times New Roman" w:cs="Times New Roman" w:eastAsia="Times New Roman" w:hAnsi="Times New Roman"/>
          <w:sz w:val="21"/>
          <w:szCs w:val="21"/>
          <w:color w:val="auto"/>
        </w:rPr>
      </w:pPr>
    </w:p>
    <w:p>
      <w:pPr>
        <w:ind w:right="60" w:firstLine="656"/>
        <w:spacing w:after="0" w:line="262" w:lineRule="auto"/>
        <w:tabs>
          <w:tab w:leader="none" w:pos="102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Bylaws and the Statute specifically provide that they are not exclusive, and thereby contemplate that contracts may be entered into between the Company and the members of its Board of Directors and its officers with respect to indemnification of such directors and officers.</w:t>
      </w:r>
    </w:p>
    <w:p>
      <w:pPr>
        <w:spacing w:after="0" w:line="167" w:lineRule="exact"/>
        <w:rPr>
          <w:rFonts w:ascii="Times New Roman" w:cs="Times New Roman" w:eastAsia="Times New Roman" w:hAnsi="Times New Roman"/>
          <w:sz w:val="21"/>
          <w:szCs w:val="21"/>
          <w:color w:val="auto"/>
        </w:rPr>
      </w:pPr>
    </w:p>
    <w:p>
      <w:pPr>
        <w:ind w:right="120" w:firstLine="656"/>
        <w:spacing w:after="0" w:line="283" w:lineRule="auto"/>
        <w:tabs>
          <w:tab w:leader="none" w:pos="100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induce Indemnitee to continue to serve as a director and/or officer of the Company, the Company has agreed to enter into this Agreement with Indemnitee.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Agreement</w:t>
      </w:r>
    </w:p>
    <w:p>
      <w:pPr>
        <w:spacing w:after="0" w:line="220" w:lineRule="exact"/>
        <w:rPr>
          <w:sz w:val="20"/>
          <w:szCs w:val="20"/>
          <w:color w:val="auto"/>
        </w:rPr>
      </w:pPr>
    </w:p>
    <w:p>
      <w:pPr>
        <w:ind w:right="520" w:firstLine="648"/>
        <w:spacing w:after="0" w:line="283" w:lineRule="auto"/>
        <w:rPr>
          <w:sz w:val="20"/>
          <w:szCs w:val="20"/>
          <w:color w:val="auto"/>
        </w:rPr>
      </w:pPr>
      <w:r>
        <w:rPr>
          <w:rFonts w:ascii="Times New Roman" w:cs="Times New Roman" w:eastAsia="Times New Roman" w:hAnsi="Times New Roman"/>
          <w:sz w:val="21"/>
          <w:szCs w:val="21"/>
          <w:color w:val="auto"/>
        </w:rPr>
        <w:t>In consideration of the recitals above, the mutual covenants and agreements herein contained, and Indemnitee's continued service as a director and/or officer after the date hereof, the parties to this Agreement agree as follows:</w:t>
      </w:r>
    </w:p>
    <w:p>
      <w:pPr>
        <w:spacing w:after="0" w:line="144"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Indemnity of Indemnitee</w:t>
      </w:r>
    </w:p>
    <w:p>
      <w:pPr>
        <w:spacing w:after="0" w:line="231"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1"/>
          <w:szCs w:val="21"/>
          <w:b w:val="1"/>
          <w:bCs w:val="1"/>
          <w:color w:val="auto"/>
        </w:rPr>
        <w:t>1.1</w:t>
      </w:r>
      <w:r>
        <w:rPr>
          <w:sz w:val="20"/>
          <w:szCs w:val="20"/>
          <w:color w:val="auto"/>
        </w:rPr>
        <w:tab/>
      </w:r>
      <w:r>
        <w:rPr>
          <w:rFonts w:ascii="Times New Roman" w:cs="Times New Roman" w:eastAsia="Times New Roman" w:hAnsi="Times New Roman"/>
          <w:sz w:val="20"/>
          <w:szCs w:val="20"/>
          <w:b w:val="1"/>
          <w:bCs w:val="1"/>
          <w:color w:val="auto"/>
        </w:rPr>
        <w:t>Scope</w:t>
      </w:r>
    </w:p>
    <w:p>
      <w:pPr>
        <w:spacing w:after="0" w:line="220"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21"/>
          <w:szCs w:val="21"/>
          <w:color w:val="auto"/>
        </w:rPr>
        <w:t>The Company agrees to hold harmless and indemnify Indemnitee to the full extent permitted by law, notwithstanding that such indemnification is not specifically authorized by this Agreement, the Company's Articles of Incorporation, the Bylaws, the Statute or otherwise.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0000FF"/>
        </w:rPr>
        <w:t>2/20/13</w:t>
      </w:r>
    </w:p>
    <w:p>
      <w:pPr>
        <w:sectPr>
          <w:pgSz w:w="11900" w:h="16838" w:orient="portrait"/>
          <w:cols w:equalWidth="0" w:num="1">
            <w:col w:w="11240"/>
          </w:cols>
          <w:pgMar w:left="320" w:top="91" w:right="339" w:bottom="1440" w:gutter="0" w:footer="0" w:header="0"/>
        </w:sectPr>
      </w:pPr>
    </w:p>
    <w:bookmarkStart w:id="114" w:name="page115"/>
    <w:bookmarkEnd w:id="114"/>
    <w:p>
      <w:pPr>
        <w:spacing w:after="0" w:line="200" w:lineRule="exact"/>
        <w:rPr>
          <w:sz w:val="20"/>
          <w:szCs w:val="20"/>
          <w:color w:val="auto"/>
        </w:rPr>
      </w:pPr>
    </w:p>
    <w:p>
      <w:pPr>
        <w:spacing w:after="0" w:line="344"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1"/>
          <w:szCs w:val="21"/>
          <w:color w:val="auto"/>
        </w:rPr>
        <w:t>event of any change, after the date of this Agreement, in any applicable law, statute or rule regarding the right of a Washington corporation to indemnify a member of its board of directors or an officer, such changes, to the extent that they would expand Indemnitee's rights hereunder, shall be within the Scope of Indemnitee's rights and the Company's obligations hereunder, and, to the extent that they would narrow Indemnitee's rights hereunder, shall be excluded from this Agreement; provided, however, that any change that is required by applicable laws, statutes or rules to be applied to this Agreement shall be so applied regardless of whether the effect of such change is to narrow Indemnitee's rights hereunder.</w:t>
      </w:r>
    </w:p>
    <w:p>
      <w:pPr>
        <w:spacing w:after="0" w:line="191"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1"/>
          <w:szCs w:val="21"/>
          <w:b w:val="1"/>
          <w:bCs w:val="1"/>
          <w:color w:val="auto"/>
        </w:rPr>
        <w:t>1.2</w:t>
      </w:r>
      <w:r>
        <w:rPr>
          <w:sz w:val="20"/>
          <w:szCs w:val="20"/>
          <w:color w:val="auto"/>
        </w:rPr>
        <w:tab/>
      </w:r>
      <w:r>
        <w:rPr>
          <w:rFonts w:ascii="Times New Roman" w:cs="Times New Roman" w:eastAsia="Times New Roman" w:hAnsi="Times New Roman"/>
          <w:sz w:val="20"/>
          <w:szCs w:val="20"/>
          <w:b w:val="1"/>
          <w:bCs w:val="1"/>
          <w:color w:val="auto"/>
        </w:rPr>
        <w:t>Nonexclusivity</w:t>
      </w:r>
    </w:p>
    <w:p>
      <w:pPr>
        <w:spacing w:after="0" w:line="220"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1"/>
          <w:szCs w:val="21"/>
          <w:color w:val="auto"/>
        </w:rPr>
        <w:t>The indemnification provided by this Agreement shall not be deemed exclusive of any rights to which Indemnitee may be entitled under the Company's Articles of Incorporation, the Bylaws, any agreement, any vote of shareholders or disinterested directors, the Statute or otherwise, whether as to actions taken by Indemnitee in Indemnitee's official capacity or otherwise.</w:t>
      </w:r>
    </w:p>
    <w:p>
      <w:pPr>
        <w:spacing w:after="0" w:line="158"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1"/>
          <w:szCs w:val="21"/>
          <w:b w:val="1"/>
          <w:bCs w:val="1"/>
          <w:color w:val="auto"/>
        </w:rPr>
        <w:t>1.3</w:t>
      </w:r>
      <w:r>
        <w:rPr>
          <w:sz w:val="20"/>
          <w:szCs w:val="20"/>
          <w:color w:val="auto"/>
        </w:rPr>
        <w:tab/>
      </w:r>
      <w:r>
        <w:rPr>
          <w:rFonts w:ascii="Times New Roman" w:cs="Times New Roman" w:eastAsia="Times New Roman" w:hAnsi="Times New Roman"/>
          <w:sz w:val="20"/>
          <w:szCs w:val="20"/>
          <w:b w:val="1"/>
          <w:bCs w:val="1"/>
          <w:color w:val="auto"/>
        </w:rPr>
        <w:t>Included Coverage</w:t>
      </w:r>
    </w:p>
    <w:p>
      <w:pPr>
        <w:spacing w:after="0" w:line="233"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20"/>
          <w:szCs w:val="20"/>
          <w:color w:val="auto"/>
        </w:rPr>
        <w:t>If Indemnitee was or is made a party, or is threatened to be made a party, to or is otherwise involved (including, without limitation, as a witness) in any Proceeding (as defined below), the Company shall hold harmless and indemnify Indemnitee from and against any and all losses, claims, damages, liabilities or expenses (including attorneys' fees, judgments, fines, ERISA excise taxes or penalties, amounts paid in settlement and other expenses incurred in connection with such Proceeding) (collectively, "Damages").</w:t>
      </w:r>
    </w:p>
    <w:p>
      <w:pPr>
        <w:spacing w:after="0" w:line="17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1"/>
          <w:szCs w:val="21"/>
          <w:b w:val="1"/>
          <w:bCs w:val="1"/>
          <w:color w:val="auto"/>
        </w:rPr>
        <w:t>1.4</w:t>
      </w:r>
      <w:r>
        <w:rPr>
          <w:sz w:val="20"/>
          <w:szCs w:val="20"/>
          <w:color w:val="auto"/>
        </w:rPr>
        <w:tab/>
      </w:r>
      <w:r>
        <w:rPr>
          <w:rFonts w:ascii="Times New Roman" w:cs="Times New Roman" w:eastAsia="Times New Roman" w:hAnsi="Times New Roman"/>
          <w:sz w:val="20"/>
          <w:szCs w:val="20"/>
          <w:b w:val="1"/>
          <w:bCs w:val="1"/>
          <w:color w:val="auto"/>
        </w:rPr>
        <w:t>Definition of Proceeding</w:t>
      </w:r>
    </w:p>
    <w:p>
      <w:pPr>
        <w:spacing w:after="0" w:line="22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1"/>
          <w:szCs w:val="21"/>
          <w:color w:val="auto"/>
        </w:rPr>
        <w:t>For purposes of this Agreement, "Proceeding" shall mean any actual, pending or threatened action, suit, claim or proceeding, whether civil, criminal, administrative or investigative and whether formal or informal, in which Indemnitee is, was or becomes involved by reason of the fact that Indemnitee is or was a director, officer, employee or agent of the Company or that, being or having been such a director, officer, employee or agent, Indemnitee is or was serving at the request of the Company as a director, officer, employee, trustee or agent of another corporation or of a partnership, joint venture, trust or other enterprise (collectively a "Related Company"), including service with respect to an employee benefit plan, whether the basis of such proceeding is alleged action (or inaction) by Indemnitee in an official capacity as a director, officer, employee, trustee or agent or in any other capacity while serving as a director, officer, employee, trustee or agent; provided, however, that, except with respect to an action to enforce the provisions of this Agreement, "Proceeding" shall not include any action, suit, claim or proceeding instituted by or at the direction of Indemnitee unless such action, suit, claim or proceeding is or was authorized by the Company's Board of Directors.</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200" w:lineRule="exact"/>
        <w:rPr>
          <w:sz w:val="20"/>
          <w:szCs w:val="20"/>
          <w:color w:val="auto"/>
        </w:rPr>
      </w:pPr>
    </w:p>
    <w:p>
      <w:pPr>
        <w:spacing w:after="0" w:line="342"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1"/>
          <w:szCs w:val="21"/>
          <w:b w:val="1"/>
          <w:bCs w:val="1"/>
          <w:color w:val="auto"/>
        </w:rPr>
        <w:t>1.5</w:t>
      </w:r>
      <w:r>
        <w:rPr>
          <w:sz w:val="20"/>
          <w:szCs w:val="20"/>
          <w:color w:val="auto"/>
        </w:rPr>
        <w:tab/>
      </w:r>
      <w:r>
        <w:rPr>
          <w:rFonts w:ascii="Times New Roman" w:cs="Times New Roman" w:eastAsia="Times New Roman" w:hAnsi="Times New Roman"/>
          <w:sz w:val="20"/>
          <w:szCs w:val="20"/>
          <w:b w:val="1"/>
          <w:bCs w:val="1"/>
          <w:color w:val="auto"/>
        </w:rPr>
        <w:t>Determination of Entitlement</w:t>
      </w:r>
    </w:p>
    <w:p>
      <w:pPr>
        <w:spacing w:after="0" w:line="220"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1"/>
          <w:szCs w:val="21"/>
          <w:color w:val="auto"/>
        </w:rPr>
        <w:t>In the event that a determination of Indemnitee's entitlement to indemnification is required pursuant to Section 23B.08.550 of the Statute or a successor statute or pursuant to other applicable law, the appropriate decision maker shall make such determination; provided, however, that Indemnitee shall initially be presumed in all cases to be entitled to indemnification, that Indemnitee may establish a conclusive presumption of any fact necessary to such a determination by delivering to the Company a declaration made under penalty of perjury that such fact is true and that, unless the Company shall deliver to Indemnitee written notice of a determination that Indemnitee is not entitled to indemnification within twenty (20) days of the Company's receipt of Indemnitee's initial written request for indemnification, such determination shall conclusively be deemed to have been made in favor of the Company's provision of indemnification and the Company hereby agrees not to assert otherwise.</w:t>
      </w:r>
    </w:p>
    <w:p>
      <w:pPr>
        <w:spacing w:after="0" w:line="189"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1"/>
          <w:szCs w:val="21"/>
          <w:b w:val="1"/>
          <w:bCs w:val="1"/>
          <w:color w:val="auto"/>
        </w:rPr>
        <w:t>1.6</w:t>
      </w:r>
      <w:r>
        <w:rPr>
          <w:sz w:val="20"/>
          <w:szCs w:val="20"/>
          <w:color w:val="auto"/>
        </w:rPr>
        <w:tab/>
      </w:r>
      <w:r>
        <w:rPr>
          <w:rFonts w:ascii="Times New Roman" w:cs="Times New Roman" w:eastAsia="Times New Roman" w:hAnsi="Times New Roman"/>
          <w:sz w:val="20"/>
          <w:szCs w:val="20"/>
          <w:b w:val="1"/>
          <w:bCs w:val="1"/>
          <w:color w:val="auto"/>
        </w:rPr>
        <w:t>Survival</w:t>
      </w:r>
    </w:p>
    <w:p>
      <w:pPr>
        <w:spacing w:after="0" w:line="220" w:lineRule="exact"/>
        <w:rPr>
          <w:sz w:val="20"/>
          <w:szCs w:val="20"/>
          <w:color w:val="auto"/>
        </w:rPr>
      </w:pPr>
    </w:p>
    <w:p>
      <w:pPr>
        <w:ind w:right="300" w:firstLine="648"/>
        <w:spacing w:after="0" w:line="283" w:lineRule="auto"/>
        <w:rPr>
          <w:sz w:val="20"/>
          <w:szCs w:val="20"/>
          <w:color w:val="auto"/>
        </w:rPr>
      </w:pPr>
      <w:r>
        <w:rPr>
          <w:rFonts w:ascii="Times New Roman" w:cs="Times New Roman" w:eastAsia="Times New Roman" w:hAnsi="Times New Roman"/>
          <w:sz w:val="21"/>
          <w:szCs w:val="21"/>
          <w:color w:val="auto"/>
        </w:rPr>
        <w:t>The indemnification provided under this Agreement shall apply to any and all Proceedings, notwithstanding that Indemnitee has ceased to be a director, officer, employee, trustee or agent of the Company or a Related Company.</w:t>
      </w:r>
    </w:p>
    <w:p>
      <w:pPr>
        <w:spacing w:after="0" w:line="144" w:lineRule="exact"/>
        <w:rPr>
          <w:sz w:val="20"/>
          <w:szCs w:val="20"/>
          <w:color w:val="auto"/>
        </w:rPr>
      </w:pPr>
    </w:p>
    <w:p>
      <w:pPr>
        <w:ind w:left="380" w:hanging="372"/>
        <w:spacing w:after="0"/>
        <w:tabs>
          <w:tab w:leader="none" w:pos="380"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Expense Advances</w:t>
      </w:r>
    </w:p>
    <w:p>
      <w:pPr>
        <w:spacing w:after="0" w:line="231"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1"/>
          <w:szCs w:val="21"/>
          <w:b w:val="1"/>
          <w:bCs w:val="1"/>
          <w:color w:val="auto"/>
        </w:rPr>
        <w:t>2.1</w:t>
      </w:r>
      <w:r>
        <w:rPr>
          <w:sz w:val="20"/>
          <w:szCs w:val="20"/>
          <w:color w:val="auto"/>
        </w:rPr>
        <w:tab/>
      </w:r>
      <w:r>
        <w:rPr>
          <w:rFonts w:ascii="Times New Roman" w:cs="Times New Roman" w:eastAsia="Times New Roman" w:hAnsi="Times New Roman"/>
          <w:sz w:val="20"/>
          <w:szCs w:val="20"/>
          <w:b w:val="1"/>
          <w:bCs w:val="1"/>
          <w:color w:val="auto"/>
        </w:rPr>
        <w:t>Generally</w:t>
      </w:r>
    </w:p>
    <w:p>
      <w:pPr>
        <w:spacing w:after="0" w:line="220" w:lineRule="exact"/>
        <w:rPr>
          <w:sz w:val="20"/>
          <w:szCs w:val="20"/>
          <w:color w:val="auto"/>
        </w:rPr>
      </w:pPr>
    </w:p>
    <w:p>
      <w:pPr>
        <w:jc w:val="both"/>
        <w:ind w:right="160" w:firstLine="648"/>
        <w:spacing w:after="0" w:line="262" w:lineRule="auto"/>
        <w:rPr>
          <w:sz w:val="20"/>
          <w:szCs w:val="20"/>
          <w:color w:val="auto"/>
        </w:rPr>
      </w:pPr>
      <w:r>
        <w:rPr>
          <w:rFonts w:ascii="Times New Roman" w:cs="Times New Roman" w:eastAsia="Times New Roman" w:hAnsi="Times New Roman"/>
          <w:sz w:val="21"/>
          <w:szCs w:val="21"/>
          <w:color w:val="auto"/>
        </w:rPr>
        <w:t>The right to indemnification of Damages conferred by Section 1 shall include the right to have the Company pay Indemnitee's expenses in any Proceeding as such expenses are incurred and in advance of such Proceeding's final disposition (such right is referred to hereinafter as an "Expense Advance").</w:t>
      </w:r>
    </w:p>
    <w:p>
      <w:pPr>
        <w:spacing w:after="0" w:line="179"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1"/>
          <w:szCs w:val="21"/>
          <w:b w:val="1"/>
          <w:bCs w:val="1"/>
          <w:color w:val="auto"/>
        </w:rPr>
        <w:t>2.2</w:t>
      </w:r>
      <w:r>
        <w:rPr>
          <w:sz w:val="20"/>
          <w:szCs w:val="20"/>
          <w:color w:val="auto"/>
        </w:rPr>
        <w:tab/>
      </w:r>
      <w:r>
        <w:rPr>
          <w:rFonts w:ascii="Times New Roman" w:cs="Times New Roman" w:eastAsia="Times New Roman" w:hAnsi="Times New Roman"/>
          <w:sz w:val="20"/>
          <w:szCs w:val="20"/>
          <w:b w:val="1"/>
          <w:bCs w:val="1"/>
          <w:color w:val="auto"/>
        </w:rPr>
        <w:t>Conditions to Expense Advance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Company's obligation to provide an Expense Advance is subject to the following conditions:</w:t>
      </w:r>
    </w:p>
    <w:p>
      <w:pPr>
        <w:spacing w:after="0" w:line="229"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1"/>
          <w:szCs w:val="21"/>
          <w:b w:val="1"/>
          <w:bCs w:val="1"/>
          <w:color w:val="auto"/>
        </w:rPr>
        <w:t>2.2.1</w:t>
      </w:r>
      <w:r>
        <w:rPr>
          <w:sz w:val="20"/>
          <w:szCs w:val="20"/>
          <w:color w:val="auto"/>
        </w:rPr>
        <w:tab/>
      </w:r>
      <w:r>
        <w:rPr>
          <w:rFonts w:ascii="Times New Roman" w:cs="Times New Roman" w:eastAsia="Times New Roman" w:hAnsi="Times New Roman"/>
          <w:sz w:val="20"/>
          <w:szCs w:val="20"/>
          <w:b w:val="1"/>
          <w:bCs w:val="1"/>
          <w:color w:val="auto"/>
        </w:rPr>
        <w:t>Undertaking</w:t>
      </w:r>
    </w:p>
    <w:p>
      <w:pPr>
        <w:spacing w:after="0" w:line="233"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1"/>
          <w:szCs w:val="21"/>
          <w:color w:val="auto"/>
        </w:rPr>
        <w:t>If the Proceeding arose in connection with Indemnitee's service as a director and/or officer of the Company (and not in any other capacity in which Indemnitee rendered service, including service to any Related Company), then Indemnitee or his representative shall have executed and delivered to the Company an undertaking, which need not be secured and shall be accepted without reference to Indemnitee's financial ability to make repayment, by or on behalf of Indemnitee to repay all Expense Advances if and to the extent that it shall ultimately be determined by a final, unappealable decision rendered by a court having jurisdiction over the parties and the question that Indemnitee is not entitled to be indemnified for such Expense Advance under this Agreement or otherwise.</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00" w:lineRule="exact"/>
        <w:rPr>
          <w:sz w:val="20"/>
          <w:szCs w:val="20"/>
          <w:color w:val="auto"/>
        </w:rPr>
      </w:pPr>
    </w:p>
    <w:p>
      <w:pPr>
        <w:spacing w:after="0" w:line="342"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1"/>
          <w:szCs w:val="21"/>
          <w:b w:val="1"/>
          <w:bCs w:val="1"/>
          <w:color w:val="auto"/>
        </w:rPr>
        <w:t>2.2.2</w:t>
      </w:r>
      <w:r>
        <w:rPr>
          <w:sz w:val="20"/>
          <w:szCs w:val="20"/>
          <w:color w:val="auto"/>
        </w:rPr>
        <w:tab/>
      </w:r>
      <w:r>
        <w:rPr>
          <w:rFonts w:ascii="Times New Roman" w:cs="Times New Roman" w:eastAsia="Times New Roman" w:hAnsi="Times New Roman"/>
          <w:sz w:val="20"/>
          <w:szCs w:val="20"/>
          <w:b w:val="1"/>
          <w:bCs w:val="1"/>
          <w:color w:val="auto"/>
        </w:rPr>
        <w:t>Cooperation</w:t>
      </w:r>
    </w:p>
    <w:p>
      <w:pPr>
        <w:spacing w:after="0" w:line="220" w:lineRule="exact"/>
        <w:rPr>
          <w:sz w:val="20"/>
          <w:szCs w:val="20"/>
          <w:color w:val="auto"/>
        </w:rPr>
      </w:pPr>
    </w:p>
    <w:p>
      <w:pPr>
        <w:ind w:right="500" w:firstLine="1296"/>
        <w:spacing w:after="0" w:line="283" w:lineRule="auto"/>
        <w:rPr>
          <w:sz w:val="20"/>
          <w:szCs w:val="20"/>
          <w:color w:val="auto"/>
        </w:rPr>
      </w:pPr>
      <w:r>
        <w:rPr>
          <w:rFonts w:ascii="Times New Roman" w:cs="Times New Roman" w:eastAsia="Times New Roman" w:hAnsi="Times New Roman"/>
          <w:sz w:val="21"/>
          <w:szCs w:val="21"/>
          <w:color w:val="auto"/>
        </w:rPr>
        <w:t>Indemnitee shall give the Company such information and cooperation as it may reasonably request and as shall be within Indemnitee's power.</w:t>
      </w:r>
    </w:p>
    <w:p>
      <w:pPr>
        <w:spacing w:after="0" w:line="144"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21"/>
          <w:szCs w:val="21"/>
          <w:b w:val="1"/>
          <w:bCs w:val="1"/>
          <w:color w:val="auto"/>
        </w:rPr>
        <w:t>2.2.3</w:t>
      </w:r>
      <w:r>
        <w:rPr>
          <w:sz w:val="20"/>
          <w:szCs w:val="20"/>
          <w:color w:val="auto"/>
        </w:rPr>
        <w:tab/>
      </w:r>
      <w:r>
        <w:rPr>
          <w:rFonts w:ascii="Times New Roman" w:cs="Times New Roman" w:eastAsia="Times New Roman" w:hAnsi="Times New Roman"/>
          <w:sz w:val="20"/>
          <w:szCs w:val="20"/>
          <w:b w:val="1"/>
          <w:bCs w:val="1"/>
          <w:color w:val="auto"/>
        </w:rPr>
        <w:t>Affirmation</w:t>
      </w:r>
    </w:p>
    <w:p>
      <w:pPr>
        <w:spacing w:after="0" w:line="233" w:lineRule="exact"/>
        <w:rPr>
          <w:sz w:val="20"/>
          <w:szCs w:val="20"/>
          <w:color w:val="auto"/>
        </w:rPr>
      </w:pPr>
    </w:p>
    <w:p>
      <w:pPr>
        <w:ind w:right="280" w:firstLine="1296"/>
        <w:spacing w:after="0" w:line="270" w:lineRule="auto"/>
        <w:rPr>
          <w:sz w:val="20"/>
          <w:szCs w:val="20"/>
          <w:color w:val="auto"/>
        </w:rPr>
      </w:pPr>
      <w:r>
        <w:rPr>
          <w:rFonts w:ascii="Times New Roman" w:cs="Times New Roman" w:eastAsia="Times New Roman" w:hAnsi="Times New Roman"/>
          <w:sz w:val="21"/>
          <w:szCs w:val="21"/>
          <w:color w:val="auto"/>
        </w:rPr>
        <w:t>Indemnitee shall furnish, upon request by the Company and if required under applicable law, a written affirmation of Indemnitee's good faith belief that any applicable standards of conduct have been met by Indemnitee.</w:t>
      </w:r>
    </w:p>
    <w:p>
      <w:pPr>
        <w:spacing w:after="0" w:line="170" w:lineRule="exact"/>
        <w:rPr>
          <w:sz w:val="20"/>
          <w:szCs w:val="20"/>
          <w:color w:val="auto"/>
        </w:rPr>
      </w:pPr>
    </w:p>
    <w:p>
      <w:pPr>
        <w:ind w:left="660" w:right="8360" w:hanging="652"/>
        <w:spacing w:after="0" w:line="487" w:lineRule="auto"/>
        <w:tabs>
          <w:tab w:leader="none" w:pos="374"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Procedures for Enforcement 3.1 Enforcement</w:t>
      </w:r>
    </w:p>
    <w:p>
      <w:pPr>
        <w:ind w:left="660"/>
        <w:spacing w:after="0"/>
        <w:rPr>
          <w:sz w:val="20"/>
          <w:szCs w:val="20"/>
          <w:color w:val="auto"/>
        </w:rPr>
      </w:pPr>
      <w:r>
        <w:rPr>
          <w:rFonts w:ascii="Times New Roman" w:cs="Times New Roman" w:eastAsia="Times New Roman" w:hAnsi="Times New Roman"/>
          <w:sz w:val="20"/>
          <w:szCs w:val="20"/>
          <w:color w:val="auto"/>
        </w:rPr>
        <w:t>In the event that a claim for indemnity, an Expense Advance or otherwise is made hereunder and is not paid in full within sixty</w:t>
      </w:r>
    </w:p>
    <w:p>
      <w:pPr>
        <w:spacing w:after="0" w:line="40" w:lineRule="exact"/>
        <w:rPr>
          <w:sz w:val="20"/>
          <w:szCs w:val="20"/>
          <w:color w:val="auto"/>
        </w:rPr>
      </w:pPr>
    </w:p>
    <w:p>
      <w:pPr>
        <w:ind w:right="160" w:firstLine="8"/>
        <w:spacing w:after="0" w:line="255" w:lineRule="auto"/>
        <w:tabs>
          <w:tab w:leader="none" w:pos="39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(twenty (20) days for an Expense Advance) after written notice of such claim is delivered to the Company, Indemnitee may, but need not, at any time thereafter bring suit against the Company to recover the unpaid amount of the claim (an "Enforcement Action").</w:t>
      </w:r>
    </w:p>
    <w:p>
      <w:pPr>
        <w:spacing w:after="0" w:line="173"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1"/>
          <w:szCs w:val="21"/>
          <w:b w:val="1"/>
          <w:bCs w:val="1"/>
          <w:color w:val="auto"/>
        </w:rPr>
        <w:t>3.2</w:t>
      </w:r>
      <w:r>
        <w:rPr>
          <w:sz w:val="20"/>
          <w:szCs w:val="20"/>
          <w:color w:val="auto"/>
        </w:rPr>
        <w:tab/>
      </w:r>
      <w:r>
        <w:rPr>
          <w:rFonts w:ascii="Times New Roman" w:cs="Times New Roman" w:eastAsia="Times New Roman" w:hAnsi="Times New Roman"/>
          <w:sz w:val="20"/>
          <w:szCs w:val="20"/>
          <w:b w:val="1"/>
          <w:bCs w:val="1"/>
          <w:color w:val="auto"/>
        </w:rPr>
        <w:t>Presumptions in Enforcement Action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any Enforcement Action the following presumptions (and limitation on presumptions) shall apply:</w:t>
      </w:r>
    </w:p>
    <w:p>
      <w:pPr>
        <w:spacing w:after="0" w:line="218" w:lineRule="exact"/>
        <w:rPr>
          <w:sz w:val="20"/>
          <w:szCs w:val="20"/>
          <w:color w:val="auto"/>
        </w:rPr>
      </w:pPr>
    </w:p>
    <w:p>
      <w:pPr>
        <w:ind w:right="180" w:firstLine="656"/>
        <w:spacing w:after="0" w:line="283" w:lineRule="auto"/>
        <w:tabs>
          <w:tab w:leader="none" w:pos="108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conclusively be presumed to have entered into this Agreement and assumed the obligations imposed on it hereunder in order to induce Indemnitee to continue as a director and/or officer of the Company;</w:t>
      </w:r>
    </w:p>
    <w:p>
      <w:pPr>
        <w:spacing w:after="0" w:line="146" w:lineRule="exact"/>
        <w:rPr>
          <w:rFonts w:ascii="Times New Roman" w:cs="Times New Roman" w:eastAsia="Times New Roman" w:hAnsi="Times New Roman"/>
          <w:sz w:val="21"/>
          <w:szCs w:val="21"/>
          <w:color w:val="auto"/>
        </w:rPr>
      </w:pPr>
    </w:p>
    <w:p>
      <w:pPr>
        <w:ind w:right="100" w:firstLine="656"/>
        <w:spacing w:after="0" w:line="258" w:lineRule="auto"/>
        <w:tabs>
          <w:tab w:leader="none" w:pos="109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(i) the failure of the Company (including the Company's Board of Directors, independent or special legal counsel or the Company's shareholders) to have made a determination prior to the commencement of the Enforcement Action that indemnification of Indemnitee is proper in the circumstances nor (ii) an actual determination by the Company, its Board of Directors, independent or special legal counsel or shareholders that Indemnitee is not entitled to indemnification shall be a defense to the Enforcement Action or create a presumption that Indemnitee is not entitled to indemnification hereunder; and</w:t>
      </w:r>
    </w:p>
    <w:p>
      <w:pPr>
        <w:spacing w:after="0" w:line="173" w:lineRule="exact"/>
        <w:rPr>
          <w:rFonts w:ascii="Times New Roman" w:cs="Times New Roman" w:eastAsia="Times New Roman" w:hAnsi="Times New Roman"/>
          <w:sz w:val="21"/>
          <w:szCs w:val="21"/>
          <w:color w:val="auto"/>
        </w:rPr>
      </w:pPr>
    </w:p>
    <w:p>
      <w:pPr>
        <w:ind w:firstLine="656"/>
        <w:spacing w:after="0" w:line="271" w:lineRule="auto"/>
        <w:tabs>
          <w:tab w:leader="none" w:pos="108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Indemnitee is or was serving as a director, officer, employee, trustee or agent of a corporation of which a majority of the shares entitled to vote in the election of its directors is held by the Company or in an executive or management capacity in a partnership, joint venture, trust or other enterprise of which the Company or a wholly owned subsidiary of the Company is a general partner or has a majority ownership, then such corporation, partnership, joint venture, trust or enterprise shall conclusively be deemed a Related Company and Indemnitee shall conclusively be deemed to be serving such Related Company at the request of the Company.</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p>
    <w:p>
      <w:pPr>
        <w:spacing w:after="0" w:line="342"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1"/>
          <w:szCs w:val="21"/>
          <w:b w:val="1"/>
          <w:bCs w:val="1"/>
          <w:color w:val="auto"/>
        </w:rPr>
        <w:t>3.3</w:t>
      </w:r>
      <w:r>
        <w:rPr>
          <w:sz w:val="20"/>
          <w:szCs w:val="20"/>
          <w:color w:val="auto"/>
        </w:rPr>
        <w:tab/>
      </w:r>
      <w:r>
        <w:rPr>
          <w:rFonts w:ascii="Times New Roman" w:cs="Times New Roman" w:eastAsia="Times New Roman" w:hAnsi="Times New Roman"/>
          <w:sz w:val="20"/>
          <w:szCs w:val="20"/>
          <w:b w:val="1"/>
          <w:bCs w:val="1"/>
          <w:color w:val="auto"/>
        </w:rPr>
        <w:t>Attorneys' Fees and Expenses for Enforcement Action</w:t>
      </w:r>
    </w:p>
    <w:p>
      <w:pPr>
        <w:spacing w:after="0" w:line="22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21"/>
          <w:szCs w:val="21"/>
          <w:color w:val="auto"/>
        </w:rPr>
        <w:t>In the event Indemnitee is required to bring an Enforcement Action, the Company shall indemnify and hold harmless Indemnitee against all of Indemnitee's fees and expenses in bringing and pursuing the Enforcement Action (including attorneys' fees at any stage, including on appeal); provided, however, that the Company shall not be required to provide such indemnity for such attorneys' fees or expenses if a court of competent jurisdiction determines that each of the material assertions made by Indemnitee in such Enforcement Action was not made in good faith or was frivolous.</w:t>
      </w:r>
    </w:p>
    <w:p>
      <w:pPr>
        <w:spacing w:after="0" w:line="187" w:lineRule="exact"/>
        <w:rPr>
          <w:sz w:val="20"/>
          <w:szCs w:val="20"/>
          <w:color w:val="auto"/>
        </w:rPr>
      </w:pPr>
    </w:p>
    <w:p>
      <w:pPr>
        <w:ind w:left="660" w:right="6240" w:hanging="652"/>
        <w:spacing w:after="0" w:line="463" w:lineRule="auto"/>
        <w:tabs>
          <w:tab w:leader="none" w:pos="374"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Limitations on Indemnity; Mutual Acknowledgment 4.1 Limitation on Indemnity</w:t>
      </w:r>
    </w:p>
    <w:p>
      <w:pPr>
        <w:spacing w:after="0" w:line="1" w:lineRule="exact"/>
        <w:rPr>
          <w:rFonts w:ascii="Times New Roman" w:cs="Times New Roman" w:eastAsia="Times New Roman" w:hAnsi="Times New Roman"/>
          <w:sz w:val="21"/>
          <w:szCs w:val="21"/>
          <w:b w:val="1"/>
          <w:bCs w:val="1"/>
          <w:color w:val="auto"/>
        </w:rPr>
      </w:pPr>
    </w:p>
    <w:p>
      <w:pPr>
        <w:ind w:left="6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 indemnity pursuant to this Agreement shall be provided by the Company:</w:t>
      </w:r>
    </w:p>
    <w:p>
      <w:pPr>
        <w:spacing w:after="0" w:line="231" w:lineRule="exact"/>
        <w:rPr>
          <w:rFonts w:ascii="Times New Roman" w:cs="Times New Roman" w:eastAsia="Times New Roman" w:hAnsi="Times New Roman"/>
          <w:sz w:val="21"/>
          <w:szCs w:val="21"/>
          <w:b w:val="1"/>
          <w:bCs w:val="1"/>
          <w:color w:val="auto"/>
        </w:rPr>
      </w:pPr>
    </w:p>
    <w:p>
      <w:pPr>
        <w:ind w:firstLine="656"/>
        <w:spacing w:after="0" w:line="262" w:lineRule="auto"/>
        <w:tabs>
          <w:tab w:leader="none" w:pos="1085"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account of any suit in which a final, unappealable judgment is rendered against Indemnitee for an accounting of profits made from the purchase or sale by Indemnitee of securities of the Company in violation of the provisions of Section 16(b) of the Securities Exchange Act of 1934 and amendments thereto or</w:t>
      </w:r>
    </w:p>
    <w:p>
      <w:pPr>
        <w:spacing w:after="0" w:line="167" w:lineRule="exact"/>
        <w:rPr>
          <w:rFonts w:ascii="Times New Roman" w:cs="Times New Roman" w:eastAsia="Times New Roman" w:hAnsi="Times New Roman"/>
          <w:sz w:val="21"/>
          <w:szCs w:val="21"/>
          <w:color w:val="auto"/>
        </w:rPr>
      </w:pPr>
    </w:p>
    <w:p>
      <w:pPr>
        <w:ind w:right="220" w:firstLine="656"/>
        <w:spacing w:after="0" w:line="283" w:lineRule="auto"/>
        <w:tabs>
          <w:tab w:leader="none" w:pos="1096"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Damages that have been paid directly to Indemnitee by an insurance carrier under a policy of directors' and officers' liability insurance maintained by the Company.</w:t>
      </w:r>
    </w:p>
    <w:p>
      <w:pPr>
        <w:spacing w:after="0" w:line="144"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1"/>
          <w:szCs w:val="21"/>
          <w:b w:val="1"/>
          <w:bCs w:val="1"/>
          <w:color w:val="auto"/>
        </w:rPr>
        <w:t>4.2</w:t>
      </w:r>
      <w:r>
        <w:rPr>
          <w:sz w:val="20"/>
          <w:szCs w:val="20"/>
          <w:color w:val="auto"/>
        </w:rPr>
        <w:tab/>
      </w:r>
      <w:r>
        <w:rPr>
          <w:rFonts w:ascii="Times New Roman" w:cs="Times New Roman" w:eastAsia="Times New Roman" w:hAnsi="Times New Roman"/>
          <w:sz w:val="20"/>
          <w:szCs w:val="20"/>
          <w:b w:val="1"/>
          <w:bCs w:val="1"/>
          <w:color w:val="auto"/>
        </w:rPr>
        <w:t>Mutual Acknowledgment</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1"/>
          <w:szCs w:val="21"/>
          <w:color w:val="auto"/>
        </w:rPr>
        <w:t>The Company and Indemnitee acknowledge that, in certain instances, federal law or public policy may override applicable state law and prohibit the Company from indemnifying Indemnitee under this Agreement or otherwise. For example, the Company and Indemnitee acknowledge that the Securities and Exchange Commission (the "SEC") has taken the position that indemnification is not permissible for liabilities arising under certain federal securities laws, and federal legislation prohibits indemnification for certain ERISA violations. Furthermore,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w:t>
      </w:r>
    </w:p>
    <w:p>
      <w:pPr>
        <w:spacing w:after="0" w:line="187" w:lineRule="exact"/>
        <w:rPr>
          <w:sz w:val="20"/>
          <w:szCs w:val="20"/>
          <w:color w:val="auto"/>
        </w:rPr>
      </w:pPr>
    </w:p>
    <w:p>
      <w:pPr>
        <w:ind w:left="660" w:right="7880" w:hanging="652"/>
        <w:spacing w:after="0" w:line="463" w:lineRule="auto"/>
        <w:tabs>
          <w:tab w:leader="none" w:pos="374" w:val="left"/>
        </w:tabs>
        <w:numPr>
          <w:ilvl w:val="0"/>
          <w:numId w:val="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Notification and Defense of Claim 5.1 Notification</w:t>
      </w:r>
    </w:p>
    <w:p>
      <w:pPr>
        <w:spacing w:after="0" w:line="2" w:lineRule="exact"/>
        <w:rPr>
          <w:sz w:val="20"/>
          <w:szCs w:val="20"/>
          <w:color w:val="auto"/>
        </w:rPr>
      </w:pPr>
    </w:p>
    <w:p>
      <w:pPr>
        <w:jc w:val="both"/>
        <w:ind w:right="80" w:firstLine="648"/>
        <w:spacing w:after="0" w:line="262" w:lineRule="auto"/>
        <w:rPr>
          <w:sz w:val="20"/>
          <w:szCs w:val="20"/>
          <w:color w:val="auto"/>
        </w:rPr>
      </w:pPr>
      <w:r>
        <w:rPr>
          <w:rFonts w:ascii="Times New Roman" w:cs="Times New Roman" w:eastAsia="Times New Roman" w:hAnsi="Times New Roman"/>
          <w:sz w:val="21"/>
          <w:szCs w:val="21"/>
          <w:color w:val="auto"/>
        </w:rPr>
        <w:t>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the Company from any liability which it may have to Indemnitee under</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00" w:lineRule="exact"/>
        <w:rPr>
          <w:sz w:val="20"/>
          <w:szCs w:val="20"/>
          <w:color w:val="auto"/>
        </w:rPr>
      </w:pPr>
    </w:p>
    <w:p>
      <w:pPr>
        <w:spacing w:after="0" w:line="344"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21"/>
          <w:szCs w:val="21"/>
          <w:color w:val="auto"/>
        </w:rPr>
        <w:t>this Agreement unless and only to the extent that such omission can be shown to have prejudiced the Company's ability to defend the Proceeding.</w:t>
      </w:r>
    </w:p>
    <w:p>
      <w:pPr>
        <w:spacing w:after="0" w:line="17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1"/>
          <w:szCs w:val="21"/>
          <w:b w:val="1"/>
          <w:bCs w:val="1"/>
          <w:color w:val="auto"/>
        </w:rPr>
        <w:t>5.2</w:t>
      </w:r>
      <w:r>
        <w:rPr>
          <w:sz w:val="20"/>
          <w:szCs w:val="20"/>
          <w:color w:val="auto"/>
        </w:rPr>
        <w:tab/>
      </w:r>
      <w:r>
        <w:rPr>
          <w:rFonts w:ascii="Times New Roman" w:cs="Times New Roman" w:eastAsia="Times New Roman" w:hAnsi="Times New Roman"/>
          <w:sz w:val="20"/>
          <w:szCs w:val="20"/>
          <w:b w:val="1"/>
          <w:bCs w:val="1"/>
          <w:color w:val="auto"/>
        </w:rPr>
        <w:t>Defense of Claim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With respect to any such Proceeding as to which Indemnitee notifies the Company of the commencement thereof:</w:t>
      </w:r>
    </w:p>
    <w:p>
      <w:pPr>
        <w:spacing w:after="0" w:line="231" w:lineRule="exact"/>
        <w:rPr>
          <w:sz w:val="20"/>
          <w:szCs w:val="20"/>
          <w:color w:val="auto"/>
        </w:rPr>
      </w:pPr>
    </w:p>
    <w:p>
      <w:pPr>
        <w:ind w:left="1080" w:hanging="424"/>
        <w:spacing w:after="0"/>
        <w:tabs>
          <w:tab w:leader="none" w:pos="108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participate therein at its own expense;</w:t>
      </w:r>
    </w:p>
    <w:p>
      <w:pPr>
        <w:spacing w:after="0" w:line="217" w:lineRule="exact"/>
        <w:rPr>
          <w:rFonts w:ascii="Times New Roman" w:cs="Times New Roman" w:eastAsia="Times New Roman" w:hAnsi="Times New Roman"/>
          <w:sz w:val="21"/>
          <w:szCs w:val="21"/>
          <w:color w:val="auto"/>
        </w:rPr>
      </w:pPr>
    </w:p>
    <w:p>
      <w:pPr>
        <w:ind w:firstLine="656"/>
        <w:spacing w:after="0" w:line="253" w:lineRule="auto"/>
        <w:tabs>
          <w:tab w:leader="none" w:pos="1092"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jointly with any other indemnifying party similarly notified, may assume the defense thereof, with counsel satisfactory to Indemnitee. After notice from the Company to Indemnitee of its election so to assume the defense thereof, the Company shall not be liable to Indemnitee under this Agreement for any legal or other expenses (other than reasonable costs of investigation) subsequently incurred by Indemnitee in connection with the defense thereof unless (i) the employment of counsel by Indemnitee has been authorized by the Company, (ii) Indemnitee shall have reasonably concluded that there may be a conflict of interest between the Company and Indemnitee in the conduct of the defense of such action, or (iii) the Company shall not in fact have employed counsel to assume the defense of such action, in each of which cases the fees and expenses of counsel shall be at the expense of the Company. The Company shall not be entitled to assume the defense of any action, suit or proceeding brought by or on behalf of the Company or as to which Indemnitee shall have made the conclusion provided for in (ii) above;</w:t>
      </w:r>
    </w:p>
    <w:p>
      <w:pPr>
        <w:spacing w:after="0" w:line="179" w:lineRule="exact"/>
        <w:rPr>
          <w:rFonts w:ascii="Times New Roman" w:cs="Times New Roman" w:eastAsia="Times New Roman" w:hAnsi="Times New Roman"/>
          <w:sz w:val="21"/>
          <w:szCs w:val="21"/>
          <w:color w:val="auto"/>
        </w:rPr>
      </w:pPr>
    </w:p>
    <w:p>
      <w:pPr>
        <w:ind w:right="20" w:firstLine="656"/>
        <w:spacing w:after="0" w:line="283" w:lineRule="auto"/>
        <w:tabs>
          <w:tab w:leader="none" w:pos="1081"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be liable to indemnify Indemnitee under this Agreement for any amounts paid in settlement of any Proceeding effected without its written consent;</w:t>
      </w:r>
    </w:p>
    <w:p>
      <w:pPr>
        <w:spacing w:after="0" w:line="146" w:lineRule="exact"/>
        <w:rPr>
          <w:rFonts w:ascii="Times New Roman" w:cs="Times New Roman" w:eastAsia="Times New Roman" w:hAnsi="Times New Roman"/>
          <w:sz w:val="21"/>
          <w:szCs w:val="21"/>
          <w:color w:val="auto"/>
        </w:rPr>
      </w:pPr>
    </w:p>
    <w:p>
      <w:pPr>
        <w:ind w:right="700" w:firstLine="656"/>
        <w:spacing w:after="0" w:line="283" w:lineRule="auto"/>
        <w:tabs>
          <w:tab w:leader="none" w:pos="1092"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settle any action or claim in any manner which would impose any penalty or limitation on Indemnitee without Indemnitee's written consent; and</w:t>
      </w:r>
    </w:p>
    <w:p>
      <w:pPr>
        <w:spacing w:after="0" w:line="146" w:lineRule="exact"/>
        <w:rPr>
          <w:rFonts w:ascii="Times New Roman" w:cs="Times New Roman" w:eastAsia="Times New Roman" w:hAnsi="Times New Roman"/>
          <w:sz w:val="21"/>
          <w:szCs w:val="21"/>
          <w:color w:val="auto"/>
        </w:rPr>
      </w:pPr>
    </w:p>
    <w:p>
      <w:pPr>
        <w:ind w:left="1100" w:hanging="444"/>
        <w:spacing w:after="0"/>
        <w:tabs>
          <w:tab w:leader="none" w:pos="110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Indemnitee will unreasonably withhold its, his or her consent to any proposed settlement.</w:t>
      </w:r>
    </w:p>
    <w:p>
      <w:pPr>
        <w:spacing w:after="0" w:line="229"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Severability</w:t>
      </w:r>
    </w:p>
    <w:p>
      <w:pPr>
        <w:spacing w:after="0" w:line="233"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20"/>
          <w:szCs w:val="20"/>
          <w:color w:val="auto"/>
        </w:rPr>
        <w:t>Nothing in this Agreement is intended to require or shall be construed as requiring the Company to do or fail to do any act in violation of applicable law. The Company's inability, pursuant to court order, to perform its obligations under this Agreement shall not constitute a breach of this Agreement. The provisions of this Agreement shall be severable, as provided in this Section 6. If this Agreement or any portion hereof shall be invalidated on any ground by any court of competent jurisdiction, then the Company shall nevertheless indemnify Indemnitee to the full extent permitted by any applicable portion of this Agreement that shall not have been invalidated, and the balance of this Agreement not so invalidated shall be enforceable in accordance with its terms.</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00" w:lineRule="exact"/>
        <w:rPr>
          <w:sz w:val="20"/>
          <w:szCs w:val="20"/>
          <w:color w:val="auto"/>
        </w:rPr>
      </w:pPr>
    </w:p>
    <w:p>
      <w:pPr>
        <w:spacing w:after="0" w:line="342" w:lineRule="exact"/>
        <w:rPr>
          <w:sz w:val="20"/>
          <w:szCs w:val="20"/>
          <w:color w:val="auto"/>
        </w:rPr>
      </w:pPr>
    </w:p>
    <w:p>
      <w:pPr>
        <w:ind w:left="372" w:hanging="372"/>
        <w:spacing w:after="0"/>
        <w:tabs>
          <w:tab w:leader="none" w:pos="372" w:val="left"/>
        </w:tabs>
        <w:numPr>
          <w:ilvl w:val="0"/>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Governing Law; Binding Effect; Amendment and Termination</w:t>
      </w:r>
    </w:p>
    <w:p>
      <w:pPr>
        <w:spacing w:after="0" w:line="219" w:lineRule="exact"/>
        <w:rPr>
          <w:rFonts w:ascii="Times New Roman" w:cs="Times New Roman" w:eastAsia="Times New Roman" w:hAnsi="Times New Roman"/>
          <w:sz w:val="21"/>
          <w:szCs w:val="21"/>
          <w:b w:val="1"/>
          <w:bCs w:val="1"/>
          <w:color w:val="auto"/>
        </w:rPr>
      </w:pPr>
    </w:p>
    <w:p>
      <w:pPr>
        <w:ind w:left="1072" w:hanging="424"/>
        <w:spacing w:after="0"/>
        <w:tabs>
          <w:tab w:leader="none" w:pos="1072"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interpreted and enforced in accordance with the laws of the State of Washington.</w:t>
      </w:r>
    </w:p>
    <w:p>
      <w:pPr>
        <w:spacing w:after="0" w:line="231" w:lineRule="exact"/>
        <w:rPr>
          <w:rFonts w:ascii="Times New Roman" w:cs="Times New Roman" w:eastAsia="Times New Roman" w:hAnsi="Times New Roman"/>
          <w:sz w:val="21"/>
          <w:szCs w:val="21"/>
          <w:color w:val="auto"/>
        </w:rPr>
      </w:pPr>
    </w:p>
    <w:p>
      <w:pPr>
        <w:ind w:left="-8" w:firstLine="656"/>
        <w:spacing w:after="0" w:line="262" w:lineRule="auto"/>
        <w:tabs>
          <w:tab w:leader="none" w:pos="1084"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binding upon Indemnitee and upon the Company, its successors and assigns, and shall inure to the benefit of Indemnitee, Indemnitee's heirs, personal representatives and assigns and to the benefit of the Company, its successors and assigns.</w:t>
      </w:r>
    </w:p>
    <w:p>
      <w:pPr>
        <w:spacing w:after="0" w:line="167" w:lineRule="exact"/>
        <w:rPr>
          <w:rFonts w:ascii="Times New Roman" w:cs="Times New Roman" w:eastAsia="Times New Roman" w:hAnsi="Times New Roman"/>
          <w:sz w:val="21"/>
          <w:szCs w:val="21"/>
          <w:color w:val="auto"/>
        </w:rPr>
      </w:pPr>
    </w:p>
    <w:p>
      <w:pPr>
        <w:ind w:left="-8" w:right="100" w:firstLine="656"/>
        <w:spacing w:after="0" w:line="283" w:lineRule="auto"/>
        <w:tabs>
          <w:tab w:leader="none" w:pos="1077"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amendment, modification, termination or cancellation of this Agreement shall be effective unless in writing signed by both parties hereto.</w:t>
      </w:r>
    </w:p>
    <w:p>
      <w:pPr>
        <w:spacing w:after="0" w:line="14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on and as of the effective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12"/>
        <w:spacing w:after="0"/>
        <w:rPr>
          <w:sz w:val="20"/>
          <w:szCs w:val="20"/>
          <w:color w:val="auto"/>
        </w:rPr>
      </w:pPr>
      <w:r>
        <w:rPr>
          <w:rFonts w:ascii="Times New Roman" w:cs="Times New Roman" w:eastAsia="Times New Roman" w:hAnsi="Times New Roman"/>
          <w:sz w:val="21"/>
          <w:szCs w:val="21"/>
          <w:color w:val="auto"/>
        </w:rPr>
        <w:t>COMPANY:</w:t>
      </w:r>
    </w:p>
    <w:p>
      <w:pPr>
        <w:spacing w:after="0" w:line="285" w:lineRule="exact"/>
        <w:rPr>
          <w:sz w:val="20"/>
          <w:szCs w:val="20"/>
          <w:color w:val="auto"/>
        </w:rPr>
      </w:pPr>
    </w:p>
    <w:p>
      <w:pPr>
        <w:ind w:left="3912"/>
        <w:spacing w:after="0"/>
        <w:rPr>
          <w:sz w:val="20"/>
          <w:szCs w:val="20"/>
          <w:color w:val="auto"/>
        </w:rPr>
      </w:pPr>
      <w:r>
        <w:rPr>
          <w:rFonts w:ascii="Times New Roman" w:cs="Times New Roman" w:eastAsia="Times New Roman" w:hAnsi="Times New Roman"/>
          <w:sz w:val="21"/>
          <w:szCs w:val="21"/>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912"/>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13335</wp:posOffset>
            </wp:positionV>
            <wp:extent cx="21945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9" w:lineRule="exact"/>
        <w:rPr>
          <w:sz w:val="20"/>
          <w:szCs w:val="20"/>
          <w:color w:val="auto"/>
        </w:rPr>
      </w:pPr>
    </w:p>
    <w:p>
      <w:pPr>
        <w:ind w:left="4252"/>
        <w:spacing w:after="0"/>
        <w:rPr>
          <w:sz w:val="20"/>
          <w:szCs w:val="20"/>
          <w:color w:val="auto"/>
        </w:rPr>
      </w:pPr>
      <w:r>
        <w:rPr>
          <w:rFonts w:ascii="Times New Roman" w:cs="Times New Roman" w:eastAsia="Times New Roman" w:hAnsi="Times New Roman"/>
          <w:sz w:val="21"/>
          <w:szCs w:val="21"/>
          <w:color w:val="auto"/>
        </w:rPr>
        <w:t>Philip Mezey</w:t>
      </w:r>
    </w:p>
    <w:p>
      <w:pPr>
        <w:spacing w:after="0" w:line="29" w:lineRule="exact"/>
        <w:rPr>
          <w:sz w:val="20"/>
          <w:szCs w:val="20"/>
          <w:color w:val="auto"/>
        </w:rPr>
      </w:pPr>
    </w:p>
    <w:p>
      <w:pPr>
        <w:ind w:left="4252"/>
        <w:spacing w:after="0"/>
        <w:rPr>
          <w:sz w:val="20"/>
          <w:szCs w:val="20"/>
          <w:color w:val="auto"/>
        </w:rPr>
      </w:pPr>
      <w:r>
        <w:rPr>
          <w:rFonts w:ascii="Times New Roman" w:cs="Times New Roman" w:eastAsia="Times New Roman" w:hAnsi="Times New Roman"/>
          <w:sz w:val="21"/>
          <w:szCs w:val="21"/>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12"/>
        <w:spacing w:after="0"/>
        <w:rPr>
          <w:sz w:val="20"/>
          <w:szCs w:val="20"/>
          <w:color w:val="auto"/>
        </w:rPr>
      </w:pPr>
      <w:r>
        <w:rPr>
          <w:rFonts w:ascii="Times New Roman" w:cs="Times New Roman" w:eastAsia="Times New Roman" w:hAnsi="Times New Roman"/>
          <w:sz w:val="21"/>
          <w:szCs w:val="2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596265</wp:posOffset>
            </wp:positionV>
            <wp:extent cx="24174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52"/>
        <w:spacing w:after="0"/>
        <w:rPr>
          <w:sz w:val="20"/>
          <w:szCs w:val="20"/>
          <w:color w:val="auto"/>
        </w:rPr>
      </w:pPr>
      <w:r>
        <w:rPr>
          <w:rFonts w:ascii="Times New Roman" w:cs="Times New Roman" w:eastAsia="Times New Roman" w:hAnsi="Times New Roman"/>
          <w:sz w:val="21"/>
          <w:szCs w:val="21"/>
          <w:color w:val="auto"/>
        </w:rPr>
        <w:t>Name</w:t>
      </w:r>
    </w:p>
    <w:p>
      <w:pPr>
        <w:spacing w:after="0" w:line="29" w:lineRule="exact"/>
        <w:rPr>
          <w:sz w:val="20"/>
          <w:szCs w:val="20"/>
          <w:color w:val="auto"/>
        </w:rPr>
      </w:pPr>
    </w:p>
    <w:p>
      <w:pPr>
        <w:ind w:left="4252"/>
        <w:spacing w:after="0"/>
        <w:rPr>
          <w:sz w:val="20"/>
          <w:szCs w:val="20"/>
          <w:color w:val="auto"/>
        </w:rPr>
      </w:pPr>
      <w:r>
        <w:rPr>
          <w:rFonts w:ascii="Times New Roman" w:cs="Times New Roman" w:eastAsia="Times New Roman" w:hAnsi="Times New Roman"/>
          <w:sz w:val="21"/>
          <w:szCs w:val="21"/>
          <w:color w:val="auto"/>
        </w:rPr>
        <w:t>Title</w:t>
      </w:r>
    </w:p>
    <w:p>
      <w:pPr>
        <w:sectPr>
          <w:pgSz w:w="11900" w:h="16838" w:orient="portrait"/>
          <w:cols w:equalWidth="0" w:num="1">
            <w:col w:w="11232"/>
          </w:cols>
          <w:pgMar w:left="328" w:top="1440" w:right="339" w:bottom="1440" w:gutter="0" w:footer="0" w:header="0"/>
        </w:sectPr>
      </w:pPr>
    </w:p>
    <w:bookmarkStart w:id="120" w:name="page121"/>
    <w:bookmarkEnd w:id="120"/>
    <w:p>
      <w:pPr>
        <w:jc w:val="right"/>
        <w:spacing w:after="0"/>
        <w:rPr>
          <w:sz w:val="20"/>
          <w:szCs w:val="20"/>
          <w:color w:val="auto"/>
        </w:rPr>
      </w:pPr>
      <w:r>
        <w:rPr>
          <w:rFonts w:ascii="Calibri" w:cs="Calibri" w:eastAsia="Calibri" w:hAnsi="Calibri"/>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jc w:val="center"/>
        <w:spacing w:after="0"/>
        <w:rPr>
          <w:sz w:val="20"/>
          <w:szCs w:val="20"/>
          <w:color w:val="auto"/>
        </w:rPr>
      </w:pPr>
      <w:r>
        <w:rPr>
          <w:rFonts w:ascii="Arial" w:cs="Arial" w:eastAsia="Arial" w:hAnsi="Arial"/>
          <w:sz w:val="18"/>
          <w:szCs w:val="18"/>
          <w:b w:val="1"/>
          <w:bCs w:val="1"/>
          <w:color w:val="auto"/>
        </w:rPr>
        <w:t>SECOND AMENDED AND RESTATED 2010 STOCK INCENTIVE PLAN</w:t>
      </w:r>
    </w:p>
    <w:p>
      <w:pPr>
        <w:spacing w:after="0" w:line="16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(As Amended and Restated, February 23, 2023)</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EFFECTIVE DATE</w:t>
      </w:r>
    </w:p>
    <w:p>
      <w:pPr>
        <w:spacing w:after="0" w:line="368" w:lineRule="exact"/>
        <w:rPr>
          <w:sz w:val="20"/>
          <w:szCs w:val="20"/>
          <w:color w:val="auto"/>
        </w:rPr>
      </w:pPr>
    </w:p>
    <w:p>
      <w:pPr>
        <w:ind w:right="140"/>
        <w:spacing w:after="0"/>
        <w:rPr>
          <w:sz w:val="20"/>
          <w:szCs w:val="20"/>
          <w:color w:val="auto"/>
        </w:rPr>
      </w:pPr>
      <w:r>
        <w:rPr>
          <w:rFonts w:ascii="Calibri" w:cs="Calibri" w:eastAsia="Calibri" w:hAnsi="Calibri"/>
          <w:sz w:val="20"/>
          <w:szCs w:val="20"/>
          <w:color w:val="auto"/>
        </w:rPr>
        <w:t>The name of this Plan is the Itron, Inc. Second Amended and Restated 2010 Stock Incentve Plan (the “Plan”). The purpose of the Plan is to enhance the long-term shareholder value of Itron, Inc., a Washington corporaton (the “Company”), by ofering opportunites to selected persons to partcipate in the Company’s growth and success, and to encourage them to remain in the service of the Company and its Related Corporatons (as defned in Secton 2) and to acquire and maintain stock ownership in the Company.</w:t>
      </w:r>
    </w:p>
    <w:p>
      <w:pPr>
        <w:spacing w:after="0" w:line="157" w:lineRule="exact"/>
        <w:rPr>
          <w:sz w:val="20"/>
          <w:szCs w:val="20"/>
          <w:color w:val="auto"/>
        </w:rPr>
      </w:pPr>
    </w:p>
    <w:p>
      <w:pPr>
        <w:ind w:right="720"/>
        <w:spacing w:after="0" w:line="234" w:lineRule="auto"/>
        <w:rPr>
          <w:sz w:val="20"/>
          <w:szCs w:val="20"/>
          <w:color w:val="auto"/>
        </w:rPr>
      </w:pPr>
      <w:r>
        <w:rPr>
          <w:rFonts w:ascii="Calibri" w:cs="Calibri" w:eastAsia="Calibri" w:hAnsi="Calibri"/>
          <w:sz w:val="20"/>
          <w:szCs w:val="20"/>
          <w:color w:val="auto"/>
        </w:rPr>
        <w:t>The Plan is hereby amended and restated, efectve as of the date of approval by the shareholders of the Company at the annual shareholders meetng held in 2017 (the “Restatement Efectve Date”).</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358" w:lineRule="exact"/>
        <w:rPr>
          <w:sz w:val="20"/>
          <w:szCs w:val="20"/>
          <w:color w:val="auto"/>
        </w:rPr>
      </w:pPr>
    </w:p>
    <w:p>
      <w:pPr>
        <w:spacing w:after="0"/>
        <w:rPr>
          <w:sz w:val="20"/>
          <w:szCs w:val="20"/>
          <w:color w:val="auto"/>
        </w:rPr>
      </w:pPr>
      <w:r>
        <w:rPr>
          <w:rFonts w:ascii="Calibri" w:cs="Calibri" w:eastAsia="Calibri" w:hAnsi="Calibri"/>
          <w:sz w:val="20"/>
          <w:szCs w:val="20"/>
          <w:color w:val="auto"/>
        </w:rPr>
        <w:t>For purposes of the Plan, the following terms shall be defned as set forth below:</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“Award” means any Opton, Stock Appreciaton Right, Stock Award or Performance Award granted pursuant to the provisions of the Plan.</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“Board” means the Board of Directors of the Company.</w:t>
      </w:r>
    </w:p>
    <w:p>
      <w:pPr>
        <w:spacing w:after="0" w:line="144" w:lineRule="exact"/>
        <w:rPr>
          <w:sz w:val="20"/>
          <w:szCs w:val="20"/>
          <w:color w:val="auto"/>
        </w:rPr>
      </w:pPr>
    </w:p>
    <w:p>
      <w:pPr>
        <w:ind w:right="180"/>
        <w:spacing w:after="0" w:line="243" w:lineRule="auto"/>
        <w:rPr>
          <w:sz w:val="20"/>
          <w:szCs w:val="20"/>
          <w:color w:val="auto"/>
        </w:rPr>
      </w:pPr>
      <w:r>
        <w:rPr>
          <w:rFonts w:ascii="Calibri" w:cs="Calibri" w:eastAsia="Calibri" w:hAnsi="Calibri"/>
          <w:sz w:val="20"/>
          <w:szCs w:val="20"/>
          <w:color w:val="auto"/>
        </w:rPr>
        <w:t>“Cause,” unless otherwise defned in the instrument evidencing the Award or in a writen employment or services agreement between the Partcipant and the Company or a Related Corporaton in connecton with an Award, means dishonesty, fraud, misconduct, unauthorized use or disclosure of confdental informaton or trade secrets (except in certain circumstances involving government agencies), or convicton or confession of a crime punishable by law (except minor violatons), in each case as determined by the Plan Administrator, and its determinaton shall be conclusive and binding.</w:t>
      </w:r>
    </w:p>
    <w:p>
      <w:pPr>
        <w:spacing w:after="0" w:line="145" w:lineRule="exact"/>
        <w:rPr>
          <w:sz w:val="20"/>
          <w:szCs w:val="20"/>
          <w:color w:val="auto"/>
        </w:rPr>
      </w:pPr>
    </w:p>
    <w:p>
      <w:pPr>
        <w:spacing w:after="0"/>
        <w:rPr>
          <w:sz w:val="20"/>
          <w:szCs w:val="20"/>
          <w:color w:val="auto"/>
        </w:rPr>
      </w:pPr>
      <w:r>
        <w:rPr>
          <w:rFonts w:ascii="Calibri" w:cs="Calibri" w:eastAsia="Calibri" w:hAnsi="Calibri"/>
          <w:sz w:val="20"/>
          <w:szCs w:val="20"/>
          <w:color w:val="auto"/>
        </w:rPr>
        <w:t>“Code” means the U.S. Internal Revenue Code of 1986, as amended from tme to tme.</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“Common Stock” means the common stock, no par value per share, of the Company.</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“Change in Control Transacton” has the meaning set forth in Secton 16.2.1.</w:t>
      </w:r>
    </w:p>
    <w:p>
      <w:pPr>
        <w:spacing w:after="0" w:line="157" w:lineRule="exact"/>
        <w:rPr>
          <w:sz w:val="20"/>
          <w:szCs w:val="20"/>
          <w:color w:val="auto"/>
        </w:rPr>
      </w:pPr>
    </w:p>
    <w:p>
      <w:pPr>
        <w:ind w:right="140"/>
        <w:spacing w:after="0" w:line="234" w:lineRule="auto"/>
        <w:rPr>
          <w:sz w:val="20"/>
          <w:szCs w:val="20"/>
          <w:color w:val="auto"/>
        </w:rPr>
      </w:pPr>
      <w:r>
        <w:rPr>
          <w:rFonts w:ascii="Calibri" w:cs="Calibri" w:eastAsia="Calibri" w:hAnsi="Calibri"/>
          <w:sz w:val="20"/>
          <w:szCs w:val="20"/>
          <w:color w:val="auto"/>
        </w:rPr>
        <w:t>“Covered Employee” means a “covered employee” as that term is defned in Secton 162(m) of the Code or any successor provision and any related U.S. Department of Treasury guidance.</w:t>
      </w:r>
    </w:p>
    <w:p>
      <w:pPr>
        <w:spacing w:after="0" w:line="158" w:lineRule="exact"/>
        <w:rPr>
          <w:sz w:val="20"/>
          <w:szCs w:val="20"/>
          <w:color w:val="auto"/>
        </w:rPr>
      </w:pPr>
    </w:p>
    <w:p>
      <w:pPr>
        <w:spacing w:after="0"/>
        <w:rPr>
          <w:sz w:val="20"/>
          <w:szCs w:val="20"/>
          <w:color w:val="auto"/>
        </w:rPr>
      </w:pPr>
      <w:r>
        <w:rPr>
          <w:rFonts w:ascii="Calibri" w:cs="Calibri" w:eastAsia="Calibri" w:hAnsi="Calibri"/>
          <w:sz w:val="20"/>
          <w:szCs w:val="20"/>
          <w:color w:val="auto"/>
        </w:rPr>
        <w:t>“Disability,” unless otherwise defned by the Plan Administrator, means a mental or physical impairment of the Partcipant that is expected to result in death or that has lasted or is expected to last for a contnuous period of 12 months or more and that causes the Partcipant to be unable, in the opinion of the Company, to perform his or her dutes for the Company or a Related Corporaton and to be engaged in any substantal gainful actvity.</w:t>
      </w:r>
    </w:p>
    <w:p>
      <w:pPr>
        <w:sectPr>
          <w:pgSz w:w="11900" w:h="16838" w:orient="portrait"/>
          <w:cols w:equalWidth="0" w:num="1">
            <w:col w:w="11240"/>
          </w:cols>
          <w:pgMar w:left="320" w:top="99" w:right="339" w:bottom="1440" w:gutter="0" w:footer="0" w:header="0"/>
        </w:sectPr>
      </w:pPr>
    </w:p>
    <w:bookmarkStart w:id="121" w:name="page122"/>
    <w:bookmarkEnd w:id="121"/>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color w:val="auto"/>
        </w:rPr>
        <w:t>“Dividend Equivalent” has the meaning set forth in Secton 10.</w:t>
      </w:r>
    </w:p>
    <w:p>
      <w:pPr>
        <w:spacing w:after="0" w:line="157" w:lineRule="exact"/>
        <w:rPr>
          <w:sz w:val="20"/>
          <w:szCs w:val="20"/>
          <w:color w:val="auto"/>
        </w:rPr>
      </w:pPr>
    </w:p>
    <w:p>
      <w:pPr>
        <w:ind w:right="40"/>
        <w:spacing w:after="0" w:line="234" w:lineRule="auto"/>
        <w:rPr>
          <w:sz w:val="20"/>
          <w:szCs w:val="20"/>
          <w:color w:val="auto"/>
        </w:rPr>
      </w:pPr>
      <w:r>
        <w:rPr>
          <w:rFonts w:ascii="Calibri" w:cs="Calibri" w:eastAsia="Calibri" w:hAnsi="Calibri"/>
          <w:sz w:val="20"/>
          <w:szCs w:val="20"/>
          <w:color w:val="auto"/>
        </w:rPr>
        <w:t>“Efectve Date” shall mean the date upon which the Plan is approved by the Itron Board of Directors. The Efectve Date of a subsequent amendment to the Plan shall be the date on which said amendment is approved by the Board.</w:t>
      </w:r>
    </w:p>
    <w:p>
      <w:pPr>
        <w:spacing w:after="0" w:line="149" w:lineRule="exact"/>
        <w:rPr>
          <w:sz w:val="20"/>
          <w:szCs w:val="20"/>
          <w:color w:val="auto"/>
        </w:rPr>
      </w:pPr>
    </w:p>
    <w:p>
      <w:pPr>
        <w:spacing w:after="0"/>
        <w:rPr>
          <w:sz w:val="20"/>
          <w:szCs w:val="20"/>
          <w:color w:val="auto"/>
        </w:rPr>
      </w:pPr>
      <w:r>
        <w:rPr>
          <w:rFonts w:ascii="Calibri" w:cs="Calibri" w:eastAsia="Calibri" w:hAnsi="Calibri"/>
          <w:sz w:val="20"/>
          <w:szCs w:val="20"/>
          <w:color w:val="auto"/>
        </w:rPr>
        <w:t>“Exchange Act” means the U.S. Securites Exchange Act of 1934, as amended.</w:t>
      </w:r>
    </w:p>
    <w:p>
      <w:pPr>
        <w:spacing w:after="0" w:line="157"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“Fair Market Value” shall be as established by the Plan Administrator actng in good faith to be reasonable and in compliance with Secton 409A of the Code or (a) if the Common Stock is listed on The NASDAQ Global Select Market, the closing sales price for the Common Stock as reported by The NASDAQ Global Select Market for a single trading day or (b) if the Common Stock is listed on the New York Stock Exchange or the American Stock Exchange, the closing sales price for the Common Stock as such price is ofcially quoted in the composite tape of transactons on such exchange for a single trading day. If there is no such reported price for the Common Stock for the date in queston, then such price on the last preceding date for which such price exists shall be determinatve of Fair Market Value. Notwithstanding the foregoing, for income tax reportng and withholding purposes under U.S. federal, state, local or non-U.S. law and for such other purposes as the Plan Administrator deems appropriate, including, without limitaton, where Fair Market Value is used in reference to exercise, vestng, setlement or payout of an Award, the Fair Market Value shall be determined by the Plan Administrator in accordance with applicable law and uniform and nondiscriminatory standards adopted by it from tme to tme.</w:t>
      </w:r>
    </w:p>
    <w:p>
      <w:pPr>
        <w:spacing w:after="0" w:line="157" w:lineRule="exact"/>
        <w:rPr>
          <w:sz w:val="20"/>
          <w:szCs w:val="20"/>
          <w:color w:val="auto"/>
        </w:rPr>
      </w:pPr>
    </w:p>
    <w:p>
      <w:pPr>
        <w:ind w:right="60"/>
        <w:spacing w:after="0"/>
        <w:rPr>
          <w:sz w:val="20"/>
          <w:szCs w:val="20"/>
          <w:color w:val="auto"/>
        </w:rPr>
      </w:pPr>
      <w:r>
        <w:rPr>
          <w:rFonts w:ascii="Calibri" w:cs="Calibri" w:eastAsia="Calibri" w:hAnsi="Calibri"/>
          <w:sz w:val="20"/>
          <w:szCs w:val="20"/>
          <w:color w:val="auto"/>
        </w:rPr>
        <w:t>“Grant Date” means the date on which the Plan Administrator completes the corporate acton authorizing the grant of an Award or such later date specifed by the Plan Administrator, and on which all conditons precedent to the grant have been satsfed, provided that conditons to the exercisability or vestng of Awards shall not defer the Grant Date.</w:t>
      </w:r>
    </w:p>
    <w:p>
      <w:pPr>
        <w:spacing w:after="0" w:line="159" w:lineRule="exact"/>
        <w:rPr>
          <w:sz w:val="20"/>
          <w:szCs w:val="20"/>
          <w:color w:val="auto"/>
        </w:rPr>
      </w:pPr>
    </w:p>
    <w:p>
      <w:pPr>
        <w:ind w:right="280"/>
        <w:spacing w:after="0" w:line="234" w:lineRule="auto"/>
        <w:rPr>
          <w:sz w:val="20"/>
          <w:szCs w:val="20"/>
          <w:color w:val="auto"/>
        </w:rPr>
      </w:pPr>
      <w:r>
        <w:rPr>
          <w:rFonts w:ascii="Calibri" w:cs="Calibri" w:eastAsia="Calibri" w:hAnsi="Calibri"/>
          <w:sz w:val="20"/>
          <w:szCs w:val="20"/>
          <w:color w:val="auto"/>
        </w:rPr>
        <w:t>“Incentve Stock Opton” means an Opton to purchase Common Stock granted under Secton 7 with the intenton that it qualify as an “incentve stock opton” as that term is defned in Secton 422 of the Code.</w:t>
      </w:r>
    </w:p>
    <w:p>
      <w:pPr>
        <w:spacing w:after="0" w:line="149" w:lineRule="exact"/>
        <w:rPr>
          <w:sz w:val="20"/>
          <w:szCs w:val="20"/>
          <w:color w:val="auto"/>
        </w:rPr>
      </w:pPr>
    </w:p>
    <w:p>
      <w:pPr>
        <w:spacing w:after="0"/>
        <w:rPr>
          <w:sz w:val="20"/>
          <w:szCs w:val="20"/>
          <w:color w:val="auto"/>
        </w:rPr>
      </w:pPr>
      <w:r>
        <w:rPr>
          <w:rFonts w:ascii="Calibri" w:cs="Calibri" w:eastAsia="Calibri" w:hAnsi="Calibri"/>
          <w:sz w:val="20"/>
          <w:szCs w:val="20"/>
          <w:color w:val="auto"/>
        </w:rPr>
        <w:t>“Nonqualifed Stock Opton” means an Opton to purchase Common Stock granted under Secton 7 other than an Incentve Stock Opton.</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“Opton” means the right to purchase Common Stock granted under Secton 7.</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“Opton Term” has the meaning set forth in Secton 7.3.</w:t>
      </w:r>
    </w:p>
    <w:p>
      <w:pPr>
        <w:spacing w:after="0" w:line="157" w:lineRule="exact"/>
        <w:rPr>
          <w:sz w:val="20"/>
          <w:szCs w:val="20"/>
          <w:color w:val="auto"/>
        </w:rPr>
      </w:pPr>
    </w:p>
    <w:p>
      <w:pPr>
        <w:ind w:right="400"/>
        <w:spacing w:after="0" w:line="234" w:lineRule="auto"/>
        <w:rPr>
          <w:sz w:val="20"/>
          <w:szCs w:val="20"/>
          <w:color w:val="auto"/>
        </w:rPr>
      </w:pPr>
      <w:r>
        <w:rPr>
          <w:rFonts w:ascii="Calibri" w:cs="Calibri" w:eastAsia="Calibri" w:hAnsi="Calibri"/>
          <w:sz w:val="20"/>
          <w:szCs w:val="20"/>
          <w:color w:val="auto"/>
        </w:rPr>
        <w:t>“Parent,” except as otherwise provided in Secton 8.8 in connecton with Incentve Stock Optons, means any entty, whether now or hereafer existng, that directly or indirectly controls the Company.</w:t>
      </w:r>
    </w:p>
    <w:p>
      <w:pPr>
        <w:spacing w:after="0" w:line="149" w:lineRule="exact"/>
        <w:rPr>
          <w:sz w:val="20"/>
          <w:szCs w:val="20"/>
          <w:color w:val="auto"/>
        </w:rPr>
      </w:pPr>
    </w:p>
    <w:p>
      <w:pPr>
        <w:spacing w:after="0"/>
        <w:rPr>
          <w:sz w:val="20"/>
          <w:szCs w:val="20"/>
          <w:color w:val="auto"/>
        </w:rPr>
      </w:pPr>
      <w:r>
        <w:rPr>
          <w:rFonts w:ascii="Calibri" w:cs="Calibri" w:eastAsia="Calibri" w:hAnsi="Calibri"/>
          <w:sz w:val="20"/>
          <w:szCs w:val="20"/>
          <w:color w:val="auto"/>
        </w:rPr>
        <w:t>“Partcipant” means the person to whom an Award is granted.</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“Performance Award” means any Award of Performance Shares or Performance Units granted pursuant to Secton 12.</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“Performance Share” has the meaning set forth in Secton 12.1.</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“Performance Unit” has the meaning set forth in Secton 12.2.</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“Plan Administrator” has the meaning set forth in Secton 3.1.</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“Related Corporaton” means any Parent or Subsidiary of the Company.</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“Restricted Stock” has the meaning set forth in Secton 11.1.</w:t>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color w:val="auto"/>
        </w:rPr>
        <w:t>“Securites Act” means the U.S. Securites Act of 1933, as amended.</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“Stock Appreciaton Right” or “SAR” has the meaning set forth in Secton 9.</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“Stock Award” means Unrestricted Stock, Restricted Stock or Stock Units granted under Secton 11.</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“Stock Unit” has the meaning set forth in Secton 11.2.</w:t>
      </w:r>
    </w:p>
    <w:p>
      <w:pPr>
        <w:spacing w:after="0" w:line="157" w:lineRule="exact"/>
        <w:rPr>
          <w:sz w:val="20"/>
          <w:szCs w:val="20"/>
          <w:color w:val="auto"/>
        </w:rPr>
      </w:pPr>
    </w:p>
    <w:p>
      <w:pPr>
        <w:ind w:right="40"/>
        <w:spacing w:after="0" w:line="234" w:lineRule="auto"/>
        <w:rPr>
          <w:sz w:val="20"/>
          <w:szCs w:val="20"/>
          <w:color w:val="auto"/>
        </w:rPr>
      </w:pPr>
      <w:r>
        <w:rPr>
          <w:rFonts w:ascii="Calibri" w:cs="Calibri" w:eastAsia="Calibri" w:hAnsi="Calibri"/>
          <w:sz w:val="20"/>
          <w:szCs w:val="20"/>
          <w:color w:val="auto"/>
        </w:rPr>
        <w:t>“Subsidiary,” except as otherwise provided in Secton 8.8 in connecton with Incentve Stock Optons, means any entty that is directly or indirectly controlled by the Company.</w:t>
      </w:r>
    </w:p>
    <w:p>
      <w:pPr>
        <w:spacing w:after="0" w:line="149" w:lineRule="exact"/>
        <w:rPr>
          <w:sz w:val="20"/>
          <w:szCs w:val="20"/>
          <w:color w:val="auto"/>
        </w:rPr>
      </w:pPr>
    </w:p>
    <w:p>
      <w:pPr>
        <w:spacing w:after="0"/>
        <w:rPr>
          <w:sz w:val="20"/>
          <w:szCs w:val="20"/>
          <w:color w:val="auto"/>
        </w:rPr>
      </w:pPr>
      <w:r>
        <w:rPr>
          <w:rFonts w:ascii="Calibri" w:cs="Calibri" w:eastAsia="Calibri" w:hAnsi="Calibri"/>
          <w:sz w:val="20"/>
          <w:szCs w:val="20"/>
          <w:color w:val="auto"/>
        </w:rPr>
        <w:t>“Successor Corporaton” has the meaning set forth in Secton 16.2.2.</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“Terminaton Date” has the meaning set forth in Secton 7.6.</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“Unrestricted Stock” has the meaning set forth in Secton 11.1.</w:t>
      </w:r>
    </w:p>
    <w:p>
      <w:pPr>
        <w:spacing w:after="0" w:line="157" w:lineRule="exact"/>
        <w:rPr>
          <w:sz w:val="20"/>
          <w:szCs w:val="20"/>
          <w:color w:val="auto"/>
        </w:rPr>
      </w:pPr>
    </w:p>
    <w:p>
      <w:pPr>
        <w:ind w:right="480"/>
        <w:spacing w:after="0" w:line="234" w:lineRule="auto"/>
        <w:rPr>
          <w:sz w:val="20"/>
          <w:szCs w:val="20"/>
          <w:color w:val="auto"/>
        </w:rPr>
      </w:pPr>
      <w:r>
        <w:rPr>
          <w:rFonts w:ascii="Calibri" w:cs="Calibri" w:eastAsia="Calibri" w:hAnsi="Calibri"/>
          <w:sz w:val="20"/>
          <w:szCs w:val="20"/>
          <w:color w:val="auto"/>
        </w:rPr>
        <w:t>“Vestng Base Date” means the Grant Date or such other date selected by the Plan Administrator as the date from which an Award begins to vest.</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Plan Administrator</w:t>
      </w:r>
    </w:p>
    <w:p>
      <w:pPr>
        <w:spacing w:after="0" w:line="152"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The Plan shall be administered by the Board and/or a commitee or commitees (which term includes subcommitees) appointed by, and consistng of, two or more members of the Board who meet the independence standards set forth by the NASDAQ Global Select Market (the “Plan Administrator”). If and so long as the Common Stock is registered under Secton 12(b) or 12(g) of the Exchange Act, the Board shall consider in selectng the members of any commitee actng as Plan Administrator, with respect to any persons subject or likely to become subject to Secton 16 of the Exchange Act, the provisions regarding</w:t>
      </w:r>
    </w:p>
    <w:p>
      <w:pPr>
        <w:spacing w:after="0" w:line="155" w:lineRule="exact"/>
        <w:rPr>
          <w:sz w:val="20"/>
          <w:szCs w:val="20"/>
          <w:color w:val="auto"/>
        </w:rPr>
      </w:pPr>
    </w:p>
    <w:p>
      <w:pPr>
        <w:ind w:right="40" w:firstLine="8"/>
        <w:spacing w:after="0" w:line="236" w:lineRule="auto"/>
        <w:tabs>
          <w:tab w:leader="none" w:pos="403" w:val="left"/>
        </w:tabs>
        <w:numPr>
          <w:ilvl w:val="0"/>
          <w:numId w:val="55"/>
        </w:numPr>
        <w:rPr>
          <w:rFonts w:ascii="Calibri" w:cs="Calibri" w:eastAsia="Calibri" w:hAnsi="Calibri"/>
          <w:sz w:val="20"/>
          <w:szCs w:val="20"/>
          <w:color w:val="auto"/>
        </w:rPr>
      </w:pPr>
      <w:r>
        <w:rPr>
          <w:rFonts w:ascii="Calibri" w:cs="Calibri" w:eastAsia="Calibri" w:hAnsi="Calibri"/>
          <w:sz w:val="20"/>
          <w:szCs w:val="20"/>
          <w:color w:val="auto"/>
        </w:rPr>
        <w:t>“outside directors” as contemplated by Secton 162(m) of the Code and (b) “nonemployee directors” as contemplated by Rule 16b-3 under the Exchange Act. Notwithstanding the foregoing, the Board may delegate the responsibility for administering the Plan with respect to designated classes of eligible persons to diferent commitees consistng of two or more members of the Board, subject to</w:t>
      </w:r>
    </w:p>
    <w:p>
      <w:pPr>
        <w:spacing w:after="0" w:line="22" w:lineRule="exact"/>
        <w:rPr>
          <w:rFonts w:ascii="Calibri" w:cs="Calibri" w:eastAsia="Calibri" w:hAnsi="Calibri"/>
          <w:sz w:val="20"/>
          <w:szCs w:val="20"/>
          <w:color w:val="auto"/>
        </w:rPr>
      </w:pPr>
    </w:p>
    <w:p>
      <w:pPr>
        <w:ind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such limitatons as the Board deems appropriate. Commitee members shall serve for such term as the Board may determine, subject to removal by the Board at any tme. To the extent consistent with applicable law, the Board may authorize one or more senior executve ofcers of the Company to grant Awards to designated classes of eligible persons, within the limits specifcally prescribed by the Board.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Administration and Interpretation by Plan Administrator</w:t>
      </w:r>
    </w:p>
    <w:p>
      <w:pPr>
        <w:spacing w:after="0" w:line="152"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Except for the terms and conditons explicitly set forth in the Plan, the Plan Administrator shall have exclusive authority, in its discreton, to determine all maters relatng to Awards under the Plan, including the selecton of individuals to be granted Awards, the type of Awards, the number of shares of Common Stock subject to an Award, all terms, conditons, restrictons and limitatons, if any, of an Award and the terms of any instrument that evidences the Award. The Plan Administrator shall also have exclusive authority to interpret the Plan and the terms of any instrument evidencing the Award and may from tme to tme adopt and change rules and regulatons of general applicaton for the Plan’s</w:t>
      </w:r>
    </w:p>
    <w:p>
      <w:pPr>
        <w:sectPr>
          <w:pgSz w:w="11900" w:h="16838" w:orient="portrait"/>
          <w:cols w:equalWidth="0" w:num="1">
            <w:col w:w="11180"/>
          </w:cols>
          <w:pgMar w:left="320" w:top="1440" w:right="399" w:bottom="1440" w:gutter="0" w:footer="0" w:header="0"/>
        </w:sectPr>
      </w:pPr>
    </w:p>
    <w:bookmarkStart w:id="123" w:name="page124"/>
    <w:bookmarkEnd w:id="123"/>
    <w:p>
      <w:pPr>
        <w:spacing w:after="0" w:line="120" w:lineRule="exact"/>
        <w:rPr>
          <w:sz w:val="20"/>
          <w:szCs w:val="20"/>
          <w:color w:val="auto"/>
        </w:rPr>
      </w:pPr>
    </w:p>
    <w:p>
      <w:pPr>
        <w:ind w:right="120"/>
        <w:spacing w:after="0" w:line="234" w:lineRule="auto"/>
        <w:rPr>
          <w:sz w:val="20"/>
          <w:szCs w:val="20"/>
          <w:color w:val="auto"/>
        </w:rPr>
      </w:pPr>
      <w:r>
        <w:rPr>
          <w:rFonts w:ascii="Calibri" w:cs="Calibri" w:eastAsia="Calibri" w:hAnsi="Calibri"/>
          <w:sz w:val="20"/>
          <w:szCs w:val="20"/>
          <w:color w:val="auto"/>
        </w:rPr>
        <w:t>administraton. The Plan Administrator’s interpretaton of the Plan and its rules and regulatons, and all actons taken and determinatons made by the Plan Administrator pursuant to the Plan, shall be conclusive and binding on all partes involved or afected.</w:t>
      </w:r>
    </w:p>
    <w:p>
      <w:pPr>
        <w:spacing w:after="0" w:line="158" w:lineRule="exact"/>
        <w:rPr>
          <w:sz w:val="20"/>
          <w:szCs w:val="20"/>
          <w:color w:val="auto"/>
        </w:rPr>
      </w:pPr>
    </w:p>
    <w:p>
      <w:pPr>
        <w:ind w:right="80"/>
        <w:spacing w:after="0" w:line="242" w:lineRule="auto"/>
        <w:rPr>
          <w:sz w:val="20"/>
          <w:szCs w:val="20"/>
          <w:color w:val="auto"/>
        </w:rPr>
      </w:pPr>
      <w:r>
        <w:rPr>
          <w:rFonts w:ascii="Calibri" w:cs="Calibri" w:eastAsia="Calibri" w:hAnsi="Calibri"/>
          <w:sz w:val="20"/>
          <w:szCs w:val="20"/>
          <w:color w:val="auto"/>
        </w:rPr>
        <w:t>In any event, however, (a) no Opton or SAR may be amended to reduce the exercise price of such Opton or SAR below the per share Fair Market Value of the Common Stock as of the date the Opton or SAR was granted, and (b) except as provided in Secton 16.1 and Secton 16.3 hereof, and at any tme when the then-current fair market value of a share of Common Stock is less than the Fair Market Value of a share of Common Stock on the date that an outstanding Opton or SAR was granted, such outstanding Opton or SAR may not be cancelled or surrendered in exchange for (i) cash, (ii) an Opton or SAR having an exercise price that is less than the Fair Market Value of a share of Common Stock on the date that the original Opton or SAR was granted, or (ii) any other Award.</w:t>
      </w:r>
    </w:p>
    <w:p>
      <w:pPr>
        <w:spacing w:after="0" w:line="156" w:lineRule="exact"/>
        <w:rPr>
          <w:sz w:val="20"/>
          <w:szCs w:val="20"/>
          <w:color w:val="auto"/>
        </w:rPr>
      </w:pPr>
    </w:p>
    <w:p>
      <w:pPr>
        <w:jc w:val="both"/>
        <w:ind w:right="60"/>
        <w:spacing w:after="0" w:line="236" w:lineRule="auto"/>
        <w:rPr>
          <w:sz w:val="20"/>
          <w:szCs w:val="20"/>
          <w:color w:val="auto"/>
        </w:rPr>
      </w:pPr>
      <w:r>
        <w:rPr>
          <w:rFonts w:ascii="Calibri" w:cs="Calibri" w:eastAsia="Calibri" w:hAnsi="Calibri"/>
          <w:sz w:val="20"/>
          <w:szCs w:val="20"/>
          <w:color w:val="auto"/>
        </w:rPr>
        <w:t>The Plan Administrator may delegate ministerial dutes to such of the Company’s ofcers as it so determines. The Plan Administrator, for purposes of determining the efect on an Award of a Company-approved leave of absence or a Partcipant’s working less than full-tme, shall be the chief executve ofcer of the Company or his designee.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STOCK SUBJECT TO THE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Number of Shares</w:t>
      </w:r>
    </w:p>
    <w:p>
      <w:pPr>
        <w:spacing w:after="0" w:line="156" w:lineRule="exact"/>
        <w:rPr>
          <w:sz w:val="20"/>
          <w:szCs w:val="20"/>
          <w:color w:val="auto"/>
        </w:rPr>
      </w:pPr>
    </w:p>
    <w:p>
      <w:pPr>
        <w:ind w:left="420" w:hanging="412"/>
        <w:spacing w:after="0"/>
        <w:tabs>
          <w:tab w:leader="none" w:pos="420" w:val="left"/>
        </w:tabs>
        <w:numPr>
          <w:ilvl w:val="0"/>
          <w:numId w:val="56"/>
        </w:numPr>
        <w:rPr>
          <w:rFonts w:ascii="Calibri" w:cs="Calibri" w:eastAsia="Calibri" w:hAnsi="Calibri"/>
          <w:sz w:val="20"/>
          <w:szCs w:val="20"/>
          <w:color w:val="auto"/>
        </w:rPr>
      </w:pPr>
      <w:r>
        <w:rPr>
          <w:rFonts w:ascii="Calibri" w:cs="Calibri" w:eastAsia="Calibri" w:hAnsi="Calibri"/>
          <w:sz w:val="20"/>
          <w:szCs w:val="20"/>
          <w:color w:val="auto"/>
        </w:rPr>
        <w:t>Subject to adjustment from tme to tme as provided in Secton 16.1, the number of shares of Common Stock that shall be</w:t>
      </w:r>
    </w:p>
    <w:p>
      <w:pPr>
        <w:spacing w:after="0" w:line="35" w:lineRule="exact"/>
        <w:rPr>
          <w:rFonts w:ascii="Calibri" w:cs="Calibri" w:eastAsia="Calibri" w:hAnsi="Calibri"/>
          <w:sz w:val="20"/>
          <w:szCs w:val="20"/>
          <w:color w:val="auto"/>
        </w:rPr>
      </w:pPr>
    </w:p>
    <w:p>
      <w:pPr>
        <w:ind w:right="320"/>
        <w:spacing w:after="0"/>
        <w:rPr>
          <w:rFonts w:ascii="Calibri" w:cs="Calibri" w:eastAsia="Calibri" w:hAnsi="Calibri"/>
          <w:sz w:val="20"/>
          <w:szCs w:val="20"/>
          <w:color w:val="auto"/>
        </w:rPr>
      </w:pPr>
      <w:r>
        <w:rPr>
          <w:rFonts w:ascii="Calibri" w:cs="Calibri" w:eastAsia="Calibri" w:hAnsi="Calibri"/>
          <w:sz w:val="20"/>
          <w:szCs w:val="20"/>
          <w:color w:val="auto"/>
        </w:rPr>
        <w:t>authorized for grant under the Plan shall be 10,375,000 shares (which refects a decrease of 500,000 shares from 10,875,000, the number of shares that were previously authorized for issuance under the Plan) all of which may be issued pursuant to the exercise of Incentve Stock Optons.</w:t>
      </w:r>
    </w:p>
    <w:p>
      <w:pPr>
        <w:spacing w:after="0" w:line="145"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Any shares of Common Stock that are subject to Optons or SARs shall be counted against this limit as one (1) share of Common Stock for every one</w:t>
      </w:r>
    </w:p>
    <w:p>
      <w:pPr>
        <w:spacing w:after="0" w:line="156" w:lineRule="exact"/>
        <w:rPr>
          <w:sz w:val="20"/>
          <w:szCs w:val="20"/>
          <w:color w:val="auto"/>
        </w:rPr>
      </w:pPr>
    </w:p>
    <w:p>
      <w:pPr>
        <w:ind w:firstLine="8"/>
        <w:spacing w:after="0" w:line="236" w:lineRule="auto"/>
        <w:tabs>
          <w:tab w:leader="none" w:pos="409" w:val="left"/>
        </w:tabs>
        <w:numPr>
          <w:ilvl w:val="0"/>
          <w:numId w:val="57"/>
        </w:numPr>
        <w:rPr>
          <w:rFonts w:ascii="Calibri" w:cs="Calibri" w:eastAsia="Calibri" w:hAnsi="Calibri"/>
          <w:sz w:val="20"/>
          <w:szCs w:val="20"/>
          <w:color w:val="auto"/>
        </w:rPr>
      </w:pPr>
      <w:r>
        <w:rPr>
          <w:rFonts w:ascii="Calibri" w:cs="Calibri" w:eastAsia="Calibri" w:hAnsi="Calibri"/>
          <w:sz w:val="20"/>
          <w:szCs w:val="20"/>
          <w:color w:val="auto"/>
        </w:rPr>
        <w:t>share of Common Stock granted, and any shares that are subject to Awards other than Optons or SARs shall be counted against this limit as 1.7 shares of Common Stock for every one (1) share of Common Stock granted. No awards may be granted under the Itron, Inc. Amended and Restated 2000 Stock Incentve Plan (the “Prior Plan”).</w:t>
      </w:r>
    </w:p>
    <w:p>
      <w:pPr>
        <w:spacing w:after="0" w:line="200" w:lineRule="exact"/>
        <w:rPr>
          <w:sz w:val="20"/>
          <w:szCs w:val="20"/>
          <w:color w:val="auto"/>
        </w:rPr>
      </w:pPr>
    </w:p>
    <w:p>
      <w:pPr>
        <w:spacing w:after="0" w:line="349" w:lineRule="exact"/>
        <w:rPr>
          <w:sz w:val="20"/>
          <w:szCs w:val="20"/>
          <w:color w:val="auto"/>
        </w:rPr>
      </w:pPr>
    </w:p>
    <w:p>
      <w:pPr>
        <w:jc w:val="both"/>
        <w:ind w:right="20" w:firstLine="8"/>
        <w:spacing w:after="0" w:line="234" w:lineRule="auto"/>
        <w:tabs>
          <w:tab w:leader="none" w:pos="412" w:val="left"/>
        </w:tabs>
        <w:numPr>
          <w:ilvl w:val="0"/>
          <w:numId w:val="58"/>
        </w:numPr>
        <w:rPr>
          <w:rFonts w:ascii="Calibri" w:cs="Calibri" w:eastAsia="Calibri" w:hAnsi="Calibri"/>
          <w:sz w:val="20"/>
          <w:szCs w:val="20"/>
          <w:color w:val="auto"/>
        </w:rPr>
      </w:pPr>
      <w:r>
        <w:rPr>
          <w:rFonts w:ascii="Calibri" w:cs="Calibri" w:eastAsia="Calibri" w:hAnsi="Calibri"/>
          <w:sz w:val="20"/>
          <w:szCs w:val="20"/>
          <w:color w:val="auto"/>
        </w:rPr>
        <w:t>If (i) any shares of Common Stock subject to an Award are forfeited, an Award expires or an Award is setled for cash (in whole or in part), or (ii) any shares of Common Stock subject to an award under the Prior Plan are forfeited, or an award under the Prior Plan expires</w:t>
      </w:r>
    </w:p>
    <w:p>
      <w:pPr>
        <w:spacing w:after="0" w:line="23" w:lineRule="exact"/>
        <w:rPr>
          <w:rFonts w:ascii="Calibri" w:cs="Calibri" w:eastAsia="Calibri" w:hAnsi="Calibri"/>
          <w:sz w:val="20"/>
          <w:szCs w:val="20"/>
          <w:color w:val="auto"/>
        </w:rPr>
      </w:pPr>
    </w:p>
    <w:p>
      <w:pPr>
        <w:ind w:right="8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or is setled for cash (in whole or in part), the shares of Common Stock subject to such Award or award under the Prior Plan shall, to the extent of such forfeiture, expiraton or cash setlement, again be available for Awards under the Plan, in accordance with Secton 4.1(d) below.</w:t>
      </w:r>
    </w:p>
    <w:p>
      <w:pPr>
        <w:spacing w:after="0" w:line="157" w:lineRule="exact"/>
        <w:rPr>
          <w:sz w:val="20"/>
          <w:szCs w:val="20"/>
          <w:color w:val="auto"/>
        </w:rPr>
      </w:pPr>
    </w:p>
    <w:p>
      <w:pPr>
        <w:ind w:right="200"/>
        <w:spacing w:after="0"/>
        <w:rPr>
          <w:sz w:val="20"/>
          <w:szCs w:val="20"/>
          <w:color w:val="auto"/>
        </w:rPr>
      </w:pPr>
      <w:r>
        <w:rPr>
          <w:rFonts w:ascii="Calibri" w:cs="Calibri" w:eastAsia="Calibri" w:hAnsi="Calibri"/>
          <w:sz w:val="20"/>
          <w:szCs w:val="20"/>
          <w:color w:val="auto"/>
        </w:rPr>
        <w:t>In the event that withholding tax liabilites arising from an Award other than an Opton or Stock Appreciaton Right or an award other than an opton or stock appreciaton right under any Prior Plan are satsfed by surrendering of shares subject to the Award, the shares so surrendered shall be added to the shares available for Awards under the Plan in accordance with Secton 4.1(d) below. Notwithstanding anything to the contrary contained herein, the following shall not be added to the shares of Common</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20" w:lineRule="exact"/>
        <w:rPr>
          <w:sz w:val="20"/>
          <w:szCs w:val="20"/>
          <w:color w:val="auto"/>
        </w:rPr>
      </w:pPr>
    </w:p>
    <w:p>
      <w:pPr>
        <w:ind w:right="80"/>
        <w:spacing w:after="0" w:line="241" w:lineRule="auto"/>
        <w:rPr>
          <w:sz w:val="20"/>
          <w:szCs w:val="20"/>
          <w:color w:val="auto"/>
        </w:rPr>
      </w:pPr>
      <w:r>
        <w:rPr>
          <w:rFonts w:ascii="Calibri" w:cs="Calibri" w:eastAsia="Calibri" w:hAnsi="Calibri"/>
          <w:sz w:val="20"/>
          <w:szCs w:val="20"/>
          <w:color w:val="auto"/>
        </w:rPr>
        <w:t>Stock authorized for grant under Secton 4.1(a) above: (x) shares of Common Stock subject to an Opton or an Award surrendered in payment of the Opton exercise price or Award purchase price or shares of Common Stock subject to an opton or award granted under the Prior Plan surrendered in payment of the opton exercise price or award purchase price, or to satsfy any tax withholding obligaton with respect to an Opton or SAR or an opton or stock appreciaton right granted under the Prior Plan, (y) shares of Common Stock that are not issued as a result of a net setlement of an Opton or SAR or an opton or stock appreciaton right granted under the Prior Plan, and (z) shares of Common Stock reacquired by the Company on the open market or otherwise using cash proceeds from the exercise of Optons or optons granted under the Prior Plan. For purposes of this Secton 4.1 and for the avoidance of any doubt, “surrendered” includes the tendering of shares held by the Partcipant or withheld from an Award voluntarily by the Partcipant or mandatorily by the Company.</w:t>
      </w:r>
    </w:p>
    <w:p>
      <w:pPr>
        <w:spacing w:after="0" w:line="146" w:lineRule="exact"/>
        <w:rPr>
          <w:sz w:val="20"/>
          <w:szCs w:val="20"/>
          <w:color w:val="auto"/>
        </w:rPr>
      </w:pPr>
    </w:p>
    <w:p>
      <w:pPr>
        <w:ind w:left="400" w:hanging="392"/>
        <w:spacing w:after="0"/>
        <w:tabs>
          <w:tab w:leader="none" w:pos="400" w:val="left"/>
        </w:tabs>
        <w:numPr>
          <w:ilvl w:val="0"/>
          <w:numId w:val="59"/>
        </w:numPr>
        <w:rPr>
          <w:rFonts w:ascii="Calibri" w:cs="Calibri" w:eastAsia="Calibri" w:hAnsi="Calibri"/>
          <w:sz w:val="20"/>
          <w:szCs w:val="20"/>
          <w:color w:val="auto"/>
        </w:rPr>
      </w:pPr>
      <w:r>
        <w:rPr>
          <w:rFonts w:ascii="Calibri" w:cs="Calibri" w:eastAsia="Calibri" w:hAnsi="Calibri"/>
          <w:sz w:val="20"/>
          <w:szCs w:val="20"/>
          <w:color w:val="auto"/>
        </w:rPr>
        <w:t>Substtute Awards granted pursuant to Secton 6.3 below shall not reduce the number of shares of Common Stock authorized for</w:t>
      </w:r>
    </w:p>
    <w:p>
      <w:pPr>
        <w:spacing w:after="0" w:line="22" w:lineRule="exact"/>
        <w:rPr>
          <w:rFonts w:ascii="Calibri" w:cs="Calibri" w:eastAsia="Calibri" w:hAnsi="Calibri"/>
          <w:sz w:val="20"/>
          <w:szCs w:val="20"/>
          <w:color w:val="auto"/>
        </w:rPr>
      </w:pPr>
    </w:p>
    <w:p>
      <w:pPr>
        <w:ind w:right="10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grant under the Plan or the applicable limitatons applicable to a Partcipant under Secton 11(e), nor shall shares of Common Stock subject to a substtute Award again be available for Awards under the Plan to the extent of any forfeiture, expiraton or cash setlement as provided in Secton 4.1(b) above.</w:t>
      </w:r>
    </w:p>
    <w:p>
      <w:pPr>
        <w:spacing w:after="0" w:line="157" w:lineRule="exact"/>
        <w:rPr>
          <w:sz w:val="20"/>
          <w:szCs w:val="20"/>
          <w:color w:val="auto"/>
        </w:rPr>
      </w:pPr>
    </w:p>
    <w:p>
      <w:pPr>
        <w:ind w:right="40"/>
        <w:spacing w:after="0" w:line="242" w:lineRule="auto"/>
        <w:rPr>
          <w:sz w:val="20"/>
          <w:szCs w:val="20"/>
          <w:color w:val="auto"/>
        </w:rPr>
      </w:pPr>
      <w:r>
        <w:rPr>
          <w:rFonts w:ascii="Calibri" w:cs="Calibri" w:eastAsia="Calibri" w:hAnsi="Calibri"/>
          <w:sz w:val="20"/>
          <w:szCs w:val="20"/>
          <w:color w:val="auto"/>
        </w:rPr>
        <w:t>Additonally, in the event that a company acquired by the Company or with which the Company combines has shares of stock available under a pre-existng plan approved by such company’s shareholders and not adopted in contemplaton of such acquisiton or combinaton, the shares available for grant pursuant to the terms of such pre-existng plan (as adjusted, to the extent appropriate, using the exchange rato or other adjustment or valuaton rato or formula used in such acquisiton or combinaton to determine the consideraton payable to the holders of common stock of the enttes party to such acquisiton or combinaton) may be used for Awards under the Plan and shall not reduce the shares of Common Stock authorized for grant under the Plan; provided that Awards using such available shares shall not be made afer the date awards or grants could have been made under the terms of the pre-existng plan, absent the acquisiton or combinaton, and shall only be made to individuals who were not employees or directors of the Company or a Related Corporaton prior to such acquisiton or combinaton.</w:t>
      </w:r>
    </w:p>
    <w:p>
      <w:pPr>
        <w:spacing w:after="0" w:line="160" w:lineRule="exact"/>
        <w:rPr>
          <w:sz w:val="20"/>
          <w:szCs w:val="20"/>
          <w:color w:val="auto"/>
        </w:rPr>
      </w:pPr>
    </w:p>
    <w:p>
      <w:pPr>
        <w:jc w:val="both"/>
        <w:ind w:right="240" w:firstLine="8"/>
        <w:spacing w:after="0" w:line="234" w:lineRule="auto"/>
        <w:tabs>
          <w:tab w:leader="none" w:pos="412" w:val="left"/>
        </w:tabs>
        <w:numPr>
          <w:ilvl w:val="0"/>
          <w:numId w:val="60"/>
        </w:numPr>
        <w:rPr>
          <w:rFonts w:ascii="Calibri" w:cs="Calibri" w:eastAsia="Calibri" w:hAnsi="Calibri"/>
          <w:sz w:val="20"/>
          <w:szCs w:val="20"/>
          <w:color w:val="auto"/>
        </w:rPr>
      </w:pPr>
      <w:r>
        <w:rPr>
          <w:rFonts w:ascii="Calibri" w:cs="Calibri" w:eastAsia="Calibri" w:hAnsi="Calibri"/>
          <w:sz w:val="20"/>
          <w:szCs w:val="20"/>
          <w:color w:val="auto"/>
        </w:rPr>
        <w:t>Any shares of Common Stock that again become available for grant pursuant to this Secton 4.1 shall be added back as (i) one (1) share of Common Stock if such shares were subject to Optons or SARs granted under the Plan or optons or stock appreciaton rights</w:t>
      </w:r>
    </w:p>
    <w:p>
      <w:pPr>
        <w:spacing w:after="0" w:line="23" w:lineRule="exact"/>
        <w:rPr>
          <w:rFonts w:ascii="Calibri" w:cs="Calibri" w:eastAsia="Calibri" w:hAnsi="Calibri"/>
          <w:sz w:val="20"/>
          <w:szCs w:val="20"/>
          <w:color w:val="auto"/>
        </w:rPr>
      </w:pPr>
    </w:p>
    <w:p>
      <w:pPr>
        <w:ind w:right="16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granted under the Prior Plan, and (ii) as 1.7 shares of Common Stock if such shares were subject to Awards other than Optons or SARs granted under the Plan or awards other than optons or stock appreciaton rights granted under the Prior Plan.</w:t>
      </w:r>
    </w:p>
    <w:p>
      <w:pPr>
        <w:spacing w:after="0" w:line="158" w:lineRule="exact"/>
        <w:rPr>
          <w:rFonts w:ascii="Calibri" w:cs="Calibri" w:eastAsia="Calibri" w:hAnsi="Calibri"/>
          <w:sz w:val="20"/>
          <w:szCs w:val="20"/>
          <w:color w:val="auto"/>
        </w:rPr>
      </w:pPr>
    </w:p>
    <w:p>
      <w:pPr>
        <w:ind w:firstLine="8"/>
        <w:spacing w:after="0" w:line="236" w:lineRule="auto"/>
        <w:tabs>
          <w:tab w:leader="none" w:pos="407" w:val="left"/>
        </w:tabs>
        <w:numPr>
          <w:ilvl w:val="0"/>
          <w:numId w:val="60"/>
        </w:numPr>
        <w:rPr>
          <w:rFonts w:ascii="Calibri" w:cs="Calibri" w:eastAsia="Calibri" w:hAnsi="Calibri"/>
          <w:sz w:val="20"/>
          <w:szCs w:val="20"/>
          <w:color w:val="auto"/>
        </w:rPr>
      </w:pPr>
      <w:r>
        <w:rPr>
          <w:rFonts w:ascii="Calibri" w:cs="Calibri" w:eastAsia="Calibri" w:hAnsi="Calibri"/>
          <w:sz w:val="20"/>
          <w:szCs w:val="20"/>
          <w:color w:val="auto"/>
        </w:rPr>
        <w:t>Notwithstanding any other provision of the Plan to the contrary, the aggregate grant date fair value (computed as of the date of grant in accordance with applicable fnancial accountng rules) of all Awards granted to any non-employee director plus the total of all cash paid or payable to such non-employee director for services rendered during any single calendar year shall not exceed $500,000. For</w:t>
      </w:r>
    </w:p>
    <w:p>
      <w:pPr>
        <w:spacing w:after="0" w:line="22" w:lineRule="exact"/>
        <w:rPr>
          <w:rFonts w:ascii="Calibri" w:cs="Calibri" w:eastAsia="Calibri" w:hAnsi="Calibri"/>
          <w:sz w:val="20"/>
          <w:szCs w:val="20"/>
          <w:color w:val="auto"/>
        </w:rPr>
      </w:pPr>
    </w:p>
    <w:p>
      <w:pPr>
        <w:ind w:right="26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the avoidance of doubt, any compensaton that is deferred shall be counted towards the foregoing limit for the year in which the compensaton is earned (and not counted in the year it is paid/setled), and no interest or other earnings on such compensaton shall count towards the limit.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Character of Shares</w:t>
      </w:r>
    </w:p>
    <w:p>
      <w:pPr>
        <w:spacing w:after="0" w:line="165"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Any Shares issued hereunder may consist, in whole or in part, of authorized and unissued shares, treasury shares or shares purchased in the open market or otherwise.</w:t>
      </w:r>
    </w:p>
    <w:p>
      <w:pPr>
        <w:sectPr>
          <w:pgSz w:w="11900" w:h="16838" w:orient="portrait"/>
          <w:cols w:equalWidth="0" w:num="1">
            <w:col w:w="11180"/>
          </w:cols>
          <w:pgMar w:left="320" w:top="1440" w:right="399" w:bottom="1440" w:gutter="0" w:footer="0" w:header="0"/>
        </w:sectPr>
      </w:pPr>
    </w:p>
    <w:bookmarkStart w:id="125" w:name="page126"/>
    <w:bookmarkEnd w:id="125"/>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ELIGIBILITY</w:t>
      </w:r>
    </w:p>
    <w:p>
      <w:pPr>
        <w:spacing w:after="0" w:line="165" w:lineRule="exact"/>
        <w:rPr>
          <w:sz w:val="20"/>
          <w:szCs w:val="20"/>
          <w:color w:val="auto"/>
        </w:rPr>
      </w:pPr>
    </w:p>
    <w:p>
      <w:pPr>
        <w:ind w:right="120"/>
        <w:spacing w:after="0" w:line="239" w:lineRule="auto"/>
        <w:rPr>
          <w:sz w:val="20"/>
          <w:szCs w:val="20"/>
          <w:color w:val="auto"/>
        </w:rPr>
      </w:pPr>
      <w:r>
        <w:rPr>
          <w:rFonts w:ascii="Calibri" w:cs="Calibri" w:eastAsia="Calibri" w:hAnsi="Calibri"/>
          <w:sz w:val="20"/>
          <w:szCs w:val="20"/>
          <w:color w:val="auto"/>
        </w:rPr>
        <w:t>Awards may be granted under the Plan to those ofcers, directors and employees of the Company and its Related Corporatons as the Plan Administrator from tme to tme selects. Awards may also be made to consultants, agents, advisors and independent contractors who provide services to the Company and its Related Corporatons; provided, however, that such Partcipants render bona fde services that are not in connecton with the ofer and sale of the Company’s securites in a capital-raising transacton and do not directly or indirectly promote or maintain a market for the Company’s securites.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Form and Grant of Awards</w:t>
      </w:r>
    </w:p>
    <w:p>
      <w:pPr>
        <w:spacing w:after="0" w:line="152" w:lineRule="exact"/>
        <w:rPr>
          <w:sz w:val="20"/>
          <w:szCs w:val="20"/>
          <w:color w:val="auto"/>
        </w:rPr>
      </w:pPr>
    </w:p>
    <w:p>
      <w:pPr>
        <w:ind w:right="80"/>
        <w:spacing w:after="0"/>
        <w:rPr>
          <w:sz w:val="20"/>
          <w:szCs w:val="20"/>
          <w:color w:val="auto"/>
        </w:rPr>
      </w:pPr>
      <w:r>
        <w:rPr>
          <w:rFonts w:ascii="Calibri" w:cs="Calibri" w:eastAsia="Calibri" w:hAnsi="Calibri"/>
          <w:sz w:val="20"/>
          <w:szCs w:val="20"/>
          <w:color w:val="auto"/>
        </w:rPr>
        <w:t>The Plan Administrator shall have the authority, in its sole discreton, to determine the type or types of Awards to be made under the Plan. Such Awards may include, but are not limited to, Incentve Stock Optons, Nonqualifed Stock Optons, SARs, Dividend Equivalents, Stock Awards and Performance Awards. Awards may be granted singly or in combinaton.</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Settlement of Awards</w:t>
      </w:r>
    </w:p>
    <w:p>
      <w:pPr>
        <w:spacing w:after="0" w:line="152" w:lineRule="exact"/>
        <w:rPr>
          <w:sz w:val="20"/>
          <w:szCs w:val="20"/>
          <w:color w:val="auto"/>
        </w:rPr>
      </w:pPr>
    </w:p>
    <w:p>
      <w:pPr>
        <w:ind w:right="40"/>
        <w:spacing w:after="0" w:line="241" w:lineRule="auto"/>
        <w:rPr>
          <w:sz w:val="20"/>
          <w:szCs w:val="20"/>
          <w:color w:val="auto"/>
        </w:rPr>
      </w:pPr>
      <w:r>
        <w:rPr>
          <w:rFonts w:ascii="Calibri" w:cs="Calibri" w:eastAsia="Calibri" w:hAnsi="Calibri"/>
          <w:sz w:val="20"/>
          <w:szCs w:val="20"/>
          <w:color w:val="auto"/>
        </w:rPr>
        <w:t>The Company may setle Awards through the delivery of shares of Common Stock, the payment of a cash amount equal to the Fair Market Value of the shares of Common Stock on the date of setlement of an Award other than an Opton or SAR, the grantng of replacement Awards, or any combinaton thereof as the Plan Administrator shall determine. Any Award setlement, including payment deferrals, may be subject to such conditons, restrictons and contngencies as the Plan Administrator shall determine. The Plan Administrator may permit or require the deferral of any Award payment, subject to such rules and procedures as it may establish, which may include provisions for the payment or creditng of interest, or dividend equivalents, including convertng such credits into deferred stock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Acquired Company Awards</w:t>
      </w:r>
    </w:p>
    <w:p>
      <w:pPr>
        <w:spacing w:after="0" w:line="152"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Notwithstanding anything in the Plan to the contrary, the Plan Administrator may grant Awards under the Plan in substtuton for awards issued under other plans, or assume under the Plan awards issued under other plans, if the other plans are or were plans of other acquired enttes (“Acquired Enttes”) (or the parent of the Acquired Entty) and the new Award is substtuted, or the old award is assumed, by reason of a merger, consolidaton, acquisiton of property or stock, reorganizaton or liquidaton (the “Acquisiton Transacton”). In the event that a writen agreement pursuant to which the Acquisiton Transacton is completed is approved by the Board and said agreement sets forth the terms and conditons of the substtuton for or assumpton of outstanding awards of the Acquired Entty, said terms and conditons shall be deemed to be the acton of the Plan Administrator without any further acton by the Plan Administrator, except as may be required for compliance with Rule 16b-3 under the Exchange Act, and the persons holding such awards shall be deemed to be Partcipants.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Minimum Vesting Requirements</w:t>
      </w:r>
    </w:p>
    <w:p>
      <w:pPr>
        <w:spacing w:after="0" w:line="152" w:lineRule="exact"/>
        <w:rPr>
          <w:sz w:val="20"/>
          <w:szCs w:val="20"/>
          <w:color w:val="auto"/>
        </w:rPr>
      </w:pPr>
    </w:p>
    <w:p>
      <w:pPr>
        <w:ind w:right="140"/>
        <w:spacing w:after="0" w:line="234" w:lineRule="auto"/>
        <w:rPr>
          <w:sz w:val="20"/>
          <w:szCs w:val="20"/>
          <w:color w:val="auto"/>
        </w:rPr>
      </w:pPr>
      <w:r>
        <w:rPr>
          <w:rFonts w:ascii="Calibri" w:cs="Calibri" w:eastAsia="Calibri" w:hAnsi="Calibri"/>
          <w:sz w:val="20"/>
          <w:szCs w:val="20"/>
          <w:color w:val="auto"/>
        </w:rPr>
        <w:t>Notwithstanding any other provision of the Plan, except in connecton with Awards that are substtuted pursuant to Secton 6.3 hereof, Awards that may be setled only in cash or an adjustment provided for in</w:t>
      </w:r>
    </w:p>
    <w:p>
      <w:pPr>
        <w:sectPr>
          <w:pgSz w:w="11900" w:h="16838" w:orient="portrait"/>
          <w:cols w:equalWidth="0" w:num="1">
            <w:col w:w="11200"/>
          </w:cols>
          <w:pgMar w:left="320" w:top="1440" w:right="379" w:bottom="1440" w:gutter="0" w:footer="0" w:header="0"/>
        </w:sectPr>
      </w:pPr>
    </w:p>
    <w:bookmarkStart w:id="126" w:name="page127"/>
    <w:bookmarkEnd w:id="126"/>
    <w:p>
      <w:pPr>
        <w:spacing w:after="0" w:line="120" w:lineRule="exact"/>
        <w:rPr>
          <w:sz w:val="20"/>
          <w:szCs w:val="20"/>
          <w:color w:val="auto"/>
        </w:rPr>
      </w:pPr>
    </w:p>
    <w:p>
      <w:pPr>
        <w:ind w:right="20"/>
        <w:spacing w:after="0" w:line="241" w:lineRule="auto"/>
        <w:rPr>
          <w:sz w:val="20"/>
          <w:szCs w:val="20"/>
          <w:color w:val="auto"/>
        </w:rPr>
      </w:pPr>
      <w:r>
        <w:rPr>
          <w:rFonts w:ascii="Calibri" w:cs="Calibri" w:eastAsia="Calibri" w:hAnsi="Calibri"/>
          <w:sz w:val="20"/>
          <w:szCs w:val="20"/>
          <w:color w:val="auto"/>
        </w:rPr>
        <w:t>Secton 16, no porton of an Award granted on or afer the Restatement Efectve Date may vest before the frst anniversary of the date of grant, subject to earlier vestng in whole or in part in connecton with a Change in Control Transacton or upon a Partcipant’s death or Disability; provided, however, that the Company may grant Awards with respect to up to fve percent (5%) of the number of shares of Common Stock reserved under Secton 4.1 as of the Restatement Efectve Date without regard to the minimum vestng period set forth in this Secton 6.4. The Commitee may accelerate the vestng or exercisability of an Award in circumstances other than a Change in Control Transacton or a Partcipant’s death or Disability, provided that such acceleraton does not cause an Award that is subject to the minimum vestng requirements of this Secton 6.4 to vest or become exercisable prior to the frst anniversary of the date of grant.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Grant of Options</w:t>
      </w:r>
    </w:p>
    <w:p>
      <w:pPr>
        <w:spacing w:after="0" w:line="152" w:lineRule="exact"/>
        <w:rPr>
          <w:sz w:val="20"/>
          <w:szCs w:val="20"/>
          <w:color w:val="auto"/>
        </w:rPr>
      </w:pPr>
    </w:p>
    <w:p>
      <w:pPr>
        <w:ind w:right="60"/>
        <w:spacing w:after="0" w:line="234" w:lineRule="auto"/>
        <w:rPr>
          <w:sz w:val="20"/>
          <w:szCs w:val="20"/>
          <w:color w:val="auto"/>
        </w:rPr>
      </w:pPr>
      <w:r>
        <w:rPr>
          <w:rFonts w:ascii="Calibri" w:cs="Calibri" w:eastAsia="Calibri" w:hAnsi="Calibri"/>
          <w:sz w:val="20"/>
          <w:szCs w:val="20"/>
          <w:color w:val="auto"/>
        </w:rPr>
        <w:t>The Plan Administrator is authorized under the Plan, in its sole discreton, to issue Optons as Incentve Stock Optons or as Nonqualifed Stock Optons, which shall be appropriately designated.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Option Exercise Price</w:t>
      </w:r>
    </w:p>
    <w:p>
      <w:pPr>
        <w:spacing w:after="0" w:line="165" w:lineRule="exact"/>
        <w:rPr>
          <w:sz w:val="20"/>
          <w:szCs w:val="20"/>
          <w:color w:val="auto"/>
        </w:rPr>
      </w:pPr>
    </w:p>
    <w:p>
      <w:pPr>
        <w:ind w:right="240"/>
        <w:spacing w:after="0"/>
        <w:rPr>
          <w:sz w:val="20"/>
          <w:szCs w:val="20"/>
          <w:color w:val="auto"/>
        </w:rPr>
      </w:pPr>
      <w:r>
        <w:rPr>
          <w:rFonts w:ascii="Calibri" w:cs="Calibri" w:eastAsia="Calibri" w:hAnsi="Calibri"/>
          <w:sz w:val="20"/>
          <w:szCs w:val="20"/>
          <w:color w:val="auto"/>
        </w:rPr>
        <w:t>The exercise price for shares purchased under an Opton shall be as determined by the Plan Administrator. Except in the case of a substtute or assumed opton pursuant to Secton 6.3 above, the exercise price shall not be less than 100% of the Fair Market Value of the Common Stock on the Grant Date. For Incentve Stock Optons granted to a more than 10% shareholder, the Opton exercise price shall be as specifed in Secton 8.2.</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7.3 Term of Options</w:t>
      </w:r>
    </w:p>
    <w:p>
      <w:pPr>
        <w:spacing w:after="0" w:line="152" w:lineRule="exact"/>
        <w:rPr>
          <w:sz w:val="20"/>
          <w:szCs w:val="20"/>
          <w:color w:val="auto"/>
        </w:rPr>
      </w:pPr>
    </w:p>
    <w:p>
      <w:pPr>
        <w:ind w:right="200"/>
        <w:spacing w:after="0" w:line="242" w:lineRule="auto"/>
        <w:rPr>
          <w:sz w:val="20"/>
          <w:szCs w:val="20"/>
          <w:color w:val="auto"/>
        </w:rPr>
      </w:pPr>
      <w:r>
        <w:rPr>
          <w:rFonts w:ascii="Calibri" w:cs="Calibri" w:eastAsia="Calibri" w:hAnsi="Calibri"/>
          <w:sz w:val="20"/>
          <w:szCs w:val="20"/>
          <w:color w:val="auto"/>
        </w:rPr>
        <w:t>The term of each Opton (the “Opton Term”) shall be as established by the Plan Administrator, but shall not exceed ten years from the Grant Date. For Incentve Stock Optons, the maximum Opton Term shall be as specifed in Sectons 8.2 and 8.4.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7.4 Exercise of Options</w:t>
      </w:r>
    </w:p>
    <w:p>
      <w:pPr>
        <w:spacing w:after="0" w:line="152" w:lineRule="exact"/>
        <w:rPr>
          <w:sz w:val="20"/>
          <w:szCs w:val="20"/>
          <w:color w:val="auto"/>
        </w:rPr>
      </w:pPr>
    </w:p>
    <w:p>
      <w:pPr>
        <w:spacing w:after="0" w:line="239" w:lineRule="auto"/>
        <w:rPr>
          <w:sz w:val="20"/>
          <w:szCs w:val="20"/>
          <w:color w:val="auto"/>
        </w:rPr>
      </w:pPr>
      <w:r>
        <w:rPr>
          <w:rFonts w:ascii="Calibri" w:cs="Calibri" w:eastAsia="Calibri" w:hAnsi="Calibri"/>
          <w:sz w:val="20"/>
          <w:szCs w:val="20"/>
          <w:color w:val="auto"/>
        </w:rPr>
        <w:t>The Plan Administrator shall establish and set forth in each instrument that evidences an Opton the tme at which, or the installments in which, the Opton shall vest and become exercisable, which provisions may be waived or modifed by the Plan Administrator at any tme. The Plan Administrator may adjust the vestng schedule of an Opton held by a Partcipant who works less than “full-tme” as that term is defned by the Plan Administrator (taking into consideraton defnitons under local law) or who takes a Company-approved leave of absence.</w:t>
      </w:r>
    </w:p>
    <w:p>
      <w:pPr>
        <w:spacing w:after="0" w:line="161" w:lineRule="exact"/>
        <w:rPr>
          <w:sz w:val="20"/>
          <w:szCs w:val="20"/>
          <w:color w:val="auto"/>
        </w:rPr>
      </w:pPr>
    </w:p>
    <w:p>
      <w:pPr>
        <w:ind w:right="240"/>
        <w:spacing w:after="0" w:line="242" w:lineRule="auto"/>
        <w:rPr>
          <w:sz w:val="20"/>
          <w:szCs w:val="20"/>
          <w:color w:val="auto"/>
        </w:rPr>
      </w:pPr>
      <w:r>
        <w:rPr>
          <w:rFonts w:ascii="Calibri" w:cs="Calibri" w:eastAsia="Calibri" w:hAnsi="Calibri"/>
          <w:sz w:val="20"/>
          <w:szCs w:val="20"/>
          <w:color w:val="auto"/>
        </w:rPr>
        <w:t>To the extent that an Opton has vested and become exercisable, the Opton may be exercised from tme to tme by delivery to the Company of a writen stock opton exercise agreement or notce, in a form and in accordance with procedures established by the Plan Administrator, setng forth the number of shares with respect to which the Opton is being exercised, the restrictons imposed on the shares purchased under such exercise agreement, if any, and such representatons and agreements as may be required by the Plan Administrator, accompanied by payment in full as described in Secton 7.5. Alternatvely, the Opton may be exercised electronically through a third-party stock plan service</w:t>
      </w:r>
    </w:p>
    <w:p>
      <w:pPr>
        <w:sectPr>
          <w:pgSz w:w="11900" w:h="16838" w:orient="portrait"/>
          <w:cols w:equalWidth="0" w:num="1">
            <w:col w:w="11200"/>
          </w:cols>
          <w:pgMar w:left="320" w:top="1440" w:right="379" w:bottom="1440" w:gutter="0" w:footer="0" w:header="0"/>
        </w:sectPr>
      </w:pPr>
    </w:p>
    <w:bookmarkStart w:id="127" w:name="page128"/>
    <w:bookmarkEnd w:id="127"/>
    <w:p>
      <w:pPr>
        <w:spacing w:after="0" w:line="120" w:lineRule="exact"/>
        <w:rPr>
          <w:sz w:val="20"/>
          <w:szCs w:val="20"/>
          <w:color w:val="auto"/>
        </w:rPr>
      </w:pPr>
    </w:p>
    <w:p>
      <w:pPr>
        <w:ind w:right="40"/>
        <w:spacing w:after="0" w:line="234" w:lineRule="auto"/>
        <w:rPr>
          <w:sz w:val="20"/>
          <w:szCs w:val="20"/>
          <w:color w:val="auto"/>
        </w:rPr>
      </w:pPr>
      <w:r>
        <w:rPr>
          <w:rFonts w:ascii="Calibri" w:cs="Calibri" w:eastAsia="Calibri" w:hAnsi="Calibri"/>
          <w:sz w:val="20"/>
          <w:szCs w:val="20"/>
          <w:color w:val="auto"/>
        </w:rPr>
        <w:t>provider designated by the Company and according to such procedures established by the Company. An Opton may not be exercised for less than a reasonable number of shares at any one tme, as determined by the Plan Administrator.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7.5 Payment of Exercise Price</w:t>
      </w:r>
    </w:p>
    <w:p>
      <w:pPr>
        <w:spacing w:after="0" w:line="152" w:lineRule="exact"/>
        <w:rPr>
          <w:sz w:val="20"/>
          <w:szCs w:val="20"/>
          <w:color w:val="auto"/>
        </w:rPr>
      </w:pPr>
    </w:p>
    <w:p>
      <w:pPr>
        <w:ind w:right="40"/>
        <w:spacing w:after="0"/>
        <w:rPr>
          <w:sz w:val="20"/>
          <w:szCs w:val="20"/>
          <w:color w:val="auto"/>
        </w:rPr>
      </w:pPr>
      <w:r>
        <w:rPr>
          <w:rFonts w:ascii="Calibri" w:cs="Calibri" w:eastAsia="Calibri" w:hAnsi="Calibri"/>
          <w:sz w:val="20"/>
          <w:szCs w:val="20"/>
          <w:color w:val="auto"/>
        </w:rPr>
        <w:t>The exercise price for shares purchased under an Opton shall be paid in full to the Company by delivery of consideraton equal to the product of the Opton exercise price and the number of shares purchased. Such consideraton must be paid in cash or by check or, unless the Plan Administrator in its sole discreton determines otherwise, either at the tme the Opton is granted or at any tme before it is exercised, in any combinaton of:</w:t>
      </w:r>
    </w:p>
    <w:p>
      <w:pPr>
        <w:spacing w:after="0" w:line="148" w:lineRule="exact"/>
        <w:rPr>
          <w:sz w:val="20"/>
          <w:szCs w:val="20"/>
          <w:color w:val="auto"/>
        </w:rPr>
      </w:pPr>
    </w:p>
    <w:p>
      <w:pPr>
        <w:ind w:left="420" w:hanging="412"/>
        <w:spacing w:after="0"/>
        <w:tabs>
          <w:tab w:leader="none" w:pos="42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cash or check;</w:t>
      </w:r>
    </w:p>
    <w:p>
      <w:pPr>
        <w:spacing w:after="0" w:line="147" w:lineRule="exact"/>
        <w:rPr>
          <w:rFonts w:ascii="Calibri" w:cs="Calibri" w:eastAsia="Calibri" w:hAnsi="Calibri"/>
          <w:sz w:val="20"/>
          <w:szCs w:val="20"/>
          <w:color w:val="auto"/>
        </w:rPr>
      </w:pPr>
    </w:p>
    <w:p>
      <w:pPr>
        <w:ind w:left="420" w:hanging="412"/>
        <w:spacing w:after="0"/>
        <w:tabs>
          <w:tab w:leader="none" w:pos="42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tendering (either actually or, if and so long as the Common Stock is registered under Secton 12(b) or 12(g) of the Exchange Act, by</w:t>
      </w:r>
    </w:p>
    <w:p>
      <w:pPr>
        <w:spacing w:after="0" w:line="22" w:lineRule="exact"/>
        <w:rPr>
          <w:rFonts w:ascii="Calibri" w:cs="Calibri" w:eastAsia="Calibri" w:hAnsi="Calibri"/>
          <w:sz w:val="20"/>
          <w:szCs w:val="20"/>
          <w:color w:val="auto"/>
        </w:rPr>
      </w:pPr>
    </w:p>
    <w:p>
      <w:pPr>
        <w:ind w:right="8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atestaton) shares of Common Stock already owned by the Partcipant (for the period necessary to avoid a charge to the Company’s earnings for fnancial reportng purposes) having a Fair Market Value on the day prior to the exercise date equal to the aggregate Opton exercise price;</w:t>
      </w:r>
    </w:p>
    <w:p>
      <w:pPr>
        <w:spacing w:after="0" w:line="147" w:lineRule="exact"/>
        <w:rPr>
          <w:rFonts w:ascii="Calibri" w:cs="Calibri" w:eastAsia="Calibri" w:hAnsi="Calibri"/>
          <w:sz w:val="20"/>
          <w:szCs w:val="20"/>
          <w:color w:val="auto"/>
        </w:rPr>
      </w:pPr>
    </w:p>
    <w:p>
      <w:pPr>
        <w:ind w:left="400" w:hanging="392"/>
        <w:spacing w:after="0"/>
        <w:tabs>
          <w:tab w:leader="none" w:pos="40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if and so long as the Common Stock is registered under Secton 12(b) or 12(g) of the Exchange Act, delivery of a properly executed</w:t>
      </w:r>
    </w:p>
    <w:p>
      <w:pPr>
        <w:spacing w:after="0" w:line="22" w:lineRule="exact"/>
        <w:rPr>
          <w:rFonts w:ascii="Calibri" w:cs="Calibri" w:eastAsia="Calibri" w:hAnsi="Calibri"/>
          <w:sz w:val="20"/>
          <w:szCs w:val="20"/>
          <w:color w:val="auto"/>
        </w:rPr>
      </w:pPr>
    </w:p>
    <w:p>
      <w:pPr>
        <w:spacing w:after="0"/>
        <w:rPr>
          <w:rFonts w:ascii="Calibri" w:cs="Calibri" w:eastAsia="Calibri" w:hAnsi="Calibri"/>
          <w:sz w:val="20"/>
          <w:szCs w:val="20"/>
          <w:color w:val="auto"/>
        </w:rPr>
      </w:pPr>
      <w:r>
        <w:rPr>
          <w:rFonts w:ascii="Calibri" w:cs="Calibri" w:eastAsia="Calibri" w:hAnsi="Calibri"/>
          <w:sz w:val="20"/>
          <w:szCs w:val="20"/>
          <w:color w:val="auto"/>
        </w:rPr>
        <w:t>exercise notce, together with irrevocable instructons, to (i) a brokerage frm designated by the Company to deliver promptly to the Company the aggregate amount of sale proceeds to pay the Opton exercise price and any withholding tax obligatons that may arise in connecton with the exercise and (ii) the Company to deliver the certfcates for such purchased shares directly to such brokerage frm, all in accordance with the regulatons of the Federal Reserve Board; or</w:t>
      </w:r>
    </w:p>
    <w:p>
      <w:pPr>
        <w:spacing w:after="0" w:line="147" w:lineRule="exact"/>
        <w:rPr>
          <w:rFonts w:ascii="Calibri" w:cs="Calibri" w:eastAsia="Calibri" w:hAnsi="Calibri"/>
          <w:sz w:val="20"/>
          <w:szCs w:val="20"/>
          <w:color w:val="auto"/>
        </w:rPr>
      </w:pPr>
    </w:p>
    <w:p>
      <w:pPr>
        <w:ind w:left="420" w:hanging="412"/>
        <w:spacing w:after="0"/>
        <w:tabs>
          <w:tab w:leader="none" w:pos="420"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such other consideraton as the Plan Administrator may permit.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7.6 Post-Termination Exercises</w:t>
      </w:r>
    </w:p>
    <w:p>
      <w:pPr>
        <w:spacing w:after="0" w:line="165" w:lineRule="exact"/>
        <w:rPr>
          <w:sz w:val="20"/>
          <w:szCs w:val="20"/>
          <w:color w:val="auto"/>
        </w:rPr>
      </w:pPr>
    </w:p>
    <w:p>
      <w:pPr>
        <w:ind w:right="20"/>
        <w:spacing w:after="0" w:line="239" w:lineRule="auto"/>
        <w:rPr>
          <w:sz w:val="20"/>
          <w:szCs w:val="20"/>
          <w:color w:val="auto"/>
        </w:rPr>
      </w:pPr>
      <w:r>
        <w:rPr>
          <w:rFonts w:ascii="Calibri" w:cs="Calibri" w:eastAsia="Calibri" w:hAnsi="Calibri"/>
          <w:sz w:val="20"/>
          <w:szCs w:val="20"/>
          <w:color w:val="auto"/>
        </w:rPr>
        <w:t>The Plan Administrator shall establish and set forth in each instrument that evidences an Opton whether the Opton shall contnue to be exercisable, and the terms and conditons of such exercise, if a Partcipant ceases to be employed by, or to provide services to, the Company or its Related Corporatons, which provisions may be waived or modifed by the Plan Administrator at any tme. If not so established in the instrument evidencing the Opton, the Opton shall be exercisable according to the following terms and conditons, which may be waived or modifed by the Plan Administrator at any tme:</w:t>
      </w:r>
    </w:p>
    <w:p>
      <w:pPr>
        <w:spacing w:after="0" w:line="161" w:lineRule="exact"/>
        <w:rPr>
          <w:sz w:val="20"/>
          <w:szCs w:val="20"/>
          <w:color w:val="auto"/>
        </w:rPr>
      </w:pPr>
    </w:p>
    <w:p>
      <w:pPr>
        <w:ind w:right="260" w:firstLine="8"/>
        <w:spacing w:after="0" w:line="234" w:lineRule="auto"/>
        <w:tabs>
          <w:tab w:leader="none" w:pos="403"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Any porton of an Opton that is not vested and exercisable on the date of terminaton of the Partcipant’s employment or service relatonship (the “Terminaton Date”) shall expire on such date.</w:t>
      </w:r>
    </w:p>
    <w:p>
      <w:pPr>
        <w:spacing w:after="0" w:line="148" w:lineRule="exact"/>
        <w:rPr>
          <w:rFonts w:ascii="Calibri" w:cs="Calibri" w:eastAsia="Calibri" w:hAnsi="Calibri"/>
          <w:sz w:val="20"/>
          <w:szCs w:val="20"/>
          <w:color w:val="auto"/>
        </w:rPr>
      </w:pPr>
    </w:p>
    <w:p>
      <w:pPr>
        <w:ind w:left="420" w:hanging="412"/>
        <w:spacing w:after="0"/>
        <w:tabs>
          <w:tab w:leader="none" w:pos="420" w:val="left"/>
        </w:tabs>
        <w:numPr>
          <w:ilvl w:val="0"/>
          <w:numId w:val="62"/>
        </w:numPr>
        <w:rPr>
          <w:rFonts w:ascii="Calibri" w:cs="Calibri" w:eastAsia="Calibri" w:hAnsi="Calibri"/>
          <w:sz w:val="20"/>
          <w:szCs w:val="20"/>
          <w:color w:val="auto"/>
        </w:rPr>
      </w:pPr>
      <w:r>
        <w:rPr>
          <w:rFonts w:ascii="Calibri" w:cs="Calibri" w:eastAsia="Calibri" w:hAnsi="Calibri"/>
          <w:sz w:val="20"/>
          <w:szCs w:val="20"/>
          <w:color w:val="auto"/>
        </w:rPr>
        <w:t>Any porton of an Opton that is vested and exercisable on the Terminaton Date shall expire upon the earliest to occur of</w:t>
      </w:r>
    </w:p>
    <w:p>
      <w:pPr>
        <w:spacing w:after="0" w:line="147" w:lineRule="exact"/>
        <w:rPr>
          <w:sz w:val="20"/>
          <w:szCs w:val="20"/>
          <w:color w:val="auto"/>
        </w:rPr>
      </w:pPr>
    </w:p>
    <w:p>
      <w:pPr>
        <w:ind w:left="360" w:hanging="352"/>
        <w:spacing w:after="0"/>
        <w:tabs>
          <w:tab w:leader="none" w:pos="360" w:val="left"/>
        </w:tabs>
        <w:numPr>
          <w:ilvl w:val="0"/>
          <w:numId w:val="63"/>
        </w:numPr>
        <w:rPr>
          <w:rFonts w:ascii="Calibri" w:cs="Calibri" w:eastAsia="Calibri" w:hAnsi="Calibri"/>
          <w:sz w:val="20"/>
          <w:szCs w:val="20"/>
          <w:color w:val="auto"/>
        </w:rPr>
      </w:pPr>
      <w:r>
        <w:rPr>
          <w:rFonts w:ascii="Calibri" w:cs="Calibri" w:eastAsia="Calibri" w:hAnsi="Calibri"/>
          <w:sz w:val="20"/>
          <w:szCs w:val="20"/>
          <w:color w:val="auto"/>
        </w:rPr>
        <w:t>the last day of the Opton Term;</w:t>
      </w:r>
    </w:p>
    <w:p>
      <w:pPr>
        <w:spacing w:after="0" w:line="157" w:lineRule="exact"/>
        <w:rPr>
          <w:rFonts w:ascii="Calibri" w:cs="Calibri" w:eastAsia="Calibri" w:hAnsi="Calibri"/>
          <w:sz w:val="20"/>
          <w:szCs w:val="20"/>
          <w:color w:val="auto"/>
        </w:rPr>
      </w:pPr>
    </w:p>
    <w:p>
      <w:pPr>
        <w:ind w:right="820" w:firstLine="8"/>
        <w:spacing w:after="0" w:line="242" w:lineRule="auto"/>
        <w:tabs>
          <w:tab w:leader="none" w:pos="399" w:val="left"/>
        </w:tabs>
        <w:numPr>
          <w:ilvl w:val="0"/>
          <w:numId w:val="63"/>
        </w:numPr>
        <w:rPr>
          <w:rFonts w:ascii="Calibri" w:cs="Calibri" w:eastAsia="Calibri" w:hAnsi="Calibri"/>
          <w:sz w:val="20"/>
          <w:szCs w:val="20"/>
          <w:color w:val="auto"/>
        </w:rPr>
      </w:pPr>
      <w:r>
        <w:rPr>
          <w:rFonts w:ascii="Calibri" w:cs="Calibri" w:eastAsia="Calibri" w:hAnsi="Calibri"/>
          <w:sz w:val="20"/>
          <w:szCs w:val="20"/>
          <w:color w:val="auto"/>
        </w:rPr>
        <w:t>if the Partcipant’s Terminaton Date occurs for reasons other than Cause, Retrement, death or Disability, the three-month anniversary of such Terminaton Date; and</w:t>
      </w:r>
    </w:p>
    <w:p>
      <w:pPr>
        <w:spacing w:after="0" w:line="155" w:lineRule="exact"/>
        <w:rPr>
          <w:rFonts w:ascii="Calibri" w:cs="Calibri" w:eastAsia="Calibri" w:hAnsi="Calibri"/>
          <w:sz w:val="20"/>
          <w:szCs w:val="20"/>
          <w:color w:val="auto"/>
        </w:rPr>
      </w:pPr>
    </w:p>
    <w:p>
      <w:pPr>
        <w:ind w:right="840" w:firstLine="8"/>
        <w:spacing w:after="0" w:line="234" w:lineRule="auto"/>
        <w:tabs>
          <w:tab w:leader="none" w:pos="445" w:val="left"/>
        </w:tabs>
        <w:numPr>
          <w:ilvl w:val="0"/>
          <w:numId w:val="63"/>
        </w:numPr>
        <w:rPr>
          <w:rFonts w:ascii="Calibri" w:cs="Calibri" w:eastAsia="Calibri" w:hAnsi="Calibri"/>
          <w:sz w:val="20"/>
          <w:szCs w:val="20"/>
          <w:color w:val="auto"/>
        </w:rPr>
      </w:pPr>
      <w:r>
        <w:rPr>
          <w:rFonts w:ascii="Calibri" w:cs="Calibri" w:eastAsia="Calibri" w:hAnsi="Calibri"/>
          <w:sz w:val="20"/>
          <w:szCs w:val="20"/>
          <w:color w:val="auto"/>
        </w:rPr>
        <w:t>if the Partcipant’s Terminaton Date occurs by reason of Retrement, Disability or death, the one-year anniversary of such Terminaton Date.</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20" w:lineRule="exact"/>
        <w:rPr>
          <w:sz w:val="20"/>
          <w:szCs w:val="20"/>
          <w:color w:val="auto"/>
        </w:rPr>
      </w:pPr>
    </w:p>
    <w:p>
      <w:pPr>
        <w:ind w:right="160"/>
        <w:spacing w:after="0" w:line="236" w:lineRule="auto"/>
        <w:rPr>
          <w:sz w:val="20"/>
          <w:szCs w:val="20"/>
          <w:color w:val="auto"/>
        </w:rPr>
      </w:pPr>
      <w:r>
        <w:rPr>
          <w:rFonts w:ascii="Calibri" w:cs="Calibri" w:eastAsia="Calibri" w:hAnsi="Calibri"/>
          <w:sz w:val="20"/>
          <w:szCs w:val="20"/>
          <w:color w:val="auto"/>
        </w:rPr>
        <w:t>Notwithstanding the foregoing, if the Partcipant dies afer the Terminaton Date while the Opton is otherwise exercisable, the porton of the Opton that is vested and exercisable on such Terminaton Date shall expire upon the earlier to occur of (y) the last day of the Opton Term and (z) the frst anniversary of the date of death, unless the Plan Administrator determines otherwise.</w:t>
      </w:r>
    </w:p>
    <w:p>
      <w:pPr>
        <w:spacing w:after="0" w:line="157"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Also notwithstanding the foregoing, in case of terminaton of the Partcipant’s employment or service relatonship for Cause, the Opton shall automatcally expire upon frst notfcaton to the Partcipant of such terminaton, unless the Plan Administrator determines otherwise. If a Partcipant’s employment or service relatonship with the Company is suspended pending an investgaton of whether the Partcipant shall be terminated for Cause, all the Partcipant’s rights under any Opton likewise shall be suspended during the period of investgaton. If any facts that would consttute terminaton for Cause are discovered afer a Partcipant’s Terminaton Date, any Opton then held by the Partcipant may be immediately terminated by the Plan Administrator, in its sole discreton.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INCENTIVE STOCK OPTION LIMITATIONS</w:t>
      </w:r>
    </w:p>
    <w:p>
      <w:pPr>
        <w:spacing w:after="0" w:line="152" w:lineRule="exact"/>
        <w:rPr>
          <w:sz w:val="20"/>
          <w:szCs w:val="20"/>
          <w:color w:val="auto"/>
        </w:rPr>
      </w:pPr>
    </w:p>
    <w:p>
      <w:pPr>
        <w:ind w:right="680"/>
        <w:spacing w:after="0" w:line="234" w:lineRule="auto"/>
        <w:rPr>
          <w:sz w:val="20"/>
          <w:szCs w:val="20"/>
          <w:color w:val="auto"/>
        </w:rPr>
      </w:pPr>
      <w:r>
        <w:rPr>
          <w:rFonts w:ascii="Calibri" w:cs="Calibri" w:eastAsia="Calibri" w:hAnsi="Calibri"/>
          <w:sz w:val="20"/>
          <w:szCs w:val="20"/>
          <w:color w:val="auto"/>
        </w:rPr>
        <w:t>To the extent required by Secton 422 of the Code, Incentve Stock Optons shall be subject to the following additonal terms and conditons: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Dollar Limitation</w:t>
      </w:r>
    </w:p>
    <w:p>
      <w:pPr>
        <w:spacing w:after="0" w:line="152" w:lineRule="exact"/>
        <w:rPr>
          <w:sz w:val="20"/>
          <w:szCs w:val="20"/>
          <w:color w:val="auto"/>
        </w:rPr>
      </w:pPr>
    </w:p>
    <w:p>
      <w:pPr>
        <w:ind w:right="20"/>
        <w:spacing w:after="0" w:line="239" w:lineRule="auto"/>
        <w:rPr>
          <w:sz w:val="20"/>
          <w:szCs w:val="20"/>
          <w:color w:val="auto"/>
        </w:rPr>
      </w:pPr>
      <w:r>
        <w:rPr>
          <w:rFonts w:ascii="Calibri" w:cs="Calibri" w:eastAsia="Calibri" w:hAnsi="Calibri"/>
          <w:sz w:val="20"/>
          <w:szCs w:val="20"/>
          <w:color w:val="auto"/>
        </w:rPr>
        <w:t>To the extent the aggregate Fair Market Value (determined as of the Grant Date) of Common Stock with respect to which Incentve Stock Optons are exercisable for the frst tme during any calendar year (under the Plan and all other stock opton plans of the Company) exceeds $100,000, such porton in excess of $100,000 shall be treated as a Nonqualifed Stock Opton. In the event the Partcipant holds two or more such Optons that become exercisable for the frst tme in the same calendar year, such limitaton shall be applied on the basis of the order in which such Optons are granted.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 More Than 10% Shareholders</w:t>
      </w:r>
    </w:p>
    <w:p>
      <w:pPr>
        <w:spacing w:after="0" w:line="165" w:lineRule="exact"/>
        <w:rPr>
          <w:sz w:val="20"/>
          <w:szCs w:val="20"/>
          <w:color w:val="auto"/>
        </w:rPr>
      </w:pPr>
    </w:p>
    <w:p>
      <w:pPr>
        <w:jc w:val="both"/>
        <w:ind w:right="320"/>
        <w:spacing w:after="0"/>
        <w:rPr>
          <w:sz w:val="20"/>
          <w:szCs w:val="20"/>
          <w:color w:val="auto"/>
        </w:rPr>
      </w:pPr>
      <w:r>
        <w:rPr>
          <w:rFonts w:ascii="Calibri" w:cs="Calibri" w:eastAsia="Calibri" w:hAnsi="Calibri"/>
          <w:sz w:val="20"/>
          <w:szCs w:val="20"/>
          <w:color w:val="auto"/>
        </w:rPr>
        <w:t>If an individual owns more than 10% of the total combined votng power of all classes of the stock of the Company or of its parent or subsidiary corporatons, then the exercise price per share of an Incentve Stock Opton shall not be less than 110% of the Fair Market Value of the Common Stock on the Grant Date and the Opton Term shall not exceed fve years. The determinaton of more than 10% ownership shall be made in accordance with Secton 422 of the Code.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8.3 Eligible Employees</w:t>
      </w:r>
    </w:p>
    <w:p>
      <w:pPr>
        <w:spacing w:after="0" w:line="152" w:lineRule="exact"/>
        <w:rPr>
          <w:sz w:val="20"/>
          <w:szCs w:val="20"/>
          <w:color w:val="auto"/>
        </w:rPr>
      </w:pPr>
    </w:p>
    <w:p>
      <w:pPr>
        <w:ind w:right="420"/>
        <w:spacing w:after="0" w:line="234" w:lineRule="auto"/>
        <w:rPr>
          <w:sz w:val="20"/>
          <w:szCs w:val="20"/>
          <w:color w:val="auto"/>
        </w:rPr>
      </w:pPr>
      <w:r>
        <w:rPr>
          <w:rFonts w:ascii="Calibri" w:cs="Calibri" w:eastAsia="Calibri" w:hAnsi="Calibri"/>
          <w:sz w:val="20"/>
          <w:szCs w:val="20"/>
          <w:color w:val="auto"/>
        </w:rPr>
        <w:t>Individuals who are not employees of the Company or one of its parent corporatons or subsidiary corporatons may not be granted Incentve Stock Optons.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8.4 Term</w:t>
      </w:r>
    </w:p>
    <w:p>
      <w:pPr>
        <w:spacing w:after="0" w:line="156" w:lineRule="exact"/>
        <w:rPr>
          <w:sz w:val="20"/>
          <w:szCs w:val="20"/>
          <w:color w:val="auto"/>
        </w:rPr>
      </w:pPr>
    </w:p>
    <w:p>
      <w:pPr>
        <w:spacing w:after="0"/>
        <w:rPr>
          <w:sz w:val="20"/>
          <w:szCs w:val="20"/>
          <w:color w:val="auto"/>
        </w:rPr>
      </w:pPr>
      <w:r>
        <w:rPr>
          <w:rFonts w:ascii="Calibri" w:cs="Calibri" w:eastAsia="Calibri" w:hAnsi="Calibri"/>
          <w:sz w:val="20"/>
          <w:szCs w:val="20"/>
          <w:color w:val="auto"/>
        </w:rPr>
        <w:t>Subject to Secton 8.2, the Opton Term shall not exceed ten years.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8.5 Exercisability</w:t>
      </w:r>
    </w:p>
    <w:p>
      <w:pPr>
        <w:spacing w:after="0" w:line="152" w:lineRule="exact"/>
        <w:rPr>
          <w:sz w:val="20"/>
          <w:szCs w:val="20"/>
          <w:color w:val="auto"/>
        </w:rPr>
      </w:pPr>
    </w:p>
    <w:p>
      <w:pPr>
        <w:jc w:val="both"/>
        <w:ind w:right="120"/>
        <w:spacing w:after="0"/>
        <w:rPr>
          <w:sz w:val="20"/>
          <w:szCs w:val="20"/>
          <w:color w:val="auto"/>
        </w:rPr>
      </w:pPr>
      <w:r>
        <w:rPr>
          <w:rFonts w:ascii="Calibri" w:cs="Calibri" w:eastAsia="Calibri" w:hAnsi="Calibri"/>
          <w:sz w:val="20"/>
          <w:szCs w:val="20"/>
          <w:color w:val="auto"/>
        </w:rPr>
        <w:t>An Opton designated as an Incentve Stock Opton shall cease to qualify for favorable tax treatment as an Incentve Stock Opton to the extent it is exercised (if permited by the terms of the Opton) (a) more than three months afer the Terminaton Date for reasons other than death or Disability, (b) more than</w:t>
      </w:r>
    </w:p>
    <w:p>
      <w:pPr>
        <w:sectPr>
          <w:pgSz w:w="11900" w:h="16838" w:orient="portrait"/>
          <w:cols w:equalWidth="0" w:num="1">
            <w:col w:w="11200"/>
          </w:cols>
          <w:pgMar w:left="320" w:top="1440" w:right="379" w:bottom="1440" w:gutter="0" w:footer="0" w:header="0"/>
        </w:sectPr>
      </w:pPr>
    </w:p>
    <w:bookmarkStart w:id="129" w:name="page130"/>
    <w:bookmarkEnd w:id="129"/>
    <w:p>
      <w:pPr>
        <w:spacing w:after="0" w:line="120" w:lineRule="exact"/>
        <w:rPr>
          <w:sz w:val="20"/>
          <w:szCs w:val="20"/>
          <w:color w:val="auto"/>
        </w:rPr>
      </w:pPr>
    </w:p>
    <w:p>
      <w:pPr>
        <w:ind w:right="260"/>
        <w:spacing w:after="0" w:line="234" w:lineRule="auto"/>
        <w:rPr>
          <w:sz w:val="20"/>
          <w:szCs w:val="20"/>
          <w:color w:val="auto"/>
        </w:rPr>
      </w:pPr>
      <w:r>
        <w:rPr>
          <w:rFonts w:ascii="Calibri" w:cs="Calibri" w:eastAsia="Calibri" w:hAnsi="Calibri"/>
          <w:sz w:val="20"/>
          <w:szCs w:val="20"/>
          <w:color w:val="auto"/>
        </w:rPr>
        <w:t>one year afer the Terminaton Date by reason of Disability, or (c) afer the Partcipant has been on leave of absence for more than 90 days, unless the Partcipant’s reemployment rights are guaranteed by statute or contract.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8.6 Notification of Disqualifying Disposition</w:t>
      </w:r>
    </w:p>
    <w:p>
      <w:pPr>
        <w:spacing w:after="0" w:line="152" w:lineRule="exact"/>
        <w:rPr>
          <w:sz w:val="20"/>
          <w:szCs w:val="20"/>
          <w:color w:val="auto"/>
        </w:rPr>
      </w:pPr>
    </w:p>
    <w:p>
      <w:pPr>
        <w:ind w:right="480"/>
        <w:spacing w:after="0"/>
        <w:rPr>
          <w:sz w:val="20"/>
          <w:szCs w:val="20"/>
          <w:color w:val="auto"/>
        </w:rPr>
      </w:pPr>
      <w:r>
        <w:rPr>
          <w:rFonts w:ascii="Calibri" w:cs="Calibri" w:eastAsia="Calibri" w:hAnsi="Calibri"/>
          <w:sz w:val="20"/>
          <w:szCs w:val="20"/>
          <w:color w:val="auto"/>
        </w:rPr>
        <w:t>The Partcipant must promptly notfy the Company of any dispositon of the shares of Common Stock acquired upon exercise of an Incentve Stock Opton that occurs prior to the expiraton of the holding period required to receive the favorable tax treatment applicable to Incentve Stock Optons, which period shall be set forth in the instrument evidencing the Opton.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8.7 Code Definitions</w:t>
      </w:r>
    </w:p>
    <w:p>
      <w:pPr>
        <w:spacing w:after="0" w:line="152" w:lineRule="exact"/>
        <w:rPr>
          <w:sz w:val="20"/>
          <w:szCs w:val="20"/>
          <w:color w:val="auto"/>
        </w:rPr>
      </w:pPr>
    </w:p>
    <w:p>
      <w:pPr>
        <w:ind w:right="80"/>
        <w:spacing w:after="0" w:line="242" w:lineRule="auto"/>
        <w:rPr>
          <w:sz w:val="20"/>
          <w:szCs w:val="20"/>
          <w:color w:val="auto"/>
        </w:rPr>
      </w:pPr>
      <w:r>
        <w:rPr>
          <w:rFonts w:ascii="Calibri" w:cs="Calibri" w:eastAsia="Calibri" w:hAnsi="Calibri"/>
          <w:sz w:val="20"/>
          <w:szCs w:val="20"/>
          <w:color w:val="auto"/>
        </w:rPr>
        <w:t>For purposes of this Secton 8, “parent corporaton” and “subsidiary corporaton” shall have the meanings atributed to those terms for purposes of Secton 422 of the Code.</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STOCK APPRECIATION RIGHTS</w:t>
      </w:r>
    </w:p>
    <w:p>
      <w:pPr>
        <w:spacing w:after="0" w:line="165" w:lineRule="exact"/>
        <w:rPr>
          <w:sz w:val="20"/>
          <w:szCs w:val="20"/>
          <w:color w:val="auto"/>
        </w:rPr>
      </w:pPr>
    </w:p>
    <w:p>
      <w:pPr>
        <w:spacing w:after="0"/>
        <w:rPr>
          <w:sz w:val="20"/>
          <w:szCs w:val="20"/>
          <w:color w:val="auto"/>
        </w:rPr>
      </w:pPr>
      <w:r>
        <w:rPr>
          <w:rFonts w:ascii="Calibri" w:cs="Calibri" w:eastAsia="Calibri" w:hAnsi="Calibri"/>
          <w:sz w:val="20"/>
          <w:szCs w:val="20"/>
          <w:color w:val="auto"/>
        </w:rPr>
        <w:t>The Plan Administrator is authorized to make Awards which shall enttle a Partcipant to exercise all or a specifed porton of the Award (to the extent then exercisable pursuant to its terms) and to receive from the Company the excess of (a) the Fair Market Value of a share of Common Stock on the date of exercise over (b) the exercise price of the SAR which shall not be less than 100% of the Fair Market Value of the Common Stock on the Grant Date (“Stock Appreciaton Rights” or “SARs”).</w:t>
      </w:r>
    </w:p>
    <w:p>
      <w:pPr>
        <w:spacing w:after="0" w:line="144"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SARs may be granted on such terms and conditons and subject to such restrictons (which may be based on contnuous service with the Company and/or a Related Corporaton or the achievement of performance goals) as the Plan Administrator shall determine, in its sole discreton, which terms, conditons and restrictons shall be set forth in the instrument evidencing the Award. The terms, conditons and restrictons that the Plan Administrator shall have the power to determine shall include, without limitaton, the conditons which must be satsfed prior to the exercise of the SAR, whether the SAR shall be payable in cash or in shares of Common Stock, and the circumstances under which forfeiture of the SAR shall occur by reason of terminaton of the Partcipant’s employment or service relatonship.</w:t>
      </w:r>
    </w:p>
    <w:p>
      <w:pPr>
        <w:spacing w:after="0" w:line="396" w:lineRule="exact"/>
        <w:rPr>
          <w:sz w:val="20"/>
          <w:szCs w:val="20"/>
          <w:color w:val="auto"/>
        </w:rPr>
      </w:pPr>
    </w:p>
    <w:p>
      <w:pPr>
        <w:spacing w:after="0"/>
        <w:rPr>
          <w:sz w:val="20"/>
          <w:szCs w:val="20"/>
          <w:color w:val="auto"/>
        </w:rPr>
      </w:pPr>
      <w:r>
        <w:rPr>
          <w:rFonts w:ascii="Calibri" w:cs="Calibri" w:eastAsia="Calibri" w:hAnsi="Calibri"/>
          <w:sz w:val="20"/>
          <w:szCs w:val="20"/>
          <w:color w:val="auto"/>
        </w:rPr>
        <w:t>The term of a SAR shall not exceed ten years.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DIVIDEND EQUIVALENTS/DIVIDENDS</w:t>
      </w:r>
    </w:p>
    <w:p>
      <w:pPr>
        <w:spacing w:after="0" w:line="152"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The Plan Administrator is authorized to make Awards which shall enttle a Partcipant to receive credit based on dividends that would have been paid on shares of Common Stock subject to an Award if such shares had been held by Partcipant at the tme such dividend was declared (“Dividend Equivalents”), provided, however, that Dividend Equivalents shall not be granted in connecton with Optons or SARs. Dividend Equivalents may be granted on such terms and conditons and subject to such restrictons as the Plan Administrator shall determine, in its sole discreton, which terms, conditons and restrictons shall be set forth in the instrument evidencing the underlying Award. Notwithstanding the provisions of this Secton 10, Dividend Equivalents granted with respect to any Award shall either be credited and accumulated and/or reinvested as additonal units or shares in a bookkeeping account or otherwise, and</w:t>
      </w:r>
    </w:p>
    <w:p>
      <w:pPr>
        <w:sectPr>
          <w:pgSz w:w="11900" w:h="16838" w:orient="portrait"/>
          <w:cols w:equalWidth="0" w:num="1">
            <w:col w:w="11160"/>
          </w:cols>
          <w:pgMar w:left="320" w:top="1440" w:right="419" w:bottom="1440" w:gutter="0" w:footer="0" w:header="0"/>
        </w:sectPr>
      </w:pPr>
    </w:p>
    <w:bookmarkStart w:id="130" w:name="page131"/>
    <w:bookmarkEnd w:id="130"/>
    <w:p>
      <w:pPr>
        <w:spacing w:after="0" w:line="120" w:lineRule="exact"/>
        <w:rPr>
          <w:sz w:val="20"/>
          <w:szCs w:val="20"/>
          <w:color w:val="auto"/>
        </w:rPr>
      </w:pPr>
    </w:p>
    <w:p>
      <w:pPr>
        <w:ind w:right="40"/>
        <w:spacing w:after="0" w:line="234" w:lineRule="auto"/>
        <w:rPr>
          <w:sz w:val="20"/>
          <w:szCs w:val="20"/>
          <w:color w:val="auto"/>
        </w:rPr>
      </w:pPr>
      <w:r>
        <w:rPr>
          <w:rFonts w:ascii="Calibri" w:cs="Calibri" w:eastAsia="Calibri" w:hAnsi="Calibri"/>
          <w:sz w:val="20"/>
          <w:szCs w:val="20"/>
          <w:color w:val="auto"/>
        </w:rPr>
        <w:t>in all events shall be subject to restrictons and risk of forfeiture to the same extent as the underlying Award and shall not be paid unless and untl the underlying Award vests.</w:t>
      </w:r>
    </w:p>
    <w:p>
      <w:pPr>
        <w:spacing w:after="0" w:line="158" w:lineRule="exact"/>
        <w:rPr>
          <w:sz w:val="20"/>
          <w:szCs w:val="20"/>
          <w:color w:val="auto"/>
        </w:rPr>
      </w:pPr>
    </w:p>
    <w:p>
      <w:pPr>
        <w:ind w:right="320"/>
        <w:spacing w:after="0" w:line="234" w:lineRule="auto"/>
        <w:rPr>
          <w:sz w:val="20"/>
          <w:szCs w:val="20"/>
          <w:color w:val="auto"/>
        </w:rPr>
      </w:pPr>
      <w:r>
        <w:rPr>
          <w:rFonts w:ascii="Calibri" w:cs="Calibri" w:eastAsia="Calibri" w:hAnsi="Calibri"/>
          <w:sz w:val="20"/>
          <w:szCs w:val="20"/>
          <w:color w:val="auto"/>
        </w:rPr>
        <w:t>Any dividends that are distributable with respect to Restricted Stock shall be credited/accumulated, subject to restrictons and risk of forfeiture to the same extent as the underlying Award, and shall not be paid unless and untl the underlying Award vests.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STOCK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Restricted and Unrestricted Stock</w:t>
      </w:r>
    </w:p>
    <w:p>
      <w:pPr>
        <w:spacing w:after="0" w:line="165" w:lineRule="exact"/>
        <w:rPr>
          <w:sz w:val="20"/>
          <w:szCs w:val="20"/>
          <w:color w:val="auto"/>
        </w:rPr>
      </w:pPr>
    </w:p>
    <w:p>
      <w:pPr>
        <w:ind w:right="140"/>
        <w:spacing w:after="0" w:line="241" w:lineRule="auto"/>
        <w:rPr>
          <w:sz w:val="20"/>
          <w:szCs w:val="20"/>
          <w:color w:val="auto"/>
        </w:rPr>
      </w:pPr>
      <w:r>
        <w:rPr>
          <w:rFonts w:ascii="Calibri" w:cs="Calibri" w:eastAsia="Calibri" w:hAnsi="Calibri"/>
          <w:sz w:val="20"/>
          <w:szCs w:val="20"/>
          <w:color w:val="auto"/>
        </w:rPr>
        <w:t>The Plan Administrator is authorized to make Awards of Common Stock on such terms and conditons and subject to such restrictons (which may be based on contnuous service with the Company and/or a Related Corporaton or the achievement of performance goals) as the Plan Administrator shall determine, in its sole discreton, which terms, conditons and restrictons shall be set forth in the instrument evidencing the Award (“Restricted Stock”). The terms, conditons and restrictons that the Plan Administrator shall have the power to determine shall include, without limitaton, the manner in which shares of Restricted Stock are held during the periods they are subject to restrictons and the circumstances under which forfeiture of the Restricted Stock shall occur by reason of terminaton of the Partcipant’s employment or service relatonship, if any.</w:t>
      </w:r>
    </w:p>
    <w:p>
      <w:pPr>
        <w:spacing w:after="0" w:line="160"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The Plan Administrator is also authorized to make Awards of Common Stock as described above but without imposing any restrictons (whether based on contnuous service with the Company and/or a Related Corporaton or the achievement of performance goals) on the shares of Common Stock subject to the Award (“Unrestricted Stock”).</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Stock Units</w:t>
      </w:r>
    </w:p>
    <w:p>
      <w:pPr>
        <w:spacing w:after="0" w:line="152" w:lineRule="exact"/>
        <w:rPr>
          <w:sz w:val="20"/>
          <w:szCs w:val="20"/>
          <w:color w:val="auto"/>
        </w:rPr>
      </w:pPr>
    </w:p>
    <w:p>
      <w:pPr>
        <w:ind w:right="20"/>
        <w:spacing w:after="0" w:line="241" w:lineRule="auto"/>
        <w:rPr>
          <w:sz w:val="20"/>
          <w:szCs w:val="20"/>
          <w:color w:val="auto"/>
        </w:rPr>
      </w:pPr>
      <w:r>
        <w:rPr>
          <w:rFonts w:ascii="Calibri" w:cs="Calibri" w:eastAsia="Calibri" w:hAnsi="Calibri"/>
          <w:sz w:val="20"/>
          <w:szCs w:val="20"/>
          <w:color w:val="auto"/>
        </w:rPr>
        <w:t>The Plan Administrator is authorized to make Awards denominated in units of Common Stock (“Stock Units”) on such terms and conditons and subject to such restrictons (which may be based on contnuous service with the Company and/or a Related Corporaton or the achievement of performance goals) as the Plan Administrator shall determine, in its sole discreton, which terms, conditons and restrictons shall be set forth in the instrument evidencing the Award. The terms, conditons and restrictons that the Plan Administrator shall have the power to determine shall include, without limitaton, the conditons which must be satsfed prior to the issuance of the shares subject to the Stock Units to the Partcipant and the circumstances under which forfeiture of the Stock Units shall occur by reason of terminaton of the Partcipant’s employment or service relatonship.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Issuance of Shares</w:t>
      </w:r>
    </w:p>
    <w:p>
      <w:pPr>
        <w:spacing w:after="0" w:line="152" w:lineRule="exact"/>
        <w:rPr>
          <w:sz w:val="20"/>
          <w:szCs w:val="20"/>
          <w:color w:val="auto"/>
        </w:rPr>
      </w:pPr>
    </w:p>
    <w:p>
      <w:pPr>
        <w:ind w:right="100"/>
        <w:spacing w:after="0"/>
        <w:rPr>
          <w:sz w:val="20"/>
          <w:szCs w:val="20"/>
          <w:color w:val="auto"/>
        </w:rPr>
      </w:pPr>
      <w:r>
        <w:rPr>
          <w:rFonts w:ascii="Calibri" w:cs="Calibri" w:eastAsia="Calibri" w:hAnsi="Calibri"/>
          <w:sz w:val="20"/>
          <w:szCs w:val="20"/>
          <w:color w:val="auto"/>
        </w:rPr>
        <w:t>Upon the satsfacton of any terms, conditons and restrictons prescribed in respect to a Stock Award, or upon the Partcipant’s release from any terms, conditons and restrictons of a Stock Award, as determined by the Plan Administrator, the Company shall release, as soon as practcable, to the Partcipant or, in the case of the Partcipant’s death, to the personal representatve of the Partcipant’s estate or as the appropriate court directs, the appropriate number of shares of Common Stock.</w:t>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Waiver of Restrictions</w:t>
      </w:r>
    </w:p>
    <w:p>
      <w:pPr>
        <w:spacing w:after="0" w:line="152" w:lineRule="exact"/>
        <w:rPr>
          <w:sz w:val="20"/>
          <w:szCs w:val="20"/>
          <w:color w:val="auto"/>
        </w:rPr>
      </w:pPr>
    </w:p>
    <w:p>
      <w:pPr>
        <w:ind w:right="100"/>
        <w:spacing w:after="0" w:line="239" w:lineRule="auto"/>
        <w:rPr>
          <w:sz w:val="20"/>
          <w:szCs w:val="20"/>
          <w:color w:val="auto"/>
        </w:rPr>
      </w:pPr>
      <w:r>
        <w:rPr>
          <w:rFonts w:ascii="Calibri" w:cs="Calibri" w:eastAsia="Calibri" w:hAnsi="Calibri"/>
          <w:sz w:val="20"/>
          <w:szCs w:val="20"/>
          <w:color w:val="auto"/>
        </w:rPr>
        <w:t>Notwithstanding any other provisions of the Plan, the Plan Administrator may, in its sole discreton, waive the forfeiture period and any other terms, conditons or restrictons on any Stock Award under such circumstances and subject to such terms and conditons as the Plan Administrator shall deem appropriate; provided, however, that the Plan Administrator may not adjust performance goals for any Stock Award intended to be exempt under Secton 162(m) of the Code for the year in which the Stock Award is setled in such a manner as would increase the amount of compensaton otherwise payable to a Partcipant.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PERFORMANCE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Performance Shares</w:t>
      </w:r>
    </w:p>
    <w:p>
      <w:pPr>
        <w:spacing w:after="0" w:line="165" w:lineRule="exact"/>
        <w:rPr>
          <w:sz w:val="20"/>
          <w:szCs w:val="20"/>
          <w:color w:val="auto"/>
        </w:rPr>
      </w:pPr>
    </w:p>
    <w:p>
      <w:pPr>
        <w:ind w:right="140"/>
        <w:spacing w:after="0" w:line="241" w:lineRule="auto"/>
        <w:rPr>
          <w:sz w:val="20"/>
          <w:szCs w:val="20"/>
          <w:color w:val="auto"/>
        </w:rPr>
      </w:pPr>
      <w:r>
        <w:rPr>
          <w:rFonts w:ascii="Calibri" w:cs="Calibri" w:eastAsia="Calibri" w:hAnsi="Calibri"/>
          <w:sz w:val="20"/>
          <w:szCs w:val="20"/>
          <w:color w:val="auto"/>
        </w:rPr>
        <w:t>The Plan Administrator may grant Awards of performance shares (“Performance Shares”) and designate the Partcipants to whom Performance Shares are to be awarded and determine the number of Performance Shares and the terms and conditons of each such Award. Performance Shares shall consist of a unit valued by reference to a designated number of shares of Common Stock, the value of which may be paid to the Partcipant by delivery of such property as the Plan Administrator shall determine, including, without limitaton, cash, shares of Common Stock, other property, or any combinaton thereof, upon the atainment of performance goals, as established by the Plan Administrator, and other terms and conditons specifed by the Plan Administrator. Notwithstanding the satsfacton of any performance goals, the amount to be paid under an Award of Performance Shares may be adjusted on the basis of such further consideraton as the Plan Administrator shall determine in its sole discreton.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Performance Units</w:t>
      </w:r>
    </w:p>
    <w:p>
      <w:pPr>
        <w:spacing w:after="0" w:line="152"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The Plan Administrator may grant Awards of performance units (“Performance Units”) and designate the Partcipants to whom Performance Units are to be awarded and determine the number of Performance Units and the terms and conditons of each such Award. Performance Units shall consist of a unit valued by reference to a designated amount of property other than shares of Common Stock, which value may be paid to the Partcipant by delivery of such property as the Plan Administrator shall determine, including, without limitaton, cash, shares of Common Stock, other property, or any combinaton thereof, upon the atainment of performance goals, as established by the Plan Administrator, and other terms and conditons specifed by the Plan Administrator. Notwithstanding the satsfacton of any performance goals, the amount to be paid under an Award of Performance Units may be adjusted on the basis of such further consideraton as the Plan Administrator shall determine in its sole discreton.</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CODE SECTION 162(m) PROVISIONS</w:t>
      </w:r>
    </w:p>
    <w:p>
      <w:pPr>
        <w:spacing w:after="0" w:line="142" w:lineRule="exact"/>
        <w:rPr>
          <w:sz w:val="20"/>
          <w:szCs w:val="20"/>
          <w:color w:val="auto"/>
        </w:rPr>
      </w:pPr>
    </w:p>
    <w:p>
      <w:pPr>
        <w:ind w:left="420" w:hanging="412"/>
        <w:spacing w:after="0"/>
        <w:tabs>
          <w:tab w:leader="none" w:pos="420" w:val="left"/>
        </w:tabs>
        <w:numPr>
          <w:ilvl w:val="0"/>
          <w:numId w:val="64"/>
        </w:numPr>
        <w:rPr>
          <w:rFonts w:ascii="Calibri" w:cs="Calibri" w:eastAsia="Calibri" w:hAnsi="Calibri"/>
          <w:sz w:val="20"/>
          <w:szCs w:val="20"/>
          <w:color w:val="auto"/>
        </w:rPr>
      </w:pPr>
      <w:r>
        <w:rPr>
          <w:rFonts w:ascii="Calibri" w:cs="Calibri" w:eastAsia="Calibri" w:hAnsi="Calibri"/>
          <w:sz w:val="20"/>
          <w:szCs w:val="20"/>
          <w:color w:val="auto"/>
        </w:rPr>
        <w:t>Notwithstanding any other provision of the Plan, if the Plan Administrator determines at the tme a Stock Award or a Performance</w:t>
      </w:r>
    </w:p>
    <w:p>
      <w:pPr>
        <w:spacing w:after="0" w:line="22" w:lineRule="exact"/>
        <w:rPr>
          <w:rFonts w:ascii="Calibri" w:cs="Calibri" w:eastAsia="Calibri" w:hAnsi="Calibri"/>
          <w:sz w:val="20"/>
          <w:szCs w:val="20"/>
          <w:color w:val="auto"/>
        </w:rPr>
      </w:pPr>
    </w:p>
    <w:p>
      <w:pPr>
        <w:ind w:right="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Award is granted to a Partcipant who is then an ofcer that such Partcipant is, or is likely to be as of the end of the tax year in which the Company would claim a tax deducton in connecton with such Award, a Covered Employee, then the Plan Administrator may provide that this Secton 13 is applicable to such Award.</w:t>
      </w:r>
    </w:p>
    <w:p>
      <w:pPr>
        <w:spacing w:after="0" w:line="157" w:lineRule="exact"/>
        <w:rPr>
          <w:rFonts w:ascii="Calibri" w:cs="Calibri" w:eastAsia="Calibri" w:hAnsi="Calibri"/>
          <w:sz w:val="20"/>
          <w:szCs w:val="20"/>
          <w:color w:val="auto"/>
        </w:rPr>
      </w:pPr>
    </w:p>
    <w:p>
      <w:pPr>
        <w:ind w:right="180" w:firstLine="8"/>
        <w:spacing w:after="0" w:line="242" w:lineRule="auto"/>
        <w:tabs>
          <w:tab w:leader="none" w:pos="412" w:val="left"/>
        </w:tabs>
        <w:numPr>
          <w:ilvl w:val="0"/>
          <w:numId w:val="64"/>
        </w:numPr>
        <w:rPr>
          <w:rFonts w:ascii="Calibri" w:cs="Calibri" w:eastAsia="Calibri" w:hAnsi="Calibri"/>
          <w:sz w:val="20"/>
          <w:szCs w:val="20"/>
          <w:color w:val="auto"/>
        </w:rPr>
      </w:pPr>
      <w:r>
        <w:rPr>
          <w:rFonts w:ascii="Calibri" w:cs="Calibri" w:eastAsia="Calibri" w:hAnsi="Calibri"/>
          <w:sz w:val="20"/>
          <w:szCs w:val="20"/>
          <w:color w:val="auto"/>
        </w:rPr>
        <w:t>If a Stock Award or a Performance Award is subject to this Secton 13, then the lapsing of restrictons thereon and the distributon of cash, shares of Common Stock or other property pursuant</w:t>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120"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thereto, as applicable, shall be subject to the achievement of one or more objectve performance goals established by the Plan Administrator, which shall be based on the following business criteria, either individually, alternatvely or in any combinaton, as reported or calculated by the Company: (i) earnings, including one or more of operatng income, earnings before or afer taxes, earnings before or afer interest, depreciaton, amortzaton, adjusted EBITDA, economic earnings, or extraordinary or special items or book value per share (which may exclude nonrecurring items); (ii) pre-tax income or afer-tax income; (iii) earnings per share (basic or diluted); (iv) operatng proft; (v) revenue, revenue growth or rate of revenue growth; (vi) return on assets (gross or net), return on investment, return on capital, or return on equity; (vii) returns on sales or revenues; (viii) operatng expenses; (ix) share price or total shareholder return; (x) cash fow, free cash fow, cash fow return on investment (discounted or otherwise), net cash provided by operatons, or cash fow in excess of cost of capital; (xi) implementaton or completon of critcal projects or processes; (xii) cumulatve earnings per share growth;</w:t>
      </w:r>
    </w:p>
    <w:p>
      <w:pPr>
        <w:spacing w:after="0" w:line="21" w:lineRule="exact"/>
        <w:rPr>
          <w:sz w:val="20"/>
          <w:szCs w:val="20"/>
          <w:color w:val="auto"/>
        </w:rPr>
      </w:pPr>
    </w:p>
    <w:p>
      <w:pPr>
        <w:ind w:right="160" w:firstLine="8"/>
        <w:spacing w:after="0" w:line="236" w:lineRule="auto"/>
        <w:tabs>
          <w:tab w:leader="none" w:pos="396" w:val="left"/>
        </w:tabs>
        <w:numPr>
          <w:ilvl w:val="0"/>
          <w:numId w:val="65"/>
        </w:numPr>
        <w:rPr>
          <w:rFonts w:ascii="Calibri" w:cs="Calibri" w:eastAsia="Calibri" w:hAnsi="Calibri"/>
          <w:sz w:val="20"/>
          <w:szCs w:val="20"/>
          <w:color w:val="auto"/>
        </w:rPr>
      </w:pPr>
      <w:r>
        <w:rPr>
          <w:rFonts w:ascii="Calibri" w:cs="Calibri" w:eastAsia="Calibri" w:hAnsi="Calibri"/>
          <w:sz w:val="20"/>
          <w:szCs w:val="20"/>
          <w:color w:val="auto"/>
        </w:rPr>
        <w:t>operatng margin or proft margin; (xiv) cost targets, reductons and savings, productvity and efciencies; (xv) strategic business criteria, consistng of one or more objectves based on meetng specifed market penetraton, product quality measures, geographic business expansion, customer satsfacton, employee satsfacton, human resources management, supervision of litgaton, informaton</w:t>
      </w:r>
    </w:p>
    <w:p>
      <w:pPr>
        <w:spacing w:after="0" w:line="22" w:lineRule="exact"/>
        <w:rPr>
          <w:rFonts w:ascii="Calibri" w:cs="Calibri" w:eastAsia="Calibri" w:hAnsi="Calibri"/>
          <w:sz w:val="20"/>
          <w:szCs w:val="20"/>
          <w:color w:val="auto"/>
        </w:rPr>
      </w:pPr>
    </w:p>
    <w:p>
      <w:pPr>
        <w:jc w:val="both"/>
        <w:ind w:right="64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technology, and goals relatng to acquisitons, divesttures, joint ventures and similar transactons, and budget comparisons; (xvi) personal professional objectves, including any of the foregoing performance goals, the implementaton of policies and plans, the negotaton of transactons, the development of long term business goals, formaton of joint ventures, research or development</w:t>
      </w:r>
    </w:p>
    <w:p>
      <w:pPr>
        <w:spacing w:after="0" w:line="22" w:lineRule="exact"/>
        <w:rPr>
          <w:rFonts w:ascii="Calibri" w:cs="Calibri" w:eastAsia="Calibri" w:hAnsi="Calibri"/>
          <w:sz w:val="20"/>
          <w:szCs w:val="20"/>
          <w:color w:val="auto"/>
        </w:rPr>
      </w:pPr>
    </w:p>
    <w:p>
      <w:pPr>
        <w:jc w:val="both"/>
        <w:ind w:right="6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collaboratons, and the completon of other corporate transactons; (xvii) other measurable business drivers; and (xviii) any combinaton of, or a specifed increase in, any of the foregoing, any of which may be used to measure the performance of the Company as a whole or with respect to any business unit, Subsidiary or business segment of the Company, either individually, alternatvely or in any</w:t>
      </w:r>
    </w:p>
    <w:p>
      <w:pPr>
        <w:spacing w:after="0" w:line="22" w:lineRule="exact"/>
        <w:rPr>
          <w:rFonts w:ascii="Calibri" w:cs="Calibri" w:eastAsia="Calibri" w:hAnsi="Calibri"/>
          <w:sz w:val="20"/>
          <w:szCs w:val="20"/>
          <w:color w:val="auto"/>
        </w:rPr>
      </w:pPr>
    </w:p>
    <w:p>
      <w:pPr>
        <w:ind w:right="30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combinaton, and may be measured either annually or cumulatvely over a period of years or other period, on an absolute basis or relatve to a pre-established target, to previous period results or to a designated comparison group. Any performance goals that are fnancial metrics, may be determined in accordance with U.S. Generally Accepted Accountng Principles (“GAAP”), in accordance with</w:t>
      </w:r>
    </w:p>
    <w:p>
      <w:pPr>
        <w:spacing w:after="0" w:line="22" w:lineRule="exact"/>
        <w:rPr>
          <w:rFonts w:ascii="Calibri" w:cs="Calibri" w:eastAsia="Calibri" w:hAnsi="Calibri"/>
          <w:sz w:val="20"/>
          <w:szCs w:val="20"/>
          <w:color w:val="auto"/>
        </w:rPr>
      </w:pPr>
    </w:p>
    <w:p>
      <w:pPr>
        <w:ind w:right="62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accountng principles established by the Internatonal Accountng Standards Board (“IASB Principles”), or may be adjusted when established to include or exclude any items otherwise includable or excludable under GAAP or under IASB Principles. The Plan Administrator may provide for exclusion of the impact of an event or occurrence which the Plan Administrator determines should</w:t>
      </w:r>
    </w:p>
    <w:p>
      <w:pPr>
        <w:spacing w:after="0" w:line="22" w:lineRule="exact"/>
        <w:rPr>
          <w:rFonts w:ascii="Calibri" w:cs="Calibri" w:eastAsia="Calibri" w:hAnsi="Calibri"/>
          <w:sz w:val="20"/>
          <w:szCs w:val="20"/>
          <w:color w:val="auto"/>
        </w:rPr>
      </w:pPr>
    </w:p>
    <w:p>
      <w:pPr>
        <w:ind w:right="18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appropriately be excluded, including (a) restructurings, discontnued operatons, extraordinary items, and other unusual, infrequently occurring or non-recurring charges or events, (b) asset write-downs, (c) litgaton or claim judgments or setlements, (d) acquisitons or divesttures,</w:t>
      </w:r>
    </w:p>
    <w:p>
      <w:pPr>
        <w:spacing w:after="0" w:line="148" w:lineRule="exact"/>
        <w:rPr>
          <w:sz w:val="20"/>
          <w:szCs w:val="20"/>
          <w:color w:val="auto"/>
        </w:rPr>
      </w:pPr>
    </w:p>
    <w:p>
      <w:pPr>
        <w:ind w:left="420" w:hanging="412"/>
        <w:spacing w:after="0"/>
        <w:tabs>
          <w:tab w:leader="none" w:pos="420" w:val="left"/>
        </w:tabs>
        <w:numPr>
          <w:ilvl w:val="0"/>
          <w:numId w:val="66"/>
        </w:numPr>
        <w:rPr>
          <w:rFonts w:ascii="Calibri" w:cs="Calibri" w:eastAsia="Calibri" w:hAnsi="Calibri"/>
          <w:sz w:val="20"/>
          <w:szCs w:val="20"/>
          <w:color w:val="auto"/>
        </w:rPr>
      </w:pPr>
      <w:r>
        <w:rPr>
          <w:rFonts w:ascii="Calibri" w:cs="Calibri" w:eastAsia="Calibri" w:hAnsi="Calibri"/>
          <w:sz w:val="20"/>
          <w:szCs w:val="20"/>
          <w:color w:val="auto"/>
        </w:rPr>
        <w:t>reorganizaton or change in the corporate structure or capital structure of the Company, (f) an event either not directly related to</w:t>
      </w:r>
    </w:p>
    <w:p>
      <w:pPr>
        <w:spacing w:after="0" w:line="22" w:lineRule="exact"/>
        <w:rPr>
          <w:rFonts w:ascii="Calibri" w:cs="Calibri" w:eastAsia="Calibri" w:hAnsi="Calibri"/>
          <w:sz w:val="20"/>
          <w:szCs w:val="20"/>
          <w:color w:val="auto"/>
        </w:rPr>
      </w:pPr>
    </w:p>
    <w:p>
      <w:pPr>
        <w:ind w:right="88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the operatons of the Company, Subsidiary, division, business segment or business unit or not within the reasonable control of management, (g) foreign exchange gains and losses,</w:t>
      </w:r>
    </w:p>
    <w:p>
      <w:pPr>
        <w:spacing w:after="0" w:line="158" w:lineRule="exact"/>
        <w:rPr>
          <w:sz w:val="20"/>
          <w:szCs w:val="20"/>
          <w:color w:val="auto"/>
        </w:rPr>
      </w:pPr>
    </w:p>
    <w:p>
      <w:pPr>
        <w:ind w:right="40" w:firstLine="8"/>
        <w:spacing w:after="0" w:line="236" w:lineRule="auto"/>
        <w:tabs>
          <w:tab w:leader="none" w:pos="412" w:val="left"/>
        </w:tabs>
        <w:numPr>
          <w:ilvl w:val="0"/>
          <w:numId w:val="67"/>
        </w:numPr>
        <w:rPr>
          <w:rFonts w:ascii="Calibri" w:cs="Calibri" w:eastAsia="Calibri" w:hAnsi="Calibri"/>
          <w:sz w:val="20"/>
          <w:szCs w:val="20"/>
          <w:color w:val="auto"/>
        </w:rPr>
      </w:pPr>
      <w:r>
        <w:rPr>
          <w:rFonts w:ascii="Calibri" w:cs="Calibri" w:eastAsia="Calibri" w:hAnsi="Calibri"/>
          <w:sz w:val="20"/>
          <w:szCs w:val="20"/>
          <w:color w:val="auto"/>
        </w:rPr>
        <w:t>a change in the fscal year of the Company, (i) the refnancing or repurchase of bank loans or debt securites, (j), unbudgeted capital expenditures, (k) the issuance or repurchase of equity securites and other changes in the number of outstanding shares, (l) conversion of some or all of convertble securites to common stock, (m) any business interrupton event</w:t>
      </w:r>
    </w:p>
    <w:p>
      <w:pPr>
        <w:spacing w:after="0" w:line="157" w:lineRule="exact"/>
        <w:rPr>
          <w:sz w:val="20"/>
          <w:szCs w:val="20"/>
          <w:color w:val="auto"/>
        </w:rPr>
      </w:pPr>
    </w:p>
    <w:p>
      <w:pPr>
        <w:ind w:right="380" w:firstLine="8"/>
        <w:spacing w:after="0" w:line="242" w:lineRule="auto"/>
        <w:tabs>
          <w:tab w:leader="none" w:pos="412" w:val="left"/>
        </w:tabs>
        <w:numPr>
          <w:ilvl w:val="0"/>
          <w:numId w:val="68"/>
        </w:numPr>
        <w:rPr>
          <w:rFonts w:ascii="Calibri" w:cs="Calibri" w:eastAsia="Calibri" w:hAnsi="Calibri"/>
          <w:sz w:val="20"/>
          <w:szCs w:val="20"/>
          <w:color w:val="auto"/>
        </w:rPr>
      </w:pPr>
      <w:r>
        <w:rPr>
          <w:rFonts w:ascii="Calibri" w:cs="Calibri" w:eastAsia="Calibri" w:hAnsi="Calibri"/>
          <w:sz w:val="20"/>
          <w:szCs w:val="20"/>
          <w:color w:val="auto"/>
        </w:rPr>
        <w:t>the cumulatve efects of tax or accountng changes in accordance with U.S. generally accepted accountng principles, or (o) the efect of changes in other laws or regulatory rules afectng reported</w:t>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120" w:lineRule="exact"/>
        <w:rPr>
          <w:sz w:val="20"/>
          <w:szCs w:val="20"/>
          <w:color w:val="auto"/>
        </w:rPr>
      </w:pPr>
    </w:p>
    <w:p>
      <w:pPr>
        <w:jc w:val="both"/>
        <w:ind w:right="300"/>
        <w:spacing w:after="0" w:line="236" w:lineRule="auto"/>
        <w:rPr>
          <w:sz w:val="20"/>
          <w:szCs w:val="20"/>
          <w:color w:val="auto"/>
        </w:rPr>
      </w:pPr>
      <w:r>
        <w:rPr>
          <w:rFonts w:ascii="Calibri" w:cs="Calibri" w:eastAsia="Calibri" w:hAnsi="Calibri"/>
          <w:sz w:val="20"/>
          <w:szCs w:val="20"/>
          <w:color w:val="auto"/>
        </w:rPr>
        <w:t>results. Such performance goals (and any exclusions) shall be set by the Plan Administrator within the tme period prescribed by, and shall otherwise comply with the requirements of, Secton 162(m) of the Code, or any successor provision thereto, and the regulatons thereunder.</w:t>
      </w:r>
    </w:p>
    <w:p>
      <w:pPr>
        <w:spacing w:after="0" w:line="148" w:lineRule="exact"/>
        <w:rPr>
          <w:sz w:val="20"/>
          <w:szCs w:val="20"/>
          <w:color w:val="auto"/>
        </w:rPr>
      </w:pPr>
    </w:p>
    <w:p>
      <w:pPr>
        <w:ind w:left="400" w:hanging="392"/>
        <w:spacing w:after="0"/>
        <w:tabs>
          <w:tab w:leader="none" w:pos="400" w:val="left"/>
        </w:tabs>
        <w:numPr>
          <w:ilvl w:val="0"/>
          <w:numId w:val="69"/>
        </w:numPr>
        <w:rPr>
          <w:rFonts w:ascii="Calibri" w:cs="Calibri" w:eastAsia="Calibri" w:hAnsi="Calibri"/>
          <w:sz w:val="20"/>
          <w:szCs w:val="20"/>
          <w:color w:val="auto"/>
        </w:rPr>
      </w:pPr>
      <w:r>
        <w:rPr>
          <w:rFonts w:ascii="Calibri" w:cs="Calibri" w:eastAsia="Calibri" w:hAnsi="Calibri"/>
          <w:sz w:val="20"/>
          <w:szCs w:val="20"/>
          <w:color w:val="auto"/>
        </w:rPr>
        <w:t>Notwithstanding any provision of the Plan other than Secton 16, with respect to any Stock Award or Performance Award that is</w:t>
      </w:r>
    </w:p>
    <w:p>
      <w:pPr>
        <w:spacing w:after="0" w:line="22" w:lineRule="exact"/>
        <w:rPr>
          <w:rFonts w:ascii="Calibri" w:cs="Calibri" w:eastAsia="Calibri" w:hAnsi="Calibri"/>
          <w:sz w:val="20"/>
          <w:szCs w:val="20"/>
          <w:color w:val="auto"/>
        </w:rPr>
      </w:pPr>
    </w:p>
    <w:p>
      <w:pPr>
        <w:spacing w:after="0"/>
        <w:rPr>
          <w:rFonts w:ascii="Calibri" w:cs="Calibri" w:eastAsia="Calibri" w:hAnsi="Calibri"/>
          <w:sz w:val="20"/>
          <w:szCs w:val="20"/>
          <w:color w:val="auto"/>
        </w:rPr>
      </w:pPr>
      <w:r>
        <w:rPr>
          <w:rFonts w:ascii="Calibri" w:cs="Calibri" w:eastAsia="Calibri" w:hAnsi="Calibri"/>
          <w:sz w:val="20"/>
          <w:szCs w:val="20"/>
          <w:color w:val="auto"/>
        </w:rPr>
        <w:t>subject to this Secton 13, the Plan Administrator may adjust downwards, but not upwards, the amount payable pursuant to such Award, and the Plan Administrator may not waive the achievement of the applicable performance goals except in the case of the death or Disability of the Covered Employee or as otherwise determined by the Plan Administrator in special circumstances subject to any restrictons of Secton 162(m) of the Code.</w:t>
      </w:r>
    </w:p>
    <w:p>
      <w:pPr>
        <w:spacing w:after="0" w:line="200" w:lineRule="exact"/>
        <w:rPr>
          <w:rFonts w:ascii="Calibri" w:cs="Calibri" w:eastAsia="Calibri" w:hAnsi="Calibri"/>
          <w:sz w:val="20"/>
          <w:szCs w:val="20"/>
          <w:color w:val="auto"/>
        </w:rPr>
      </w:pPr>
    </w:p>
    <w:p>
      <w:pPr>
        <w:spacing w:after="0" w:line="325" w:lineRule="exact"/>
        <w:rPr>
          <w:rFonts w:ascii="Calibri" w:cs="Calibri" w:eastAsia="Calibri" w:hAnsi="Calibri"/>
          <w:sz w:val="20"/>
          <w:szCs w:val="20"/>
          <w:color w:val="auto"/>
        </w:rPr>
      </w:pPr>
    </w:p>
    <w:p>
      <w:pPr>
        <w:ind w:left="420" w:hanging="412"/>
        <w:spacing w:after="0"/>
        <w:tabs>
          <w:tab w:leader="none" w:pos="420" w:val="left"/>
        </w:tabs>
        <w:numPr>
          <w:ilvl w:val="0"/>
          <w:numId w:val="69"/>
        </w:numPr>
        <w:rPr>
          <w:rFonts w:ascii="Calibri" w:cs="Calibri" w:eastAsia="Calibri" w:hAnsi="Calibri"/>
          <w:sz w:val="20"/>
          <w:szCs w:val="20"/>
          <w:color w:val="auto"/>
        </w:rPr>
      </w:pPr>
      <w:r>
        <w:rPr>
          <w:rFonts w:ascii="Calibri" w:cs="Calibri" w:eastAsia="Calibri" w:hAnsi="Calibri"/>
          <w:sz w:val="20"/>
          <w:szCs w:val="20"/>
          <w:color w:val="auto"/>
        </w:rPr>
        <w:t>The Plan Administrator shall have the power to impose such other restrictons on Awards subject to this Secton 13 as it may deem</w:t>
      </w:r>
    </w:p>
    <w:p>
      <w:pPr>
        <w:spacing w:after="0" w:line="22" w:lineRule="exact"/>
        <w:rPr>
          <w:rFonts w:ascii="Calibri" w:cs="Calibri" w:eastAsia="Calibri" w:hAnsi="Calibri"/>
          <w:sz w:val="20"/>
          <w:szCs w:val="20"/>
          <w:color w:val="auto"/>
        </w:rPr>
      </w:pPr>
    </w:p>
    <w:p>
      <w:pPr>
        <w:ind w:right="70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necessary or appropriate to ensure that such Awards satsfy all requirements for “performance-based compensaton” within the meaning of Secton 162(m)(4)(C) of the Code, or any successor provision thereto.</w:t>
      </w:r>
    </w:p>
    <w:p>
      <w:pPr>
        <w:spacing w:after="0" w:line="158" w:lineRule="exact"/>
        <w:rPr>
          <w:rFonts w:ascii="Calibri" w:cs="Calibri" w:eastAsia="Calibri" w:hAnsi="Calibri"/>
          <w:sz w:val="20"/>
          <w:szCs w:val="20"/>
          <w:color w:val="auto"/>
        </w:rPr>
      </w:pPr>
    </w:p>
    <w:p>
      <w:pPr>
        <w:jc w:val="both"/>
        <w:ind w:firstLine="8"/>
        <w:spacing w:after="0" w:line="234" w:lineRule="auto"/>
        <w:tabs>
          <w:tab w:leader="none" w:pos="407" w:val="left"/>
        </w:tabs>
        <w:numPr>
          <w:ilvl w:val="0"/>
          <w:numId w:val="69"/>
        </w:numPr>
        <w:rPr>
          <w:rFonts w:ascii="Calibri" w:cs="Calibri" w:eastAsia="Calibri" w:hAnsi="Calibri"/>
          <w:sz w:val="20"/>
          <w:szCs w:val="20"/>
          <w:color w:val="auto"/>
        </w:rPr>
      </w:pPr>
      <w:r>
        <w:rPr>
          <w:rFonts w:ascii="Calibri" w:cs="Calibri" w:eastAsia="Calibri" w:hAnsi="Calibri"/>
          <w:sz w:val="20"/>
          <w:szCs w:val="20"/>
          <w:color w:val="auto"/>
        </w:rPr>
        <w:t>Subject to adjustment from tme to tme as provided in Secton 16.1, no Partcipant may be granted Optons, SARs, Stock Awards or Performance Shares subject to this Secton 13, in each case, to the extent the Awards are intended to consttute “Qualifed Performance-</w:t>
      </w:r>
    </w:p>
    <w:p>
      <w:pPr>
        <w:spacing w:after="0" w:line="23" w:lineRule="exact"/>
        <w:rPr>
          <w:rFonts w:ascii="Calibri" w:cs="Calibri" w:eastAsia="Calibri" w:hAnsi="Calibri"/>
          <w:sz w:val="20"/>
          <w:szCs w:val="20"/>
          <w:color w:val="auto"/>
        </w:rPr>
      </w:pPr>
    </w:p>
    <w:p>
      <w:pPr>
        <w:ind w:right="220"/>
        <w:spacing w:after="0"/>
        <w:rPr>
          <w:rFonts w:ascii="Calibri" w:cs="Calibri" w:eastAsia="Calibri" w:hAnsi="Calibri"/>
          <w:sz w:val="20"/>
          <w:szCs w:val="20"/>
          <w:color w:val="auto"/>
        </w:rPr>
      </w:pPr>
      <w:r>
        <w:rPr>
          <w:rFonts w:ascii="Calibri" w:cs="Calibri" w:eastAsia="Calibri" w:hAnsi="Calibri"/>
          <w:sz w:val="20"/>
          <w:szCs w:val="20"/>
          <w:color w:val="auto"/>
        </w:rPr>
        <w:t>Based Compensaton,” in any calendar year period with respect to more than 300,000 shares of Common Stock for such Award in the aggregate, except that the Company may make additonal one tme grants of such Awards for up to 300,000 shares in the aggregate to newly hired individuals (for the applicable year of hire), and the maximum dollar value payable with respect to Performance Units subject to this Secton 13 granted to any Partcipant in any one calendar year is $4,000,000.</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WITHHOLDING</w:t>
      </w:r>
    </w:p>
    <w:p>
      <w:pPr>
        <w:spacing w:after="0" w:line="152" w:lineRule="exact"/>
        <w:rPr>
          <w:sz w:val="20"/>
          <w:szCs w:val="20"/>
          <w:color w:val="auto"/>
        </w:rPr>
      </w:pPr>
    </w:p>
    <w:p>
      <w:pPr>
        <w:ind w:right="20"/>
        <w:spacing w:after="0" w:line="243" w:lineRule="auto"/>
        <w:rPr>
          <w:sz w:val="20"/>
          <w:szCs w:val="20"/>
          <w:color w:val="auto"/>
        </w:rPr>
      </w:pPr>
      <w:r>
        <w:rPr>
          <w:rFonts w:ascii="Calibri" w:cs="Calibri" w:eastAsia="Calibri" w:hAnsi="Calibri"/>
          <w:sz w:val="20"/>
          <w:szCs w:val="20"/>
          <w:color w:val="auto"/>
        </w:rPr>
        <w:t>The Company or the Related Corporaton, as applicable, shall have the authority and right to deduct or withhold from any payments made to the Partcipant by the Company or the Related Corporaton, or require the Partcipant to pay to the Company or the Related Corporaton, the amount of any withholding taxes that the Company or a Related Corporaton determines is required to withhold with respect to the grant, vestng or exercise of any Award. Subject to the Plan and applicable law, the Plan Administrator may, in its sole discreton and in satsfacton of the foregoing requirement, in whole or in part, (a) allow a Partcipant to pay cash, (b) allow the Company to withhold, or allow a Partcipant to elect to have the Company withhold, shares of Common Stock having a fair market value equal to the sums required to be withheld, which may be determined using rates of up to the minimum federal, state, local and/or foreign rates applicable in a partcular jurisdicton (with the fair market value of the shares to be withheld and the applicable rate of tax withholding determined on the date that the amount of tax to be withheld is to be determined) or as determined by the Plan Administrator, (c) allow the transfer to the Company shares of Common Stock (already owned by the Partcipant for the period necessary to avoid a charge to the Company’s earnings for fnancial reportng purposes), in such amounts as are equivalent to the fair market value of the withholding obligaton, or (d) may permit any other method set forth in the instrument evidencing the Award. No Common Stock shall be delivered hereunder to any Partcipant or other person untl the Partcipant or such other person has made arrangements acceptable to the Plan Administrator for the satsfacton of these tax obligatons with</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color w:val="auto"/>
        </w:rPr>
        <w:t>respect to any taxable event concerning the Partcipant or such other person arising as a result of Awards made under this Plan.</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ASSIGNABILITY</w:t>
      </w:r>
    </w:p>
    <w:p>
      <w:pPr>
        <w:spacing w:after="0" w:line="165" w:lineRule="exact"/>
        <w:rPr>
          <w:sz w:val="20"/>
          <w:szCs w:val="20"/>
          <w:color w:val="auto"/>
        </w:rPr>
      </w:pPr>
    </w:p>
    <w:p>
      <w:pPr>
        <w:ind w:right="20"/>
        <w:spacing w:after="0" w:line="241" w:lineRule="auto"/>
        <w:rPr>
          <w:sz w:val="20"/>
          <w:szCs w:val="20"/>
          <w:color w:val="auto"/>
        </w:rPr>
      </w:pPr>
      <w:r>
        <w:rPr>
          <w:rFonts w:ascii="Calibri" w:cs="Calibri" w:eastAsia="Calibri" w:hAnsi="Calibri"/>
          <w:sz w:val="20"/>
          <w:szCs w:val="20"/>
          <w:color w:val="auto"/>
        </w:rPr>
        <w:t>Except as provided below, Awards granted under the Plan and any interest therein may not be assigned, pledged or transferred by the Partcipant and may not be made subject to atachment or similar proceedings otherwise than by will or by the applicable laws of descent and distributon, except to the extent the instrument evidencing the Award provides that a Partcipant may designate a benefciary on a Company-approved form who may exercise the Award or receive payment under the Award afer the Partcipant’s death, and the Partcipant has made such a designaton. During a Partcipant’s lifetme, Awards may be exercised only by the Partcipant. To the extent permited by Secton 422 of the Code and under such terms and conditons as determined by the Plan Administrator and provided such transfer is consistent with securites oferings registered on a Form S-8, a Partcipant may assign or transfer an Award without consideraton (each transferee thereof, a “Permited Assignee”); provided that such Permited Assignee shall be bound by and subject to all of the terms and conditons of the Plan and the Award agreement relatng to the transferred Award and shall execute an agreement satsfactory to the Company evidencing such obligatons; and provided further that such Partcipant shall remain bound by the terms and conditons of the Plan.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ADJUSTMENTS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16.1 Adjustment of Shares</w:t>
      </w:r>
    </w:p>
    <w:p>
      <w:pPr>
        <w:spacing w:after="0" w:line="152"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In the event that, at any tme or from tme to tme, a stock dividend, stock split, reverse stock split, reorganizaton, split-up, spin-of, combinaton, repurchase, or exchange of shares of Common Stock or other securites of the Company, recapitalizaton, merger, consolidaton, distributon to shareholders other than a normal cash dividend (whether in the form of cash, securites of the Company or other property), or other change in the Company’s corporate or capital structure afects the Common Stock or its value or results in (a) the outstanding shares, or any securites exchanged therefor or received in their place, being exchanged for a diferent number or class of securites of the Company or of any other corporaton or (b) new, diferent or additonal securites of the Company or of any other corporaton being received by the holders of shares of Common Stock of the Company, then the Plan Administrator shall make proportonal adjustments in (i) the maximum number and kind of securites subject to the Plan and the maximum number and kind of securites that may be made subject to certain Awards as set forth in Secton 4.1, (ii) the number and kind of securites that are subject to any outstanding Award and the per share price of such securites, without any change in the aggregate price to be paid therefor, (iii) the number and kind of securites automatcally granted pursuant to a formula program established under the Plan, and (iv) the maximum number of securites subject to an Award to which Secton 13 applies as set forth in Secton 13(e). The determinaton by the Plan Administrator as to the terms of any of the foregoing adjustments shall be conclusive and binding.</w:t>
      </w:r>
    </w:p>
    <w:p>
      <w:pPr>
        <w:sectPr>
          <w:pgSz w:w="11900" w:h="16838" w:orient="portrait"/>
          <w:cols w:equalWidth="0" w:num="1">
            <w:col w:w="11200"/>
          </w:cols>
          <w:pgMar w:left="320" w:top="1440" w:right="379" w:bottom="1440" w:gutter="0" w:footer="0" w:header="0"/>
        </w:sectPr>
      </w:pPr>
    </w:p>
    <w:bookmarkStart w:id="135" w:name="page136"/>
    <w:bookmarkEnd w:id="135"/>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 Change in Control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16.2.1 Definitions</w:t>
      </w:r>
    </w:p>
    <w:p>
      <w:pPr>
        <w:spacing w:after="0" w:line="152" w:lineRule="exact"/>
        <w:rPr>
          <w:sz w:val="20"/>
          <w:szCs w:val="20"/>
          <w:color w:val="auto"/>
        </w:rPr>
      </w:pPr>
    </w:p>
    <w:p>
      <w:pPr>
        <w:ind w:right="200"/>
        <w:spacing w:after="0" w:line="242" w:lineRule="auto"/>
        <w:rPr>
          <w:sz w:val="20"/>
          <w:szCs w:val="20"/>
          <w:color w:val="auto"/>
        </w:rPr>
      </w:pPr>
      <w:r>
        <w:rPr>
          <w:rFonts w:ascii="Calibri" w:cs="Calibri" w:eastAsia="Calibri" w:hAnsi="Calibri"/>
          <w:sz w:val="20"/>
          <w:szCs w:val="20"/>
          <w:color w:val="auto"/>
        </w:rPr>
        <w:t>“Change in Control Transacton” shall be deemed to have occurred if any of the events set forth in any one of the following paragraphs shall have occurred:</w:t>
      </w:r>
    </w:p>
    <w:p>
      <w:pPr>
        <w:spacing w:after="0" w:line="156" w:lineRule="exact"/>
        <w:rPr>
          <w:sz w:val="20"/>
          <w:szCs w:val="20"/>
          <w:color w:val="auto"/>
        </w:rPr>
      </w:pPr>
    </w:p>
    <w:p>
      <w:pPr>
        <w:jc w:val="both"/>
        <w:ind w:right="580" w:firstLine="8"/>
        <w:spacing w:after="0"/>
        <w:tabs>
          <w:tab w:leader="none" w:pos="403" w:val="left"/>
        </w:tabs>
        <w:numPr>
          <w:ilvl w:val="0"/>
          <w:numId w:val="70"/>
        </w:numPr>
        <w:rPr>
          <w:rFonts w:ascii="Calibri" w:cs="Calibri" w:eastAsia="Calibri" w:hAnsi="Calibri"/>
          <w:sz w:val="20"/>
          <w:szCs w:val="20"/>
          <w:color w:val="auto"/>
        </w:rPr>
      </w:pPr>
      <w:r>
        <w:rPr>
          <w:rFonts w:ascii="Calibri" w:cs="Calibri" w:eastAsia="Calibri" w:hAnsi="Calibri"/>
          <w:sz w:val="20"/>
          <w:szCs w:val="20"/>
          <w:color w:val="auto"/>
        </w:rPr>
        <w:t>any Person is or becomes the Benefcial Owner (as such term is set forth in Rule 13d-3 under the Exchange Act), directly or indirectly, of securites of the Company representng 25% or more of either the then outstanding shares of common stock of the Company or the combined votng power of the Company’s then outstanding securites, excluding any Person who becomes such a Benefcial Owner in connecton with a transacton described in Secton 16.2.1(c)(i);</w:t>
      </w:r>
    </w:p>
    <w:p>
      <w:pPr>
        <w:spacing w:after="0" w:line="200" w:lineRule="exact"/>
        <w:rPr>
          <w:rFonts w:ascii="Calibri" w:cs="Calibri" w:eastAsia="Calibri" w:hAnsi="Calibri"/>
          <w:sz w:val="20"/>
          <w:szCs w:val="20"/>
          <w:color w:val="auto"/>
        </w:rPr>
      </w:pPr>
    </w:p>
    <w:p>
      <w:pPr>
        <w:spacing w:after="0" w:line="325" w:lineRule="exact"/>
        <w:rPr>
          <w:rFonts w:ascii="Calibri" w:cs="Calibri" w:eastAsia="Calibri" w:hAnsi="Calibri"/>
          <w:sz w:val="20"/>
          <w:szCs w:val="20"/>
          <w:color w:val="auto"/>
        </w:rPr>
      </w:pPr>
    </w:p>
    <w:p>
      <w:pPr>
        <w:ind w:left="420" w:hanging="412"/>
        <w:spacing w:after="0"/>
        <w:tabs>
          <w:tab w:leader="none" w:pos="420" w:val="left"/>
        </w:tabs>
        <w:numPr>
          <w:ilvl w:val="0"/>
          <w:numId w:val="70"/>
        </w:numPr>
        <w:rPr>
          <w:rFonts w:ascii="Calibri" w:cs="Calibri" w:eastAsia="Calibri" w:hAnsi="Calibri"/>
          <w:sz w:val="20"/>
          <w:szCs w:val="20"/>
          <w:color w:val="auto"/>
        </w:rPr>
      </w:pPr>
      <w:r>
        <w:rPr>
          <w:rFonts w:ascii="Calibri" w:cs="Calibri" w:eastAsia="Calibri" w:hAnsi="Calibri"/>
          <w:sz w:val="20"/>
          <w:szCs w:val="20"/>
          <w:color w:val="auto"/>
        </w:rPr>
        <w:t>a change in the compositon of the Board during any two-year period such that the individuals who, as of the date of this</w:t>
      </w:r>
    </w:p>
    <w:p>
      <w:pPr>
        <w:spacing w:after="0" w:line="22" w:lineRule="exact"/>
        <w:rPr>
          <w:rFonts w:ascii="Calibri" w:cs="Calibri" w:eastAsia="Calibri" w:hAnsi="Calibri"/>
          <w:sz w:val="20"/>
          <w:szCs w:val="20"/>
          <w:color w:val="auto"/>
        </w:rPr>
      </w:pPr>
    </w:p>
    <w:p>
      <w:pPr>
        <w:ind w:right="16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agreement, consttute the Board (the “Incumbent Board”) cease for any reason to consttute at least a majority of the Board; provided, however, that for purposes of this defniton, any individual who becomes a member of the Board subsequent to the beginning of the two-year period, whose electon, or nominaton for electon by the Company’s shareholders, was approved by a vote of at least two-</w:t>
      </w:r>
    </w:p>
    <w:p>
      <w:pPr>
        <w:spacing w:after="0" w:line="22" w:lineRule="exact"/>
        <w:rPr>
          <w:rFonts w:ascii="Calibri" w:cs="Calibri" w:eastAsia="Calibri" w:hAnsi="Calibri"/>
          <w:sz w:val="20"/>
          <w:szCs w:val="20"/>
          <w:color w:val="auto"/>
        </w:rPr>
      </w:pPr>
    </w:p>
    <w:p>
      <w:pPr>
        <w:ind w:right="16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inital assumpton of ofce occurs as a result of or in connecton with an actual or threatened</w:t>
      </w:r>
    </w:p>
    <w:p>
      <w:pPr>
        <w:spacing w:after="0" w:line="22" w:lineRule="exact"/>
        <w:rPr>
          <w:rFonts w:ascii="Calibri" w:cs="Calibri" w:eastAsia="Calibri" w:hAnsi="Calibri"/>
          <w:sz w:val="20"/>
          <w:szCs w:val="20"/>
          <w:color w:val="auto"/>
        </w:rPr>
      </w:pPr>
    </w:p>
    <w:p>
      <w:pPr>
        <w:ind w:right="2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solicitaton of proxies or consents by or on behalf of an Person other than the Board shall not be considered a member of the Incumbent Board;</w:t>
      </w:r>
    </w:p>
    <w:p>
      <w:pPr>
        <w:spacing w:after="0" w:line="158" w:lineRule="exact"/>
        <w:rPr>
          <w:rFonts w:ascii="Calibri" w:cs="Calibri" w:eastAsia="Calibri" w:hAnsi="Calibri"/>
          <w:sz w:val="20"/>
          <w:szCs w:val="20"/>
          <w:color w:val="auto"/>
        </w:rPr>
      </w:pPr>
    </w:p>
    <w:p>
      <w:pPr>
        <w:ind w:right="20" w:firstLine="8"/>
        <w:spacing w:after="0" w:line="236" w:lineRule="auto"/>
        <w:tabs>
          <w:tab w:leader="none" w:pos="392" w:val="left"/>
        </w:tabs>
        <w:numPr>
          <w:ilvl w:val="0"/>
          <w:numId w:val="70"/>
        </w:numPr>
        <w:rPr>
          <w:rFonts w:ascii="Calibri" w:cs="Calibri" w:eastAsia="Calibri" w:hAnsi="Calibri"/>
          <w:sz w:val="20"/>
          <w:szCs w:val="20"/>
          <w:color w:val="auto"/>
        </w:rPr>
      </w:pPr>
      <w:r>
        <w:rPr>
          <w:rFonts w:ascii="Calibri" w:cs="Calibri" w:eastAsia="Calibri" w:hAnsi="Calibri"/>
          <w:sz w:val="20"/>
          <w:szCs w:val="20"/>
          <w:color w:val="auto"/>
        </w:rPr>
        <w:t>there is consummated a merger or consolidaton of the Company or any direct or indirect subsidiary of the Company with any other corporaton, other than (i) a merger or consolidaton immediately following which members of the Incumbent Board consttute a majority of the members of the board of directors (or similar body) of the surviving entty or, if the surviving entty is a subsidiary, any</w:t>
      </w:r>
    </w:p>
    <w:p>
      <w:pPr>
        <w:spacing w:after="0" w:line="22" w:lineRule="exact"/>
        <w:rPr>
          <w:rFonts w:ascii="Calibri" w:cs="Calibri" w:eastAsia="Calibri" w:hAnsi="Calibri"/>
          <w:sz w:val="20"/>
          <w:szCs w:val="20"/>
          <w:color w:val="auto"/>
        </w:rPr>
      </w:pPr>
    </w:p>
    <w:p>
      <w:pPr>
        <w:spacing w:after="0" w:line="236" w:lineRule="auto"/>
        <w:rPr>
          <w:rFonts w:ascii="Calibri" w:cs="Calibri" w:eastAsia="Calibri" w:hAnsi="Calibri"/>
          <w:sz w:val="20"/>
          <w:szCs w:val="20"/>
          <w:color w:val="auto"/>
        </w:rPr>
      </w:pPr>
      <w:r>
        <w:rPr>
          <w:rFonts w:ascii="Calibri" w:cs="Calibri" w:eastAsia="Calibri" w:hAnsi="Calibri"/>
          <w:sz w:val="20"/>
          <w:szCs w:val="20"/>
          <w:color w:val="auto"/>
        </w:rPr>
        <w:t>parent thereof, or (ii) a merger or consolidaton efected to implement a recapitalizaton of the Company (or similar transacton) in which no Person is or becomes the Benefcial Owner, directly or indirectly, of securites of the Company (not including in the securites Benefcially Owned by such Person any securites acquired directly from the Company or its Afliates (as such term is set forth in Rule</w:t>
      </w:r>
    </w:p>
    <w:p>
      <w:pPr>
        <w:spacing w:after="0" w:line="22" w:lineRule="exact"/>
        <w:rPr>
          <w:rFonts w:ascii="Calibri" w:cs="Calibri" w:eastAsia="Calibri" w:hAnsi="Calibri"/>
          <w:sz w:val="20"/>
          <w:szCs w:val="20"/>
          <w:color w:val="auto"/>
        </w:rPr>
      </w:pPr>
    </w:p>
    <w:p>
      <w:pPr>
        <w:ind w:right="20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12b-2 promulgated under Secton 12 of the Exchange Act)) representng 25% or more of the combined votng power of the Company’s then outstanding securites; or</w:t>
      </w:r>
    </w:p>
    <w:p>
      <w:pPr>
        <w:spacing w:after="0" w:line="158" w:lineRule="exact"/>
        <w:rPr>
          <w:rFonts w:ascii="Calibri" w:cs="Calibri" w:eastAsia="Calibri" w:hAnsi="Calibri"/>
          <w:sz w:val="20"/>
          <w:szCs w:val="20"/>
          <w:color w:val="auto"/>
        </w:rPr>
      </w:pPr>
    </w:p>
    <w:p>
      <w:pPr>
        <w:jc w:val="both"/>
        <w:ind w:right="80" w:firstLine="8"/>
        <w:spacing w:after="0" w:line="234" w:lineRule="auto"/>
        <w:tabs>
          <w:tab w:leader="none" w:pos="412" w:val="left"/>
        </w:tabs>
        <w:numPr>
          <w:ilvl w:val="0"/>
          <w:numId w:val="70"/>
        </w:numPr>
        <w:rPr>
          <w:rFonts w:ascii="Calibri" w:cs="Calibri" w:eastAsia="Calibri" w:hAnsi="Calibri"/>
          <w:sz w:val="20"/>
          <w:szCs w:val="20"/>
          <w:color w:val="auto"/>
        </w:rPr>
      </w:pPr>
      <w:r>
        <w:rPr>
          <w:rFonts w:ascii="Calibri" w:cs="Calibri" w:eastAsia="Calibri" w:hAnsi="Calibri"/>
          <w:sz w:val="20"/>
          <w:szCs w:val="20"/>
          <w:color w:val="auto"/>
        </w:rPr>
        <w:t>the shareholders of the Company approve a plan of complete liquidaton or dissoluton of the Company or the consummaton of a sale or dispositon by the Company of all or substantally all of the Company’s assets, other than a sale or dispositon by the Company of</w:t>
      </w:r>
    </w:p>
    <w:p>
      <w:pPr>
        <w:spacing w:after="0" w:line="23" w:lineRule="exact"/>
        <w:rPr>
          <w:rFonts w:ascii="Calibri" w:cs="Calibri" w:eastAsia="Calibri" w:hAnsi="Calibri"/>
          <w:sz w:val="20"/>
          <w:szCs w:val="20"/>
          <w:color w:val="auto"/>
        </w:rPr>
      </w:pPr>
    </w:p>
    <w:p>
      <w:pPr>
        <w:ind w:right="10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all or substantally all of the Company’s assets to an entty, at least 50% of the combined votng power of the votng securites of which are owned by shareholders of the Company in substantally the same proportons as their ownership of the Company immediately prior to such sale.</w:t>
      </w:r>
    </w:p>
    <w:p>
      <w:pPr>
        <w:spacing w:after="0" w:line="157" w:lineRule="exact"/>
        <w:rPr>
          <w:sz w:val="20"/>
          <w:szCs w:val="20"/>
          <w:color w:val="auto"/>
        </w:rPr>
      </w:pPr>
    </w:p>
    <w:p>
      <w:pPr>
        <w:ind w:right="60"/>
        <w:spacing w:after="0"/>
        <w:rPr>
          <w:sz w:val="20"/>
          <w:szCs w:val="20"/>
          <w:color w:val="auto"/>
        </w:rPr>
      </w:pPr>
      <w:r>
        <w:rPr>
          <w:rFonts w:ascii="Calibri" w:cs="Calibri" w:eastAsia="Calibri" w:hAnsi="Calibri"/>
          <w:sz w:val="20"/>
          <w:szCs w:val="20"/>
          <w:color w:val="auto"/>
        </w:rPr>
        <w:t>For purposes of this Secton 16.2.1, “Person” shall have the meaning given in Secton 3(a)(9) of the Exchange Act, as modifed and used in Sectons 13(d) and 14(d) thereof, except that such term shall not include (i) the Company or any of its Subsidiaries, (ii) a trustee or other fduciary holding securites under an employee beneft plan of the Company or any of its Afliates, (iii) an underwriter temporarily holding securites pursuant to an ofering of such securites or (iv) a corporaton owned, directly or indirectly, by</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color w:val="auto"/>
        </w:rPr>
        <w:t>the shareholders of the Company in substantally the same proportons as their ownership of stock of the Company.</w:t>
      </w:r>
    </w:p>
    <w:p>
      <w:pPr>
        <w:spacing w:after="0" w:line="157"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For clarity, a Change in Control Transacton shall not be deemed to have occurred in the event of a reorganizaton of the Company and/or any Related Corporatons nor in the event of a reincorporaton of the Company or any Related Corporaton in another jurisdicton.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16.2.2 Assumption of Awards</w:t>
      </w:r>
    </w:p>
    <w:p>
      <w:pPr>
        <w:spacing w:after="0" w:line="152" w:lineRule="exact"/>
        <w:rPr>
          <w:sz w:val="20"/>
          <w:szCs w:val="20"/>
          <w:color w:val="auto"/>
        </w:rPr>
      </w:pPr>
    </w:p>
    <w:p>
      <w:pPr>
        <w:ind w:right="20"/>
        <w:spacing w:after="0" w:line="242" w:lineRule="auto"/>
        <w:rPr>
          <w:sz w:val="20"/>
          <w:szCs w:val="20"/>
          <w:color w:val="auto"/>
        </w:rPr>
      </w:pPr>
      <w:r>
        <w:rPr>
          <w:rFonts w:ascii="Calibri" w:cs="Calibri" w:eastAsia="Calibri" w:hAnsi="Calibri"/>
          <w:sz w:val="20"/>
          <w:szCs w:val="20"/>
          <w:color w:val="auto"/>
        </w:rPr>
        <w:t>Notwithstanding Secton 16.1 hereof, and except as provided in Secton 16.2.3 and as may otherwise be provided in the instrument evidencing the Award or in writen employment or services or other agreement between a Partcipant and the Company or a Related Corporaton in connecton with an Award, if in the event of a Change in Control Transacton a Partcipant’s Awards are not assumed, converted, contnued, replaced or an equivalent award is not substtuted for the Awards by the surviving corporaton, the successor corporaton or its parent corporaton, as applicable, (the “Successor Corporaton”), the Partcipant shall fully vest in and, if applicable, have the right to exercise the Award as to all of the shares of Common Stock subject thereto, including shares as to which the Award would not otherwise be vested or, if applicable, exercisable. If an Award is in the form of an exercisable right that will become fully vested and exercisable in lieu of assumpton or substtuton in the event of a Change in Control Transacton, the Plan Administrator shall notfy the Partcipant in writng or electronically that the Award shall be fully vested and exercisable for a specifed tme period afer the date of such notce, and the Award shall terminate upon the expiraton of such period, in each case conditoned on the consummaton of the Change in Control Transacton. For the purposes of this Secton 16.2.2, the Award shall be considered assumed if, following the Change in Control Transacton, the assumed right confers the right to purchase or receive, for each share of Common Stock subject to the Award immediately prior to the Change in Control Transacton, the consideraton (whether stock, cash, or other securites or property) received in the Change in Control Transacton by holders of Common Stock for each share held on the efectve date of the transacton (and if holders were ofered a choice of consideraton, the type of consideraton chosen by the holders of a majority of the outstanding shares); provided, however, that if such consideraton received in the Change in Control Transacton is not solely common stock of the Successor Corporaton, the Plan Administrator may, with the consent of the Successor Corporaton, provide for the consideraton to be received upon the setlement or exercise of the Award, for each share of Common Stock subject thereto, to be solely common stock of the Successor Corporaton equal in fair market value to the per share consideraton received by holders of Common Stock in the Change in Control Transacton. The Plan Administrator may provide that Awards shall terminate and cease to remain outstanding immediately prior to the consummaton of the Change in Control Transacton, except to the extent assumed by the Successor Corporaton. The porton of any Incentve Stock Opton accelerated in connecton with a Change in Control Transacton shall remain exercisable as an Incentve Stock Opton only to the extent the applicable One Hundred Thousand Dollar ($100,000) limitaton is not exceeded. To the extent such dollar limitaton is exceeded, the accelerated porton of such Opton shall be exercisable as a non-statutory opton under the U.S. federal tax laws.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16.2.3 Performance Awards</w:t>
      </w:r>
    </w:p>
    <w:p>
      <w:pPr>
        <w:spacing w:after="0" w:line="152" w:lineRule="exact"/>
        <w:rPr>
          <w:sz w:val="20"/>
          <w:szCs w:val="20"/>
          <w:color w:val="auto"/>
        </w:rPr>
      </w:pPr>
    </w:p>
    <w:p>
      <w:pPr>
        <w:ind w:right="300"/>
        <w:spacing w:after="0"/>
        <w:rPr>
          <w:sz w:val="20"/>
          <w:szCs w:val="20"/>
          <w:color w:val="auto"/>
        </w:rPr>
      </w:pPr>
      <w:r>
        <w:rPr>
          <w:rFonts w:ascii="Calibri" w:cs="Calibri" w:eastAsia="Calibri" w:hAnsi="Calibri"/>
          <w:sz w:val="20"/>
          <w:szCs w:val="20"/>
          <w:color w:val="auto"/>
        </w:rPr>
        <w:t>In the event of a Change in Control Transacton, the vestng and payout of Performance Awards shall be as provided in the instrument evidencing the Award or in a writen employment or services agreement between a Partcipant and the Company or a Related Corporaton.</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16.3 Further Adjustment of Awards</w:t>
      </w:r>
    </w:p>
    <w:p>
      <w:pPr>
        <w:spacing w:after="0" w:line="152" w:lineRule="exact"/>
        <w:rPr>
          <w:sz w:val="20"/>
          <w:szCs w:val="20"/>
          <w:color w:val="auto"/>
        </w:rPr>
      </w:pPr>
    </w:p>
    <w:p>
      <w:pPr>
        <w:ind w:right="60"/>
        <w:spacing w:after="0" w:line="241" w:lineRule="auto"/>
        <w:rPr>
          <w:sz w:val="20"/>
          <w:szCs w:val="20"/>
          <w:color w:val="auto"/>
        </w:rPr>
      </w:pPr>
      <w:r>
        <w:rPr>
          <w:rFonts w:ascii="Calibri" w:cs="Calibri" w:eastAsia="Calibri" w:hAnsi="Calibri"/>
          <w:sz w:val="20"/>
          <w:szCs w:val="20"/>
          <w:color w:val="auto"/>
        </w:rPr>
        <w:t>Subject to Secton 16.2, the Plan Administrator shall have the discreton, exercisable at any tme before a sale, merger, consolidaton, reorganizaton, liquidaton or change in control of the Company, as defned by the Plan Administrator, to take such further acton as it determines to be necessary or advisable, and fair and equitable to the Partcipants, with respect to Awards. The Plan Administrator may take such acton before or afer grantng Awards to which the acton relates and before or afer any public announcement with respect to such sale, merger, consolidaton, reorganizaton, liquidaton or change in control that is the reason for such acton. Such authorized acton may include (but shall not be limited to) the following, and the Plan Administrator may take such actons with respect to all Partcipants, to certain categories of Partcipants or only to individual Partcipants; provided, however, that any vestng acceleraton of outstanding Awards shall in all cases be subject to the consummaton of the sale, merger, other similar transacton or change in control:</w:t>
      </w:r>
    </w:p>
    <w:p>
      <w:pPr>
        <w:spacing w:after="0" w:line="158" w:lineRule="exact"/>
        <w:rPr>
          <w:sz w:val="20"/>
          <w:szCs w:val="20"/>
          <w:color w:val="auto"/>
        </w:rPr>
      </w:pPr>
    </w:p>
    <w:p>
      <w:pPr>
        <w:ind w:right="140" w:firstLine="8"/>
        <w:spacing w:after="0" w:line="242" w:lineRule="auto"/>
        <w:tabs>
          <w:tab w:leader="none" w:pos="403" w:val="left"/>
        </w:tabs>
        <w:numPr>
          <w:ilvl w:val="0"/>
          <w:numId w:val="71"/>
        </w:numPr>
        <w:rPr>
          <w:rFonts w:ascii="Calibri" w:cs="Calibri" w:eastAsia="Calibri" w:hAnsi="Calibri"/>
          <w:sz w:val="20"/>
          <w:szCs w:val="20"/>
          <w:color w:val="auto"/>
        </w:rPr>
      </w:pPr>
      <w:r>
        <w:rPr>
          <w:rFonts w:ascii="Calibri" w:cs="Calibri" w:eastAsia="Calibri" w:hAnsi="Calibri"/>
          <w:sz w:val="20"/>
          <w:szCs w:val="20"/>
          <w:color w:val="auto"/>
        </w:rPr>
        <w:t>establishing, amending or waiving the type, terms, conditons or duraton of, or restrictons on, Awards so as to provide for earlier, later, extended or additonal tme for exercise, lifing restrictons and other modifcatons;</w:t>
      </w:r>
    </w:p>
    <w:p>
      <w:pPr>
        <w:spacing w:after="0" w:line="155" w:lineRule="exact"/>
        <w:rPr>
          <w:rFonts w:ascii="Calibri" w:cs="Calibri" w:eastAsia="Calibri" w:hAnsi="Calibri"/>
          <w:sz w:val="20"/>
          <w:szCs w:val="20"/>
          <w:color w:val="auto"/>
        </w:rPr>
      </w:pPr>
    </w:p>
    <w:p>
      <w:pPr>
        <w:ind w:right="20" w:firstLine="8"/>
        <w:spacing w:after="0" w:line="236" w:lineRule="auto"/>
        <w:tabs>
          <w:tab w:leader="none" w:pos="412" w:val="left"/>
        </w:tabs>
        <w:numPr>
          <w:ilvl w:val="0"/>
          <w:numId w:val="71"/>
        </w:numPr>
        <w:rPr>
          <w:rFonts w:ascii="Calibri" w:cs="Calibri" w:eastAsia="Calibri" w:hAnsi="Calibri"/>
          <w:sz w:val="20"/>
          <w:szCs w:val="20"/>
          <w:color w:val="auto"/>
        </w:rPr>
      </w:pPr>
      <w:r>
        <w:rPr>
          <w:rFonts w:ascii="Calibri" w:cs="Calibri" w:eastAsia="Calibri" w:hAnsi="Calibri"/>
          <w:sz w:val="20"/>
          <w:szCs w:val="20"/>
          <w:color w:val="auto"/>
        </w:rPr>
        <w:t>providing for either (i) terminaton of any such Award in exchange for an amount of cash, if any, equal to the amount that would have been atained upon the exercise of such Award or realizaton of the Partcipant’s rights (and, for the avoidance of doubt, if as of the date of the occurrence of the transacton or event described in this Secton 16.3 the Plan Administrator determines in good faith that no</w:t>
      </w:r>
    </w:p>
    <w:p>
      <w:pPr>
        <w:spacing w:after="0" w:line="22" w:lineRule="exact"/>
        <w:rPr>
          <w:rFonts w:ascii="Calibri" w:cs="Calibri" w:eastAsia="Calibri" w:hAnsi="Calibri"/>
          <w:sz w:val="20"/>
          <w:szCs w:val="20"/>
          <w:color w:val="auto"/>
        </w:rPr>
      </w:pPr>
    </w:p>
    <w:p>
      <w:pPr>
        <w:ind w:right="160"/>
        <w:spacing w:after="0" w:line="236" w:lineRule="auto"/>
        <w:rPr>
          <w:rFonts w:ascii="Calibri" w:cs="Calibri" w:eastAsia="Calibri" w:hAnsi="Calibri"/>
          <w:sz w:val="20"/>
          <w:szCs w:val="20"/>
          <w:color w:val="auto"/>
        </w:rPr>
      </w:pPr>
      <w:r>
        <w:rPr>
          <w:rFonts w:ascii="Calibri" w:cs="Calibri" w:eastAsia="Calibri" w:hAnsi="Calibri"/>
          <w:sz w:val="20"/>
          <w:szCs w:val="20"/>
          <w:color w:val="auto"/>
        </w:rPr>
        <w:t>amount would have been atained upon the exercise of such Award or realizaton of the Partcipant’s rights, then such Award may be terminated by the Company without payment) or (ii) the replacement of such Award with other rights or property selected by the Plan Administrator in its sole discreton;</w:t>
      </w:r>
    </w:p>
    <w:p>
      <w:pPr>
        <w:spacing w:after="0" w:line="157" w:lineRule="exact"/>
        <w:rPr>
          <w:rFonts w:ascii="Calibri" w:cs="Calibri" w:eastAsia="Calibri" w:hAnsi="Calibri"/>
          <w:sz w:val="20"/>
          <w:szCs w:val="20"/>
          <w:color w:val="auto"/>
        </w:rPr>
      </w:pPr>
    </w:p>
    <w:p>
      <w:pPr>
        <w:ind w:right="220" w:firstLine="8"/>
        <w:spacing w:after="0" w:line="242" w:lineRule="auto"/>
        <w:tabs>
          <w:tab w:leader="none" w:pos="392" w:val="left"/>
        </w:tabs>
        <w:numPr>
          <w:ilvl w:val="0"/>
          <w:numId w:val="71"/>
        </w:numPr>
        <w:rPr>
          <w:rFonts w:ascii="Calibri" w:cs="Calibri" w:eastAsia="Calibri" w:hAnsi="Calibri"/>
          <w:sz w:val="20"/>
          <w:szCs w:val="20"/>
          <w:color w:val="auto"/>
        </w:rPr>
      </w:pPr>
      <w:r>
        <w:rPr>
          <w:rFonts w:ascii="Calibri" w:cs="Calibri" w:eastAsia="Calibri" w:hAnsi="Calibri"/>
          <w:sz w:val="20"/>
          <w:szCs w:val="20"/>
          <w:color w:val="auto"/>
        </w:rPr>
        <w:t>making adjustments in the number and type of shares of Common Stock (or other securites or property) subject to outstanding Awards, and/or in the terms and conditons of (including the grant or exercise price), and the criteria included in, outstanding Awards;</w:t>
      </w:r>
    </w:p>
    <w:p>
      <w:pPr>
        <w:spacing w:after="0" w:line="155" w:lineRule="exact"/>
        <w:rPr>
          <w:rFonts w:ascii="Calibri" w:cs="Calibri" w:eastAsia="Calibri" w:hAnsi="Calibri"/>
          <w:sz w:val="20"/>
          <w:szCs w:val="20"/>
          <w:color w:val="auto"/>
        </w:rPr>
      </w:pPr>
    </w:p>
    <w:p>
      <w:pPr>
        <w:ind w:right="520" w:firstLine="8"/>
        <w:spacing w:after="0" w:line="234" w:lineRule="auto"/>
        <w:tabs>
          <w:tab w:leader="none" w:pos="412" w:val="left"/>
        </w:tabs>
        <w:numPr>
          <w:ilvl w:val="0"/>
          <w:numId w:val="71"/>
        </w:numPr>
        <w:rPr>
          <w:rFonts w:ascii="Calibri" w:cs="Calibri" w:eastAsia="Calibri" w:hAnsi="Calibri"/>
          <w:sz w:val="20"/>
          <w:szCs w:val="20"/>
          <w:color w:val="auto"/>
        </w:rPr>
      </w:pPr>
      <w:r>
        <w:rPr>
          <w:rFonts w:ascii="Calibri" w:cs="Calibri" w:eastAsia="Calibri" w:hAnsi="Calibri"/>
          <w:sz w:val="20"/>
          <w:szCs w:val="20"/>
          <w:color w:val="auto"/>
        </w:rPr>
        <w:t>to provide that such Award shall be exercisable or payable or fully vested with respect to all shares of Common Stock covered thereby, notwithstanding anything to the contrary in the Plan or the applicable agreement evidencing the Award; and</w:t>
      </w:r>
    </w:p>
    <w:p>
      <w:pPr>
        <w:spacing w:after="0" w:line="148" w:lineRule="exact"/>
        <w:rPr>
          <w:rFonts w:ascii="Calibri" w:cs="Calibri" w:eastAsia="Calibri" w:hAnsi="Calibri"/>
          <w:sz w:val="20"/>
          <w:szCs w:val="20"/>
          <w:color w:val="auto"/>
        </w:rPr>
      </w:pPr>
    </w:p>
    <w:p>
      <w:pPr>
        <w:ind w:left="420" w:hanging="412"/>
        <w:spacing w:after="0"/>
        <w:tabs>
          <w:tab w:leader="none" w:pos="420" w:val="left"/>
        </w:tabs>
        <w:numPr>
          <w:ilvl w:val="0"/>
          <w:numId w:val="71"/>
        </w:numPr>
        <w:rPr>
          <w:rFonts w:ascii="Calibri" w:cs="Calibri" w:eastAsia="Calibri" w:hAnsi="Calibri"/>
          <w:sz w:val="20"/>
          <w:szCs w:val="20"/>
          <w:color w:val="auto"/>
        </w:rPr>
      </w:pPr>
      <w:r>
        <w:rPr>
          <w:rFonts w:ascii="Calibri" w:cs="Calibri" w:eastAsia="Calibri" w:hAnsi="Calibri"/>
          <w:sz w:val="20"/>
          <w:szCs w:val="20"/>
          <w:color w:val="auto"/>
        </w:rPr>
        <w:t>to provide that the Award cannot vest, be exercised or become payable afer such event.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16.4 Limitations</w:t>
      </w:r>
    </w:p>
    <w:p>
      <w:pPr>
        <w:spacing w:after="0" w:line="152"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The grant of Awards shall in no way afect the Company’s right to adjust, reclassify, reorganize or otherwise change its capital or business structure or to merge, consolidate, dissolve, liquidate or sell or transfer all or any part of its business or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16.5 Fractional Shares</w:t>
      </w:r>
    </w:p>
    <w:p>
      <w:pPr>
        <w:spacing w:after="0" w:line="165" w:lineRule="exact"/>
        <w:rPr>
          <w:sz w:val="20"/>
          <w:szCs w:val="20"/>
          <w:color w:val="auto"/>
        </w:rPr>
      </w:pPr>
    </w:p>
    <w:p>
      <w:pPr>
        <w:ind w:right="460"/>
        <w:spacing w:after="0" w:line="234" w:lineRule="auto"/>
        <w:rPr>
          <w:sz w:val="20"/>
          <w:szCs w:val="20"/>
          <w:color w:val="auto"/>
        </w:rPr>
      </w:pPr>
      <w:r>
        <w:rPr>
          <w:rFonts w:ascii="Calibri" w:cs="Calibri" w:eastAsia="Calibri" w:hAnsi="Calibri"/>
          <w:sz w:val="20"/>
          <w:szCs w:val="20"/>
          <w:color w:val="auto"/>
        </w:rPr>
        <w:t>In the event of any adjustment in the number of shares covered by any Award, each such Award shall cover only the number of full shares resultng from such adjustment.</w:t>
      </w:r>
    </w:p>
    <w:p>
      <w:pPr>
        <w:sectPr>
          <w:pgSz w:w="11900" w:h="16838" w:orient="portrait"/>
          <w:cols w:equalWidth="0" w:num="1">
            <w:col w:w="11200"/>
          </w:cols>
          <w:pgMar w:left="320" w:top="1440" w:right="379" w:bottom="1440" w:gutter="0" w:footer="0" w:header="0"/>
        </w:sectPr>
      </w:pPr>
    </w:p>
    <w:bookmarkStart w:id="138" w:name="page139"/>
    <w:bookmarkEnd w:id="138"/>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AMENDMENT AND TERMINATION OF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 Amendment of Plan</w:t>
      </w:r>
    </w:p>
    <w:p>
      <w:pPr>
        <w:spacing w:after="0" w:line="152" w:lineRule="exact"/>
        <w:rPr>
          <w:sz w:val="20"/>
          <w:szCs w:val="20"/>
          <w:color w:val="auto"/>
        </w:rPr>
      </w:pPr>
    </w:p>
    <w:p>
      <w:pPr>
        <w:ind w:right="80"/>
        <w:spacing w:after="0" w:line="242" w:lineRule="auto"/>
        <w:rPr>
          <w:sz w:val="20"/>
          <w:szCs w:val="20"/>
          <w:color w:val="auto"/>
        </w:rPr>
      </w:pPr>
      <w:r>
        <w:rPr>
          <w:rFonts w:ascii="Calibri" w:cs="Calibri" w:eastAsia="Calibri" w:hAnsi="Calibri"/>
          <w:sz w:val="20"/>
          <w:szCs w:val="20"/>
          <w:color w:val="auto"/>
        </w:rPr>
        <w:t>The Plan may be amended only by the Board in such respects as it shall deem advisable; provided, however, that to the extent required for compliance with Secton 422 of the Code or any applicable law or regulaton, shareholder approval shall be required for any amendment that would (a) increase the total number of shares available for issuance under the Plan, (b) modify the class of persons eligible to receive Optons, or (c) otherwise require shareholder approval under any applicable law or regulaton. Any amendment made to the Plan that would consttute a “modifcaton” to Incentve Stock Optons outstanding on the date of such amendment shall not, without the consent of the Partcipant, be applicable to such outstanding Incentve Stock Optons but shall have prospectve efect only.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17.2 Suspension or Termination of Plan</w:t>
      </w:r>
    </w:p>
    <w:p>
      <w:pPr>
        <w:spacing w:after="0" w:line="152" w:lineRule="exact"/>
        <w:rPr>
          <w:sz w:val="20"/>
          <w:szCs w:val="20"/>
          <w:color w:val="auto"/>
        </w:rPr>
      </w:pPr>
    </w:p>
    <w:p>
      <w:pPr>
        <w:ind w:right="120"/>
        <w:spacing w:after="0"/>
        <w:rPr>
          <w:sz w:val="20"/>
          <w:szCs w:val="20"/>
          <w:color w:val="auto"/>
        </w:rPr>
      </w:pPr>
      <w:r>
        <w:rPr>
          <w:rFonts w:ascii="Calibri" w:cs="Calibri" w:eastAsia="Calibri" w:hAnsi="Calibri"/>
          <w:sz w:val="20"/>
          <w:szCs w:val="20"/>
          <w:color w:val="auto"/>
        </w:rPr>
        <w:t>The Board may suspend or terminate the Plan at any tme. The Plan shall have no fxed expiraton date; provided, however, that no Incentve Stock Optons may be granted more than ten years afer the later of (a) the Plan’s adopton by the Board and (b) the adopton by the Board of any amendment to the Plan that consttutes the adopton of a new plan for purposes of Secton 422 of the Code.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17.3 Consent of Participant</w:t>
      </w:r>
    </w:p>
    <w:p>
      <w:pPr>
        <w:spacing w:after="0" w:line="152" w:lineRule="exact"/>
        <w:rPr>
          <w:sz w:val="20"/>
          <w:szCs w:val="20"/>
          <w:color w:val="auto"/>
        </w:rPr>
      </w:pPr>
    </w:p>
    <w:p>
      <w:pPr>
        <w:ind w:right="80"/>
        <w:spacing w:after="0" w:line="241" w:lineRule="auto"/>
        <w:rPr>
          <w:sz w:val="20"/>
          <w:szCs w:val="20"/>
          <w:color w:val="auto"/>
        </w:rPr>
      </w:pPr>
      <w:r>
        <w:rPr>
          <w:rFonts w:ascii="Calibri" w:cs="Calibri" w:eastAsia="Calibri" w:hAnsi="Calibri"/>
          <w:sz w:val="20"/>
          <w:szCs w:val="20"/>
          <w:color w:val="auto"/>
        </w:rPr>
        <w:t>The suspension, amendment or terminaton of the Plan or a porton thereof or the amendment of an outstanding Award shall not, without the Partcipant’s consent, impair or diminish any rights or obligatons under any Award theretofore granted to the Partcipant under the Plan. Any change or adjustment to an outstanding Incentve Stock Opton shall not, without the consent of the Partcipant, be made in a manner so as to consttute a “modifcaton” that would cause such Incentve Stock Opton to fail to contnue to qualify as an Incentve Stock Opton. Notwithstanding the foregoing, any adjustments made pursuant to Secton 16 and any amendment or other acton contemplated under Secton 18.9 or as may necessary or advisable to facilitate compliance with applicable law, as determined in the sole discreton of the Plan Administrator, shall not be subject to these restrictons.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GENERAL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 Evidence of Awards</w:t>
      </w:r>
    </w:p>
    <w:p>
      <w:pPr>
        <w:spacing w:after="0" w:line="152" w:lineRule="exact"/>
        <w:rPr>
          <w:sz w:val="20"/>
          <w:szCs w:val="20"/>
          <w:color w:val="auto"/>
        </w:rPr>
      </w:pPr>
    </w:p>
    <w:p>
      <w:pPr>
        <w:jc w:val="both"/>
        <w:ind w:right="20"/>
        <w:spacing w:after="0" w:line="242" w:lineRule="auto"/>
        <w:rPr>
          <w:sz w:val="20"/>
          <w:szCs w:val="20"/>
          <w:color w:val="auto"/>
        </w:rPr>
      </w:pPr>
      <w:r>
        <w:rPr>
          <w:rFonts w:ascii="Calibri" w:cs="Calibri" w:eastAsia="Calibri" w:hAnsi="Calibri"/>
          <w:sz w:val="20"/>
          <w:szCs w:val="20"/>
          <w:color w:val="auto"/>
        </w:rPr>
        <w:t>Awards granted under the Plan shall be evidenced by a writen instrument (which may also be in electronic form) that shall contain such terms, conditons, limitatons and restrictons as the Plan Administrator shall deem advisable and that are not inconsistent with the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 No Individual Rights</w:t>
      </w:r>
    </w:p>
    <w:p>
      <w:pPr>
        <w:spacing w:after="0" w:line="152" w:lineRule="exact"/>
        <w:rPr>
          <w:sz w:val="20"/>
          <w:szCs w:val="20"/>
          <w:color w:val="auto"/>
        </w:rPr>
      </w:pPr>
    </w:p>
    <w:p>
      <w:pPr>
        <w:spacing w:after="0"/>
        <w:rPr>
          <w:sz w:val="20"/>
          <w:szCs w:val="20"/>
          <w:color w:val="auto"/>
        </w:rPr>
      </w:pPr>
      <w:r>
        <w:rPr>
          <w:rFonts w:ascii="Calibri" w:cs="Calibri" w:eastAsia="Calibri" w:hAnsi="Calibri"/>
          <w:sz w:val="20"/>
          <w:szCs w:val="20"/>
          <w:color w:val="auto"/>
        </w:rPr>
        <w:t>Nothing in the Plan or any Award granted under the Plan shall be deemed to consttute an employment contract or confer or be deemed to confer on any Partcipant any right to contnue in the employ of, or to contnue any other relatonship with, the Company or any Related Corporaton or limit in any way the right of the Company or any Related Corporaton to terminate a Partcipant’s employment or other relatonship at any tme, with or without Cause.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 Transfer of Employment or Service Relationship; Leaves of Absence</w:t>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120"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A Partcipant’s transfer of employment or service relatonship between or among the Company and its Related Corporatons, or a change in status from an employee to a consultant, agent, advisor or independent contractor or vice versa, shall not be considered a terminaton of employment or service relatonship for purposes of the Plan, provided, however, that (i) writen authorizaton of the Company’s Chief Executve Ofcer or a delegate of the Chief Executve Ofce must be obtained in order to rely on this provision, and</w:t>
      </w:r>
    </w:p>
    <w:p>
      <w:pPr>
        <w:spacing w:after="0" w:line="157" w:lineRule="exact"/>
        <w:rPr>
          <w:sz w:val="20"/>
          <w:szCs w:val="20"/>
          <w:color w:val="auto"/>
        </w:rPr>
      </w:pPr>
    </w:p>
    <w:p>
      <w:pPr>
        <w:ind w:right="40" w:firstLine="8"/>
        <w:spacing w:after="0" w:line="234" w:lineRule="auto"/>
        <w:tabs>
          <w:tab w:leader="none" w:pos="399" w:val="left"/>
        </w:tabs>
        <w:numPr>
          <w:ilvl w:val="0"/>
          <w:numId w:val="72"/>
        </w:numPr>
        <w:rPr>
          <w:rFonts w:ascii="Calibri" w:cs="Calibri" w:eastAsia="Calibri" w:hAnsi="Calibri"/>
          <w:sz w:val="20"/>
          <w:szCs w:val="20"/>
          <w:color w:val="auto"/>
        </w:rPr>
      </w:pPr>
      <w:r>
        <w:rPr>
          <w:rFonts w:ascii="Calibri" w:cs="Calibri" w:eastAsia="Calibri" w:hAnsi="Calibri"/>
          <w:sz w:val="20"/>
          <w:szCs w:val="20"/>
          <w:color w:val="auto"/>
        </w:rPr>
        <w:t>such a transfer of employment or change in status may afect whether an Incentve Stock Opton granted to Partcipant contnues to qualify for favorable tax treatment as an Incentve Stock Opton.</w:t>
      </w:r>
    </w:p>
    <w:p>
      <w:pPr>
        <w:spacing w:after="0" w:line="200" w:lineRule="exact"/>
        <w:rPr>
          <w:sz w:val="20"/>
          <w:szCs w:val="20"/>
          <w:color w:val="auto"/>
        </w:rPr>
      </w:pPr>
    </w:p>
    <w:p>
      <w:pPr>
        <w:spacing w:after="0" w:line="350" w:lineRule="exact"/>
        <w:rPr>
          <w:sz w:val="20"/>
          <w:szCs w:val="20"/>
          <w:color w:val="auto"/>
        </w:rPr>
      </w:pPr>
    </w:p>
    <w:p>
      <w:pPr>
        <w:ind w:right="940"/>
        <w:spacing w:after="0" w:line="234" w:lineRule="auto"/>
        <w:rPr>
          <w:sz w:val="20"/>
          <w:szCs w:val="20"/>
          <w:color w:val="auto"/>
        </w:rPr>
      </w:pPr>
      <w:r>
        <w:rPr>
          <w:rFonts w:ascii="Calibri" w:cs="Calibri" w:eastAsia="Calibri" w:hAnsi="Calibri"/>
          <w:sz w:val="20"/>
          <w:szCs w:val="20"/>
          <w:color w:val="auto"/>
        </w:rPr>
        <w:t>The efect of a Company-approved leave of absence on the terms and conditons of an Award shall be determined by the Plan Administrator, in its sole discreton.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18.4 Compliance with Law</w:t>
      </w:r>
    </w:p>
    <w:p>
      <w:pPr>
        <w:spacing w:after="0" w:line="152" w:lineRule="exact"/>
        <w:rPr>
          <w:sz w:val="20"/>
          <w:szCs w:val="20"/>
          <w:color w:val="auto"/>
        </w:rPr>
      </w:pPr>
    </w:p>
    <w:p>
      <w:pPr>
        <w:ind w:right="80"/>
        <w:spacing w:after="0" w:line="241" w:lineRule="auto"/>
        <w:rPr>
          <w:sz w:val="20"/>
          <w:szCs w:val="20"/>
          <w:color w:val="auto"/>
        </w:rPr>
      </w:pPr>
      <w:r>
        <w:rPr>
          <w:rFonts w:ascii="Calibri" w:cs="Calibri" w:eastAsia="Calibri" w:hAnsi="Calibri"/>
          <w:sz w:val="20"/>
          <w:szCs w:val="20"/>
          <w:color w:val="auto"/>
        </w:rPr>
        <w:t>Notwithstanding any other provision of the Plan, the Company shall have no obligaton to issue or deliver any shares of Common Stock under the Plan or make any other distributon of benefts under the Plan unless such issuance, delivery or distributon would comply with all applicable laws (including, without limitaton, the requirements of the Securites Act, exchange control law), and the applicable requirements of any securites exchange, similar entty or other governmental regulatory body, or prior to obtaining any approval or other clearance from any governmental authority, which compliance or approval the Company shall, in its absolute discreton, deem necessary or advisable; provided, however, that the Company shall have no any obligaton to register or qualify the Common Stock with, or to seek approval or clearance from any, governmental authority for the issuance, sale or delivery of Common Stock.</w:t>
      </w:r>
    </w:p>
    <w:p>
      <w:pPr>
        <w:spacing w:after="0" w:line="160" w:lineRule="exact"/>
        <w:rPr>
          <w:sz w:val="20"/>
          <w:szCs w:val="20"/>
          <w:color w:val="auto"/>
        </w:rPr>
      </w:pPr>
    </w:p>
    <w:p>
      <w:pPr>
        <w:ind w:right="20"/>
        <w:spacing w:after="0" w:line="242" w:lineRule="auto"/>
        <w:rPr>
          <w:sz w:val="20"/>
          <w:szCs w:val="20"/>
          <w:color w:val="auto"/>
        </w:rPr>
      </w:pPr>
      <w:r>
        <w:rPr>
          <w:rFonts w:ascii="Calibri" w:cs="Calibri" w:eastAsia="Calibri" w:hAnsi="Calibri"/>
          <w:sz w:val="20"/>
          <w:szCs w:val="20"/>
          <w:color w:val="auto"/>
        </w:rPr>
        <w:t>The Company shall be under no obligaton to any Partcipant to register for ofering or resale or to qualify for exempton under the Securites Act, or to register or qualify under state securites laws or any non-U.S. securites laws, any shares of Common Stock, security or interest in a security paid or issued under, or created by, the Plan, to contnue in efect any such registratons or qualifcatons if made, or to seek approval or clearance from any governmental authority for the issuance, sale or delivery of Common Stock. The Company may issue certfcates for shares with such legends and subject to such restrictons on transfer and stop-transfer instructons as counsel for the Company deems necessary or desirable for compliance by the Company with federal and state securites laws.</w:t>
      </w:r>
    </w:p>
    <w:p>
      <w:pPr>
        <w:spacing w:after="0" w:line="156" w:lineRule="exact"/>
        <w:rPr>
          <w:sz w:val="20"/>
          <w:szCs w:val="20"/>
          <w:color w:val="auto"/>
        </w:rPr>
      </w:pPr>
    </w:p>
    <w:p>
      <w:pPr>
        <w:ind w:right="180"/>
        <w:spacing w:after="0" w:line="236" w:lineRule="auto"/>
        <w:rPr>
          <w:sz w:val="20"/>
          <w:szCs w:val="20"/>
          <w:color w:val="auto"/>
        </w:rPr>
      </w:pPr>
      <w:r>
        <w:rPr>
          <w:rFonts w:ascii="Calibri" w:cs="Calibri" w:eastAsia="Calibri" w:hAnsi="Calibri"/>
          <w:sz w:val="20"/>
          <w:szCs w:val="20"/>
          <w:color w:val="auto"/>
        </w:rPr>
        <w:t>To the extent that the Plan or any instrument evidencing an Award provides for issuance of stock certfcates to refect the issuance of shares of Common Stock, the issuance may be efected on a noncertfcated basis, to the extent not prohibited by applicable law or the applicable rules of any stock exchange.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18.5 No Rights as a Shareholder</w:t>
      </w:r>
    </w:p>
    <w:p>
      <w:pPr>
        <w:spacing w:after="0" w:line="165"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No Opton, SAR, Stock Unit or Performance Unit shall enttle the Partcipant to any cash dividend, votng or other right of a shareholder unless and untl the date of issuance under the Plan of the shares that are the subject of such Award.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18.6 Interpretive Authority</w:t>
      </w:r>
    </w:p>
    <w:p>
      <w:pPr>
        <w:spacing w:after="0" w:line="152" w:lineRule="exact"/>
        <w:rPr>
          <w:sz w:val="20"/>
          <w:szCs w:val="20"/>
          <w:color w:val="auto"/>
        </w:rPr>
      </w:pPr>
    </w:p>
    <w:p>
      <w:pPr>
        <w:ind w:right="640"/>
        <w:spacing w:after="0" w:line="242" w:lineRule="auto"/>
        <w:rPr>
          <w:sz w:val="20"/>
          <w:szCs w:val="20"/>
          <w:color w:val="auto"/>
        </w:rPr>
      </w:pPr>
      <w:r>
        <w:rPr>
          <w:rFonts w:ascii="Calibri" w:cs="Calibri" w:eastAsia="Calibri" w:hAnsi="Calibri"/>
          <w:sz w:val="20"/>
          <w:szCs w:val="20"/>
          <w:color w:val="auto"/>
        </w:rPr>
        <w:t>Notwithstanding anything in the Plan to the contrary, the Plan Administrator, in its sole discreton, may bifurcate the Plan so as to restrict, limit or conditon the use of any provision of the Plan to Partcipants</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20" w:lineRule="exact"/>
        <w:rPr>
          <w:sz w:val="20"/>
          <w:szCs w:val="20"/>
          <w:color w:val="auto"/>
        </w:rPr>
      </w:pPr>
    </w:p>
    <w:p>
      <w:pPr>
        <w:ind w:right="140"/>
        <w:spacing w:after="0"/>
        <w:rPr>
          <w:sz w:val="20"/>
          <w:szCs w:val="20"/>
          <w:color w:val="auto"/>
        </w:rPr>
      </w:pPr>
      <w:r>
        <w:rPr>
          <w:rFonts w:ascii="Calibri" w:cs="Calibri" w:eastAsia="Calibri" w:hAnsi="Calibri"/>
          <w:sz w:val="20"/>
          <w:szCs w:val="20"/>
          <w:color w:val="auto"/>
        </w:rPr>
        <w:t>who are ofcers or directors subject to Secton 16 of the Exchange Act without so restrictng, limitng or conditoning the Plan with respect to other Partcipants. Additonally, in interpretng and applying the provisions of the Plan, any Opton granted as an Incentve Stock Opton pursuant to the Plan shall, to the extent permited by law, be construed as an “incentve stock opton” within the meaning of Secton 422 of the Code.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18.7 Participants in Foreign Countries</w:t>
      </w:r>
    </w:p>
    <w:p>
      <w:pPr>
        <w:spacing w:after="0" w:line="152"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To facilitate compliance with the laws in non-U.S. countries in which the Company and its Related Corporatons operate or have Partcipants and/or to take advantage of specifc tax treatment for Awards granted to Partcipants in such countries, the Plan Administrator shall have the power and authority to: (i) modify the terms and conditons of any Award; (ii) establish subplans and modify exercise procedures and other terms and procedures, to the extent such actons may be necessary or desirable, including adopton of rules, procedures or sub-plans applicable to partcular Related Corporatons or Partcipants residing in partcular locatons; provided, however, that no such subplans and/or modifcatons shall increase the share limitatons contained in Sectons 4 and 13(e) of the Plan; and (iii) take any acton, before or afer an Award is made, that it deems advisable to obtain approval or comply with any necessary local governmental regulatory exemptons or approvals. Notwithstanding the foregoing, the Plan Administrator may not take any actons hereunder, and no Awards shall be granted, that would violate the Exchange Act, the Code, any securites law or governing statute or any other law applicable to the Common Stock or the issuance of Common Stock under the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18.8 No Trust or Fund</w:t>
      </w:r>
    </w:p>
    <w:p>
      <w:pPr>
        <w:spacing w:after="0" w:line="152" w:lineRule="exact"/>
        <w:rPr>
          <w:sz w:val="20"/>
          <w:szCs w:val="20"/>
          <w:color w:val="auto"/>
        </w:rPr>
      </w:pPr>
    </w:p>
    <w:p>
      <w:pPr>
        <w:ind w:right="140"/>
        <w:spacing w:after="0"/>
        <w:rPr>
          <w:sz w:val="20"/>
          <w:szCs w:val="20"/>
          <w:color w:val="auto"/>
        </w:rPr>
      </w:pPr>
      <w:r>
        <w:rPr>
          <w:rFonts w:ascii="Calibri" w:cs="Calibri" w:eastAsia="Calibri" w:hAnsi="Calibri"/>
          <w:sz w:val="20"/>
          <w:szCs w:val="20"/>
          <w:color w:val="auto"/>
        </w:rPr>
        <w:t>The Plan is intended to consttute an “unfunded” plan. Nothing contained herein shall require the Company to segregate any monies or other property, or shares of Common Stock, or to create any trusts, or to make any special deposits for any immediate or deferred amounts payable to any Partcipant, and no Partcipant shall have any rights that are greater than those of a general unsecured creditor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18.9 Section 409A</w:t>
      </w:r>
    </w:p>
    <w:p>
      <w:pPr>
        <w:spacing w:after="0" w:line="152" w:lineRule="exact"/>
        <w:rPr>
          <w:sz w:val="20"/>
          <w:szCs w:val="20"/>
          <w:color w:val="auto"/>
        </w:rPr>
      </w:pPr>
    </w:p>
    <w:p>
      <w:pPr>
        <w:spacing w:after="0" w:line="243" w:lineRule="auto"/>
        <w:rPr>
          <w:sz w:val="20"/>
          <w:szCs w:val="20"/>
          <w:color w:val="auto"/>
        </w:rPr>
      </w:pPr>
      <w:r>
        <w:rPr>
          <w:rFonts w:ascii="Calibri" w:cs="Calibri" w:eastAsia="Calibri" w:hAnsi="Calibri"/>
          <w:sz w:val="20"/>
          <w:szCs w:val="20"/>
          <w:color w:val="auto"/>
        </w:rPr>
        <w:t>To the extent that the Plan Administrator determines that any Award granted under the Plan is subject to Secton 409A of the Code, the writen instrument evidencing such Award shall incorporate the terms and conditons required by Secton 409A of the Code. To the extent applicable, the Plan and any writen instrument evidencing any Award shall be interpreted in accordance with Secton 409A of the Code and U.S. Department of Treasury regulatons and other interpretve guidance issued thereunder, including without limitaton any such regulatons or other guidance that may be issued afer the Restatement Efectve Date. Notwithstanding any provision of the Plan to the contrary, in the event that following the Restatement Efectve Date the Plan Administrator determines that any Award may be subject to Secton 409A of the Code and related U.S. Department of Treasury guidance (including such U.S. Department of Treasury guidance as may be issued afer the Restatement Efectve Date), the Plan Administrator may, without consent of the Partcipant, adopt such amendments to the Plan and the applicable writen instrument evidencing the Award or adopt other policies and procedures (including amendments, policies and procedures with retroactve efect), or take any other actons, including amendments or actons that would result in a reducton to the benefts payable under an Award, in each case, without the consent of the Partcipant, that the Plan Administrator determines are necessary or appropriate to (a) exempt the Award from Secton 409A of the Code and/or preserve the intended tax treatment of the benefts provided with respect to the Award, or (b) comply with the requirements of Secton 409A of the Code and related U.S. Department of Treasury guidance and thereby avoid the applicaton of any</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20" w:lineRule="exact"/>
        <w:rPr>
          <w:sz w:val="20"/>
          <w:szCs w:val="20"/>
          <w:color w:val="auto"/>
        </w:rPr>
      </w:pPr>
    </w:p>
    <w:p>
      <w:pPr>
        <w:ind w:right="200"/>
        <w:spacing w:after="0" w:line="239" w:lineRule="auto"/>
        <w:rPr>
          <w:sz w:val="20"/>
          <w:szCs w:val="20"/>
          <w:color w:val="auto"/>
        </w:rPr>
      </w:pPr>
      <w:r>
        <w:rPr>
          <w:rFonts w:ascii="Calibri" w:cs="Calibri" w:eastAsia="Calibri" w:hAnsi="Calibri"/>
          <w:sz w:val="20"/>
          <w:szCs w:val="20"/>
          <w:color w:val="auto"/>
        </w:rPr>
        <w:t>penalty taxes under such Secton or mitgate any additonal tax, interest, and/or penaltes or other adverse tax consequences that may apply under Secton 409A of the Code if compliance is not practcal. Notwithstanding the foregoing, the Company makes no representaton or covenant to ensure that the Awards and the payment are exempt from or compliant with Secton 409A of the Code and will have no liability to the Partcipants or any other party if the Awards or payment of the Awards that are intended to be exempt from, or compliant with, Secton 409A of the Code, are not so exempt or compliant or for any acton taken by the Plan Administrator with respect thereto.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18.10 Severability</w:t>
      </w:r>
    </w:p>
    <w:p>
      <w:pPr>
        <w:spacing w:after="0" w:line="165" w:lineRule="exact"/>
        <w:rPr>
          <w:sz w:val="20"/>
          <w:szCs w:val="20"/>
          <w:color w:val="auto"/>
        </w:rPr>
      </w:pPr>
    </w:p>
    <w:p>
      <w:pPr>
        <w:ind w:right="20"/>
        <w:spacing w:after="0" w:line="239" w:lineRule="auto"/>
        <w:rPr>
          <w:sz w:val="20"/>
          <w:szCs w:val="20"/>
          <w:color w:val="auto"/>
        </w:rPr>
      </w:pPr>
      <w:r>
        <w:rPr>
          <w:rFonts w:ascii="Calibri" w:cs="Calibri" w:eastAsia="Calibri" w:hAnsi="Calibri"/>
          <w:sz w:val="20"/>
          <w:szCs w:val="20"/>
          <w:color w:val="auto"/>
        </w:rPr>
        <w:t>If any provision of the Plan or any Award is determined to be invalid, illegal or unenforceable in any jurisdicton, or as to any person, or would disqualify the Plan or any Award under any law deemed applicable by the Plan Administrator, such provision shall be construed or deemed amended to conform to applicable laws, or, if it cannot be so construed or deemed amended without, in the Plan Administrator’s determinaton, materially altering the intent of the Plan or the Award, such provision shall be stricken as to such jurisdicton, person or Award, and the remainder of the Plan and any such Award shall remain in full force and efect.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18.11 Choice of Law</w:t>
      </w:r>
    </w:p>
    <w:p>
      <w:pPr>
        <w:spacing w:after="0" w:line="152" w:lineRule="exact"/>
        <w:rPr>
          <w:sz w:val="20"/>
          <w:szCs w:val="20"/>
          <w:color w:val="auto"/>
        </w:rPr>
      </w:pPr>
    </w:p>
    <w:p>
      <w:pPr>
        <w:ind w:right="560"/>
        <w:spacing w:after="0" w:line="242" w:lineRule="auto"/>
        <w:rPr>
          <w:sz w:val="20"/>
          <w:szCs w:val="20"/>
          <w:color w:val="auto"/>
        </w:rPr>
      </w:pPr>
      <w:r>
        <w:rPr>
          <w:rFonts w:ascii="Calibri" w:cs="Calibri" w:eastAsia="Calibri" w:hAnsi="Calibri"/>
          <w:sz w:val="20"/>
          <w:szCs w:val="20"/>
          <w:color w:val="auto"/>
        </w:rPr>
        <w:t>The Plan and all determinatons made and actons taken pursuant hereto, to the extent not otherwise governed by the laws of the United States, shall be governed by the laws of the State of Washington without giving efect to confict of laws principles.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CLAWBACK/RECOVERY</w:t>
      </w:r>
    </w:p>
    <w:p>
      <w:pPr>
        <w:spacing w:after="0" w:line="152" w:lineRule="exact"/>
        <w:rPr>
          <w:sz w:val="20"/>
          <w:szCs w:val="20"/>
          <w:color w:val="auto"/>
        </w:rPr>
      </w:pPr>
    </w:p>
    <w:p>
      <w:pPr>
        <w:spacing w:after="0" w:line="242" w:lineRule="auto"/>
        <w:rPr>
          <w:sz w:val="20"/>
          <w:szCs w:val="20"/>
          <w:color w:val="auto"/>
        </w:rPr>
      </w:pPr>
      <w:r>
        <w:rPr>
          <w:rFonts w:ascii="Calibri" w:cs="Calibri" w:eastAsia="Calibri" w:hAnsi="Calibri"/>
          <w:sz w:val="20"/>
          <w:szCs w:val="20"/>
          <w:color w:val="auto"/>
        </w:rPr>
        <w:t>All Awards granted under the Plan will be subject to recoupment in accordance with any clawback policy that the Company is required to adopt pursuant to the listng standards of any natonal securites exchange or associaton on which the Company’s securites are listed or as is otherwise required by the Dodd-Frank Wall Street Reform and Consumer Protecton Act or other applicable law. In additon, the Plan Administrator may impose such other clawback, recovery or recoupment provisions on an Award as the Plan Administrator determines necessary or appropriate, including, but not limited to, a reacquisiton right in respect of previously acquired shares of Common Stock or other cash or property upon the occurrence of cause (as determined by the Plan Administrator).</w:t>
      </w:r>
    </w:p>
    <w:p>
      <w:pPr>
        <w:sectPr>
          <w:pgSz w:w="11900" w:h="16838" w:orient="portrait"/>
          <w:cols w:equalWidth="0" w:num="1">
            <w:col w:w="11220"/>
          </w:cols>
          <w:pgMar w:left="320" w:top="1440" w:right="35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2540</wp:posOffset>
            </wp:positionV>
            <wp:extent cx="6849110" cy="2708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684911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EE2724"/>
        </w:rPr>
        <w:t>Overview</w:t>
      </w:r>
    </w:p>
    <w:p>
      <w:pPr>
        <w:spacing w:after="0" w:line="3"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The Itron Incentive Plan (“IIP”, or “Plan”) provides a cash award to eligible participants based on attainment of financial &amp; quantitative strategic goals metrics and an assessment of individual performance. The period of January 1st through December</w:t>
      </w:r>
    </w:p>
    <w:p>
      <w:pPr>
        <w:spacing w:after="0" w:line="1"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31st (“Performance Period”) is used to establish metrics and measure results. The Financial &amp; Quantitative Strategic Goals metrics are collectively referred to in the IIP document as (“Performance Metrics”).</w:t>
      </w:r>
    </w:p>
    <w:p>
      <w:pPr>
        <w:spacing w:after="0" w:line="17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 Performance metrics are established to measure the degree of business achievement during the Performance Period. The Company Performance metrics are set forth in Exhibit A (“2023 Itron Performance Metrics”) attached hereto and incorporated</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herein by this reference. Following the completion of the Performance Period, actual performance relative to the Performance metrics will be assessed. Each participant’s individual performance will also be assessed and used to adjust their individual</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award payout through the application of an Individual Performance Factor (“IPF”). Payouts (the “IIP Award”), if any, will be determined in accordance with the award formula as defined in Exhibit A.</w:t>
      </w:r>
    </w:p>
    <w:p>
      <w:pPr>
        <w:spacing w:after="0" w:line="17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To the maximum extent permitted by the applicable law, the Plan shall apply on a global scale to all subsidiaries of Itron, Inc. worldwide. If any of the provisions of the IIP contravenes a mandatory law in a particular country, such mandatory law shall apply in that country.</w:t>
      </w: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EE2724"/>
        </w:rPr>
        <w:t>Eligibility</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Participation in the plan is reviewed annually and is based on the position that the employee holds at that time. Final eligibility is determined by the SVP of Human Resources.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Except as set forth below, each IIP Participant must be an Eligible Employee as of the first day of the Performance Period and</w:t>
      </w:r>
    </w:p>
    <w:p>
      <w:pPr>
        <w:jc w:val="both"/>
        <w:spacing w:after="0" w:line="204" w:lineRule="auto"/>
        <w:rPr>
          <w:sz w:val="20"/>
          <w:szCs w:val="20"/>
          <w:color w:val="auto"/>
        </w:rPr>
      </w:pPr>
      <w:r>
        <w:rPr>
          <w:rFonts w:ascii="Arial" w:cs="Arial" w:eastAsia="Arial" w:hAnsi="Arial"/>
          <w:sz w:val="20"/>
          <w:szCs w:val="20"/>
          <w:color w:val="auto"/>
        </w:rPr>
        <w:t>be actively employed by Itron during the Performance Period and on the date IIP awards, if any, are paid. IIP Participants who do not actively work during the entire Performance Period will receive a reduced payout which will be pro-rated for the absence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period, unless any such deductions are prohibited by applicable law or stated otherwise in this Plan.</w:t>
      </w:r>
    </w:p>
    <w:p>
      <w:pPr>
        <w:spacing w:after="0" w:line="198" w:lineRule="exact"/>
        <w:rPr>
          <w:sz w:val="20"/>
          <w:szCs w:val="20"/>
          <w:color w:val="auto"/>
        </w:rPr>
      </w:pPr>
    </w:p>
    <w:p>
      <w:pPr>
        <w:jc w:val="both"/>
        <w:ind w:right="20"/>
        <w:spacing w:after="0" w:line="213" w:lineRule="auto"/>
        <w:rPr>
          <w:sz w:val="20"/>
          <w:szCs w:val="20"/>
          <w:color w:val="auto"/>
        </w:rPr>
      </w:pPr>
      <w:r>
        <w:rPr>
          <w:rFonts w:ascii="Arial" w:cs="Arial" w:eastAsia="Arial" w:hAnsi="Arial"/>
          <w:sz w:val="20"/>
          <w:szCs w:val="20"/>
          <w:color w:val="auto"/>
        </w:rPr>
        <w:t>Any employee who becomes an Eligible Employee as a result of a new hire (including as the result of an acquisition or merger) after the first day of a Performance Period may become eligible to participate in the Plan and receive an IIP Award. The award</w:t>
      </w:r>
    </w:p>
    <w:p>
      <w:pPr>
        <w:spacing w:after="0" w:line="212" w:lineRule="auto"/>
        <w:rPr>
          <w:sz w:val="20"/>
          <w:szCs w:val="20"/>
          <w:color w:val="auto"/>
        </w:rPr>
      </w:pPr>
      <w:r>
        <w:rPr>
          <w:rFonts w:ascii="Arial" w:cs="Arial" w:eastAsia="Arial" w:hAnsi="Arial"/>
          <w:sz w:val="20"/>
          <w:szCs w:val="20"/>
          <w:color w:val="auto"/>
        </w:rPr>
        <w:t>will be pro-rated based on the number of calendar days that the employee qualified as an Eligible Employee during the</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Performance Period. Similarly, if during a Performance Period an Eligible Employee is transferred to another role for which different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 of 7</w:t>
      </w:r>
    </w:p>
    <w:p>
      <w:pPr>
        <w:spacing w:after="0"/>
        <w:rPr>
          <w:sz w:val="20"/>
          <w:szCs w:val="20"/>
          <w:color w:val="auto"/>
        </w:rPr>
      </w:pPr>
      <w:r>
        <w:rPr>
          <w:rFonts w:ascii="Arial" w:cs="Arial" w:eastAsia="Arial" w:hAnsi="Arial"/>
          <w:sz w:val="18"/>
          <w:szCs w:val="18"/>
          <w:b w:val="1"/>
          <w:bCs w:val="1"/>
          <w:color w:val="FF0000"/>
        </w:rPr>
        <w:t>CONFIDENTIAL</w:t>
      </w:r>
    </w:p>
    <w:p>
      <w:pPr>
        <w:sectPr>
          <w:pgSz w:w="11900" w:h="16838" w:orient="portrait"/>
          <w:cols w:equalWidth="0" w:num="1">
            <w:col w:w="11240"/>
          </w:cols>
          <w:pgMar w:left="320" w:top="104" w:right="33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b w:val="1"/>
          <w:bCs w:val="1"/>
          <w:color w:val="auto"/>
        </w:rPr>
        <w:t>2023 ITRON INCENTIVE PLAN (IIP)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measures apply, his/her IIP Award, if any, will be calculated by taking into account the performance measures for each role. The time will be pro-rated based on the actual time that the Eligible Employee spent in each role during the Performance Period.</w:t>
      </w:r>
    </w:p>
    <w:p>
      <w:pPr>
        <w:spacing w:after="0" w:line="14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Any employee who becomes an Eligible Employee because of a promotion after the first day of a Performance Period may become eligible to participate in the Plan and receive an IIP Award. The entire Performance Period shall be used as the basis for any payment under the Plan.</w:t>
      </w:r>
    </w:p>
    <w:p>
      <w:pPr>
        <w:spacing w:after="0" w:line="17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Participants must be in an IIP eligible position on or before October 1st of the Performance Period in order to be eligible for payment under the Plan. Final approval of IIP Participants and IIP award payments are approved by the Senior Vice President Human Resources and/or President &amp; CEO as delegated by the Compensation Committee of the Itron Board of Directors.</w:t>
      </w: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EE2724"/>
        </w:rPr>
        <w:t>Award Opportunities</w:t>
      </w:r>
    </w:p>
    <w:p>
      <w:pPr>
        <w:spacing w:after="0" w:line="214" w:lineRule="auto"/>
        <w:rPr>
          <w:sz w:val="20"/>
          <w:szCs w:val="20"/>
          <w:color w:val="auto"/>
        </w:rPr>
      </w:pPr>
      <w:r>
        <w:rPr>
          <w:rFonts w:ascii="Arial" w:cs="Arial" w:eastAsia="Arial" w:hAnsi="Arial"/>
          <w:sz w:val="20"/>
          <w:szCs w:val="20"/>
          <w:color w:val="auto"/>
        </w:rPr>
        <w:t>Each IIP Participant shall have the opportunity to earn his/her IIP award based upon the achievement of predetermined</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Performance metrics, which are comprised of Performance Objectives and an assessment of a participant’s individual performance. The Performance Period has a Financial Threshold Goal (“Threshold”), as defined in Exhibit A, which must be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achieved for the financial goals to be earned and paid.</w:t>
      </w:r>
    </w:p>
    <w:p>
      <w:pPr>
        <w:spacing w:after="0" w:line="198"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If the overall EBITDA threshold as defined in Exhibit A is met for the period January 1st through December 31st Performance Period, the financial objectives of the IIP Award will be considered for payment. The Performance metrics are set forth in Exhibit</w:t>
      </w:r>
    </w:p>
    <w:p>
      <w:pPr>
        <w:spacing w:after="0" w:line="2"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 xml:space="preserve">A (“2023 Itron Performance Metrics”). The definition of each metric and its measurement is provided in the Definitions section of this Plan which is attached hereto as Exhibit B (the “Definitions”) and are incorporated herein by this reference. </w:t>
      </w:r>
      <w:r>
        <w:rPr>
          <w:rFonts w:ascii="Arial" w:cs="Arial" w:eastAsia="Arial" w:hAnsi="Arial"/>
          <w:sz w:val="19"/>
          <w:szCs w:val="19"/>
          <w:b w:val="1"/>
          <w:bCs w:val="1"/>
          <w:i w:val="1"/>
          <w:iCs w:val="1"/>
          <w:color w:val="auto"/>
        </w:rPr>
        <w:t>No Financial</w:t>
      </w:r>
    </w:p>
    <w:p>
      <w:pPr>
        <w:spacing w:after="0" w:line="211" w:lineRule="auto"/>
        <w:rPr>
          <w:sz w:val="20"/>
          <w:szCs w:val="20"/>
          <w:color w:val="auto"/>
        </w:rPr>
      </w:pPr>
      <w:r>
        <w:rPr>
          <w:rFonts w:ascii="Arial" w:cs="Arial" w:eastAsia="Arial" w:hAnsi="Arial"/>
          <w:sz w:val="20"/>
          <w:szCs w:val="20"/>
          <w:b w:val="1"/>
          <w:bCs w:val="1"/>
          <w:i w:val="1"/>
          <w:iCs w:val="1"/>
          <w:color w:val="auto"/>
        </w:rPr>
        <w:t>Objective Awards will be earned for the Financial Performance metrics of the Plan if the EBITDA Threshold, as defined</w:t>
      </w:r>
    </w:p>
    <w:p>
      <w:pPr>
        <w:jc w:val="both"/>
        <w:spacing w:after="0" w:line="225" w:lineRule="auto"/>
        <w:rPr>
          <w:sz w:val="20"/>
          <w:szCs w:val="20"/>
          <w:color w:val="auto"/>
        </w:rPr>
      </w:pPr>
      <w:r>
        <w:rPr>
          <w:rFonts w:ascii="Arial" w:cs="Arial" w:eastAsia="Arial" w:hAnsi="Arial"/>
          <w:sz w:val="20"/>
          <w:szCs w:val="20"/>
          <w:b w:val="1"/>
          <w:bCs w:val="1"/>
          <w:i w:val="1"/>
          <w:iCs w:val="1"/>
          <w:color w:val="auto"/>
        </w:rPr>
        <w:t xml:space="preserve">in Exhibit A, is not achieved. </w:t>
      </w:r>
      <w:r>
        <w:rPr>
          <w:rFonts w:ascii="Arial" w:cs="Arial" w:eastAsia="Arial" w:hAnsi="Arial"/>
          <w:sz w:val="20"/>
          <w:szCs w:val="20"/>
          <w:color w:val="auto"/>
        </w:rPr>
        <w:t>Quantitative Strategic Goals are not subject to the EBITDA threshold. Maximum payout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percentages for each element of the 2023 Itron Performance metrics of the IIP are also set forth in Exhibit A.</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The Plan also includes an Individual Performance Factor (“IPF”) that is applied based on the participant’s annual performance</w:t>
      </w:r>
    </w:p>
    <w:p>
      <w:pPr>
        <w:jc w:val="both"/>
        <w:spacing w:after="0" w:line="204" w:lineRule="auto"/>
        <w:rPr>
          <w:sz w:val="20"/>
          <w:szCs w:val="20"/>
          <w:color w:val="auto"/>
        </w:rPr>
      </w:pPr>
      <w:r>
        <w:rPr>
          <w:rFonts w:ascii="Arial" w:cs="Arial" w:eastAsia="Arial" w:hAnsi="Arial"/>
          <w:sz w:val="20"/>
          <w:szCs w:val="20"/>
          <w:color w:val="auto"/>
        </w:rPr>
        <w:t>as defined in Exhibit A. The Participant’s manager will assess the Participant’s individual performance and an IPF will be assigned reflecting the manager’s assessment by applying a multiplier (range of 0.0 – 1.5) against the calculated payout. The</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calculated payout is determined based on how the plan has performed and applied to an individual’s target award. The IPF is then applied after the calculated payout is established.</w:t>
      </w:r>
    </w:p>
    <w:p>
      <w:pPr>
        <w:spacing w:after="0" w:line="17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Each IIP Participant shall be assigned a percentage of his or her base salary (“Target Percentage”) commensurate with their position’s organizational level that will be used in calculating the amount of his or her IIP Target Award, if any. The IIP Participant’s base salary and Target Percentage as of December 31st, 2023, will be used for purposes of the IIP calculation.</w:t>
      </w:r>
    </w:p>
    <w:p>
      <w:pPr>
        <w:spacing w:after="0" w:line="173"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Adjustments to Performance Objectives: To the extent applicable, the Compensation Committee or Designee may adjust the Company financial results achieved during the Performance Period for the purposes of determining the attainment of</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Performance Objectives. Such adjustments may include or exclude, without limitation, one or more of the following: foreign exchange rates, items that are extraordinary or unusual in nature or infrequent in occurrence, including one-time or non-</w:t>
      </w:r>
    </w:p>
    <w:p>
      <w:pPr>
        <w:spacing w:after="0" w:line="1"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recurring items; items related to a change in accounting principles under GAAP; items related to changes in law or regulatory requirements; items related to financing activities; expenses for restructuring or productivity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 of 7</w:t>
      </w:r>
    </w:p>
    <w:p>
      <w:pPr>
        <w:spacing w:after="0"/>
        <w:rPr>
          <w:sz w:val="20"/>
          <w:szCs w:val="20"/>
          <w:color w:val="auto"/>
        </w:rPr>
      </w:pPr>
      <w:r>
        <w:rPr>
          <w:rFonts w:ascii="Arial" w:cs="Arial" w:eastAsia="Arial" w:hAnsi="Arial"/>
          <w:sz w:val="18"/>
          <w:szCs w:val="18"/>
          <w:b w:val="1"/>
          <w:bCs w:val="1"/>
          <w:color w:val="FF0000"/>
        </w:rPr>
        <w:t>CONFIDENTIAL</w:t>
      </w:r>
    </w:p>
    <w:p>
      <w:pPr>
        <w:sectPr>
          <w:pgSz w:w="11900" w:h="16838" w:orient="portrait"/>
          <w:cols w:equalWidth="0" w:num="1">
            <w:col w:w="11240"/>
          </w:cols>
          <w:pgMar w:left="320" w:top="345" w:right="33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b w:val="1"/>
          <w:bCs w:val="1"/>
          <w:color w:val="auto"/>
        </w:rPr>
        <w:t>2023 ITRON INCENTIVE PLAN (IIP)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initiatives; other non-operating items; items related to acquisitions, including transaction-related charges and amortization; items</w:t>
      </w:r>
    </w:p>
    <w:p>
      <w:pPr>
        <w:spacing w:after="0" w:line="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attributable to the business operations of any entity acquired by the Company during the Performance Period; items related to the disposal of a business or segment of a business; items related to discontinued operations that do not qualify as a segment of</w:t>
      </w:r>
    </w:p>
    <w:p>
      <w:pPr>
        <w:spacing w:after="0" w:line="211" w:lineRule="auto"/>
        <w:rPr>
          <w:sz w:val="20"/>
          <w:szCs w:val="20"/>
          <w:color w:val="auto"/>
        </w:rPr>
      </w:pPr>
      <w:r>
        <w:rPr>
          <w:rFonts w:ascii="Arial" w:cs="Arial" w:eastAsia="Arial" w:hAnsi="Arial"/>
          <w:sz w:val="20"/>
          <w:szCs w:val="20"/>
          <w:color w:val="auto"/>
        </w:rPr>
        <w:t>a business under GAAP; expenses related to natural disasters, pandemics, and other disasters; litigation related expenses;</w:t>
      </w:r>
    </w:p>
    <w:p>
      <w:pPr>
        <w:spacing w:after="0" w:line="225" w:lineRule="auto"/>
        <w:rPr>
          <w:sz w:val="20"/>
          <w:szCs w:val="20"/>
          <w:color w:val="auto"/>
        </w:rPr>
      </w:pPr>
      <w:r>
        <w:rPr>
          <w:rFonts w:ascii="Arial" w:cs="Arial" w:eastAsia="Arial" w:hAnsi="Arial"/>
          <w:sz w:val="20"/>
          <w:szCs w:val="20"/>
          <w:color w:val="auto"/>
        </w:rPr>
        <w:t>taxes; stock-based compensation; non-cash items; and any other items of significant income or expense which are determined to be appropriate adjustments.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Payouts</w:t>
      </w:r>
    </w:p>
    <w:p>
      <w:pPr>
        <w:spacing w:after="0" w:line="214" w:lineRule="auto"/>
        <w:rPr>
          <w:sz w:val="20"/>
          <w:szCs w:val="20"/>
          <w:color w:val="auto"/>
        </w:rPr>
      </w:pPr>
      <w:r>
        <w:rPr>
          <w:rFonts w:ascii="Arial" w:cs="Arial" w:eastAsia="Arial" w:hAnsi="Arial"/>
          <w:sz w:val="20"/>
          <w:szCs w:val="20"/>
          <w:color w:val="auto"/>
        </w:rPr>
        <w:t>If awarded, IIP payments will be communicated and paid to U.S. IIP Participants within a reasonable period after the end of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Performance Period and in any event on or before March 15th following the end of the Performance Period. For non-U.S. IIP participants, the IIP will be paid before the end of the first quarter or the first pay period in the second quarter based on payroll</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processing requirements. Any corrections or revisions to an IIP Participant’s IIP Award must be requested by the IIP Participant or his/her manager before May 1st of the year in which the IIP Award is paid.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Tax Consequences</w:t>
      </w:r>
    </w:p>
    <w:p>
      <w:pPr>
        <w:spacing w:after="0" w:line="214" w:lineRule="auto"/>
        <w:rPr>
          <w:sz w:val="20"/>
          <w:szCs w:val="20"/>
          <w:color w:val="auto"/>
        </w:rPr>
      </w:pPr>
      <w:r>
        <w:rPr>
          <w:rFonts w:ascii="Arial" w:cs="Arial" w:eastAsia="Arial" w:hAnsi="Arial"/>
          <w:sz w:val="20"/>
          <w:szCs w:val="20"/>
          <w:color w:val="auto"/>
        </w:rPr>
        <w:t>The Company shall have the right to deduct applicable taxes from any IIP Award and withhold, at the time of delivery of the IIP</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Award, if any, under the IIP, an appropriate amount for payment of taxes required by applicable law or to take such other action as may be necessary or advisable in the opinion of the Company to satisfy all tax withholding obligations of the IIP Participants.</w:t>
      </w:r>
    </w:p>
    <w:p>
      <w:pPr>
        <w:spacing w:after="0" w:line="199" w:lineRule="exact"/>
        <w:rPr>
          <w:sz w:val="20"/>
          <w:szCs w:val="20"/>
          <w:color w:val="auto"/>
        </w:rPr>
      </w:pPr>
    </w:p>
    <w:p>
      <w:pPr>
        <w:spacing w:after="0" w:line="224" w:lineRule="auto"/>
        <w:rPr>
          <w:sz w:val="20"/>
          <w:szCs w:val="20"/>
          <w:color w:val="auto"/>
        </w:rPr>
      </w:pPr>
      <w:r>
        <w:rPr>
          <w:rFonts w:ascii="Arial" w:cs="Arial" w:eastAsia="Arial" w:hAnsi="Arial"/>
          <w:sz w:val="19"/>
          <w:szCs w:val="19"/>
          <w:color w:val="auto"/>
        </w:rPr>
        <w:t>Section 409A. The IIP is intended to satisfy the short-term deferral exception to the application of Internal Revenue Code Section 409A (26 U.S. Code § 409A). To the extent any provision of the IIP becomes subject to Internal Revenue Code Section</w:t>
      </w:r>
    </w:p>
    <w:p>
      <w:pPr>
        <w:spacing w:after="0" w:line="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409A and the applicable regulations and guidance issued thereunder, it shall be construed, and payments made hereunder, as the Compensation Committee or Designee deems necessary to comply with Internal Revenue Code Section 409A.</w:t>
      </w:r>
    </w:p>
    <w:p>
      <w:pPr>
        <w:spacing w:after="0" w:line="399"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Changes in Employment / Earning of Award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Employment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Death, Disability &amp; Retirement</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IIP Participants whose employment relationship with Itron terminates because of death, disability, or retirement will be eligible to</w:t>
      </w:r>
    </w:p>
    <w:p>
      <w:pPr>
        <w:spacing w:after="0" w:line="2"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earn a prorated IIP Award based on the actual IIP Award payouts. In such case, the IIP Award, if any, will be paid at the time when other IIP Participants receive their respective IIP Awards, if any. For the purposes of the IIP, “retirement” in the United</w:t>
      </w:r>
    </w:p>
    <w:p>
      <w:pPr>
        <w:spacing w:after="0" w:line="211" w:lineRule="auto"/>
        <w:rPr>
          <w:sz w:val="20"/>
          <w:szCs w:val="20"/>
          <w:color w:val="auto"/>
        </w:rPr>
      </w:pPr>
      <w:r>
        <w:rPr>
          <w:rFonts w:ascii="Arial" w:cs="Arial" w:eastAsia="Arial" w:hAnsi="Arial"/>
          <w:sz w:val="20"/>
          <w:szCs w:val="20"/>
          <w:color w:val="auto"/>
        </w:rPr>
        <w:t>States shall mean the earlier of the age 65 or the age 55 with at least 10 years of service with Itron. “Retirement” in other</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jurisdictions/locations shall be determined in accordance with the applicable provisions of the law in the country of employment of the IIP Participant. For those IIP Participants whose employment terminates as a result of death, the IIP Award, if any, will be</w:t>
      </w:r>
    </w:p>
    <w:p>
      <w:pPr>
        <w:spacing w:after="0"/>
        <w:rPr>
          <w:sz w:val="20"/>
          <w:szCs w:val="20"/>
          <w:color w:val="auto"/>
        </w:rPr>
      </w:pPr>
      <w:r>
        <w:rPr>
          <w:rFonts w:ascii="Arial" w:cs="Arial" w:eastAsia="Arial" w:hAnsi="Arial"/>
          <w:sz w:val="20"/>
          <w:szCs w:val="20"/>
          <w:color w:val="auto"/>
        </w:rPr>
        <w:t>issued to the employee’s estate, unless required otherwise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 of 7</w:t>
      </w:r>
    </w:p>
    <w:p>
      <w:pPr>
        <w:spacing w:after="0"/>
        <w:rPr>
          <w:sz w:val="20"/>
          <w:szCs w:val="20"/>
          <w:color w:val="auto"/>
        </w:rPr>
      </w:pPr>
      <w:r>
        <w:rPr>
          <w:rFonts w:ascii="Arial" w:cs="Arial" w:eastAsia="Arial" w:hAnsi="Arial"/>
          <w:sz w:val="18"/>
          <w:szCs w:val="18"/>
          <w:b w:val="1"/>
          <w:bCs w:val="1"/>
          <w:color w:val="FF0000"/>
        </w:rPr>
        <w:t>CONFIDENTIAL</w:t>
      </w:r>
    </w:p>
    <w:p>
      <w:pPr>
        <w:sectPr>
          <w:pgSz w:w="11900" w:h="16838" w:orient="portrait"/>
          <w:cols w:equalWidth="0" w:num="1">
            <w:col w:w="11240"/>
          </w:cols>
          <w:pgMar w:left="320" w:top="345" w:right="339" w:bottom="1440" w:gutter="0" w:footer="0" w:header="0"/>
        </w:sectPr>
      </w:pPr>
    </w:p>
    <w:bookmarkStart w:id="145" w:name="page146"/>
    <w:bookmarkEnd w:id="145"/>
    <w:p>
      <w:pPr>
        <w:spacing w:after="0"/>
        <w:rPr>
          <w:sz w:val="20"/>
          <w:szCs w:val="20"/>
          <w:color w:val="auto"/>
        </w:rPr>
      </w:pPr>
      <w:r>
        <w:rPr>
          <w:rFonts w:ascii="Arial" w:cs="Arial" w:eastAsia="Arial" w:hAnsi="Arial"/>
          <w:sz w:val="20"/>
          <w:szCs w:val="20"/>
          <w:b w:val="1"/>
          <w:bCs w:val="1"/>
          <w:color w:val="auto"/>
        </w:rPr>
        <w:t>2023 ITRON INCENTIVE PLAN (IIP)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Reductions in Force</w:t>
      </w:r>
    </w:p>
    <w:p>
      <w:pPr>
        <w:spacing w:after="0" w:line="256" w:lineRule="exact"/>
        <w:rPr>
          <w:sz w:val="20"/>
          <w:szCs w:val="20"/>
          <w:color w:val="auto"/>
        </w:rPr>
      </w:pPr>
    </w:p>
    <w:p>
      <w:pPr>
        <w:ind w:left="740"/>
        <w:spacing w:after="0" w:line="214" w:lineRule="auto"/>
        <w:rPr>
          <w:sz w:val="20"/>
          <w:szCs w:val="20"/>
          <w:color w:val="auto"/>
        </w:rPr>
      </w:pPr>
      <w:r>
        <w:rPr>
          <w:rFonts w:ascii="Arial" w:cs="Arial" w:eastAsia="Arial" w:hAnsi="Arial"/>
          <w:sz w:val="20"/>
          <w:szCs w:val="20"/>
          <w:b w:val="1"/>
          <w:bCs w:val="1"/>
          <w:color w:val="auto"/>
        </w:rPr>
        <w:t xml:space="preserve">After the Completion of the Performance Period: </w:t>
      </w:r>
      <w:r>
        <w:rPr>
          <w:rFonts w:ascii="Arial" w:cs="Arial" w:eastAsia="Arial" w:hAnsi="Arial"/>
          <w:sz w:val="20"/>
          <w:szCs w:val="20"/>
          <w:color w:val="auto"/>
        </w:rPr>
        <w:t>Unless otherwise required by mandatory provisions of local law, in</w:t>
      </w:r>
      <w:r>
        <w:rPr>
          <w:rFonts w:ascii="Arial" w:cs="Arial" w:eastAsia="Arial" w:hAnsi="Arial"/>
          <w:sz w:val="20"/>
          <w:szCs w:val="20"/>
          <w:b w:val="1"/>
          <w:bCs w:val="1"/>
          <w:color w:val="auto"/>
        </w:rPr>
        <w:t xml:space="preserve"> </w:t>
      </w:r>
      <w:r>
        <w:rPr>
          <w:rFonts w:ascii="Arial" w:cs="Arial" w:eastAsia="Arial" w:hAnsi="Arial"/>
          <w:sz w:val="20"/>
          <w:szCs w:val="20"/>
          <w:color w:val="auto"/>
        </w:rPr>
        <w:t>the event an IIP Participant’s employment with Itron terminates due to a reduction in force after the completion of the</w:t>
      </w:r>
    </w:p>
    <w:p>
      <w:pPr>
        <w:ind w:left="740"/>
        <w:spacing w:after="0" w:line="212" w:lineRule="auto"/>
        <w:rPr>
          <w:sz w:val="20"/>
          <w:szCs w:val="20"/>
          <w:color w:val="auto"/>
        </w:rPr>
      </w:pPr>
      <w:r>
        <w:rPr>
          <w:rFonts w:ascii="Arial" w:cs="Arial" w:eastAsia="Arial" w:hAnsi="Arial"/>
          <w:sz w:val="20"/>
          <w:szCs w:val="20"/>
          <w:color w:val="auto"/>
        </w:rPr>
        <w:t>Performance Period but prior to the payout of the IIP Award, the IIP Participant will be entitled to receive the IIP Award,</w:t>
      </w:r>
    </w:p>
    <w:p>
      <w:pPr>
        <w:spacing w:after="0" w:line="1" w:lineRule="exact"/>
        <w:rPr>
          <w:sz w:val="20"/>
          <w:szCs w:val="20"/>
          <w:color w:val="auto"/>
        </w:rPr>
      </w:pPr>
    </w:p>
    <w:p>
      <w:pPr>
        <w:ind w:left="740" w:right="20"/>
        <w:spacing w:after="0" w:line="225" w:lineRule="auto"/>
        <w:rPr>
          <w:sz w:val="20"/>
          <w:szCs w:val="20"/>
          <w:color w:val="auto"/>
        </w:rPr>
      </w:pPr>
      <w:r>
        <w:rPr>
          <w:rFonts w:ascii="Arial" w:cs="Arial" w:eastAsia="Arial" w:hAnsi="Arial"/>
          <w:sz w:val="20"/>
          <w:szCs w:val="20"/>
          <w:color w:val="auto"/>
        </w:rPr>
        <w:t>if and when any such IIP Award is earned and payable in accordance with the terms of this Plan. The IIP Award, if any, will be paid at the time when other IIP Participants receive their respective IIP Awards.</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 xml:space="preserve">Prior to the Completion of the Performance Period: </w:t>
      </w:r>
      <w:r>
        <w:rPr>
          <w:rFonts w:ascii="Arial" w:cs="Arial" w:eastAsia="Arial" w:hAnsi="Arial"/>
          <w:sz w:val="19"/>
          <w:szCs w:val="19"/>
          <w:color w:val="auto"/>
        </w:rPr>
        <w:t>Unless otherwise required by mandatory provisions of local law,</w:t>
      </w:r>
    </w:p>
    <w:p>
      <w:pPr>
        <w:spacing w:after="0" w:line="4" w:lineRule="exact"/>
        <w:rPr>
          <w:sz w:val="20"/>
          <w:szCs w:val="20"/>
          <w:color w:val="auto"/>
        </w:rPr>
      </w:pPr>
    </w:p>
    <w:p>
      <w:pPr>
        <w:ind w:left="740"/>
        <w:spacing w:after="0" w:line="204" w:lineRule="auto"/>
        <w:rPr>
          <w:sz w:val="20"/>
          <w:szCs w:val="20"/>
          <w:color w:val="auto"/>
        </w:rPr>
      </w:pPr>
      <w:r>
        <w:rPr>
          <w:rFonts w:ascii="Arial" w:cs="Arial" w:eastAsia="Arial" w:hAnsi="Arial"/>
          <w:sz w:val="20"/>
          <w:szCs w:val="20"/>
          <w:color w:val="auto"/>
        </w:rPr>
        <w:t>in the event an IIP Participant’s employment with Itron terminates due to a reduction in force prior the completion of the Performance Period, the IIP Participant will not be entitled to receive any portion of the IIP Award for the Performance</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20"/>
          <w:szCs w:val="20"/>
          <w:color w:val="auto"/>
        </w:rPr>
        <w:t>Period.</w:t>
      </w:r>
    </w:p>
    <w:p>
      <w:pPr>
        <w:spacing w:after="0" w:line="196" w:lineRule="exact"/>
        <w:rPr>
          <w:sz w:val="20"/>
          <w:szCs w:val="20"/>
          <w:color w:val="auto"/>
        </w:rPr>
      </w:pPr>
    </w:p>
    <w:p>
      <w:pPr>
        <w:spacing w:after="0" w:line="233" w:lineRule="auto"/>
        <w:rPr>
          <w:sz w:val="20"/>
          <w:szCs w:val="20"/>
          <w:color w:val="auto"/>
        </w:rPr>
      </w:pPr>
      <w:r>
        <w:rPr>
          <w:rFonts w:ascii="Arial" w:cs="Arial" w:eastAsia="Arial" w:hAnsi="Arial"/>
          <w:sz w:val="19"/>
          <w:szCs w:val="19"/>
          <w:b w:val="1"/>
          <w:bCs w:val="1"/>
          <w:color w:val="auto"/>
        </w:rPr>
        <w:t xml:space="preserve">All Other Types of Terminations or Resignations: </w:t>
      </w:r>
      <w:r>
        <w:rPr>
          <w:rFonts w:ascii="Arial" w:cs="Arial" w:eastAsia="Arial" w:hAnsi="Arial"/>
          <w:sz w:val="19"/>
          <w:szCs w:val="19"/>
          <w:color w:val="auto"/>
        </w:rPr>
        <w:t>IIP Participants who voluntarily resign or whose employment is terminated</w:t>
      </w:r>
      <w:r>
        <w:rPr>
          <w:rFonts w:ascii="Arial" w:cs="Arial" w:eastAsia="Arial" w:hAnsi="Arial"/>
          <w:sz w:val="19"/>
          <w:szCs w:val="19"/>
          <w:b w:val="1"/>
          <w:bCs w:val="1"/>
          <w:color w:val="auto"/>
        </w:rPr>
        <w:t xml:space="preserve"> </w:t>
      </w:r>
      <w:r>
        <w:rPr>
          <w:rFonts w:ascii="Arial" w:cs="Arial" w:eastAsia="Arial" w:hAnsi="Arial"/>
          <w:sz w:val="19"/>
          <w:szCs w:val="19"/>
          <w:color w:val="auto"/>
        </w:rPr>
        <w:t>for any reason other than death, disability or retirement prior to the distribution of the IIP Award, if any, shall not be eligible to</w:t>
      </w:r>
    </w:p>
    <w:p>
      <w:pPr>
        <w:spacing w:after="0" w:line="1" w:lineRule="exact"/>
        <w:rPr>
          <w:sz w:val="20"/>
          <w:szCs w:val="20"/>
          <w:color w:val="auto"/>
        </w:rPr>
      </w:pPr>
    </w:p>
    <w:p>
      <w:pPr>
        <w:ind w:right="20"/>
        <w:spacing w:after="0" w:line="204" w:lineRule="auto"/>
        <w:rPr>
          <w:sz w:val="20"/>
          <w:szCs w:val="20"/>
          <w:color w:val="auto"/>
        </w:rPr>
      </w:pPr>
      <w:r>
        <w:rPr>
          <w:rFonts w:ascii="Arial" w:cs="Arial" w:eastAsia="Arial" w:hAnsi="Arial"/>
          <w:sz w:val="20"/>
          <w:szCs w:val="20"/>
          <w:color w:val="auto"/>
        </w:rPr>
        <w:t>earn or receive an IIP Award, unless required by mandatory provisions of local law. In those countries where payment of a prorated IIP Award is required when an IIP Participant’s employment is terminated for reasons other than death, disability, or</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retirement prior to the distribution of the IIP Award, the IIP Participant will be eligible to earn an IIP Award on a prorated basis depending on the actual number of days employed during the Performance Period by the IIP Participant during the Performance</w:t>
      </w:r>
    </w:p>
    <w:p>
      <w:pPr>
        <w:spacing w:after="0" w:line="222" w:lineRule="auto"/>
        <w:rPr>
          <w:sz w:val="20"/>
          <w:szCs w:val="20"/>
          <w:color w:val="auto"/>
        </w:rPr>
      </w:pPr>
      <w:r>
        <w:rPr>
          <w:rFonts w:ascii="Arial" w:cs="Arial" w:eastAsia="Arial" w:hAnsi="Arial"/>
          <w:sz w:val="19"/>
          <w:szCs w:val="19"/>
          <w:color w:val="auto"/>
        </w:rPr>
        <w:t>Period. In such case, the IIP Award, if any, will be due and payable only upon completion of the Performance Period, and will be</w:t>
      </w:r>
    </w:p>
    <w:p>
      <w:pPr>
        <w:jc w:val="both"/>
        <w:spacing w:after="0" w:line="204" w:lineRule="auto"/>
        <w:rPr>
          <w:sz w:val="20"/>
          <w:szCs w:val="20"/>
          <w:color w:val="auto"/>
        </w:rPr>
      </w:pPr>
      <w:r>
        <w:rPr>
          <w:rFonts w:ascii="Arial" w:cs="Arial" w:eastAsia="Arial" w:hAnsi="Arial"/>
          <w:sz w:val="20"/>
          <w:szCs w:val="20"/>
          <w:color w:val="auto"/>
        </w:rPr>
        <w:t>calculated based on the actual results, achievement of the Performance Objectives as determined upon completion of the Performance Period and application of the Individual Performance Factor, in accordance with the Plan and the Award Formula.</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Determination of the Individual Performance Factor will be based upon the performance assessment completed and documented on or around the last date of employment of the IIP Participant.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Performance Period</w:t>
      </w:r>
    </w:p>
    <w:p>
      <w:pPr>
        <w:spacing w:after="0" w:line="30"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Following the commencement of any Performance Period or any designated fiscal period or period of service, the administrator will (a) designate the IIP Participant to receive such award, (b) select the Performance Criteria (as defined in the IIP) applicable</w:t>
      </w:r>
    </w:p>
    <w:p>
      <w:pPr>
        <w:spacing w:after="0" w:line="211" w:lineRule="auto"/>
        <w:rPr>
          <w:sz w:val="20"/>
          <w:szCs w:val="20"/>
          <w:color w:val="auto"/>
        </w:rPr>
      </w:pPr>
      <w:r>
        <w:rPr>
          <w:rFonts w:ascii="Arial" w:cs="Arial" w:eastAsia="Arial" w:hAnsi="Arial"/>
          <w:sz w:val="20"/>
          <w:szCs w:val="20"/>
          <w:color w:val="auto"/>
        </w:rPr>
        <w:t>to the Performance Period, (c) establish the performance goals (and any exclusions), and amounts of such awards, as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applicable, which may be earned for such Performance Period based on the Performance Criteria, and (d) specify the relationship between Performance Criteria and the performance goals and the amounts of such awards, as applicable, to be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earned by each Participant for such Performance Period.</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Following the completion of the Performance Period, the administrator will certify whether and the extent to which the applicable performance goals have been achieved for such Performance Period.</w:t>
      </w:r>
    </w:p>
    <w:p>
      <w:pPr>
        <w:spacing w:after="0" w:line="16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Notwithstanding anything to the contrary as set forth herein, as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the administrator will approve an initial Performance Criteria and performance goal(s) that must be achieved to fund any bonus payments for Participants. If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Financial Threshold Goal is not achieved, then no payments shall be payable on the financial objectives of the plan to any IIP Participant for the applicable Performance Period. If the Financial Threshold Goal is achieved, the financial objectives bonus</w:t>
      </w:r>
    </w:p>
    <w:p>
      <w:pPr>
        <w:spacing w:after="0" w:line="211" w:lineRule="auto"/>
        <w:rPr>
          <w:sz w:val="20"/>
          <w:szCs w:val="20"/>
          <w:color w:val="auto"/>
        </w:rPr>
      </w:pPr>
      <w:r>
        <w:rPr>
          <w:rFonts w:ascii="Arial" w:cs="Arial" w:eastAsia="Arial" w:hAnsi="Arial"/>
          <w:sz w:val="20"/>
          <w:szCs w:val="20"/>
          <w:color w:val="auto"/>
        </w:rPr>
        <w:t>pool will fund at the annual operating level to determine payouts. The administrator may also make performance-based</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adjustments. The Quantitative Strategic Goals are Pass / Fail for 0% to 100% payout and not subject to the Financial Threshold Goal.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 of 7</w:t>
      </w:r>
    </w:p>
    <w:p>
      <w:pPr>
        <w:spacing w:after="0"/>
        <w:rPr>
          <w:sz w:val="20"/>
          <w:szCs w:val="20"/>
          <w:color w:val="auto"/>
        </w:rPr>
      </w:pPr>
      <w:r>
        <w:rPr>
          <w:rFonts w:ascii="Arial" w:cs="Arial" w:eastAsia="Arial" w:hAnsi="Arial"/>
          <w:sz w:val="18"/>
          <w:szCs w:val="18"/>
          <w:b w:val="1"/>
          <w:bCs w:val="1"/>
          <w:color w:val="FF0000"/>
        </w:rPr>
        <w:t>CONFIDENTIAL</w:t>
      </w:r>
    </w:p>
    <w:p>
      <w:pPr>
        <w:sectPr>
          <w:pgSz w:w="11900" w:h="16838" w:orient="portrait"/>
          <w:cols w:equalWidth="0" w:num="1">
            <w:col w:w="11240"/>
          </w:cols>
          <w:pgMar w:left="320" w:top="345" w:right="339" w:bottom="1440" w:gutter="0" w:footer="0" w:header="0"/>
        </w:sectPr>
      </w:pPr>
    </w:p>
    <w:bookmarkStart w:id="146" w:name="page147"/>
    <w:bookmarkEnd w:id="146"/>
    <w:p>
      <w:pPr>
        <w:spacing w:after="0"/>
        <w:rPr>
          <w:sz w:val="20"/>
          <w:szCs w:val="20"/>
          <w:color w:val="auto"/>
        </w:rPr>
      </w:pPr>
      <w:r>
        <w:rPr>
          <w:rFonts w:ascii="Arial" w:cs="Arial" w:eastAsia="Arial" w:hAnsi="Arial"/>
          <w:sz w:val="20"/>
          <w:szCs w:val="20"/>
          <w:b w:val="1"/>
          <w:bCs w:val="1"/>
          <w:color w:val="auto"/>
        </w:rPr>
        <w:t>2023 ITRON INCENTIVE PLAN (IIP)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Other Conditions</w:t>
      </w:r>
    </w:p>
    <w:p>
      <w:pPr>
        <w:jc w:val="both"/>
        <w:spacing w:after="0" w:line="211" w:lineRule="auto"/>
        <w:rPr>
          <w:sz w:val="20"/>
          <w:szCs w:val="20"/>
          <w:color w:val="auto"/>
        </w:rPr>
      </w:pPr>
      <w:r>
        <w:rPr>
          <w:rFonts w:ascii="Arial" w:cs="Arial" w:eastAsia="Arial" w:hAnsi="Arial"/>
          <w:sz w:val="20"/>
          <w:szCs w:val="20"/>
          <w:color w:val="auto"/>
        </w:rPr>
        <w:t>Eligibility for, or actual participation in, the IIP shall not, and is in no way intended to, create an agreement of employment for a definite term. Nothing herein shall, or is intended to, (i) obligate the Company to offer any employee participation in the IIP or</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any other management incentive program or similar arrangement in the future, and/or (ii) act as a modification of any employee’s existing terms and conditions of employment. Except as expressly set forth herein, the IIP shall be subject to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administered in accordance with the terms and conditions of the IIP.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Governance</w:t>
      </w:r>
    </w:p>
    <w:p>
      <w:pPr>
        <w:jc w:val="both"/>
        <w:spacing w:after="0" w:line="225" w:lineRule="auto"/>
        <w:rPr>
          <w:sz w:val="20"/>
          <w:szCs w:val="20"/>
          <w:color w:val="auto"/>
        </w:rPr>
      </w:pPr>
      <w:r>
        <w:rPr>
          <w:rFonts w:ascii="Arial" w:cs="Arial" w:eastAsia="Arial" w:hAnsi="Arial"/>
          <w:sz w:val="20"/>
          <w:szCs w:val="20"/>
          <w:color w:val="auto"/>
        </w:rPr>
        <w:t>This document is intended only as a summary of the shareholder approved IIP Plan. The Compensation Committee or Designee shall be responsible for the administration and governance of the Plan. The decisions made by the Compensation Committee or Designee shall be conclusive and binding on all IIP Participants.</w:t>
      </w:r>
    </w:p>
    <w:p>
      <w:pPr>
        <w:spacing w:after="0" w:line="399"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Amendment, Modification, Payments or Termination of the Plan</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Itron reserves the right to amend, modify, payments, or terminate the Plan at any time at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 of 7</w:t>
      </w:r>
    </w:p>
    <w:p>
      <w:pPr>
        <w:spacing w:after="0"/>
        <w:rPr>
          <w:sz w:val="20"/>
          <w:szCs w:val="20"/>
          <w:color w:val="auto"/>
        </w:rPr>
      </w:pPr>
      <w:r>
        <w:rPr>
          <w:rFonts w:ascii="Arial" w:cs="Arial" w:eastAsia="Arial" w:hAnsi="Arial"/>
          <w:sz w:val="18"/>
          <w:szCs w:val="18"/>
          <w:b w:val="1"/>
          <w:bCs w:val="1"/>
          <w:color w:val="FF0000"/>
        </w:rPr>
        <w:t>CONFIDENTIAL</w:t>
      </w:r>
    </w:p>
    <w:p>
      <w:pPr>
        <w:sectPr>
          <w:pgSz w:w="11900" w:h="16838" w:orient="portrait"/>
          <w:cols w:equalWidth="0" w:num="1">
            <w:col w:w="11240"/>
          </w:cols>
          <w:pgMar w:left="320" w:top="345" w:right="339" w:bottom="1440" w:gutter="0" w:footer="0" w:header="0"/>
        </w:sectPr>
      </w:pPr>
    </w:p>
    <w:bookmarkStart w:id="147" w:name="page148"/>
    <w:bookmarkEnd w:id="147"/>
    <w:p>
      <w:pPr>
        <w:spacing w:after="0"/>
        <w:rPr>
          <w:sz w:val="20"/>
          <w:szCs w:val="20"/>
          <w:color w:val="auto"/>
        </w:rPr>
      </w:pPr>
      <w:r>
        <w:rPr>
          <w:rFonts w:ascii="Arial" w:cs="Arial" w:eastAsia="Arial" w:hAnsi="Arial"/>
          <w:sz w:val="20"/>
          <w:szCs w:val="20"/>
          <w:b w:val="1"/>
          <w:bCs w:val="1"/>
          <w:color w:val="auto"/>
        </w:rPr>
        <w:t>2023 ITRON INCENTIVE PLAN (IIP)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0000"/>
        </w:rPr>
        <w:t>Exhibit A</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0000"/>
        </w:rPr>
        <w:t>2023 Itron Performance Metrics</w:t>
      </w:r>
    </w:p>
    <w:p>
      <w:pPr>
        <w:spacing w:after="0" w:line="253" w:lineRule="exact"/>
        <w:rPr>
          <w:sz w:val="20"/>
          <w:szCs w:val="20"/>
          <w:color w:val="auto"/>
        </w:rPr>
      </w:pPr>
    </w:p>
    <w:p>
      <w:pPr>
        <w:ind w:left="100"/>
        <w:spacing w:after="0"/>
        <w:rPr>
          <w:sz w:val="20"/>
          <w:szCs w:val="20"/>
          <w:color w:val="auto"/>
        </w:rPr>
      </w:pPr>
      <w:r>
        <w:rPr>
          <w:rFonts w:ascii="Arial" w:cs="Arial" w:eastAsia="Arial" w:hAnsi="Arial"/>
          <w:sz w:val="20"/>
          <w:szCs w:val="20"/>
          <w:b w:val="1"/>
          <w:bCs w:val="1"/>
          <w:u w:val="single" w:color="auto"/>
          <w:color w:val="auto"/>
        </w:rPr>
        <w:t>Financial Threshold</w:t>
      </w:r>
    </w:p>
    <w:p>
      <w:pPr>
        <w:spacing w:after="0" w:line="218" w:lineRule="exact"/>
        <w:rPr>
          <w:sz w:val="20"/>
          <w:szCs w:val="20"/>
          <w:color w:val="auto"/>
        </w:rPr>
      </w:pPr>
    </w:p>
    <w:p>
      <w:pPr>
        <w:ind w:left="100"/>
        <w:spacing w:after="0" w:line="243" w:lineRule="auto"/>
        <w:rPr>
          <w:sz w:val="20"/>
          <w:szCs w:val="20"/>
          <w:color w:val="auto"/>
        </w:rPr>
      </w:pPr>
      <w:r>
        <w:rPr>
          <w:rFonts w:ascii="Arial" w:cs="Arial" w:eastAsia="Arial" w:hAnsi="Arial"/>
          <w:sz w:val="20"/>
          <w:szCs w:val="20"/>
          <w:color w:val="auto"/>
        </w:rPr>
        <w:t>The Total Company Adjusted EBITDA dollar threshold of 70% must be achieved before the Financial Performance Objectives of the 2023 IIP are payable. The Quantitative Strategic Goals are not subject to the Financial Threshold.</w:t>
      </w:r>
    </w:p>
    <w:p>
      <w:pPr>
        <w:spacing w:after="0" w:line="200" w:lineRule="exact"/>
        <w:rPr>
          <w:sz w:val="20"/>
          <w:szCs w:val="20"/>
          <w:color w:val="auto"/>
        </w:rPr>
      </w:pPr>
    </w:p>
    <w:p>
      <w:pPr>
        <w:spacing w:after="0" w:line="287" w:lineRule="exact"/>
        <w:rPr>
          <w:sz w:val="20"/>
          <w:szCs w:val="20"/>
          <w:color w:val="auto"/>
        </w:rPr>
      </w:pPr>
    </w:p>
    <w:tbl>
      <w:tblPr>
        <w:tblLayout w:type="fixed"/>
        <w:tblInd w:w="430" w:type="dxa"/>
        <w:tblCellMar>
          <w:top w:w="0" w:type="dxa"/>
          <w:left w:w="0" w:type="dxa"/>
          <w:bottom w:w="0" w:type="dxa"/>
          <w:right w:w="0" w:type="dxa"/>
        </w:tblCellMar>
      </w:tblPr>
      <w:tr>
        <w:trPr>
          <w:trHeight w:val="297"/>
        </w:trPr>
        <w:tc>
          <w:tcPr>
            <w:tcW w:w="7380" w:type="dxa"/>
            <w:vAlign w:val="bottom"/>
            <w:tcBorders>
              <w:left w:val="single" w:sz="8" w:color="auto"/>
              <w:right w:val="single" w:sz="8" w:color="auto"/>
            </w:tcBorders>
            <w:shd w:val="clear" w:color="auto" w:fill="000000"/>
          </w:tcPr>
          <w:p>
            <w:pPr>
              <w:ind w:left="2720"/>
              <w:spacing w:after="0"/>
              <w:rPr>
                <w:sz w:val="20"/>
                <w:szCs w:val="20"/>
                <w:color w:val="auto"/>
              </w:rPr>
            </w:pPr>
            <w:r>
              <w:rPr>
                <w:rFonts w:ascii="Arial" w:cs="Arial" w:eastAsia="Arial" w:hAnsi="Arial"/>
                <w:sz w:val="17"/>
                <w:szCs w:val="17"/>
                <w:b w:val="1"/>
                <w:bCs w:val="1"/>
                <w:color w:val="FFFFFF"/>
              </w:rPr>
              <w:t>Performance Objectives</w:t>
            </w:r>
          </w:p>
        </w:tc>
        <w:tc>
          <w:tcPr>
            <w:tcW w:w="2080" w:type="dxa"/>
            <w:vAlign w:val="bottom"/>
            <w:tcBorders>
              <w:right w:val="single" w:sz="8" w:color="auto"/>
            </w:tcBorders>
            <w:shd w:val="clear" w:color="auto" w:fill="000000"/>
          </w:tcPr>
          <w:p>
            <w:pPr>
              <w:ind w:left="320"/>
              <w:spacing w:after="0"/>
              <w:rPr>
                <w:sz w:val="20"/>
                <w:szCs w:val="20"/>
                <w:color w:val="auto"/>
              </w:rPr>
            </w:pPr>
            <w:r>
              <w:rPr>
                <w:rFonts w:ascii="Arial" w:cs="Arial" w:eastAsia="Arial" w:hAnsi="Arial"/>
                <w:sz w:val="17"/>
                <w:szCs w:val="17"/>
                <w:b w:val="1"/>
                <w:bCs w:val="1"/>
                <w:color w:val="FFFFFF"/>
              </w:rPr>
              <w:t>Weighting</w:t>
            </w:r>
          </w:p>
        </w:tc>
      </w:tr>
      <w:tr>
        <w:trPr>
          <w:trHeight w:val="269"/>
        </w:trPr>
        <w:tc>
          <w:tcPr>
            <w:tcW w:w="7380" w:type="dxa"/>
            <w:vAlign w:val="bottom"/>
            <w:tcBorders>
              <w:left w:val="single" w:sz="8" w:color="auto"/>
              <w:bottom w:val="single" w:sz="8" w:color="auto"/>
              <w:right w:val="single" w:sz="8" w:color="D9D9D9"/>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Payout % Based on Financial Objective Attainments</w:t>
            </w:r>
          </w:p>
        </w:tc>
        <w:tc>
          <w:tcPr>
            <w:tcW w:w="2080" w:type="dxa"/>
            <w:vAlign w:val="bottom"/>
            <w:tcBorders>
              <w:bottom w:val="single" w:sz="8" w:color="auto"/>
              <w:right w:val="single" w:sz="8" w:color="auto"/>
            </w:tcBorders>
            <w:shd w:val="clear" w:color="auto" w:fill="D9D9D9"/>
          </w:tcPr>
          <w:p>
            <w:pPr>
              <w:spacing w:after="0"/>
              <w:rPr>
                <w:sz w:val="23"/>
                <w:szCs w:val="23"/>
                <w:color w:val="auto"/>
              </w:rPr>
            </w:pPr>
          </w:p>
        </w:tc>
      </w:tr>
      <w:tr>
        <w:trPr>
          <w:trHeight w:val="259"/>
        </w:trPr>
        <w:tc>
          <w:tcPr>
            <w:tcW w:w="7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 Segments, Total Company, Consolidated Adjusted EBITDA $</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60%</w:t>
            </w:r>
          </w:p>
        </w:tc>
      </w:tr>
      <w:tr>
        <w:trPr>
          <w:trHeight w:val="263"/>
        </w:trPr>
        <w:tc>
          <w:tcPr>
            <w:tcW w:w="7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 Segments, Total Company, Consolidated Revenue $</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r>
      <w:tr>
        <w:trPr>
          <w:trHeight w:val="263"/>
        </w:trPr>
        <w:tc>
          <w:tcPr>
            <w:tcW w:w="7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Quantitative Strategic Goals</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r>
      <w:tr>
        <w:trPr>
          <w:trHeight w:val="268"/>
        </w:trPr>
        <w:tc>
          <w:tcPr>
            <w:tcW w:w="7380" w:type="dxa"/>
            <w:vAlign w:val="bottom"/>
            <w:tcBorders>
              <w:left w:val="single" w:sz="8" w:color="auto"/>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TOTAL</w:t>
            </w:r>
          </w:p>
        </w:tc>
        <w:tc>
          <w:tcPr>
            <w:tcW w:w="20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100%</w:t>
            </w:r>
          </w:p>
        </w:tc>
      </w:tr>
    </w:tbl>
    <w:p>
      <w:pPr>
        <w:spacing w:after="0" w:line="200" w:lineRule="exact"/>
        <w:rPr>
          <w:sz w:val="20"/>
          <w:szCs w:val="20"/>
          <w:color w:val="auto"/>
        </w:rPr>
      </w:pPr>
    </w:p>
    <w:p>
      <w:pPr>
        <w:spacing w:after="0" w:line="370" w:lineRule="exact"/>
        <w:rPr>
          <w:sz w:val="20"/>
          <w:szCs w:val="20"/>
          <w:color w:val="auto"/>
        </w:rPr>
      </w:pPr>
    </w:p>
    <w:p>
      <w:pPr>
        <w:ind w:left="100"/>
        <w:spacing w:after="0"/>
        <w:rPr>
          <w:sz w:val="20"/>
          <w:szCs w:val="20"/>
          <w:color w:val="auto"/>
        </w:rPr>
      </w:pPr>
      <w:r>
        <w:rPr>
          <w:rFonts w:ascii="Arial" w:cs="Arial" w:eastAsia="Arial" w:hAnsi="Arial"/>
          <w:sz w:val="20"/>
          <w:szCs w:val="20"/>
          <w:b w:val="1"/>
          <w:bCs w:val="1"/>
          <w:u w:val="single" w:color="auto"/>
          <w:color w:val="auto"/>
        </w:rPr>
        <w:t>Financial Objectives</w:t>
      </w:r>
    </w:p>
    <w:p>
      <w:pPr>
        <w:spacing w:after="0" w:line="24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Ranges for financial metric pay out go from 0% to 150%</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Quantitative Strategic Goals</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Ranges for payout is Pass / Fail for 0% to 100%</w:t>
      </w:r>
    </w:p>
    <w:p>
      <w:pPr>
        <w:spacing w:after="0" w:line="200" w:lineRule="exact"/>
        <w:rPr>
          <w:sz w:val="20"/>
          <w:szCs w:val="20"/>
          <w:color w:val="auto"/>
        </w:rPr>
      </w:pPr>
    </w:p>
    <w:p>
      <w:pPr>
        <w:spacing w:after="0" w:line="245" w:lineRule="exact"/>
        <w:rPr>
          <w:sz w:val="20"/>
          <w:szCs w:val="20"/>
          <w:color w:val="auto"/>
        </w:rPr>
      </w:pPr>
    </w:p>
    <w:p>
      <w:pPr>
        <w:ind w:left="100" w:right="60"/>
        <w:spacing w:after="0" w:line="243" w:lineRule="auto"/>
        <w:rPr>
          <w:sz w:val="20"/>
          <w:szCs w:val="20"/>
          <w:color w:val="auto"/>
        </w:rPr>
      </w:pPr>
      <w:r>
        <w:rPr>
          <w:rFonts w:ascii="Arial" w:cs="Arial" w:eastAsia="Arial" w:hAnsi="Arial"/>
          <w:sz w:val="20"/>
          <w:szCs w:val="20"/>
          <w:color w:val="auto"/>
        </w:rPr>
        <w:t>Final determination of the IIP Award and its payout are subject to approval by the. Senior Vice President Human Resources and/or President &amp; CEO as delegated by the Compensation Committee of the Itron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 of 7</w:t>
      </w:r>
    </w:p>
    <w:p>
      <w:pPr>
        <w:spacing w:after="0"/>
        <w:rPr>
          <w:sz w:val="20"/>
          <w:szCs w:val="20"/>
          <w:color w:val="auto"/>
        </w:rPr>
      </w:pPr>
      <w:r>
        <w:rPr>
          <w:rFonts w:ascii="Arial" w:cs="Arial" w:eastAsia="Arial" w:hAnsi="Arial"/>
          <w:sz w:val="18"/>
          <w:szCs w:val="18"/>
          <w:b w:val="1"/>
          <w:bCs w:val="1"/>
          <w:color w:val="FF0000"/>
        </w:rPr>
        <w:t>CONFIDENTIAL</w:t>
      </w:r>
    </w:p>
    <w:p>
      <w:pPr>
        <w:sectPr>
          <w:pgSz w:w="11900" w:h="16838" w:orient="portrait"/>
          <w:cols w:equalWidth="0" w:num="1">
            <w:col w:w="11220"/>
          </w:cols>
          <w:pgMar w:left="320" w:top="345" w:right="359" w:bottom="1440" w:gutter="0" w:footer="0" w:header="0"/>
        </w:sectPr>
      </w:pPr>
    </w:p>
    <w:bookmarkStart w:id="148" w:name="page149"/>
    <w:bookmarkEnd w:id="148"/>
    <w:p>
      <w:pPr>
        <w:spacing w:after="0"/>
        <w:rPr>
          <w:sz w:val="20"/>
          <w:szCs w:val="20"/>
          <w:color w:val="auto"/>
        </w:rPr>
      </w:pPr>
      <w:r>
        <w:rPr>
          <w:rFonts w:ascii="Arial" w:cs="Arial" w:eastAsia="Arial" w:hAnsi="Arial"/>
          <w:sz w:val="20"/>
          <w:szCs w:val="20"/>
          <w:b w:val="1"/>
          <w:bCs w:val="1"/>
          <w:color w:val="auto"/>
        </w:rPr>
        <w:t>2023 ITRON INCENTIVE PLAN (IIP)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FF0000"/>
        </w:rPr>
        <w:t>Exhibit B</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FF0000"/>
        </w:rPr>
        <w:t>Definitions</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20"/>
          <w:szCs w:val="20"/>
          <w:b w:val="1"/>
          <w:bCs w:val="1"/>
          <w:u w:val="single" w:color="auto"/>
          <w:color w:val="auto"/>
        </w:rPr>
        <w:t>PERFORMANCE PERIOD</w:t>
      </w:r>
    </w:p>
    <w:p>
      <w:pPr>
        <w:ind w:left="740"/>
        <w:spacing w:after="0"/>
        <w:rPr>
          <w:sz w:val="20"/>
          <w:szCs w:val="20"/>
          <w:color w:val="auto"/>
        </w:rPr>
      </w:pPr>
      <w:r>
        <w:rPr>
          <w:rFonts w:ascii="Arial" w:cs="Arial" w:eastAsia="Arial" w:hAnsi="Arial"/>
          <w:sz w:val="20"/>
          <w:szCs w:val="20"/>
          <w:color w:val="auto"/>
        </w:rPr>
        <w:t>January 1, 2023 through December 31, 2023</w:t>
      </w:r>
    </w:p>
    <w:p>
      <w:pPr>
        <w:spacing w:after="0" w:line="200" w:lineRule="exact"/>
        <w:rPr>
          <w:sz w:val="20"/>
          <w:szCs w:val="20"/>
          <w:color w:val="auto"/>
        </w:rPr>
      </w:pP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u w:val="single" w:color="auto"/>
          <w:color w:val="auto"/>
        </w:rPr>
        <w:t>PERFORMANCE OBJECTIVES</w:t>
      </w:r>
    </w:p>
    <w:p>
      <w:pPr>
        <w:spacing w:after="0" w:line="245" w:lineRule="exact"/>
        <w:rPr>
          <w:sz w:val="20"/>
          <w:szCs w:val="20"/>
          <w:color w:val="auto"/>
        </w:rPr>
      </w:pPr>
    </w:p>
    <w:p>
      <w:pPr>
        <w:ind w:left="740" w:right="2360"/>
        <w:spacing w:after="0" w:line="243" w:lineRule="auto"/>
        <w:rPr>
          <w:sz w:val="20"/>
          <w:szCs w:val="20"/>
          <w:color w:val="auto"/>
        </w:rPr>
      </w:pPr>
      <w:r>
        <w:rPr>
          <w:rFonts w:ascii="Arial" w:cs="Arial" w:eastAsia="Arial" w:hAnsi="Arial"/>
          <w:sz w:val="20"/>
          <w:szCs w:val="20"/>
          <w:color w:val="auto"/>
        </w:rPr>
        <w:t>The elements of Financial and Quantitative Strategic Goals are collectively referred to as the Performance Objectives.</w:t>
      </w:r>
    </w:p>
    <w:p>
      <w:pPr>
        <w:spacing w:after="0" w:line="200" w:lineRule="exact"/>
        <w:rPr>
          <w:sz w:val="20"/>
          <w:szCs w:val="20"/>
          <w:color w:val="auto"/>
        </w:rPr>
      </w:pPr>
    </w:p>
    <w:p>
      <w:pPr>
        <w:spacing w:after="0" w:line="210" w:lineRule="exact"/>
        <w:rPr>
          <w:sz w:val="20"/>
          <w:szCs w:val="20"/>
          <w:color w:val="auto"/>
        </w:rPr>
      </w:pPr>
    </w:p>
    <w:p>
      <w:pPr>
        <w:ind w:left="100"/>
        <w:spacing w:after="0"/>
        <w:rPr>
          <w:sz w:val="20"/>
          <w:szCs w:val="20"/>
          <w:color w:val="auto"/>
        </w:rPr>
      </w:pPr>
      <w:r>
        <w:rPr>
          <w:rFonts w:ascii="Arial" w:cs="Arial" w:eastAsia="Arial" w:hAnsi="Arial"/>
          <w:sz w:val="20"/>
          <w:szCs w:val="20"/>
          <w:b w:val="1"/>
          <w:bCs w:val="1"/>
          <w:u w:val="single" w:color="auto"/>
          <w:color w:val="auto"/>
        </w:rPr>
        <w:t>FINANCIAL OBJECTIVES</w:t>
      </w:r>
    </w:p>
    <w:p>
      <w:pPr>
        <w:spacing w:after="0" w:line="249"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Total Company Consolidated Adjusted EBITDA</w:t>
      </w:r>
    </w:p>
    <w:p>
      <w:pPr>
        <w:jc w:val="both"/>
        <w:ind w:left="740" w:right="20"/>
        <w:spacing w:after="0" w:line="204" w:lineRule="auto"/>
        <w:rPr>
          <w:sz w:val="20"/>
          <w:szCs w:val="20"/>
          <w:color w:val="auto"/>
        </w:rPr>
      </w:pPr>
      <w:r>
        <w:rPr>
          <w:rFonts w:ascii="Arial" w:cs="Arial" w:eastAsia="Arial" w:hAnsi="Arial"/>
          <w:sz w:val="20"/>
          <w:szCs w:val="20"/>
          <w:color w:val="auto"/>
        </w:rPr>
        <w:t>Total Company Adjusted EBITDA (GAAP Net Income or loss minus interest income, plus interest expense, plus depreciation and amortization, plus restructuring expense, plus acquisition-related expenses plus goodwill impairment</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and excluding income tax provisions or benefits).</w:t>
      </w:r>
    </w:p>
    <w:p>
      <w:pPr>
        <w:spacing w:after="0" w:line="188"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Total Company Consolidated Revenue</w:t>
      </w:r>
    </w:p>
    <w:p>
      <w:pPr>
        <w:jc w:val="both"/>
        <w:ind w:left="740" w:right="20"/>
        <w:spacing w:after="0" w:line="232" w:lineRule="auto"/>
        <w:rPr>
          <w:sz w:val="20"/>
          <w:szCs w:val="20"/>
          <w:color w:val="auto"/>
        </w:rPr>
      </w:pPr>
      <w:r>
        <w:rPr>
          <w:rFonts w:ascii="Arial" w:cs="Arial" w:eastAsia="Arial" w:hAnsi="Arial"/>
          <w:sz w:val="20"/>
          <w:szCs w:val="20"/>
          <w:color w:val="auto"/>
        </w:rPr>
        <w:t>Total Company Consolidated Revenues as recognized in accordance with U.S. generally accepted accounting principles (US GAAP).</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Financial Plan Threshold</w:t>
      </w:r>
    </w:p>
    <w:p>
      <w:pPr>
        <w:ind w:left="740"/>
        <w:spacing w:after="0" w:line="211" w:lineRule="auto"/>
        <w:rPr>
          <w:sz w:val="20"/>
          <w:szCs w:val="20"/>
          <w:color w:val="auto"/>
        </w:rPr>
      </w:pPr>
      <w:r>
        <w:rPr>
          <w:rFonts w:ascii="Arial" w:cs="Arial" w:eastAsia="Arial" w:hAnsi="Arial"/>
          <w:sz w:val="20"/>
          <w:szCs w:val="20"/>
          <w:color w:val="auto"/>
        </w:rPr>
        <w:t>The financial threshold of Total Company Adjusted EBITDA dollar attainment is pre-determined for the Financial</w:t>
      </w:r>
    </w:p>
    <w:p>
      <w:pPr>
        <w:jc w:val="both"/>
        <w:ind w:left="740"/>
        <w:spacing w:after="0" w:line="225" w:lineRule="auto"/>
        <w:rPr>
          <w:sz w:val="20"/>
          <w:szCs w:val="20"/>
          <w:color w:val="auto"/>
        </w:rPr>
      </w:pPr>
      <w:r>
        <w:rPr>
          <w:rFonts w:ascii="Arial" w:cs="Arial" w:eastAsia="Arial" w:hAnsi="Arial"/>
          <w:sz w:val="20"/>
          <w:szCs w:val="20"/>
          <w:color w:val="auto"/>
        </w:rPr>
        <w:t>Objective Performance Period. This established threshold must be achieved for any of the Financial Performance Objectives of the Plan to be earned.</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20"/>
          <w:szCs w:val="20"/>
          <w:b w:val="1"/>
          <w:bCs w:val="1"/>
          <w:u w:val="single" w:color="auto"/>
          <w:color w:val="auto"/>
        </w:rPr>
        <w:t>Quantitative Strategic Goals</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NPI Revenue: pass/fail &gt; 15% increase in YoY NPI Revenue</w:t>
      </w:r>
    </w:p>
    <w:p>
      <w:pPr>
        <w:spacing w:after="0" w:line="229" w:lineRule="exact"/>
        <w:rPr>
          <w:sz w:val="20"/>
          <w:szCs w:val="20"/>
          <w:color w:val="auto"/>
        </w:rPr>
      </w:pPr>
    </w:p>
    <w:p>
      <w:pPr>
        <w:ind w:left="740" w:right="3140"/>
        <w:spacing w:after="0" w:line="497" w:lineRule="auto"/>
        <w:rPr>
          <w:sz w:val="20"/>
          <w:szCs w:val="20"/>
          <w:color w:val="auto"/>
        </w:rPr>
      </w:pPr>
      <w:r>
        <w:rPr>
          <w:rFonts w:ascii="Arial" w:cs="Arial" w:eastAsia="Arial" w:hAnsi="Arial"/>
          <w:sz w:val="20"/>
          <w:szCs w:val="20"/>
          <w:color w:val="auto"/>
        </w:rPr>
        <w:t>GHG Reduction: pass/fail on &gt; 25% reduction from 2019 level of scope 1 + scope 2 Not subject to the Financial Plan Threshold</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0"/>
          <w:szCs w:val="20"/>
          <w:b w:val="1"/>
          <w:bCs w:val="1"/>
          <w:u w:val="single" w:color="auto"/>
          <w:color w:val="auto"/>
        </w:rPr>
        <w:t>OTHER</w:t>
      </w:r>
    </w:p>
    <w:p>
      <w:pPr>
        <w:spacing w:after="0" w:line="222"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Individual Performance Factor (IPF)</w:t>
      </w:r>
    </w:p>
    <w:p>
      <w:pPr>
        <w:jc w:val="both"/>
        <w:ind w:left="740" w:right="20"/>
        <w:spacing w:after="0" w:line="225" w:lineRule="auto"/>
        <w:rPr>
          <w:sz w:val="20"/>
          <w:szCs w:val="20"/>
          <w:color w:val="auto"/>
        </w:rPr>
      </w:pPr>
      <w:r>
        <w:rPr>
          <w:rFonts w:ascii="Arial" w:cs="Arial" w:eastAsia="Arial" w:hAnsi="Arial"/>
          <w:sz w:val="20"/>
          <w:szCs w:val="20"/>
          <w:color w:val="auto"/>
        </w:rPr>
        <w:t>An annual assessment of the Participant’s performance by the Participant’s manager. The Individual Performance Factor is applied to the calculated Performance Objectives award result and will vary by each participant based on their individual performance. The IPF can range from zero (0) to one point five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7 of 7</w:t>
      </w:r>
    </w:p>
    <w:p>
      <w:pPr>
        <w:spacing w:after="0"/>
        <w:rPr>
          <w:sz w:val="20"/>
          <w:szCs w:val="20"/>
          <w:color w:val="auto"/>
        </w:rPr>
      </w:pPr>
      <w:r>
        <w:rPr>
          <w:rFonts w:ascii="Arial" w:cs="Arial" w:eastAsia="Arial" w:hAnsi="Arial"/>
          <w:sz w:val="18"/>
          <w:szCs w:val="18"/>
          <w:b w:val="1"/>
          <w:bCs w:val="1"/>
          <w:color w:val="FF0000"/>
        </w:rPr>
        <w:t>CONFIDENTIAL</w:t>
      </w:r>
    </w:p>
    <w:p>
      <w:pPr>
        <w:sectPr>
          <w:pgSz w:w="11900" w:h="16838" w:orient="portrait"/>
          <w:cols w:equalWidth="0" w:num="1">
            <w:col w:w="11180"/>
          </w:cols>
          <w:pgMar w:left="320" w:top="345" w:right="39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Officer Severance Pay Policy (US Executives Only)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April 29, 2014)</w:t>
      </w:r>
    </w:p>
    <w:p>
      <w:pPr>
        <w:spacing w:after="0" w:line="20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1"/>
          <w:szCs w:val="21"/>
          <w:color w:val="auto"/>
        </w:rPr>
        <w:t>The company recognizes that it is usually difficult for executive officers whose employment is terminated involuntarily to obtain a position comparable to the one he or she has with the company. In view of this, any executive officer who is terminated involuntarily, except if terminated for disciplinary reasons, will be entitled to receive severance pay equal to one year’s base salary, employer benefit premium payments/reimbursement for one year and outplacement assistance provided that (1) the executive releases all claims that he or she may have against the company, (2) enters into a one year non-compete agreement (where enforceable), (3) agrees not to solicit employees for a period of one year, (4) and agrees not to disparage the company.</w:t>
      </w:r>
    </w:p>
    <w:p>
      <w:pPr>
        <w:spacing w:after="0" w:line="140"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The company, at its sole discretion, may elect to make the severance payment in equal payments over a 12 months period or in a lump sum.</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Temporary Plan Modification (Effective February 20, 2019)</w:t>
      </w:r>
    </w:p>
    <w:p>
      <w:pPr>
        <w:spacing w:after="0" w:line="210"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22"/>
          <w:szCs w:val="22"/>
          <w:color w:val="auto"/>
        </w:rPr>
        <w:t>Due to the current CEO transition, the following temporary Executive Severance Plan enhancement has been established for select or named executives:</w:t>
      </w:r>
    </w:p>
    <w:p>
      <w:pPr>
        <w:spacing w:after="0" w:line="117"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2"/>
          <w:szCs w:val="22"/>
          <w:color w:val="auto"/>
        </w:rPr>
        <w:t>In the event a selected or named executive is terminated not for cause within twelve (12) months of the new CEO start date, the executive will be provided eighteen (18) months of base salary and employer benefit premium payments/reimbursement, and outplacement assistance provided that (1) the executive releases all claims that he or she may have against the company, (2) enters into a one year non-compete agreement (where enforceable), (3) agrees not to solicit employees for a period of one year, (4) and agrees not to disparage the company.</w:t>
      </w:r>
    </w:p>
    <w:p>
      <w:pPr>
        <w:spacing w:after="0" w:line="15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2"/>
          <w:szCs w:val="22"/>
          <w:color w:val="auto"/>
        </w:rPr>
        <w:t>The company, at its sole discretion, may elect to make the severance payment in equal payments over an 18 month period or in a lump sum.</w:t>
      </w:r>
    </w:p>
    <w:p>
      <w:pPr>
        <w:sectPr>
          <w:pgSz w:w="11900" w:h="16838" w:orient="portrait"/>
          <w:cols w:equalWidth="0" w:num="1">
            <w:col w:w="11240"/>
          </w:cols>
          <w:pgMar w:left="320" w:top="131"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85800" cy="4972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68580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80"/>
        <w:spacing w:after="0"/>
        <w:rPr>
          <w:sz w:val="20"/>
          <w:szCs w:val="20"/>
          <w:color w:val="auto"/>
        </w:rPr>
      </w:pPr>
      <w:r>
        <w:rPr>
          <w:rFonts w:ascii="Calibri" w:cs="Calibri" w:eastAsia="Calibri" w:hAnsi="Calibri"/>
          <w:sz w:val="20"/>
          <w:szCs w:val="20"/>
          <w:b w:val="1"/>
          <w:bCs w:val="1"/>
          <w:color w:val="FF0000"/>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510" w:type="dxa"/>
        <w:tblCellMar>
          <w:top w:w="0" w:type="dxa"/>
          <w:left w:w="0" w:type="dxa"/>
          <w:bottom w:w="0" w:type="dxa"/>
          <w:right w:w="0" w:type="dxa"/>
        </w:tblCellMar>
      </w:tblPr>
      <w:tr>
        <w:trPr>
          <w:trHeight w:val="318"/>
        </w:trPr>
        <w:tc>
          <w:tcPr>
            <w:tcW w:w="2840" w:type="dxa"/>
            <w:vAlign w:val="bottom"/>
            <w:tcBorders>
              <w:top w:val="single" w:sz="8" w:color="auto"/>
              <w:left w:val="single" w:sz="8" w:color="auto"/>
              <w:right w:val="single" w:sz="8" w:color="auto"/>
            </w:tcBorders>
          </w:tcPr>
          <w:p>
            <w:pPr>
              <w:ind w:left="80"/>
              <w:spacing w:after="0"/>
              <w:rPr>
                <w:sz w:val="20"/>
                <w:szCs w:val="20"/>
                <w:color w:val="auto"/>
              </w:rPr>
            </w:pPr>
            <w:r>
              <w:rPr>
                <w:rFonts w:ascii="Calibri" w:cs="Calibri" w:eastAsia="Calibri" w:hAnsi="Calibri"/>
                <w:sz w:val="25"/>
                <w:szCs w:val="25"/>
                <w:color w:val="auto"/>
              </w:rPr>
              <w:t>Title</w:t>
            </w:r>
          </w:p>
        </w:tc>
        <w:tc>
          <w:tcPr>
            <w:tcW w:w="6660" w:type="dxa"/>
            <w:vAlign w:val="bottom"/>
            <w:tcBorders>
              <w:top w:val="single" w:sz="8" w:color="auto"/>
              <w:right w:val="single" w:sz="8" w:color="auto"/>
            </w:tcBorders>
            <w:gridSpan w:val="2"/>
          </w:tcPr>
          <w:p>
            <w:pPr>
              <w:ind w:left="60"/>
              <w:spacing w:after="0"/>
              <w:rPr>
                <w:sz w:val="20"/>
                <w:szCs w:val="20"/>
                <w:color w:val="auto"/>
              </w:rPr>
            </w:pPr>
            <w:r>
              <w:rPr>
                <w:rFonts w:ascii="Calibri" w:cs="Calibri" w:eastAsia="Calibri" w:hAnsi="Calibri"/>
                <w:sz w:val="25"/>
                <w:szCs w:val="25"/>
                <w:color w:val="auto"/>
              </w:rPr>
              <w:t>Insider Trading Policy</w:t>
            </w:r>
          </w:p>
        </w:tc>
      </w:tr>
      <w:tr>
        <w:trPr>
          <w:trHeight w:val="60"/>
        </w:trPr>
        <w:tc>
          <w:tcPr>
            <w:tcW w:w="2840" w:type="dxa"/>
            <w:vAlign w:val="bottom"/>
            <w:tcBorders>
              <w:left w:val="single" w:sz="8" w:color="auto"/>
              <w:bottom w:val="single" w:sz="8" w:color="auto"/>
              <w:right w:val="single" w:sz="8" w:color="auto"/>
            </w:tcBorders>
          </w:tcPr>
          <w:p>
            <w:pPr>
              <w:spacing w:after="0"/>
              <w:rPr>
                <w:sz w:val="5"/>
                <w:szCs w:val="5"/>
                <w:color w:val="auto"/>
              </w:rPr>
            </w:pPr>
          </w:p>
        </w:tc>
        <w:tc>
          <w:tcPr>
            <w:tcW w:w="6660" w:type="dxa"/>
            <w:vAlign w:val="bottom"/>
            <w:tcBorders>
              <w:bottom w:val="single" w:sz="8" w:color="auto"/>
              <w:right w:val="single" w:sz="8" w:color="auto"/>
            </w:tcBorders>
            <w:gridSpan w:val="2"/>
          </w:tcPr>
          <w:p>
            <w:pPr>
              <w:spacing w:after="0"/>
              <w:rPr>
                <w:sz w:val="5"/>
                <w:szCs w:val="5"/>
                <w:color w:val="auto"/>
              </w:rPr>
            </w:pPr>
          </w:p>
        </w:tc>
      </w:tr>
      <w:tr>
        <w:trPr>
          <w:trHeight w:val="231"/>
        </w:trPr>
        <w:tc>
          <w:tcPr>
            <w:tcW w:w="2840" w:type="dxa"/>
            <w:vAlign w:val="bottom"/>
            <w:tcBorders>
              <w:left w:val="single" w:sz="8" w:color="auto"/>
              <w:right w:val="single" w:sz="8" w:color="auto"/>
            </w:tcBorders>
          </w:tcPr>
          <w:p>
            <w:pPr>
              <w:ind w:left="80"/>
              <w:spacing w:after="0" w:line="230" w:lineRule="exact"/>
              <w:rPr>
                <w:sz w:val="20"/>
                <w:szCs w:val="20"/>
                <w:color w:val="auto"/>
              </w:rPr>
            </w:pPr>
            <w:r>
              <w:rPr>
                <w:rFonts w:ascii="Calibri" w:cs="Calibri" w:eastAsia="Calibri" w:hAnsi="Calibri"/>
                <w:sz w:val="20"/>
                <w:szCs w:val="20"/>
                <w:color w:val="auto"/>
              </w:rPr>
              <w:t>Classifcaton</w:t>
            </w:r>
          </w:p>
        </w:tc>
        <w:tc>
          <w:tcPr>
            <w:tcW w:w="6660" w:type="dxa"/>
            <w:vAlign w:val="bottom"/>
            <w:tcBorders>
              <w:right w:val="single" w:sz="8" w:color="auto"/>
            </w:tcBorders>
            <w:gridSpan w:val="2"/>
          </w:tcPr>
          <w:p>
            <w:pPr>
              <w:ind w:left="60"/>
              <w:spacing w:after="0" w:line="230" w:lineRule="exact"/>
              <w:rPr>
                <w:sz w:val="20"/>
                <w:szCs w:val="20"/>
                <w:color w:val="auto"/>
              </w:rPr>
            </w:pPr>
            <w:r>
              <w:rPr>
                <w:rFonts w:ascii="Calibri" w:cs="Calibri" w:eastAsia="Calibri" w:hAnsi="Calibri"/>
                <w:sz w:val="20"/>
                <w:szCs w:val="20"/>
                <w:color w:val="auto"/>
              </w:rPr>
              <w:t>Internal</w:t>
            </w:r>
          </w:p>
        </w:tc>
      </w:tr>
      <w:tr>
        <w:trPr>
          <w:trHeight w:val="60"/>
        </w:trPr>
        <w:tc>
          <w:tcPr>
            <w:tcW w:w="2840" w:type="dxa"/>
            <w:vAlign w:val="bottom"/>
            <w:tcBorders>
              <w:left w:val="single" w:sz="8" w:color="auto"/>
              <w:bottom w:val="single" w:sz="8" w:color="auto"/>
              <w:right w:val="single" w:sz="8" w:color="auto"/>
            </w:tcBorders>
          </w:tcPr>
          <w:p>
            <w:pPr>
              <w:spacing w:after="0"/>
              <w:rPr>
                <w:sz w:val="5"/>
                <w:szCs w:val="5"/>
                <w:color w:val="auto"/>
              </w:rPr>
            </w:pPr>
          </w:p>
        </w:tc>
        <w:tc>
          <w:tcPr>
            <w:tcW w:w="6660" w:type="dxa"/>
            <w:vAlign w:val="bottom"/>
            <w:tcBorders>
              <w:bottom w:val="single" w:sz="8" w:color="auto"/>
              <w:right w:val="single" w:sz="8" w:color="auto"/>
            </w:tcBorders>
            <w:gridSpan w:val="2"/>
          </w:tcPr>
          <w:p>
            <w:pPr>
              <w:spacing w:after="0"/>
              <w:rPr>
                <w:sz w:val="5"/>
                <w:szCs w:val="5"/>
                <w:color w:val="auto"/>
              </w:rPr>
            </w:pPr>
          </w:p>
        </w:tc>
      </w:tr>
      <w:tr>
        <w:trPr>
          <w:trHeight w:val="231"/>
        </w:trPr>
        <w:tc>
          <w:tcPr>
            <w:tcW w:w="2840" w:type="dxa"/>
            <w:vAlign w:val="bottom"/>
            <w:tcBorders>
              <w:left w:val="single" w:sz="8" w:color="auto"/>
              <w:right w:val="single" w:sz="8" w:color="auto"/>
            </w:tcBorders>
          </w:tcPr>
          <w:p>
            <w:pPr>
              <w:ind w:left="80"/>
              <w:spacing w:after="0" w:line="230" w:lineRule="exact"/>
              <w:rPr>
                <w:sz w:val="20"/>
                <w:szCs w:val="20"/>
                <w:color w:val="auto"/>
              </w:rPr>
            </w:pPr>
            <w:r>
              <w:rPr>
                <w:rFonts w:ascii="Calibri" w:cs="Calibri" w:eastAsia="Calibri" w:hAnsi="Calibri"/>
                <w:sz w:val="20"/>
                <w:szCs w:val="20"/>
                <w:color w:val="auto"/>
              </w:rPr>
              <w:t>Department Owner</w:t>
            </w:r>
          </w:p>
        </w:tc>
        <w:tc>
          <w:tcPr>
            <w:tcW w:w="3700" w:type="dxa"/>
            <w:vAlign w:val="bottom"/>
            <w:tcBorders>
              <w:right w:val="single" w:sz="8" w:color="auto"/>
            </w:tcBorders>
          </w:tcPr>
          <w:p>
            <w:pPr>
              <w:ind w:left="60"/>
              <w:spacing w:after="0" w:line="230" w:lineRule="exact"/>
              <w:rPr>
                <w:sz w:val="20"/>
                <w:szCs w:val="20"/>
                <w:color w:val="auto"/>
              </w:rPr>
            </w:pPr>
            <w:r>
              <w:rPr>
                <w:rFonts w:ascii="Calibri" w:cs="Calibri" w:eastAsia="Calibri" w:hAnsi="Calibri"/>
                <w:sz w:val="20"/>
                <w:szCs w:val="20"/>
                <w:color w:val="auto"/>
              </w:rPr>
              <w:t>Legal Department Policy</w:t>
            </w:r>
          </w:p>
        </w:tc>
        <w:tc>
          <w:tcPr>
            <w:tcW w:w="2960" w:type="dxa"/>
            <w:vAlign w:val="bottom"/>
            <w:tcBorders>
              <w:right w:val="single" w:sz="8" w:color="auto"/>
            </w:tcBorders>
          </w:tcPr>
          <w:p>
            <w:pPr>
              <w:spacing w:after="0"/>
              <w:rPr>
                <w:sz w:val="20"/>
                <w:szCs w:val="20"/>
                <w:color w:val="auto"/>
              </w:rPr>
            </w:pPr>
          </w:p>
        </w:tc>
      </w:tr>
      <w:tr>
        <w:trPr>
          <w:trHeight w:val="60"/>
        </w:trPr>
        <w:tc>
          <w:tcPr>
            <w:tcW w:w="2840" w:type="dxa"/>
            <w:vAlign w:val="bottom"/>
            <w:tcBorders>
              <w:left w:val="single" w:sz="8" w:color="auto"/>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c>
          <w:tcPr>
            <w:tcW w:w="2960" w:type="dxa"/>
            <w:vAlign w:val="bottom"/>
            <w:tcBorders>
              <w:bottom w:val="single" w:sz="8" w:color="auto"/>
              <w:right w:val="single" w:sz="8" w:color="auto"/>
            </w:tcBorders>
          </w:tcPr>
          <w:p>
            <w:pPr>
              <w:spacing w:after="0"/>
              <w:rPr>
                <w:sz w:val="5"/>
                <w:szCs w:val="5"/>
                <w:color w:val="auto"/>
              </w:rPr>
            </w:pPr>
          </w:p>
        </w:tc>
      </w:tr>
      <w:tr>
        <w:trPr>
          <w:trHeight w:val="231"/>
        </w:trPr>
        <w:tc>
          <w:tcPr>
            <w:tcW w:w="2840" w:type="dxa"/>
            <w:vAlign w:val="bottom"/>
            <w:tcBorders>
              <w:left w:val="single" w:sz="8" w:color="auto"/>
              <w:right w:val="single" w:sz="8" w:color="auto"/>
            </w:tcBorders>
          </w:tcPr>
          <w:p>
            <w:pPr>
              <w:ind w:left="80"/>
              <w:spacing w:after="0" w:line="230" w:lineRule="exact"/>
              <w:rPr>
                <w:sz w:val="20"/>
                <w:szCs w:val="20"/>
                <w:color w:val="auto"/>
              </w:rPr>
            </w:pPr>
            <w:r>
              <w:rPr>
                <w:rFonts w:ascii="Calibri" w:cs="Calibri" w:eastAsia="Calibri" w:hAnsi="Calibri"/>
                <w:sz w:val="20"/>
                <w:szCs w:val="20"/>
                <w:color w:val="auto"/>
              </w:rPr>
              <w:t>Last Approved by:</w:t>
            </w:r>
          </w:p>
        </w:tc>
        <w:tc>
          <w:tcPr>
            <w:tcW w:w="3700" w:type="dxa"/>
            <w:vAlign w:val="bottom"/>
            <w:tcBorders>
              <w:right w:val="single" w:sz="8" w:color="auto"/>
            </w:tcBorders>
          </w:tcPr>
          <w:p>
            <w:pPr>
              <w:ind w:left="60"/>
              <w:spacing w:after="0" w:line="230" w:lineRule="exact"/>
              <w:rPr>
                <w:sz w:val="20"/>
                <w:szCs w:val="20"/>
                <w:color w:val="auto"/>
              </w:rPr>
            </w:pPr>
            <w:r>
              <w:rPr>
                <w:rFonts w:ascii="Calibri" w:cs="Calibri" w:eastAsia="Calibri" w:hAnsi="Calibri"/>
                <w:sz w:val="20"/>
                <w:szCs w:val="20"/>
                <w:color w:val="auto"/>
              </w:rPr>
              <w:t>Owner: Chris Ware; General Counsel, Legal</w:t>
            </w:r>
          </w:p>
        </w:tc>
        <w:tc>
          <w:tcPr>
            <w:tcW w:w="2960" w:type="dxa"/>
            <w:vAlign w:val="bottom"/>
            <w:tcBorders>
              <w:right w:val="single" w:sz="8" w:color="auto"/>
            </w:tcBorders>
          </w:tcPr>
          <w:p>
            <w:pPr>
              <w:ind w:left="60"/>
              <w:spacing w:after="0" w:line="230" w:lineRule="exact"/>
              <w:rPr>
                <w:sz w:val="20"/>
                <w:szCs w:val="20"/>
                <w:color w:val="auto"/>
              </w:rPr>
            </w:pPr>
            <w:r>
              <w:rPr>
                <w:rFonts w:ascii="Calibri" w:cs="Calibri" w:eastAsia="Calibri" w:hAnsi="Calibri"/>
                <w:sz w:val="20"/>
                <w:szCs w:val="20"/>
                <w:color w:val="auto"/>
              </w:rPr>
              <w:t>Date: 9/23/2022</w:t>
            </w:r>
          </w:p>
        </w:tc>
      </w:tr>
      <w:tr>
        <w:trPr>
          <w:trHeight w:val="243"/>
        </w:trPr>
        <w:tc>
          <w:tcPr>
            <w:tcW w:w="2840" w:type="dxa"/>
            <w:vAlign w:val="bottom"/>
            <w:tcBorders>
              <w:left w:val="single" w:sz="8" w:color="auto"/>
              <w:right w:val="single" w:sz="8" w:color="auto"/>
            </w:tcBorders>
          </w:tcPr>
          <w:p>
            <w:pPr>
              <w:spacing w:after="0"/>
              <w:rPr>
                <w:sz w:val="21"/>
                <w:szCs w:val="21"/>
                <w:color w:val="auto"/>
              </w:rPr>
            </w:pPr>
          </w:p>
        </w:tc>
        <w:tc>
          <w:tcPr>
            <w:tcW w:w="3700" w:type="dxa"/>
            <w:vAlign w:val="bottom"/>
            <w:tcBorders>
              <w:right w:val="single" w:sz="8" w:color="auto"/>
            </w:tcBorders>
          </w:tcPr>
          <w:p>
            <w:pPr>
              <w:ind w:left="60"/>
              <w:spacing w:after="0" w:line="243" w:lineRule="exact"/>
              <w:rPr>
                <w:sz w:val="20"/>
                <w:szCs w:val="20"/>
                <w:color w:val="auto"/>
              </w:rPr>
            </w:pPr>
            <w:r>
              <w:rPr>
                <w:rFonts w:ascii="Calibri" w:cs="Calibri" w:eastAsia="Calibri" w:hAnsi="Calibri"/>
                <w:sz w:val="20"/>
                <w:szCs w:val="20"/>
                <w:color w:val="auto"/>
              </w:rPr>
              <w:t>Department</w:t>
            </w:r>
          </w:p>
        </w:tc>
        <w:tc>
          <w:tcPr>
            <w:tcW w:w="2960" w:type="dxa"/>
            <w:vAlign w:val="bottom"/>
            <w:tcBorders>
              <w:right w:val="single" w:sz="8" w:color="auto"/>
            </w:tcBorders>
          </w:tcPr>
          <w:p>
            <w:pPr>
              <w:spacing w:after="0"/>
              <w:rPr>
                <w:sz w:val="21"/>
                <w:szCs w:val="21"/>
                <w:color w:val="auto"/>
              </w:rPr>
            </w:pPr>
          </w:p>
        </w:tc>
      </w:tr>
      <w:tr>
        <w:trPr>
          <w:trHeight w:val="73"/>
        </w:trPr>
        <w:tc>
          <w:tcPr>
            <w:tcW w:w="284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2960" w:type="dxa"/>
            <w:vAlign w:val="bottom"/>
            <w:tcBorders>
              <w:bottom w:val="single" w:sz="8" w:color="auto"/>
              <w:right w:val="single" w:sz="8" w:color="auto"/>
            </w:tcBorders>
          </w:tcPr>
          <w:p>
            <w:pPr>
              <w:spacing w:after="0"/>
              <w:rPr>
                <w:sz w:val="6"/>
                <w:szCs w:val="6"/>
                <w:color w:val="auto"/>
              </w:rPr>
            </w:pPr>
          </w:p>
        </w:tc>
      </w:tr>
    </w:tbl>
    <w:p>
      <w:pPr>
        <w:spacing w:after="0" w:line="297"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FF0000"/>
        </w:rPr>
        <w:t>History</w:t>
      </w:r>
    </w:p>
    <w:p>
      <w:pPr>
        <w:spacing w:after="0" w:line="283" w:lineRule="exact"/>
        <w:rPr>
          <w:sz w:val="20"/>
          <w:szCs w:val="20"/>
          <w:color w:val="auto"/>
        </w:rPr>
      </w:pPr>
    </w:p>
    <w:tbl>
      <w:tblPr>
        <w:tblLayout w:type="fixed"/>
        <w:tblInd w:w="850" w:type="dxa"/>
        <w:tblCellMar>
          <w:top w:w="0" w:type="dxa"/>
          <w:left w:w="0" w:type="dxa"/>
          <w:bottom w:w="0" w:type="dxa"/>
          <w:right w:w="0" w:type="dxa"/>
        </w:tblCellMar>
      </w:tblPr>
      <w:tr>
        <w:trPr>
          <w:trHeight w:val="251"/>
        </w:trPr>
        <w:tc>
          <w:tcPr>
            <w:tcW w:w="1120" w:type="dxa"/>
            <w:vAlign w:val="bottom"/>
            <w:tcBorders>
              <w:top w:val="single" w:sz="8" w:color="auto"/>
              <w:left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Version</w:t>
            </w:r>
          </w:p>
        </w:tc>
        <w:tc>
          <w:tcPr>
            <w:tcW w:w="5380" w:type="dxa"/>
            <w:vAlign w:val="bottom"/>
            <w:tcBorders>
              <w:top w:val="single" w:sz="8" w:color="auto"/>
              <w:right w:val="single" w:sz="8" w:color="auto"/>
            </w:tcBorders>
          </w:tcPr>
          <w:p>
            <w:pPr>
              <w:ind w:left="60"/>
              <w:spacing w:after="0"/>
              <w:rPr>
                <w:sz w:val="20"/>
                <w:szCs w:val="20"/>
                <w:color w:val="auto"/>
              </w:rPr>
            </w:pPr>
            <w:r>
              <w:rPr>
                <w:rFonts w:ascii="Calibri" w:cs="Calibri" w:eastAsia="Calibri" w:hAnsi="Calibri"/>
                <w:sz w:val="20"/>
                <w:szCs w:val="20"/>
                <w:color w:val="auto"/>
              </w:rPr>
              <w:t>Modifcatons</w:t>
            </w:r>
          </w:p>
        </w:tc>
        <w:tc>
          <w:tcPr>
            <w:tcW w:w="1860" w:type="dxa"/>
            <w:vAlign w:val="bottom"/>
            <w:tcBorders>
              <w:top w:val="single" w:sz="8" w:color="auto"/>
              <w:right w:val="single" w:sz="8" w:color="auto"/>
            </w:tcBorders>
          </w:tcPr>
          <w:p>
            <w:pPr>
              <w:ind w:left="60"/>
              <w:spacing w:after="0"/>
              <w:rPr>
                <w:sz w:val="20"/>
                <w:szCs w:val="20"/>
                <w:color w:val="auto"/>
              </w:rPr>
            </w:pPr>
            <w:r>
              <w:rPr>
                <w:rFonts w:ascii="Calibri" w:cs="Calibri" w:eastAsia="Calibri" w:hAnsi="Calibri"/>
                <w:sz w:val="20"/>
                <w:szCs w:val="20"/>
                <w:color w:val="auto"/>
              </w:rPr>
              <w:t>Date</w:t>
            </w:r>
          </w:p>
        </w:tc>
      </w:tr>
      <w:tr>
        <w:trPr>
          <w:trHeight w:val="316"/>
        </w:trPr>
        <w:tc>
          <w:tcPr>
            <w:tcW w:w="112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231"/>
        </w:trPr>
        <w:tc>
          <w:tcPr>
            <w:tcW w:w="1120" w:type="dxa"/>
            <w:vAlign w:val="bottom"/>
            <w:tcBorders>
              <w:left w:val="single" w:sz="8" w:color="auto"/>
              <w:right w:val="single" w:sz="8" w:color="auto"/>
            </w:tcBorders>
          </w:tcPr>
          <w:p>
            <w:pPr>
              <w:ind w:left="80"/>
              <w:spacing w:after="0" w:line="230" w:lineRule="exact"/>
              <w:rPr>
                <w:sz w:val="20"/>
                <w:szCs w:val="20"/>
                <w:color w:val="auto"/>
              </w:rPr>
            </w:pPr>
            <w:r>
              <w:rPr>
                <w:rFonts w:ascii="Calibri" w:cs="Calibri" w:eastAsia="Calibri" w:hAnsi="Calibri"/>
                <w:sz w:val="20"/>
                <w:szCs w:val="20"/>
                <w:color w:val="auto"/>
              </w:rPr>
              <w:t>1.0</w:t>
            </w:r>
          </w:p>
        </w:tc>
        <w:tc>
          <w:tcPr>
            <w:tcW w:w="5380" w:type="dxa"/>
            <w:vAlign w:val="bottom"/>
            <w:tcBorders>
              <w:right w:val="single" w:sz="8" w:color="auto"/>
            </w:tcBorders>
          </w:tcPr>
          <w:p>
            <w:pPr>
              <w:ind w:left="60"/>
              <w:spacing w:after="0" w:line="230" w:lineRule="exact"/>
              <w:rPr>
                <w:sz w:val="20"/>
                <w:szCs w:val="20"/>
                <w:color w:val="auto"/>
              </w:rPr>
            </w:pPr>
            <w:r>
              <w:rPr>
                <w:rFonts w:ascii="Calibri" w:cs="Calibri" w:eastAsia="Calibri" w:hAnsi="Calibri"/>
                <w:sz w:val="20"/>
                <w:szCs w:val="20"/>
                <w:color w:val="auto"/>
              </w:rPr>
              <w:t>Inital Policy Release</w:t>
            </w:r>
          </w:p>
        </w:tc>
        <w:tc>
          <w:tcPr>
            <w:tcW w:w="1860" w:type="dxa"/>
            <w:vAlign w:val="bottom"/>
            <w:tcBorders>
              <w:right w:val="single" w:sz="8" w:color="auto"/>
            </w:tcBorders>
          </w:tcPr>
          <w:p>
            <w:pPr>
              <w:ind w:left="60"/>
              <w:spacing w:after="0" w:line="230" w:lineRule="exact"/>
              <w:rPr>
                <w:sz w:val="20"/>
                <w:szCs w:val="20"/>
                <w:color w:val="auto"/>
              </w:rPr>
            </w:pPr>
            <w:r>
              <w:rPr>
                <w:rFonts w:ascii="Calibri" w:cs="Calibri" w:eastAsia="Calibri" w:hAnsi="Calibri"/>
                <w:sz w:val="20"/>
                <w:szCs w:val="20"/>
                <w:color w:val="auto"/>
              </w:rPr>
              <w:t>12/7/2017</w:t>
            </w:r>
          </w:p>
        </w:tc>
      </w:tr>
      <w:tr>
        <w:trPr>
          <w:trHeight w:val="60"/>
        </w:trPr>
        <w:tc>
          <w:tcPr>
            <w:tcW w:w="1120" w:type="dxa"/>
            <w:vAlign w:val="bottom"/>
            <w:tcBorders>
              <w:left w:val="single" w:sz="8" w:color="auto"/>
              <w:bottom w:val="single" w:sz="8" w:color="auto"/>
              <w:right w:val="single" w:sz="8" w:color="auto"/>
            </w:tcBorders>
          </w:tcPr>
          <w:p>
            <w:pPr>
              <w:spacing w:after="0"/>
              <w:rPr>
                <w:sz w:val="5"/>
                <w:szCs w:val="5"/>
                <w:color w:val="auto"/>
              </w:rPr>
            </w:pPr>
          </w:p>
        </w:tc>
        <w:tc>
          <w:tcPr>
            <w:tcW w:w="5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r>
      <w:tr>
        <w:trPr>
          <w:trHeight w:val="231"/>
        </w:trPr>
        <w:tc>
          <w:tcPr>
            <w:tcW w:w="1120" w:type="dxa"/>
            <w:vAlign w:val="bottom"/>
            <w:tcBorders>
              <w:left w:val="single" w:sz="8" w:color="auto"/>
              <w:right w:val="single" w:sz="8" w:color="auto"/>
            </w:tcBorders>
          </w:tcPr>
          <w:p>
            <w:pPr>
              <w:ind w:left="80"/>
              <w:spacing w:after="0" w:line="230" w:lineRule="exact"/>
              <w:rPr>
                <w:sz w:val="20"/>
                <w:szCs w:val="20"/>
                <w:color w:val="auto"/>
              </w:rPr>
            </w:pPr>
            <w:r>
              <w:rPr>
                <w:rFonts w:ascii="Calibri" w:cs="Calibri" w:eastAsia="Calibri" w:hAnsi="Calibri"/>
                <w:sz w:val="20"/>
                <w:szCs w:val="20"/>
                <w:color w:val="auto"/>
              </w:rPr>
              <w:t>1.1</w:t>
            </w:r>
          </w:p>
        </w:tc>
        <w:tc>
          <w:tcPr>
            <w:tcW w:w="5380" w:type="dxa"/>
            <w:vAlign w:val="bottom"/>
            <w:tcBorders>
              <w:right w:val="single" w:sz="8" w:color="auto"/>
            </w:tcBorders>
          </w:tcPr>
          <w:p>
            <w:pPr>
              <w:ind w:left="60"/>
              <w:spacing w:after="0" w:line="230" w:lineRule="exact"/>
              <w:rPr>
                <w:sz w:val="20"/>
                <w:szCs w:val="20"/>
                <w:color w:val="auto"/>
              </w:rPr>
            </w:pPr>
            <w:r>
              <w:rPr>
                <w:rFonts w:ascii="Calibri" w:cs="Calibri" w:eastAsia="Calibri" w:hAnsi="Calibri"/>
                <w:sz w:val="20"/>
                <w:szCs w:val="20"/>
                <w:color w:val="auto"/>
              </w:rPr>
              <w:t>Revisions</w:t>
            </w:r>
          </w:p>
        </w:tc>
        <w:tc>
          <w:tcPr>
            <w:tcW w:w="1860" w:type="dxa"/>
            <w:vAlign w:val="bottom"/>
            <w:tcBorders>
              <w:right w:val="single" w:sz="8" w:color="auto"/>
            </w:tcBorders>
          </w:tcPr>
          <w:p>
            <w:pPr>
              <w:ind w:left="60"/>
              <w:spacing w:after="0" w:line="230" w:lineRule="exact"/>
              <w:rPr>
                <w:sz w:val="20"/>
                <w:szCs w:val="20"/>
                <w:color w:val="auto"/>
              </w:rPr>
            </w:pPr>
            <w:r>
              <w:rPr>
                <w:rFonts w:ascii="Calibri" w:cs="Calibri" w:eastAsia="Calibri" w:hAnsi="Calibri"/>
                <w:sz w:val="20"/>
                <w:szCs w:val="20"/>
                <w:color w:val="auto"/>
              </w:rPr>
              <w:t>8/8/2019</w:t>
            </w:r>
          </w:p>
        </w:tc>
      </w:tr>
      <w:tr>
        <w:trPr>
          <w:trHeight w:val="60"/>
        </w:trPr>
        <w:tc>
          <w:tcPr>
            <w:tcW w:w="1120" w:type="dxa"/>
            <w:vAlign w:val="bottom"/>
            <w:tcBorders>
              <w:left w:val="single" w:sz="8" w:color="auto"/>
              <w:bottom w:val="single" w:sz="8" w:color="auto"/>
              <w:right w:val="single" w:sz="8" w:color="auto"/>
            </w:tcBorders>
          </w:tcPr>
          <w:p>
            <w:pPr>
              <w:spacing w:after="0"/>
              <w:rPr>
                <w:sz w:val="5"/>
                <w:szCs w:val="5"/>
                <w:color w:val="auto"/>
              </w:rPr>
            </w:pPr>
          </w:p>
        </w:tc>
        <w:tc>
          <w:tcPr>
            <w:tcW w:w="5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r>
      <w:tr>
        <w:trPr>
          <w:trHeight w:val="231"/>
        </w:trPr>
        <w:tc>
          <w:tcPr>
            <w:tcW w:w="1120" w:type="dxa"/>
            <w:vAlign w:val="bottom"/>
            <w:tcBorders>
              <w:left w:val="single" w:sz="8" w:color="auto"/>
              <w:right w:val="single" w:sz="8" w:color="auto"/>
            </w:tcBorders>
          </w:tcPr>
          <w:p>
            <w:pPr>
              <w:ind w:left="80"/>
              <w:spacing w:after="0" w:line="230" w:lineRule="exact"/>
              <w:rPr>
                <w:sz w:val="20"/>
                <w:szCs w:val="20"/>
                <w:color w:val="auto"/>
              </w:rPr>
            </w:pPr>
            <w:r>
              <w:rPr>
                <w:rFonts w:ascii="Calibri" w:cs="Calibri" w:eastAsia="Calibri" w:hAnsi="Calibri"/>
                <w:sz w:val="20"/>
                <w:szCs w:val="20"/>
                <w:color w:val="auto"/>
              </w:rPr>
              <w:t>1.2</w:t>
            </w:r>
          </w:p>
        </w:tc>
        <w:tc>
          <w:tcPr>
            <w:tcW w:w="5380" w:type="dxa"/>
            <w:vAlign w:val="bottom"/>
            <w:tcBorders>
              <w:right w:val="single" w:sz="8" w:color="auto"/>
            </w:tcBorders>
          </w:tcPr>
          <w:p>
            <w:pPr>
              <w:ind w:left="60"/>
              <w:spacing w:after="0" w:line="230" w:lineRule="exact"/>
              <w:rPr>
                <w:sz w:val="20"/>
                <w:szCs w:val="20"/>
                <w:color w:val="auto"/>
              </w:rPr>
            </w:pPr>
            <w:r>
              <w:rPr>
                <w:rFonts w:ascii="Calibri" w:cs="Calibri" w:eastAsia="Calibri" w:hAnsi="Calibri"/>
                <w:sz w:val="20"/>
                <w:szCs w:val="20"/>
                <w:color w:val="auto"/>
              </w:rPr>
              <w:t>Revisions</w:t>
            </w:r>
          </w:p>
        </w:tc>
        <w:tc>
          <w:tcPr>
            <w:tcW w:w="1860" w:type="dxa"/>
            <w:vAlign w:val="bottom"/>
            <w:tcBorders>
              <w:right w:val="single" w:sz="8" w:color="auto"/>
            </w:tcBorders>
          </w:tcPr>
          <w:p>
            <w:pPr>
              <w:ind w:left="60"/>
              <w:spacing w:after="0" w:line="230" w:lineRule="exact"/>
              <w:rPr>
                <w:sz w:val="20"/>
                <w:szCs w:val="20"/>
                <w:color w:val="auto"/>
              </w:rPr>
            </w:pPr>
            <w:r>
              <w:rPr>
                <w:rFonts w:ascii="Calibri" w:cs="Calibri" w:eastAsia="Calibri" w:hAnsi="Calibri"/>
                <w:sz w:val="20"/>
                <w:szCs w:val="20"/>
                <w:color w:val="auto"/>
              </w:rPr>
              <w:t>9/16/2020</w:t>
            </w:r>
          </w:p>
        </w:tc>
      </w:tr>
      <w:tr>
        <w:trPr>
          <w:trHeight w:val="60"/>
        </w:trPr>
        <w:tc>
          <w:tcPr>
            <w:tcW w:w="1120" w:type="dxa"/>
            <w:vAlign w:val="bottom"/>
            <w:tcBorders>
              <w:left w:val="single" w:sz="8" w:color="auto"/>
              <w:bottom w:val="single" w:sz="8" w:color="auto"/>
              <w:right w:val="single" w:sz="8" w:color="auto"/>
            </w:tcBorders>
          </w:tcPr>
          <w:p>
            <w:pPr>
              <w:spacing w:after="0"/>
              <w:rPr>
                <w:sz w:val="5"/>
                <w:szCs w:val="5"/>
                <w:color w:val="auto"/>
              </w:rPr>
            </w:pPr>
          </w:p>
        </w:tc>
        <w:tc>
          <w:tcPr>
            <w:tcW w:w="5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r>
      <w:tr>
        <w:trPr>
          <w:trHeight w:val="231"/>
        </w:trPr>
        <w:tc>
          <w:tcPr>
            <w:tcW w:w="1120" w:type="dxa"/>
            <w:vAlign w:val="bottom"/>
            <w:tcBorders>
              <w:left w:val="single" w:sz="8" w:color="auto"/>
              <w:right w:val="single" w:sz="8" w:color="auto"/>
            </w:tcBorders>
          </w:tcPr>
          <w:p>
            <w:pPr>
              <w:ind w:left="80"/>
              <w:spacing w:after="0" w:line="230" w:lineRule="exact"/>
              <w:rPr>
                <w:sz w:val="20"/>
                <w:szCs w:val="20"/>
                <w:color w:val="auto"/>
              </w:rPr>
            </w:pPr>
            <w:r>
              <w:rPr>
                <w:rFonts w:ascii="Calibri" w:cs="Calibri" w:eastAsia="Calibri" w:hAnsi="Calibri"/>
                <w:sz w:val="20"/>
                <w:szCs w:val="20"/>
                <w:color w:val="auto"/>
              </w:rPr>
              <w:t>1.3</w:t>
            </w:r>
          </w:p>
        </w:tc>
        <w:tc>
          <w:tcPr>
            <w:tcW w:w="5380" w:type="dxa"/>
            <w:vAlign w:val="bottom"/>
            <w:tcBorders>
              <w:right w:val="single" w:sz="8" w:color="auto"/>
            </w:tcBorders>
          </w:tcPr>
          <w:p>
            <w:pPr>
              <w:ind w:left="60"/>
              <w:spacing w:after="0" w:line="230" w:lineRule="exact"/>
              <w:rPr>
                <w:sz w:val="20"/>
                <w:szCs w:val="20"/>
                <w:color w:val="auto"/>
              </w:rPr>
            </w:pPr>
            <w:r>
              <w:rPr>
                <w:rFonts w:ascii="Calibri" w:cs="Calibri" w:eastAsia="Calibri" w:hAnsi="Calibri"/>
                <w:sz w:val="20"/>
                <w:szCs w:val="20"/>
                <w:color w:val="auto"/>
              </w:rPr>
              <w:t>Revisions</w:t>
            </w:r>
          </w:p>
        </w:tc>
        <w:tc>
          <w:tcPr>
            <w:tcW w:w="1860" w:type="dxa"/>
            <w:vAlign w:val="bottom"/>
            <w:tcBorders>
              <w:right w:val="single" w:sz="8" w:color="auto"/>
            </w:tcBorders>
          </w:tcPr>
          <w:p>
            <w:pPr>
              <w:ind w:left="60"/>
              <w:spacing w:after="0" w:line="230" w:lineRule="exact"/>
              <w:rPr>
                <w:sz w:val="20"/>
                <w:szCs w:val="20"/>
                <w:color w:val="auto"/>
              </w:rPr>
            </w:pPr>
            <w:r>
              <w:rPr>
                <w:rFonts w:ascii="Calibri" w:cs="Calibri" w:eastAsia="Calibri" w:hAnsi="Calibri"/>
                <w:sz w:val="20"/>
                <w:szCs w:val="20"/>
                <w:color w:val="auto"/>
              </w:rPr>
              <w:t>3/10/2021</w:t>
            </w:r>
          </w:p>
        </w:tc>
      </w:tr>
      <w:tr>
        <w:trPr>
          <w:trHeight w:val="60"/>
        </w:trPr>
        <w:tc>
          <w:tcPr>
            <w:tcW w:w="1120" w:type="dxa"/>
            <w:vAlign w:val="bottom"/>
            <w:tcBorders>
              <w:left w:val="single" w:sz="8" w:color="auto"/>
              <w:bottom w:val="single" w:sz="8" w:color="auto"/>
              <w:right w:val="single" w:sz="8" w:color="auto"/>
            </w:tcBorders>
          </w:tcPr>
          <w:p>
            <w:pPr>
              <w:spacing w:after="0"/>
              <w:rPr>
                <w:sz w:val="5"/>
                <w:szCs w:val="5"/>
                <w:color w:val="auto"/>
              </w:rPr>
            </w:pPr>
          </w:p>
        </w:tc>
        <w:tc>
          <w:tcPr>
            <w:tcW w:w="5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r>
      <w:tr>
        <w:trPr>
          <w:trHeight w:val="231"/>
        </w:trPr>
        <w:tc>
          <w:tcPr>
            <w:tcW w:w="1120" w:type="dxa"/>
            <w:vAlign w:val="bottom"/>
            <w:tcBorders>
              <w:left w:val="single" w:sz="8" w:color="auto"/>
              <w:right w:val="single" w:sz="8" w:color="auto"/>
            </w:tcBorders>
          </w:tcPr>
          <w:p>
            <w:pPr>
              <w:ind w:left="80"/>
              <w:spacing w:after="0" w:line="230" w:lineRule="exact"/>
              <w:rPr>
                <w:sz w:val="20"/>
                <w:szCs w:val="20"/>
                <w:color w:val="auto"/>
              </w:rPr>
            </w:pPr>
            <w:r>
              <w:rPr>
                <w:rFonts w:ascii="Calibri" w:cs="Calibri" w:eastAsia="Calibri" w:hAnsi="Calibri"/>
                <w:sz w:val="20"/>
                <w:szCs w:val="20"/>
                <w:color w:val="auto"/>
              </w:rPr>
              <w:t>1.4</w:t>
            </w:r>
          </w:p>
        </w:tc>
        <w:tc>
          <w:tcPr>
            <w:tcW w:w="5380" w:type="dxa"/>
            <w:vAlign w:val="bottom"/>
            <w:tcBorders>
              <w:right w:val="single" w:sz="8" w:color="auto"/>
            </w:tcBorders>
          </w:tcPr>
          <w:p>
            <w:pPr>
              <w:ind w:left="60"/>
              <w:spacing w:after="0" w:line="230" w:lineRule="exact"/>
              <w:rPr>
                <w:sz w:val="20"/>
                <w:szCs w:val="20"/>
                <w:color w:val="auto"/>
              </w:rPr>
            </w:pPr>
            <w:r>
              <w:rPr>
                <w:rFonts w:ascii="Calibri" w:cs="Calibri" w:eastAsia="Calibri" w:hAnsi="Calibri"/>
                <w:sz w:val="20"/>
                <w:szCs w:val="20"/>
                <w:color w:val="auto"/>
              </w:rPr>
              <w:t>Updated template</w:t>
            </w:r>
          </w:p>
        </w:tc>
        <w:tc>
          <w:tcPr>
            <w:tcW w:w="1860" w:type="dxa"/>
            <w:vAlign w:val="bottom"/>
            <w:tcBorders>
              <w:right w:val="single" w:sz="8" w:color="auto"/>
            </w:tcBorders>
          </w:tcPr>
          <w:p>
            <w:pPr>
              <w:ind w:left="60"/>
              <w:spacing w:after="0" w:line="230" w:lineRule="exact"/>
              <w:rPr>
                <w:sz w:val="20"/>
                <w:szCs w:val="20"/>
                <w:color w:val="auto"/>
              </w:rPr>
            </w:pPr>
            <w:r>
              <w:rPr>
                <w:rFonts w:ascii="Calibri" w:cs="Calibri" w:eastAsia="Calibri" w:hAnsi="Calibri"/>
                <w:sz w:val="20"/>
                <w:szCs w:val="20"/>
                <w:color w:val="auto"/>
              </w:rPr>
              <w:t>9/3/2022</w:t>
            </w:r>
          </w:p>
        </w:tc>
      </w:tr>
      <w:tr>
        <w:trPr>
          <w:trHeight w:val="60"/>
        </w:trPr>
        <w:tc>
          <w:tcPr>
            <w:tcW w:w="1120" w:type="dxa"/>
            <w:vAlign w:val="bottom"/>
            <w:tcBorders>
              <w:left w:val="single" w:sz="8" w:color="auto"/>
              <w:bottom w:val="single" w:sz="8" w:color="auto"/>
              <w:right w:val="single" w:sz="8" w:color="auto"/>
            </w:tcBorders>
          </w:tcPr>
          <w:p>
            <w:pPr>
              <w:spacing w:after="0"/>
              <w:rPr>
                <w:sz w:val="5"/>
                <w:szCs w:val="5"/>
                <w:color w:val="auto"/>
              </w:rPr>
            </w:pPr>
          </w:p>
        </w:tc>
        <w:tc>
          <w:tcPr>
            <w:tcW w:w="5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FF0000"/>
        </w:rPr>
        <w:t>Questons/Comments</w:t>
      </w:r>
    </w:p>
    <w:p>
      <w:pPr>
        <w:spacing w:after="0" w:line="52"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For further informaton or if you have questons about this policy, please contact </w:t>
      </w:r>
      <w:r>
        <w:rPr>
          <w:rFonts w:ascii="Calibri" w:cs="Calibri" w:eastAsia="Calibri" w:hAnsi="Calibri"/>
          <w:sz w:val="20"/>
          <w:szCs w:val="20"/>
          <w:u w:val="single" w:color="auto"/>
          <w:color w:val="003366"/>
        </w:rPr>
        <w:t>Compliance@itron.com</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alibri" w:cs="Calibri" w:eastAsia="Calibri" w:hAnsi="Calibri"/>
          <w:sz w:val="16"/>
          <w:szCs w:val="16"/>
          <w:color w:val="auto"/>
        </w:rPr>
        <w:t>© Copyright Itron. All rights reserved.</w:t>
      </w:r>
    </w:p>
    <w:p>
      <w:pPr>
        <w:sectPr>
          <w:pgSz w:w="11900" w:h="16838" w:orient="portrait"/>
          <w:cols w:equalWidth="0" w:num="1">
            <w:col w:w="11240"/>
          </w:cols>
          <w:pgMar w:left="320" w:top="117" w:right="339" w:bottom="1440" w:gutter="0" w:footer="0" w:header="0"/>
        </w:sectPr>
      </w:pPr>
    </w:p>
    <w:bookmarkStart w:id="151" w:name="page152"/>
    <w:bookmarkEnd w:id="151"/>
    <w:p>
      <w:pPr>
        <w:ind w:left="1880"/>
        <w:spacing w:after="0"/>
        <w:rPr>
          <w:sz w:val="20"/>
          <w:szCs w:val="20"/>
          <w:color w:val="auto"/>
        </w:rPr>
      </w:pPr>
      <w:r>
        <w:rPr>
          <w:rFonts w:ascii="Calibri" w:cs="Calibri" w:eastAsia="Calibri" w:hAnsi="Calibri"/>
          <w:sz w:val="20"/>
          <w:szCs w:val="20"/>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685800" cy="4972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685800" cy="497205"/>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Purpose</w:t>
      </w:r>
    </w:p>
    <w:p>
      <w:pPr>
        <w:spacing w:after="0" w:line="225" w:lineRule="exact"/>
        <w:rPr>
          <w:sz w:val="20"/>
          <w:szCs w:val="20"/>
          <w:color w:val="auto"/>
        </w:rPr>
      </w:pPr>
    </w:p>
    <w:p>
      <w:pPr>
        <w:ind w:right="20"/>
        <w:spacing w:after="0" w:line="231" w:lineRule="auto"/>
        <w:rPr>
          <w:sz w:val="20"/>
          <w:szCs w:val="20"/>
          <w:color w:val="auto"/>
        </w:rPr>
      </w:pPr>
      <w:r>
        <w:rPr>
          <w:rFonts w:ascii="Calibri" w:cs="Calibri" w:eastAsia="Calibri" w:hAnsi="Calibri"/>
          <w:sz w:val="20"/>
          <w:szCs w:val="20"/>
          <w:color w:val="auto"/>
        </w:rPr>
        <w:t>The purpose of Itron’s Insider Trading Policy is to assist Itron and its directors, ofcers, and employees in complying with their obligatons under federal securites laws and to prevent illegal insider trading and describes the standards of Itron and its subsidiaries (the “Company”) on trading, and causing the trading of, the Company’s securites.</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People Covered by the Policy</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This policy applies to all employees, ofcers, and directors of the Company, and their respectve family members.</w:t>
      </w:r>
    </w:p>
    <w:p>
      <w:pPr>
        <w:spacing w:after="0" w:line="225" w:lineRule="exact"/>
        <w:rPr>
          <w:sz w:val="20"/>
          <w:szCs w:val="20"/>
          <w:color w:val="auto"/>
        </w:rPr>
      </w:pPr>
    </w:p>
    <w:p>
      <w:pPr>
        <w:jc w:val="both"/>
        <w:ind w:right="60"/>
        <w:spacing w:after="0" w:line="233" w:lineRule="auto"/>
        <w:rPr>
          <w:sz w:val="20"/>
          <w:szCs w:val="20"/>
          <w:color w:val="auto"/>
        </w:rPr>
      </w:pPr>
      <w:r>
        <w:rPr>
          <w:rFonts w:ascii="Calibri" w:cs="Calibri" w:eastAsia="Calibri" w:hAnsi="Calibri"/>
          <w:sz w:val="20"/>
          <w:szCs w:val="20"/>
          <w:color w:val="auto"/>
        </w:rPr>
        <w:t>The Policy for Designated Insiders secton of this policy imposes special additonal trading restrictons for “Designated Insiders” who, by virtue of their positon or responsibilites, are presumed to frequently possess material nonpublic informaton. “Designated Insiders” are tracked on the Designated Insiders List maintained by the Corporate Legal Department, and generally include (i) directors, (ii) Secton 16 executve ofcers and ofcers of the Company at the level of Senior Vice President and above, and (iii) certain other employees that the Company may designate from tme to tme as “Designated Insiders” because of their positon, responsibilites or their actual or potental access to material informaton.</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EE2724"/>
        </w:rPr>
        <w:t>Transactons Covered by the Policy</w:t>
      </w:r>
    </w:p>
    <w:p>
      <w:pPr>
        <w:spacing w:after="0" w:line="225" w:lineRule="exact"/>
        <w:rPr>
          <w:sz w:val="20"/>
          <w:szCs w:val="20"/>
          <w:color w:val="auto"/>
        </w:rPr>
      </w:pPr>
    </w:p>
    <w:p>
      <w:pPr>
        <w:ind w:right="440"/>
        <w:spacing w:after="0" w:line="233" w:lineRule="auto"/>
        <w:rPr>
          <w:sz w:val="20"/>
          <w:szCs w:val="20"/>
          <w:color w:val="auto"/>
        </w:rPr>
      </w:pPr>
      <w:r>
        <w:rPr>
          <w:rFonts w:ascii="Calibri" w:cs="Calibri" w:eastAsia="Calibri" w:hAnsi="Calibri"/>
          <w:sz w:val="20"/>
          <w:szCs w:val="20"/>
          <w:color w:val="auto"/>
        </w:rPr>
        <w:t>This policy applies to all trading or other transactons in the Company’s securites, including common stock, optons and any other securites that the Company may issue, such as preferred stock, notes, bonds and convertble securites, as well as to derivatve securites relatng to any of the Company’s securites, whether or not issued by the Company. Transactons also include stock opton exercises, sales of restricted stock, and gifs or donatons of securites (including gifs to a charity, a family member, or otherwise).</w:t>
      </w:r>
    </w:p>
    <w:p>
      <w:pPr>
        <w:spacing w:after="0" w:line="213" w:lineRule="exact"/>
        <w:rPr>
          <w:sz w:val="20"/>
          <w:szCs w:val="20"/>
          <w:color w:val="auto"/>
        </w:rPr>
      </w:pPr>
    </w:p>
    <w:p>
      <w:pPr>
        <w:ind w:right="280"/>
        <w:spacing w:after="0" w:line="233" w:lineRule="auto"/>
        <w:rPr>
          <w:sz w:val="20"/>
          <w:szCs w:val="20"/>
          <w:color w:val="auto"/>
        </w:rPr>
      </w:pPr>
      <w:r>
        <w:rPr>
          <w:rFonts w:ascii="Calibri" w:cs="Calibri" w:eastAsia="Calibri" w:hAnsi="Calibri"/>
          <w:sz w:val="20"/>
          <w:szCs w:val="20"/>
          <w:color w:val="auto"/>
        </w:rPr>
        <w:t>This policy contnues to apply to transactons in Itron securites even afer an employee, ofcer or director has resigned or terminated employment. If a former employee, ofcer or director who resigns or separates from Itron is in possession of material nonpublic informaton at that tme, they may not trade in Itron securites untl that informaton has become public or is no longer material. Additonally, Designated Insiders remain subject to the additonal restrictons on trading Itron securites under Policy for Designated Insiders following their resignaton, separaton, or other terminaton of employment, including blackout periods and pre-clearance requirements, untl the next open window.</w:t>
      </w:r>
    </w:p>
    <w:p>
      <w:pPr>
        <w:spacing w:after="0" w:line="225" w:lineRule="exact"/>
        <w:rPr>
          <w:sz w:val="20"/>
          <w:szCs w:val="20"/>
          <w:color w:val="auto"/>
        </w:rPr>
      </w:pPr>
    </w:p>
    <w:p>
      <w:pPr>
        <w:spacing w:after="0" w:line="232" w:lineRule="auto"/>
        <w:rPr>
          <w:sz w:val="20"/>
          <w:szCs w:val="20"/>
          <w:color w:val="auto"/>
        </w:rPr>
      </w:pPr>
      <w:r>
        <w:rPr>
          <w:rFonts w:ascii="Calibri" w:cs="Calibri" w:eastAsia="Calibri" w:hAnsi="Calibri"/>
          <w:sz w:val="20"/>
          <w:szCs w:val="20"/>
          <w:color w:val="auto"/>
        </w:rPr>
        <w:t>Federal and state securites laws prohibit so-called “insider trading.” Simply stated, insider trading occurs when a person uses material nonpublic informaton obtained through involvement with the Company to make decisions to purchase, sell, give away or otherwise trade the Company’s securites or to provide that informaton to others outside the Company. The prohibitons against insider trading apply to trades, tps and recommendatons by virtually any person, including all persons associated with the Company, if the informaton involved is “material” and “nonpublic.” These terms are defned in the Insider Trading General Policy secton. Both the U.S. Securites and Exchange Commission (the “SEC”) and the Financial Industry Regulatory Authority investgate and are very efectve at detectng insider trading. The SEC and the U.S. Department of Justce pursue insider trading violatons vigorously, and the penaltes are severe. Cases have been successfully prosecuted against trading by employees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alibri" w:cs="Calibri" w:eastAsia="Calibri" w:hAnsi="Calibri"/>
          <w:sz w:val="16"/>
          <w:szCs w:val="16"/>
          <w:color w:val="auto"/>
        </w:rPr>
        <w:t>© Copyright Itron. All rights reserved.</w:t>
      </w:r>
    </w:p>
    <w:p>
      <w:pPr>
        <w:sectPr>
          <w:pgSz w:w="11900" w:h="16838" w:orient="portrait"/>
          <w:cols w:equalWidth="0" w:num="1">
            <w:col w:w="11240"/>
          </w:cols>
          <w:pgMar w:left="320" w:top="780" w:right="339" w:bottom="1440" w:gutter="0" w:footer="0" w:header="0"/>
        </w:sectPr>
      </w:pPr>
    </w:p>
    <w:bookmarkStart w:id="152" w:name="page153"/>
    <w:bookmarkEnd w:id="152"/>
    <w:p>
      <w:pPr>
        <w:ind w:left="1880"/>
        <w:spacing w:after="0"/>
        <w:rPr>
          <w:sz w:val="20"/>
          <w:szCs w:val="20"/>
          <w:color w:val="auto"/>
        </w:rPr>
      </w:pPr>
      <w:r>
        <w:rPr>
          <w:rFonts w:ascii="Calibri" w:cs="Calibri" w:eastAsia="Calibri" w:hAnsi="Calibri"/>
          <w:sz w:val="20"/>
          <w:szCs w:val="20"/>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685800" cy="4972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685800" cy="497205"/>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color w:val="auto"/>
        </w:rPr>
        <w:t>foreign accounts, trading by family members and friends, and trading involving only a small number of shares.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EE2724"/>
        </w:rPr>
        <w:t>Companies Covered by the Policy</w:t>
      </w:r>
    </w:p>
    <w:p>
      <w:pPr>
        <w:spacing w:after="0" w:line="211"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In additon to limitng trading in Itron’s securites, this policy applies to material nonpublic informaton relatng to other companies, including Itron’s customers, vendors, or suppliers, when that informaton is obtained in the course of employment with, or other services performed on behalf of, Itron. All persons covered by this policy should treat material nonpublic informaton about Itron’s business partners with the same care required with respect to informaton related directly to 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23430" cy="659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7123430" cy="659765"/>
                    </a:xfrm>
                    <a:prstGeom prst="rect">
                      <a:avLst/>
                    </a:prstGeom>
                    <a:noFill/>
                  </pic:spPr>
                </pic:pic>
              </a:graphicData>
            </a:graphic>
          </wp:anchor>
        </w:drawing>
      </w:r>
    </w:p>
    <w:p>
      <w:pPr>
        <w:spacing w:after="0" w:line="274" w:lineRule="exact"/>
        <w:rPr>
          <w:sz w:val="20"/>
          <w:szCs w:val="20"/>
          <w:color w:val="auto"/>
        </w:rPr>
      </w:pPr>
    </w:p>
    <w:p>
      <w:pPr>
        <w:ind w:left="480" w:right="240"/>
        <w:spacing w:after="0"/>
        <w:rPr>
          <w:sz w:val="20"/>
          <w:szCs w:val="20"/>
          <w:color w:val="auto"/>
        </w:rPr>
      </w:pPr>
      <w:r>
        <w:rPr>
          <w:rFonts w:ascii="Calibri" w:cs="Calibri" w:eastAsia="Calibri" w:hAnsi="Calibri"/>
          <w:sz w:val="20"/>
          <w:szCs w:val="20"/>
          <w:i w:val="1"/>
          <w:iCs w:val="1"/>
          <w:color w:val="auto"/>
        </w:rPr>
        <w:t>Example</w:t>
      </w:r>
      <w:r>
        <w:rPr>
          <w:rFonts w:ascii="Calibri" w:cs="Calibri" w:eastAsia="Calibri" w:hAnsi="Calibri"/>
          <w:sz w:val="20"/>
          <w:szCs w:val="20"/>
          <w:color w:val="auto"/>
        </w:rPr>
        <w:t>: It would be a violaton of the securites law if you learn through Itron sources that Itron intended to purchase assets of</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another company and then you buy or sell stock of that other company because of a likely increase or decrease in the value of that company’s stock.</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INSIDER TRADING GENERAL POLICY</w:t>
      </w:r>
    </w:p>
    <w:p>
      <w:pPr>
        <w:spacing w:after="0" w:line="225" w:lineRule="exact"/>
        <w:rPr>
          <w:sz w:val="20"/>
          <w:szCs w:val="20"/>
          <w:color w:val="auto"/>
        </w:rPr>
      </w:pPr>
    </w:p>
    <w:p>
      <w:pPr>
        <w:ind w:right="360"/>
        <w:spacing w:after="0" w:line="228" w:lineRule="auto"/>
        <w:rPr>
          <w:sz w:val="20"/>
          <w:szCs w:val="20"/>
          <w:color w:val="auto"/>
        </w:rPr>
      </w:pPr>
      <w:r>
        <w:rPr>
          <w:rFonts w:ascii="Calibri" w:cs="Calibri" w:eastAsia="Calibri" w:hAnsi="Calibri"/>
          <w:sz w:val="20"/>
          <w:szCs w:val="20"/>
          <w:color w:val="auto"/>
        </w:rPr>
        <w:t>No director, ofcer, employee, or any of their immediate family members, may trade or cause trading while in possession of material nonpublic informaton.</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Prohibited Transactons:</w:t>
      </w:r>
    </w:p>
    <w:p>
      <w:pPr>
        <w:spacing w:after="0" w:line="225" w:lineRule="exact"/>
        <w:rPr>
          <w:sz w:val="20"/>
          <w:szCs w:val="20"/>
          <w:color w:val="auto"/>
        </w:rPr>
      </w:pPr>
    </w:p>
    <w:p>
      <w:pPr>
        <w:ind w:left="660" w:right="360" w:hanging="4"/>
        <w:spacing w:after="0" w:line="231" w:lineRule="auto"/>
        <w:tabs>
          <w:tab w:leader="none" w:pos="1303" w:val="left"/>
        </w:tabs>
        <w:numPr>
          <w:ilvl w:val="0"/>
          <w:numId w:val="73"/>
        </w:numPr>
        <w:rPr>
          <w:rFonts w:ascii="Calibri" w:cs="Calibri" w:eastAsia="Calibri" w:hAnsi="Calibri"/>
          <w:sz w:val="20"/>
          <w:szCs w:val="20"/>
          <w:color w:val="auto"/>
        </w:rPr>
      </w:pPr>
      <w:r>
        <w:rPr>
          <w:rFonts w:ascii="Calibri" w:cs="Calibri" w:eastAsia="Calibri" w:hAnsi="Calibri"/>
          <w:sz w:val="20"/>
          <w:szCs w:val="20"/>
          <w:i w:val="1"/>
          <w:iCs w:val="1"/>
          <w:u w:val="single" w:color="auto"/>
          <w:color w:val="auto"/>
        </w:rPr>
        <w:t>No trading or causing trading while in possession of material nonpublic informaton.</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You may not trade on material</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nonpublic informaton, which is to purchase or sell, or ofer to purchase or sell, any Company security, whether or not issued by the Company, while in possession of material nonpublic informaton about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23430" cy="659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7123430" cy="659765"/>
                    </a:xfrm>
                    <a:prstGeom prst="rect">
                      <a:avLst/>
                    </a:prstGeom>
                    <a:noFill/>
                  </pic:spPr>
                </pic:pic>
              </a:graphicData>
            </a:graphic>
          </wp:anchor>
        </w:drawing>
      </w:r>
    </w:p>
    <w:p>
      <w:pPr>
        <w:spacing w:after="0" w:line="261" w:lineRule="exact"/>
        <w:rPr>
          <w:sz w:val="20"/>
          <w:szCs w:val="20"/>
          <w:color w:val="auto"/>
        </w:rPr>
      </w:pPr>
    </w:p>
    <w:p>
      <w:pPr>
        <w:ind w:left="600" w:right="760"/>
        <w:spacing w:after="0"/>
        <w:rPr>
          <w:sz w:val="20"/>
          <w:szCs w:val="20"/>
          <w:color w:val="auto"/>
        </w:rPr>
      </w:pPr>
      <w:r>
        <w:rPr>
          <w:rFonts w:ascii="Calibri" w:cs="Calibri" w:eastAsia="Calibri" w:hAnsi="Calibri"/>
          <w:sz w:val="20"/>
          <w:szCs w:val="20"/>
          <w:i w:val="1"/>
          <w:iCs w:val="1"/>
          <w:color w:val="auto"/>
        </w:rPr>
        <w:t>Example</w:t>
      </w:r>
      <w:r>
        <w:rPr>
          <w:rFonts w:ascii="Calibri" w:cs="Calibri" w:eastAsia="Calibri" w:hAnsi="Calibri"/>
          <w:sz w:val="20"/>
          <w:szCs w:val="20"/>
          <w:color w:val="auto"/>
        </w:rPr>
        <w:t>: If you learn that Itron exceeded its fnancial expectatons prior to the public release of those fnancials and you</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purchase Itron stock before such informaton is made public and absorbed, you will have traded on material, nonpublic informaton and therefore violated the law.</w:t>
      </w:r>
    </w:p>
    <w:p>
      <w:pPr>
        <w:spacing w:after="0" w:line="200" w:lineRule="exact"/>
        <w:rPr>
          <w:sz w:val="20"/>
          <w:szCs w:val="20"/>
          <w:color w:val="auto"/>
        </w:rPr>
      </w:pPr>
    </w:p>
    <w:p>
      <w:pPr>
        <w:spacing w:after="0" w:line="377" w:lineRule="exact"/>
        <w:rPr>
          <w:sz w:val="20"/>
          <w:szCs w:val="20"/>
          <w:color w:val="auto"/>
        </w:rPr>
      </w:pPr>
    </w:p>
    <w:p>
      <w:pPr>
        <w:ind w:left="660" w:right="140" w:hanging="4"/>
        <w:spacing w:after="0" w:line="233" w:lineRule="auto"/>
        <w:tabs>
          <w:tab w:leader="none" w:pos="1299" w:val="left"/>
        </w:tabs>
        <w:numPr>
          <w:ilvl w:val="0"/>
          <w:numId w:val="74"/>
        </w:numPr>
        <w:rPr>
          <w:rFonts w:ascii="Calibri" w:cs="Calibri" w:eastAsia="Calibri" w:hAnsi="Calibri"/>
          <w:sz w:val="20"/>
          <w:szCs w:val="20"/>
          <w:color w:val="auto"/>
        </w:rPr>
      </w:pPr>
      <w:r>
        <w:rPr>
          <w:rFonts w:ascii="Calibri" w:cs="Calibri" w:eastAsia="Calibri" w:hAnsi="Calibri"/>
          <w:sz w:val="20"/>
          <w:szCs w:val="20"/>
          <w:i w:val="1"/>
          <w:iCs w:val="1"/>
          <w:u w:val="single" w:color="auto"/>
          <w:color w:val="auto"/>
        </w:rPr>
        <w:t>No Tipping.</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You may not disclose (“tp”) material nonpublic informaton to any other person where such informaton</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may be used by such person to his or her beneft by trading in the securites of the Company to which such informaton relates, nor shall you make any recommendatons or express any opinions as to trading in Itron’s securites to any other person on the basis of material nonpublic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23430" cy="660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7123430" cy="660400"/>
                    </a:xfrm>
                    <a:prstGeom prst="rect">
                      <a:avLst/>
                    </a:prstGeom>
                    <a:noFill/>
                  </pic:spPr>
                </pic:pic>
              </a:graphicData>
            </a:graphic>
          </wp:anchor>
        </w:drawing>
      </w:r>
    </w:p>
    <w:p>
      <w:pPr>
        <w:spacing w:after="0" w:line="260" w:lineRule="exact"/>
        <w:rPr>
          <w:sz w:val="20"/>
          <w:szCs w:val="20"/>
          <w:color w:val="auto"/>
        </w:rPr>
      </w:pPr>
    </w:p>
    <w:p>
      <w:pPr>
        <w:jc w:val="both"/>
        <w:ind w:left="600" w:right="360"/>
        <w:spacing w:after="0"/>
        <w:rPr>
          <w:sz w:val="20"/>
          <w:szCs w:val="20"/>
          <w:color w:val="auto"/>
        </w:rPr>
      </w:pPr>
      <w:r>
        <w:rPr>
          <w:rFonts w:ascii="Calibri" w:cs="Calibri" w:eastAsia="Calibri" w:hAnsi="Calibri"/>
          <w:sz w:val="20"/>
          <w:szCs w:val="20"/>
          <w:i w:val="1"/>
          <w:iCs w:val="1"/>
          <w:color w:val="auto"/>
        </w:rPr>
        <w:t>Example</w:t>
      </w:r>
      <w:r>
        <w:rPr>
          <w:rFonts w:ascii="Calibri" w:cs="Calibri" w:eastAsia="Calibri" w:hAnsi="Calibri"/>
          <w:sz w:val="20"/>
          <w:szCs w:val="20"/>
          <w:color w:val="auto"/>
        </w:rPr>
        <w:t>: You are part of a project team that has successfully developed revolutonary technology, the news of which has not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been released. You share this informaton with your best friend from college, who then purchases shares of Itron stock based on this informaton. You “tpped” your friend, and you may both be subject to liability for insider trading.</w:t>
      </w:r>
    </w:p>
    <w:p>
      <w:pPr>
        <w:spacing w:after="0" w:line="200" w:lineRule="exact"/>
        <w:rPr>
          <w:sz w:val="20"/>
          <w:szCs w:val="20"/>
          <w:color w:val="auto"/>
        </w:rPr>
      </w:pPr>
    </w:p>
    <w:p>
      <w:pPr>
        <w:spacing w:after="0" w:line="377" w:lineRule="exact"/>
        <w:rPr>
          <w:sz w:val="20"/>
          <w:szCs w:val="20"/>
          <w:color w:val="auto"/>
        </w:rPr>
      </w:pPr>
    </w:p>
    <w:p>
      <w:pPr>
        <w:ind w:left="660" w:right="200" w:hanging="4"/>
        <w:spacing w:after="0" w:line="231" w:lineRule="auto"/>
        <w:tabs>
          <w:tab w:leader="none" w:pos="1292" w:val="left"/>
        </w:tabs>
        <w:numPr>
          <w:ilvl w:val="0"/>
          <w:numId w:val="75"/>
        </w:numPr>
        <w:rPr>
          <w:rFonts w:ascii="Calibri" w:cs="Calibri" w:eastAsia="Calibri" w:hAnsi="Calibri"/>
          <w:sz w:val="20"/>
          <w:szCs w:val="20"/>
          <w:color w:val="auto"/>
        </w:rPr>
      </w:pPr>
      <w:r>
        <w:rPr>
          <w:rFonts w:ascii="Calibri" w:cs="Calibri" w:eastAsia="Calibri" w:hAnsi="Calibri"/>
          <w:sz w:val="20"/>
          <w:szCs w:val="20"/>
          <w:i w:val="1"/>
          <w:iCs w:val="1"/>
          <w:u w:val="single" w:color="auto"/>
          <w:color w:val="auto"/>
        </w:rPr>
        <w:t>No Short Sales.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You may not engage in the short sale of Itron’s securites. A short sale is the (1) sale of securites not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owned by the seller at the tme of the trade or (2) failure of the seller to deliver the securites against a sale within twenty (20) days afer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alibri" w:cs="Calibri" w:eastAsia="Calibri" w:hAnsi="Calibri"/>
          <w:sz w:val="16"/>
          <w:szCs w:val="16"/>
          <w:color w:val="auto"/>
        </w:rPr>
        <w:t>© Copyright Itron. All rights reserved.</w:t>
      </w:r>
    </w:p>
    <w:p>
      <w:pPr>
        <w:sectPr>
          <w:pgSz w:w="11900" w:h="16838" w:orient="portrait"/>
          <w:cols w:equalWidth="0" w:num="1">
            <w:col w:w="11220"/>
          </w:cols>
          <w:pgMar w:left="320" w:top="781" w:right="359" w:bottom="1440" w:gutter="0" w:footer="0" w:header="0"/>
        </w:sectPr>
      </w:pPr>
    </w:p>
    <w:bookmarkStart w:id="153" w:name="page154"/>
    <w:bookmarkEnd w:id="153"/>
    <w:p>
      <w:pPr>
        <w:ind w:left="1880"/>
        <w:spacing w:after="0"/>
        <w:rPr>
          <w:sz w:val="20"/>
          <w:szCs w:val="20"/>
          <w:color w:val="auto"/>
        </w:rPr>
      </w:pPr>
      <w:r>
        <w:rPr>
          <w:rFonts w:ascii="Calibri" w:cs="Calibri" w:eastAsia="Calibri" w:hAnsi="Calibri"/>
          <w:sz w:val="20"/>
          <w:szCs w:val="20"/>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685800" cy="4972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685800" cy="497205"/>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right="100" w:firstLine="5"/>
        <w:spacing w:after="0" w:line="234" w:lineRule="auto"/>
        <w:tabs>
          <w:tab w:leader="none" w:pos="1294" w:val="left"/>
        </w:tabs>
        <w:numPr>
          <w:ilvl w:val="0"/>
          <w:numId w:val="76"/>
        </w:numPr>
        <w:rPr>
          <w:rFonts w:ascii="Calibri" w:cs="Calibri" w:eastAsia="Calibri" w:hAnsi="Calibri"/>
          <w:sz w:val="20"/>
          <w:szCs w:val="20"/>
          <w:color w:val="auto"/>
        </w:rPr>
      </w:pPr>
      <w:r>
        <w:rPr>
          <w:rFonts w:ascii="Calibri" w:cs="Calibri" w:eastAsia="Calibri" w:hAnsi="Calibri"/>
          <w:sz w:val="20"/>
          <w:szCs w:val="20"/>
          <w:i w:val="1"/>
          <w:iCs w:val="1"/>
          <w:u w:val="single" w:color="auto"/>
          <w:color w:val="auto"/>
        </w:rPr>
        <w:t>No Publicly Trade Optons.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You may not engage in transactons in publicly traded optons, such as puts, calls, and other</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derivatve securites, on an exchange or in any other organized market.</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Permited Transactons: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This policy does not apply to the following:</w:t>
      </w:r>
    </w:p>
    <w:p>
      <w:pPr>
        <w:spacing w:after="0" w:line="211" w:lineRule="exact"/>
        <w:rPr>
          <w:sz w:val="20"/>
          <w:szCs w:val="20"/>
          <w:color w:val="auto"/>
        </w:rPr>
      </w:pPr>
    </w:p>
    <w:p>
      <w:pPr>
        <w:jc w:val="both"/>
        <w:ind w:left="980" w:right="200" w:hanging="323"/>
        <w:spacing w:after="0" w:line="233" w:lineRule="auto"/>
        <w:tabs>
          <w:tab w:leader="none" w:pos="970" w:val="left"/>
        </w:tabs>
        <w:numPr>
          <w:ilvl w:val="0"/>
          <w:numId w:val="77"/>
        </w:numPr>
        <w:rPr>
          <w:rFonts w:ascii="Arial" w:cs="Arial" w:eastAsia="Arial" w:hAnsi="Arial"/>
          <w:sz w:val="18"/>
          <w:szCs w:val="18"/>
          <w:color w:val="auto"/>
        </w:rPr>
      </w:pPr>
      <w:r>
        <w:rPr>
          <w:rFonts w:ascii="Calibri" w:cs="Calibri" w:eastAsia="Calibri" w:hAnsi="Calibri"/>
          <w:sz w:val="20"/>
          <w:szCs w:val="20"/>
          <w:i w:val="1"/>
          <w:iCs w:val="1"/>
          <w:u w:val="single" w:color="auto"/>
          <w:color w:val="auto"/>
        </w:rPr>
        <w:t>Exercising Stock Optons with Cash.</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Exercises in stock optons granted under Itron’s equity compensaton plans with cash</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are not covered by the trading restrictons of this policy; however, this excepton does not include the subsequent sale of the shares acquired pursuant to the exercise of a stock opton. Therefore, a “cashless” exercise is equivalent to a sale and as such is a transacton subject to insider trading restrictons.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23430" cy="5054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7123430" cy="505460"/>
                    </a:xfrm>
                    <a:prstGeom prst="rect">
                      <a:avLst/>
                    </a:prstGeom>
                    <a:noFill/>
                  </pic:spPr>
                </pic:pic>
              </a:graphicData>
            </a:graphic>
          </wp:anchor>
        </w:drawing>
      </w:r>
    </w:p>
    <w:p>
      <w:pPr>
        <w:spacing w:after="0" w:line="274" w:lineRule="exact"/>
        <w:rPr>
          <w:sz w:val="20"/>
          <w:szCs w:val="20"/>
          <w:color w:val="auto"/>
        </w:rPr>
      </w:pPr>
    </w:p>
    <w:p>
      <w:pPr>
        <w:ind w:left="660" w:right="200"/>
        <w:spacing w:after="0" w:line="234" w:lineRule="auto"/>
        <w:rPr>
          <w:sz w:val="20"/>
          <w:szCs w:val="20"/>
          <w:color w:val="auto"/>
        </w:rPr>
      </w:pPr>
      <w:r>
        <w:rPr>
          <w:rFonts w:ascii="Calibri" w:cs="Calibri" w:eastAsia="Calibri" w:hAnsi="Calibri"/>
          <w:sz w:val="20"/>
          <w:szCs w:val="20"/>
          <w:i w:val="1"/>
          <w:iCs w:val="1"/>
          <w:color w:val="auto"/>
        </w:rPr>
        <w:t>Example</w:t>
      </w:r>
      <w:r>
        <w:rPr>
          <w:rFonts w:ascii="Calibri" w:cs="Calibri" w:eastAsia="Calibri" w:hAnsi="Calibri"/>
          <w:sz w:val="20"/>
          <w:szCs w:val="20"/>
          <w:color w:val="auto"/>
        </w:rPr>
        <w:t>: You may exercise stock optons with cash even if you are aware of material, nonpublic informaton or if the exercise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occurs during the restricted period.</w:t>
      </w:r>
    </w:p>
    <w:p>
      <w:pPr>
        <w:spacing w:after="0" w:line="200" w:lineRule="exact"/>
        <w:rPr>
          <w:sz w:val="20"/>
          <w:szCs w:val="20"/>
          <w:color w:val="auto"/>
        </w:rPr>
      </w:pPr>
    </w:p>
    <w:p>
      <w:pPr>
        <w:spacing w:after="0" w:line="377" w:lineRule="exact"/>
        <w:rPr>
          <w:sz w:val="20"/>
          <w:szCs w:val="20"/>
          <w:color w:val="auto"/>
        </w:rPr>
      </w:pPr>
    </w:p>
    <w:p>
      <w:pPr>
        <w:ind w:left="980" w:right="160" w:hanging="323"/>
        <w:spacing w:after="0" w:line="236" w:lineRule="auto"/>
        <w:tabs>
          <w:tab w:leader="none" w:pos="970" w:val="left"/>
        </w:tabs>
        <w:numPr>
          <w:ilvl w:val="0"/>
          <w:numId w:val="78"/>
        </w:numPr>
        <w:rPr>
          <w:rFonts w:ascii="Arial" w:cs="Arial" w:eastAsia="Arial" w:hAnsi="Arial"/>
          <w:sz w:val="18"/>
          <w:szCs w:val="18"/>
          <w:color w:val="auto"/>
        </w:rPr>
      </w:pPr>
      <w:r>
        <w:rPr>
          <w:rFonts w:ascii="Calibri" w:cs="Calibri" w:eastAsia="Calibri" w:hAnsi="Calibri"/>
          <w:sz w:val="20"/>
          <w:szCs w:val="20"/>
          <w:i w:val="1"/>
          <w:iCs w:val="1"/>
          <w:u w:val="single" w:color="auto"/>
          <w:color w:val="auto"/>
        </w:rPr>
        <w:t>Sale of Stock for Tax Withholding with Vestng RSUs.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This policy’s trading restrictons do not apply to the payment of taxes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upon the vestng of shares of restricted stock under Itron’s equity compensaton plans by surrender of shares of such vestng restricted stock.</w:t>
      </w:r>
    </w:p>
    <w:p>
      <w:pPr>
        <w:spacing w:after="0" w:line="211" w:lineRule="exact"/>
        <w:rPr>
          <w:rFonts w:ascii="Arial" w:cs="Arial" w:eastAsia="Arial" w:hAnsi="Arial"/>
          <w:sz w:val="18"/>
          <w:szCs w:val="18"/>
          <w:color w:val="auto"/>
        </w:rPr>
      </w:pPr>
    </w:p>
    <w:p>
      <w:pPr>
        <w:ind w:left="980" w:right="220" w:hanging="324"/>
        <w:spacing w:after="0" w:line="234" w:lineRule="auto"/>
        <w:tabs>
          <w:tab w:leader="none" w:pos="974" w:val="left"/>
        </w:tabs>
        <w:numPr>
          <w:ilvl w:val="0"/>
          <w:numId w:val="78"/>
        </w:numPr>
        <w:rPr>
          <w:rFonts w:ascii="Arial" w:cs="Arial" w:eastAsia="Arial" w:hAnsi="Arial"/>
          <w:sz w:val="18"/>
          <w:szCs w:val="18"/>
          <w:color w:val="auto"/>
        </w:rPr>
      </w:pPr>
      <w:r>
        <w:rPr>
          <w:rFonts w:ascii="Calibri" w:cs="Calibri" w:eastAsia="Calibri" w:hAnsi="Calibri"/>
          <w:sz w:val="20"/>
          <w:szCs w:val="20"/>
          <w:i w:val="1"/>
          <w:iCs w:val="1"/>
          <w:u w:val="single" w:color="auto"/>
          <w:color w:val="auto"/>
        </w:rPr>
        <w:t>Purchase of Stock Pursuant to Employee Stock Purchase Plan.</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This policy’s trading restrictons do not apply if you are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purchasing Itron stock in the employee stock purchase plan through regular periodic payroll contributons to the plan. However, these restrictons do apply if you are making additonal contributons, deciding to partcipate in the plan, or changing the level of your partcipaton in the plan, when you are in possession of material, nonpublic informaton about Itron. The trading restrictons do apply to any sale of Itron stock purchased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23430" cy="3429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7123430" cy="342900"/>
                    </a:xfrm>
                    <a:prstGeom prst="rect">
                      <a:avLst/>
                    </a:prstGeom>
                    <a:noFill/>
                  </pic:spPr>
                </pic:pic>
              </a:graphicData>
            </a:graphic>
          </wp:anchor>
        </w:drawing>
      </w:r>
    </w:p>
    <w:p>
      <w:pPr>
        <w:spacing w:after="0" w:line="252" w:lineRule="exact"/>
        <w:rPr>
          <w:sz w:val="20"/>
          <w:szCs w:val="20"/>
          <w:color w:val="auto"/>
        </w:rPr>
      </w:pPr>
    </w:p>
    <w:p>
      <w:pPr>
        <w:ind w:left="660"/>
        <w:spacing w:after="0"/>
        <w:rPr>
          <w:sz w:val="20"/>
          <w:szCs w:val="20"/>
          <w:color w:val="auto"/>
        </w:rPr>
      </w:pPr>
      <w:r>
        <w:rPr>
          <w:rFonts w:ascii="Calibri" w:cs="Calibri" w:eastAsia="Calibri" w:hAnsi="Calibri"/>
          <w:sz w:val="20"/>
          <w:szCs w:val="20"/>
          <w:i w:val="1"/>
          <w:iCs w:val="1"/>
          <w:color w:val="auto"/>
        </w:rPr>
        <w:t>Example</w:t>
      </w:r>
      <w:r>
        <w:rPr>
          <w:rFonts w:ascii="Calibri" w:cs="Calibri" w:eastAsia="Calibri" w:hAnsi="Calibri"/>
          <w:sz w:val="20"/>
          <w:szCs w:val="20"/>
          <w:color w:val="auto"/>
        </w:rPr>
        <w:t>: You may not increase your contributon to the ESPP if you are aware of material, nonpublic informaton.</w:t>
      </w:r>
    </w:p>
    <w:p>
      <w:pPr>
        <w:spacing w:after="0" w:line="200" w:lineRule="exact"/>
        <w:rPr>
          <w:sz w:val="20"/>
          <w:szCs w:val="20"/>
          <w:color w:val="auto"/>
        </w:rPr>
      </w:pPr>
    </w:p>
    <w:p>
      <w:pPr>
        <w:spacing w:after="0" w:line="376" w:lineRule="exact"/>
        <w:rPr>
          <w:sz w:val="20"/>
          <w:szCs w:val="20"/>
          <w:color w:val="auto"/>
        </w:rPr>
      </w:pPr>
    </w:p>
    <w:p>
      <w:pPr>
        <w:ind w:left="980" w:right="120" w:hanging="324"/>
        <w:spacing w:after="0" w:line="233" w:lineRule="auto"/>
        <w:tabs>
          <w:tab w:leader="none" w:pos="970" w:val="left"/>
        </w:tabs>
        <w:numPr>
          <w:ilvl w:val="0"/>
          <w:numId w:val="79"/>
        </w:numPr>
        <w:rPr>
          <w:rFonts w:ascii="Arial" w:cs="Arial" w:eastAsia="Arial" w:hAnsi="Arial"/>
          <w:sz w:val="18"/>
          <w:szCs w:val="18"/>
          <w:color w:val="auto"/>
        </w:rPr>
      </w:pPr>
      <w:r>
        <w:rPr>
          <w:rFonts w:ascii="Calibri" w:cs="Calibri" w:eastAsia="Calibri" w:hAnsi="Calibri"/>
          <w:sz w:val="20"/>
          <w:szCs w:val="20"/>
          <w:i w:val="1"/>
          <w:iCs w:val="1"/>
          <w:u w:val="single" w:color="auto"/>
          <w:color w:val="auto"/>
        </w:rPr>
        <w:t>Transactons Pursuant to 10b5-1 Trading Plans.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This policy’s trading restrictons do not apply to purchases or sales of Itron</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stock made pursuant to a trading plan adopted in accordance with SEC Rule 10b5-1(c) (a “</w:t>
      </w:r>
      <w:r>
        <w:rPr>
          <w:rFonts w:ascii="Calibri" w:cs="Calibri" w:eastAsia="Calibri" w:hAnsi="Calibri"/>
          <w:sz w:val="20"/>
          <w:szCs w:val="20"/>
          <w:b w:val="1"/>
          <w:bCs w:val="1"/>
          <w:i w:val="1"/>
          <w:iCs w:val="1"/>
          <w:color w:val="auto"/>
        </w:rPr>
        <w:t>Rule 10b5-1 Plan</w:t>
      </w:r>
      <w:r>
        <w:rPr>
          <w:rFonts w:ascii="Calibri" w:cs="Calibri" w:eastAsia="Calibri" w:hAnsi="Calibri"/>
          <w:sz w:val="20"/>
          <w:szCs w:val="20"/>
          <w:color w:val="auto"/>
        </w:rPr>
        <w:t>”). No trade shall be treated as having been made pursuant to a Rule 10b5-1 Plan under this policy unless it complies with the requirements and restrictons set forth in the Trading Plans secton of this policy.</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Individual Responsibility</w:t>
      </w:r>
    </w:p>
    <w:p>
      <w:pPr>
        <w:spacing w:after="0" w:line="225"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Itron depends upon the conduct and diligence of its employees, ofcers, and directors, in both their professional and personal capacites, to ensure full compliance with this policy. It is your personal obligaton and responsibility to act in a manner consistent with this policy and avoid improper trading. In all cases, the responsibility for determining whether you are in possession of material, nonpublic informaton ultmately rests with you, and any acton on the part of the Itron, including pre‐clearance of a trade as described in the Trading Plans secton of this policy, does not in any way consttute legal advice or insulate you from potental liability under applicable securites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alibri" w:cs="Calibri" w:eastAsia="Calibri" w:hAnsi="Calibri"/>
          <w:sz w:val="16"/>
          <w:szCs w:val="16"/>
          <w:color w:val="auto"/>
        </w:rPr>
        <w:t>© Copyright Itron. All rights reserved.</w:t>
      </w:r>
    </w:p>
    <w:p>
      <w:pPr>
        <w:sectPr>
          <w:pgSz w:w="11900" w:h="16838" w:orient="portrait"/>
          <w:cols w:equalWidth="0" w:num="1">
            <w:col w:w="11080"/>
          </w:cols>
          <w:pgMar w:left="320" w:top="781" w:right="499" w:bottom="1440" w:gutter="0" w:footer="0" w:header="0"/>
        </w:sectPr>
      </w:pPr>
    </w:p>
    <w:bookmarkStart w:id="154" w:name="page155"/>
    <w:bookmarkEnd w:id="154"/>
    <w:p>
      <w:pPr>
        <w:ind w:left="1880"/>
        <w:spacing w:after="0"/>
        <w:rPr>
          <w:sz w:val="20"/>
          <w:szCs w:val="20"/>
          <w:color w:val="auto"/>
        </w:rPr>
      </w:pPr>
      <w:r>
        <w:rPr>
          <w:rFonts w:ascii="Calibri" w:cs="Calibri" w:eastAsia="Calibri" w:hAnsi="Calibri"/>
          <w:sz w:val="20"/>
          <w:szCs w:val="20"/>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685800" cy="4972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685800" cy="497205"/>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33" w:lineRule="auto"/>
        <w:rPr>
          <w:sz w:val="20"/>
          <w:szCs w:val="20"/>
          <w:color w:val="auto"/>
        </w:rPr>
      </w:pPr>
      <w:r>
        <w:rPr>
          <w:rFonts w:ascii="Calibri" w:cs="Calibri" w:eastAsia="Calibri" w:hAnsi="Calibri"/>
          <w:sz w:val="20"/>
          <w:szCs w:val="20"/>
          <w:color w:val="auto"/>
        </w:rPr>
        <w:t>Be aware that if your securites transactons become the subject of scrutny, they will be viewed afer‐the‐fact with the beneft of 20/20 hindsight, and the mere fact that someone traded on the basis of the informaton will contribute to the conclusion that it was material. As a result, before engaging in any transacton you should carefully consider how regulators and others might view your transacton in hindsight.</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INSIDER TRADING: “MATERIAL” AND “NONPUBLIC” INFORMATION</w:t>
      </w:r>
    </w:p>
    <w:p>
      <w:pPr>
        <w:spacing w:after="0" w:line="225"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Insider trading prohibits (1) trading on the basis of material, nonpublic informaton, (2) disclosing or “tpping” material nonpublic informaton to others or recommending the purchase or sale of securites on the basis of such informaton, or (3) assistng someone who is engaged in any of the above actvites.</w:t>
      </w:r>
    </w:p>
    <w:p>
      <w:pPr>
        <w:spacing w:after="0" w:line="227" w:lineRule="exact"/>
        <w:rPr>
          <w:sz w:val="20"/>
          <w:szCs w:val="20"/>
          <w:color w:val="auto"/>
        </w:rPr>
      </w:pPr>
    </w:p>
    <w:p>
      <w:pPr>
        <w:ind w:left="660" w:right="540" w:hanging="302"/>
        <w:spacing w:after="0" w:line="233" w:lineRule="auto"/>
        <w:tabs>
          <w:tab w:leader="none" w:pos="654" w:val="left"/>
        </w:tabs>
        <w:numPr>
          <w:ilvl w:val="0"/>
          <w:numId w:val="80"/>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Material</w:t>
      </w:r>
      <w:r>
        <w:rPr>
          <w:rFonts w:ascii="Calibri" w:cs="Calibri" w:eastAsia="Calibri" w:hAnsi="Calibri"/>
          <w:sz w:val="20"/>
          <w:szCs w:val="20"/>
          <w:color w:val="auto"/>
        </w:rPr>
        <w:t>. Insider trading restrictons come into play only if the informaton you possess is “material.” Materiality, however,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involves a relatvely low threshold. Material informaton is any informaton a reasonable investor, given the total mix of informaton available, would rely on in deciding to purchase, sell, or hold a security to which the informaton relates. The materiality of partcular informaton is subject to reassessment on a regular basis.</w:t>
      </w:r>
    </w:p>
    <w:p>
      <w:pPr>
        <w:spacing w:after="0" w:line="203" w:lineRule="exact"/>
        <w:rPr>
          <w:rFonts w:ascii="Calibri" w:cs="Calibri" w:eastAsia="Calibri" w:hAnsi="Calibri"/>
          <w:sz w:val="20"/>
          <w:szCs w:val="20"/>
          <w:color w:val="auto"/>
        </w:rPr>
      </w:pPr>
    </w:p>
    <w:p>
      <w:pPr>
        <w:ind w:left="660"/>
        <w:spacing w:after="0"/>
        <w:rPr>
          <w:rFonts w:ascii="Calibri" w:cs="Calibri" w:eastAsia="Calibri" w:hAnsi="Calibri"/>
          <w:sz w:val="20"/>
          <w:szCs w:val="20"/>
          <w:color w:val="auto"/>
        </w:rPr>
      </w:pPr>
      <w:r>
        <w:rPr>
          <w:rFonts w:ascii="Calibri" w:cs="Calibri" w:eastAsia="Calibri" w:hAnsi="Calibri"/>
          <w:sz w:val="20"/>
          <w:szCs w:val="20"/>
          <w:color w:val="auto"/>
        </w:rPr>
        <w:t>Examples of informaton that is generally regarded as material are:</w:t>
      </w:r>
    </w:p>
    <w:p>
      <w:pPr>
        <w:spacing w:after="0" w:line="214" w:lineRule="exact"/>
        <w:rPr>
          <w:rFonts w:ascii="Calibri" w:cs="Calibri" w:eastAsia="Calibri" w:hAnsi="Calibri"/>
          <w:sz w:val="20"/>
          <w:szCs w:val="20"/>
          <w:color w:val="auto"/>
        </w:rPr>
      </w:pPr>
    </w:p>
    <w:p>
      <w:pPr>
        <w:ind w:left="1300" w:hanging="319"/>
        <w:spacing w:after="0"/>
        <w:tabs>
          <w:tab w:leader="none" w:pos="1300" w:val="left"/>
        </w:tabs>
        <w:numPr>
          <w:ilvl w:val="1"/>
          <w:numId w:val="80"/>
        </w:numPr>
        <w:rPr>
          <w:rFonts w:ascii="Arial" w:cs="Arial" w:eastAsia="Arial" w:hAnsi="Arial"/>
          <w:sz w:val="18"/>
          <w:szCs w:val="18"/>
          <w:color w:val="auto"/>
        </w:rPr>
      </w:pPr>
      <w:r>
        <w:rPr>
          <w:rFonts w:ascii="Calibri" w:cs="Calibri" w:eastAsia="Calibri" w:hAnsi="Calibri"/>
          <w:sz w:val="20"/>
          <w:szCs w:val="20"/>
          <w:color w:val="auto"/>
        </w:rPr>
        <w:t>Unpublished fnancial results.</w:t>
      </w:r>
    </w:p>
    <w:p>
      <w:pPr>
        <w:spacing w:after="0" w:line="201" w:lineRule="exact"/>
        <w:rPr>
          <w:rFonts w:ascii="Arial" w:cs="Arial" w:eastAsia="Arial" w:hAnsi="Arial"/>
          <w:sz w:val="18"/>
          <w:szCs w:val="18"/>
          <w:color w:val="auto"/>
        </w:rPr>
      </w:pPr>
    </w:p>
    <w:p>
      <w:pPr>
        <w:ind w:left="1300" w:hanging="319"/>
        <w:spacing w:after="0"/>
        <w:tabs>
          <w:tab w:leader="none" w:pos="1300" w:val="left"/>
        </w:tabs>
        <w:numPr>
          <w:ilvl w:val="1"/>
          <w:numId w:val="80"/>
        </w:numPr>
        <w:rPr>
          <w:rFonts w:ascii="Arial" w:cs="Arial" w:eastAsia="Arial" w:hAnsi="Arial"/>
          <w:sz w:val="18"/>
          <w:szCs w:val="18"/>
          <w:color w:val="auto"/>
        </w:rPr>
      </w:pPr>
      <w:r>
        <w:rPr>
          <w:rFonts w:ascii="Calibri" w:cs="Calibri" w:eastAsia="Calibri" w:hAnsi="Calibri"/>
          <w:sz w:val="20"/>
          <w:szCs w:val="20"/>
          <w:color w:val="auto"/>
        </w:rPr>
        <w:t>Projectons of future earnings or losses.</w:t>
      </w:r>
    </w:p>
    <w:p>
      <w:pPr>
        <w:spacing w:after="0" w:line="214" w:lineRule="exact"/>
        <w:rPr>
          <w:rFonts w:ascii="Arial" w:cs="Arial" w:eastAsia="Arial" w:hAnsi="Arial"/>
          <w:sz w:val="18"/>
          <w:szCs w:val="18"/>
          <w:color w:val="auto"/>
        </w:rPr>
      </w:pPr>
    </w:p>
    <w:p>
      <w:pPr>
        <w:ind w:left="1300" w:hanging="319"/>
        <w:spacing w:after="0"/>
        <w:tabs>
          <w:tab w:leader="none" w:pos="1300" w:val="left"/>
        </w:tabs>
        <w:numPr>
          <w:ilvl w:val="1"/>
          <w:numId w:val="80"/>
        </w:numPr>
        <w:rPr>
          <w:rFonts w:ascii="Arial" w:cs="Arial" w:eastAsia="Arial" w:hAnsi="Arial"/>
          <w:sz w:val="18"/>
          <w:szCs w:val="18"/>
          <w:color w:val="auto"/>
        </w:rPr>
      </w:pPr>
      <w:r>
        <w:rPr>
          <w:rFonts w:ascii="Calibri" w:cs="Calibri" w:eastAsia="Calibri" w:hAnsi="Calibri"/>
          <w:sz w:val="20"/>
          <w:szCs w:val="20"/>
          <w:color w:val="auto"/>
        </w:rPr>
        <w:t>Changes in earnings estmates or unusual gains or losses in major operatons</w:t>
      </w:r>
    </w:p>
    <w:p>
      <w:pPr>
        <w:spacing w:after="0" w:line="224" w:lineRule="exact"/>
        <w:rPr>
          <w:rFonts w:ascii="Arial" w:cs="Arial" w:eastAsia="Arial" w:hAnsi="Arial"/>
          <w:sz w:val="18"/>
          <w:szCs w:val="18"/>
          <w:color w:val="auto"/>
        </w:rPr>
      </w:pPr>
    </w:p>
    <w:p>
      <w:pPr>
        <w:ind w:left="1300" w:right="480" w:hanging="319"/>
        <w:spacing w:after="0" w:line="228" w:lineRule="auto"/>
        <w:tabs>
          <w:tab w:leader="none" w:pos="1295" w:val="left"/>
        </w:tabs>
        <w:numPr>
          <w:ilvl w:val="1"/>
          <w:numId w:val="80"/>
        </w:numPr>
        <w:rPr>
          <w:rFonts w:ascii="Arial" w:cs="Arial" w:eastAsia="Arial" w:hAnsi="Arial"/>
          <w:sz w:val="18"/>
          <w:szCs w:val="18"/>
          <w:color w:val="auto"/>
        </w:rPr>
      </w:pPr>
      <w:r>
        <w:rPr>
          <w:rFonts w:ascii="Calibri" w:cs="Calibri" w:eastAsia="Calibri" w:hAnsi="Calibri"/>
          <w:sz w:val="20"/>
          <w:szCs w:val="20"/>
          <w:color w:val="auto"/>
        </w:rPr>
        <w:t>Proposals, plans or agreements, even if preliminary in nature, involving mergers, acquisitons, tender ofers, divesttures, recapitalizatons, strategic alliances, licensing arrangements, or purchase or sales of substantal assets.</w:t>
      </w:r>
    </w:p>
    <w:p>
      <w:pPr>
        <w:spacing w:after="0" w:line="214" w:lineRule="exact"/>
        <w:rPr>
          <w:rFonts w:ascii="Arial" w:cs="Arial" w:eastAsia="Arial" w:hAnsi="Arial"/>
          <w:sz w:val="18"/>
          <w:szCs w:val="18"/>
          <w:color w:val="auto"/>
        </w:rPr>
      </w:pPr>
    </w:p>
    <w:p>
      <w:pPr>
        <w:ind w:left="1300" w:hanging="319"/>
        <w:spacing w:after="0"/>
        <w:tabs>
          <w:tab w:leader="none" w:pos="1300" w:val="left"/>
        </w:tabs>
        <w:numPr>
          <w:ilvl w:val="1"/>
          <w:numId w:val="80"/>
        </w:numPr>
        <w:rPr>
          <w:rFonts w:ascii="Arial" w:cs="Arial" w:eastAsia="Arial" w:hAnsi="Arial"/>
          <w:sz w:val="18"/>
          <w:szCs w:val="18"/>
          <w:color w:val="auto"/>
        </w:rPr>
      </w:pPr>
      <w:r>
        <w:rPr>
          <w:rFonts w:ascii="Calibri" w:cs="Calibri" w:eastAsia="Calibri" w:hAnsi="Calibri"/>
          <w:sz w:val="20"/>
          <w:szCs w:val="20"/>
          <w:color w:val="auto"/>
        </w:rPr>
        <w:t>A change in senior executve management or the board of directors.</w:t>
      </w:r>
    </w:p>
    <w:p>
      <w:pPr>
        <w:spacing w:after="0" w:line="201" w:lineRule="exact"/>
        <w:rPr>
          <w:rFonts w:ascii="Arial" w:cs="Arial" w:eastAsia="Arial" w:hAnsi="Arial"/>
          <w:sz w:val="18"/>
          <w:szCs w:val="18"/>
          <w:color w:val="auto"/>
        </w:rPr>
      </w:pPr>
    </w:p>
    <w:p>
      <w:pPr>
        <w:ind w:left="1300" w:hanging="319"/>
        <w:spacing w:after="0"/>
        <w:tabs>
          <w:tab w:leader="none" w:pos="1300" w:val="left"/>
        </w:tabs>
        <w:numPr>
          <w:ilvl w:val="1"/>
          <w:numId w:val="80"/>
        </w:numPr>
        <w:rPr>
          <w:rFonts w:ascii="Arial" w:cs="Arial" w:eastAsia="Arial" w:hAnsi="Arial"/>
          <w:sz w:val="18"/>
          <w:szCs w:val="18"/>
          <w:color w:val="auto"/>
        </w:rPr>
      </w:pPr>
      <w:r>
        <w:rPr>
          <w:rFonts w:ascii="Calibri" w:cs="Calibri" w:eastAsia="Calibri" w:hAnsi="Calibri"/>
          <w:sz w:val="20"/>
          <w:szCs w:val="20"/>
          <w:color w:val="auto"/>
        </w:rPr>
        <w:t>News of a stock split, changes in dividend policy, or the ofering of additonal securites.</w:t>
      </w:r>
    </w:p>
    <w:p>
      <w:pPr>
        <w:spacing w:after="0" w:line="214" w:lineRule="exact"/>
        <w:rPr>
          <w:rFonts w:ascii="Arial" w:cs="Arial" w:eastAsia="Arial" w:hAnsi="Arial"/>
          <w:sz w:val="18"/>
          <w:szCs w:val="18"/>
          <w:color w:val="auto"/>
        </w:rPr>
      </w:pPr>
    </w:p>
    <w:p>
      <w:pPr>
        <w:ind w:left="1300" w:hanging="319"/>
        <w:spacing w:after="0"/>
        <w:tabs>
          <w:tab w:leader="none" w:pos="1300" w:val="left"/>
        </w:tabs>
        <w:numPr>
          <w:ilvl w:val="1"/>
          <w:numId w:val="80"/>
        </w:numPr>
        <w:rPr>
          <w:rFonts w:ascii="Arial" w:cs="Arial" w:eastAsia="Arial" w:hAnsi="Arial"/>
          <w:sz w:val="18"/>
          <w:szCs w:val="18"/>
          <w:color w:val="auto"/>
        </w:rPr>
      </w:pPr>
      <w:r>
        <w:rPr>
          <w:rFonts w:ascii="Calibri" w:cs="Calibri" w:eastAsia="Calibri" w:hAnsi="Calibri"/>
          <w:sz w:val="20"/>
          <w:szCs w:val="20"/>
          <w:color w:val="auto"/>
        </w:rPr>
        <w:t>Financial liquidity problems or loan covenant issues.</w:t>
      </w:r>
    </w:p>
    <w:p>
      <w:pPr>
        <w:spacing w:after="0" w:line="201" w:lineRule="exact"/>
        <w:rPr>
          <w:rFonts w:ascii="Arial" w:cs="Arial" w:eastAsia="Arial" w:hAnsi="Arial"/>
          <w:sz w:val="18"/>
          <w:szCs w:val="18"/>
          <w:color w:val="auto"/>
        </w:rPr>
      </w:pPr>
    </w:p>
    <w:p>
      <w:pPr>
        <w:ind w:left="1300" w:hanging="319"/>
        <w:spacing w:after="0"/>
        <w:tabs>
          <w:tab w:leader="none" w:pos="1300" w:val="left"/>
        </w:tabs>
        <w:numPr>
          <w:ilvl w:val="1"/>
          <w:numId w:val="80"/>
        </w:numPr>
        <w:rPr>
          <w:rFonts w:ascii="Arial" w:cs="Arial" w:eastAsia="Arial" w:hAnsi="Arial"/>
          <w:sz w:val="18"/>
          <w:szCs w:val="18"/>
          <w:color w:val="auto"/>
        </w:rPr>
      </w:pPr>
      <w:r>
        <w:rPr>
          <w:rFonts w:ascii="Calibri" w:cs="Calibri" w:eastAsia="Calibri" w:hAnsi="Calibri"/>
          <w:sz w:val="20"/>
          <w:szCs w:val="20"/>
          <w:color w:val="auto"/>
        </w:rPr>
        <w:t>Signifcant write-downs in assets or increases in reserves</w:t>
      </w:r>
    </w:p>
    <w:p>
      <w:pPr>
        <w:spacing w:after="0" w:line="214" w:lineRule="exact"/>
        <w:rPr>
          <w:rFonts w:ascii="Arial" w:cs="Arial" w:eastAsia="Arial" w:hAnsi="Arial"/>
          <w:sz w:val="18"/>
          <w:szCs w:val="18"/>
          <w:color w:val="auto"/>
        </w:rPr>
      </w:pPr>
    </w:p>
    <w:p>
      <w:pPr>
        <w:ind w:left="1300" w:hanging="319"/>
        <w:spacing w:after="0"/>
        <w:tabs>
          <w:tab w:leader="none" w:pos="1300" w:val="left"/>
        </w:tabs>
        <w:numPr>
          <w:ilvl w:val="1"/>
          <w:numId w:val="80"/>
        </w:numPr>
        <w:rPr>
          <w:rFonts w:ascii="Arial" w:cs="Arial" w:eastAsia="Arial" w:hAnsi="Arial"/>
          <w:sz w:val="18"/>
          <w:szCs w:val="18"/>
          <w:color w:val="auto"/>
        </w:rPr>
      </w:pPr>
      <w:r>
        <w:rPr>
          <w:rFonts w:ascii="Calibri" w:cs="Calibri" w:eastAsia="Calibri" w:hAnsi="Calibri"/>
          <w:sz w:val="20"/>
          <w:szCs w:val="20"/>
          <w:color w:val="auto"/>
        </w:rPr>
        <w:t>Major changes in accountng methods or policies</w:t>
      </w:r>
    </w:p>
    <w:p>
      <w:pPr>
        <w:spacing w:after="0" w:line="214" w:lineRule="exact"/>
        <w:rPr>
          <w:rFonts w:ascii="Arial" w:cs="Arial" w:eastAsia="Arial" w:hAnsi="Arial"/>
          <w:sz w:val="18"/>
          <w:szCs w:val="18"/>
          <w:color w:val="auto"/>
        </w:rPr>
      </w:pPr>
    </w:p>
    <w:p>
      <w:pPr>
        <w:ind w:left="1300" w:hanging="319"/>
        <w:spacing w:after="0"/>
        <w:tabs>
          <w:tab w:leader="none" w:pos="1300" w:val="left"/>
        </w:tabs>
        <w:numPr>
          <w:ilvl w:val="1"/>
          <w:numId w:val="80"/>
        </w:numPr>
        <w:rPr>
          <w:rFonts w:ascii="Arial" w:cs="Arial" w:eastAsia="Arial" w:hAnsi="Arial"/>
          <w:sz w:val="18"/>
          <w:szCs w:val="18"/>
          <w:color w:val="auto"/>
        </w:rPr>
      </w:pPr>
      <w:r>
        <w:rPr>
          <w:rFonts w:ascii="Calibri" w:cs="Calibri" w:eastAsia="Calibri" w:hAnsi="Calibri"/>
          <w:sz w:val="20"/>
          <w:szCs w:val="20"/>
          <w:color w:val="auto"/>
        </w:rPr>
        <w:t>Extraordinary borrowings.</w:t>
      </w:r>
    </w:p>
    <w:p>
      <w:pPr>
        <w:spacing w:after="0" w:line="201" w:lineRule="exact"/>
        <w:rPr>
          <w:rFonts w:ascii="Arial" w:cs="Arial" w:eastAsia="Arial" w:hAnsi="Arial"/>
          <w:sz w:val="18"/>
          <w:szCs w:val="18"/>
          <w:color w:val="auto"/>
        </w:rPr>
      </w:pPr>
    </w:p>
    <w:p>
      <w:pPr>
        <w:ind w:left="1300" w:hanging="319"/>
        <w:spacing w:after="0"/>
        <w:tabs>
          <w:tab w:leader="none" w:pos="1300" w:val="left"/>
        </w:tabs>
        <w:numPr>
          <w:ilvl w:val="1"/>
          <w:numId w:val="80"/>
        </w:numPr>
        <w:rPr>
          <w:rFonts w:ascii="Arial" w:cs="Arial" w:eastAsia="Arial" w:hAnsi="Arial"/>
          <w:sz w:val="18"/>
          <w:szCs w:val="18"/>
          <w:color w:val="auto"/>
        </w:rPr>
      </w:pPr>
      <w:r>
        <w:rPr>
          <w:rFonts w:ascii="Calibri" w:cs="Calibri" w:eastAsia="Calibri" w:hAnsi="Calibri"/>
          <w:sz w:val="20"/>
          <w:szCs w:val="20"/>
          <w:color w:val="auto"/>
        </w:rPr>
        <w:t>Changes in debt ratngs</w:t>
      </w:r>
    </w:p>
    <w:p>
      <w:pPr>
        <w:spacing w:after="0" w:line="214" w:lineRule="exact"/>
        <w:rPr>
          <w:rFonts w:ascii="Arial" w:cs="Arial" w:eastAsia="Arial" w:hAnsi="Arial"/>
          <w:sz w:val="18"/>
          <w:szCs w:val="18"/>
          <w:color w:val="auto"/>
        </w:rPr>
      </w:pPr>
    </w:p>
    <w:p>
      <w:pPr>
        <w:ind w:left="1300" w:hanging="319"/>
        <w:spacing w:after="0"/>
        <w:tabs>
          <w:tab w:leader="none" w:pos="1300" w:val="left"/>
        </w:tabs>
        <w:numPr>
          <w:ilvl w:val="1"/>
          <w:numId w:val="80"/>
        </w:numPr>
        <w:rPr>
          <w:rFonts w:ascii="Arial" w:cs="Arial" w:eastAsia="Arial" w:hAnsi="Arial"/>
          <w:sz w:val="18"/>
          <w:szCs w:val="18"/>
          <w:color w:val="auto"/>
        </w:rPr>
      </w:pPr>
      <w:r>
        <w:rPr>
          <w:rFonts w:ascii="Calibri" w:cs="Calibri" w:eastAsia="Calibri" w:hAnsi="Calibri"/>
          <w:sz w:val="20"/>
          <w:szCs w:val="20"/>
          <w:color w:val="auto"/>
        </w:rPr>
        <w:t>Actual or threatened major litgaton or the resoluton of such litgaton</w:t>
      </w:r>
    </w:p>
    <w:p>
      <w:pPr>
        <w:spacing w:after="0" w:line="201" w:lineRule="exact"/>
        <w:rPr>
          <w:rFonts w:ascii="Arial" w:cs="Arial" w:eastAsia="Arial" w:hAnsi="Arial"/>
          <w:sz w:val="18"/>
          <w:szCs w:val="18"/>
          <w:color w:val="auto"/>
        </w:rPr>
      </w:pPr>
    </w:p>
    <w:p>
      <w:pPr>
        <w:ind w:left="1300" w:hanging="319"/>
        <w:spacing w:after="0"/>
        <w:tabs>
          <w:tab w:leader="none" w:pos="1300" w:val="left"/>
        </w:tabs>
        <w:numPr>
          <w:ilvl w:val="1"/>
          <w:numId w:val="80"/>
        </w:numPr>
        <w:rPr>
          <w:rFonts w:ascii="Arial" w:cs="Arial" w:eastAsia="Arial" w:hAnsi="Arial"/>
          <w:sz w:val="18"/>
          <w:szCs w:val="18"/>
          <w:color w:val="auto"/>
        </w:rPr>
      </w:pPr>
      <w:r>
        <w:rPr>
          <w:rFonts w:ascii="Calibri" w:cs="Calibri" w:eastAsia="Calibri" w:hAnsi="Calibri"/>
          <w:sz w:val="20"/>
          <w:szCs w:val="20"/>
          <w:color w:val="auto"/>
        </w:rPr>
        <w:t>Developments regarding signifcant litgaton or government agency investgatons.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alibri" w:cs="Calibri" w:eastAsia="Calibri" w:hAnsi="Calibri"/>
          <w:sz w:val="16"/>
          <w:szCs w:val="16"/>
          <w:color w:val="auto"/>
        </w:rPr>
        <w:t>© Copyright Itron. All rights reserved.</w:t>
      </w:r>
    </w:p>
    <w:p>
      <w:pPr>
        <w:sectPr>
          <w:pgSz w:w="11900" w:h="16838" w:orient="portrait"/>
          <w:cols w:equalWidth="0" w:num="1">
            <w:col w:w="11220"/>
          </w:cols>
          <w:pgMar w:left="320" w:top="781" w:right="359" w:bottom="1440" w:gutter="0" w:footer="0" w:header="0"/>
        </w:sectPr>
      </w:pPr>
    </w:p>
    <w:bookmarkStart w:id="155" w:name="page156"/>
    <w:bookmarkEnd w:id="155"/>
    <w:p>
      <w:pPr>
        <w:ind w:left="1880"/>
        <w:spacing w:after="0"/>
        <w:rPr>
          <w:sz w:val="20"/>
          <w:szCs w:val="20"/>
          <w:color w:val="auto"/>
        </w:rPr>
      </w:pPr>
      <w:r>
        <w:rPr>
          <w:rFonts w:ascii="Calibri" w:cs="Calibri" w:eastAsia="Calibri" w:hAnsi="Calibri"/>
          <w:sz w:val="20"/>
          <w:szCs w:val="20"/>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685800" cy="4972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685800" cy="497205"/>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300" w:hanging="319"/>
        <w:spacing w:after="0"/>
        <w:tabs>
          <w:tab w:leader="none" w:pos="1300" w:val="left"/>
        </w:tabs>
        <w:numPr>
          <w:ilvl w:val="0"/>
          <w:numId w:val="81"/>
        </w:numPr>
        <w:rPr>
          <w:rFonts w:ascii="Arial" w:cs="Arial" w:eastAsia="Arial" w:hAnsi="Arial"/>
          <w:sz w:val="18"/>
          <w:szCs w:val="18"/>
          <w:color w:val="auto"/>
        </w:rPr>
      </w:pPr>
      <w:r>
        <w:rPr>
          <w:rFonts w:ascii="Calibri" w:cs="Calibri" w:eastAsia="Calibri" w:hAnsi="Calibri"/>
          <w:sz w:val="20"/>
          <w:szCs w:val="20"/>
          <w:color w:val="auto"/>
        </w:rPr>
        <w:t>Knowledge of facts that may give rise to claims, for example, potental warranty or IP infringement claims</w:t>
      </w:r>
    </w:p>
    <w:p>
      <w:pPr>
        <w:spacing w:after="0" w:line="214" w:lineRule="exact"/>
        <w:rPr>
          <w:rFonts w:ascii="Arial" w:cs="Arial" w:eastAsia="Arial" w:hAnsi="Arial"/>
          <w:sz w:val="18"/>
          <w:szCs w:val="18"/>
          <w:color w:val="auto"/>
        </w:rPr>
      </w:pPr>
    </w:p>
    <w:p>
      <w:pPr>
        <w:ind w:left="1300" w:hanging="319"/>
        <w:spacing w:after="0"/>
        <w:tabs>
          <w:tab w:leader="none" w:pos="1300" w:val="left"/>
        </w:tabs>
        <w:numPr>
          <w:ilvl w:val="0"/>
          <w:numId w:val="81"/>
        </w:numPr>
        <w:rPr>
          <w:rFonts w:ascii="Arial" w:cs="Arial" w:eastAsia="Arial" w:hAnsi="Arial"/>
          <w:sz w:val="18"/>
          <w:szCs w:val="18"/>
          <w:color w:val="auto"/>
        </w:rPr>
      </w:pPr>
      <w:r>
        <w:rPr>
          <w:rFonts w:ascii="Calibri" w:cs="Calibri" w:eastAsia="Calibri" w:hAnsi="Calibri"/>
          <w:sz w:val="20"/>
          <w:szCs w:val="20"/>
          <w:color w:val="auto"/>
        </w:rPr>
        <w:t>Award or loss of major contracts, orders, suppliers, customers, or fnance sources.</w:t>
      </w:r>
    </w:p>
    <w:p>
      <w:pPr>
        <w:spacing w:after="0" w:line="201" w:lineRule="exact"/>
        <w:rPr>
          <w:rFonts w:ascii="Arial" w:cs="Arial" w:eastAsia="Arial" w:hAnsi="Arial"/>
          <w:sz w:val="18"/>
          <w:szCs w:val="18"/>
          <w:color w:val="auto"/>
        </w:rPr>
      </w:pPr>
    </w:p>
    <w:p>
      <w:pPr>
        <w:ind w:left="1300" w:hanging="319"/>
        <w:spacing w:after="0"/>
        <w:tabs>
          <w:tab w:leader="none" w:pos="1300" w:val="left"/>
        </w:tabs>
        <w:numPr>
          <w:ilvl w:val="0"/>
          <w:numId w:val="81"/>
        </w:numPr>
        <w:rPr>
          <w:rFonts w:ascii="Arial" w:cs="Arial" w:eastAsia="Arial" w:hAnsi="Arial"/>
          <w:sz w:val="18"/>
          <w:szCs w:val="18"/>
          <w:color w:val="auto"/>
        </w:rPr>
      </w:pPr>
      <w:r>
        <w:rPr>
          <w:rFonts w:ascii="Calibri" w:cs="Calibri" w:eastAsia="Calibri" w:hAnsi="Calibri"/>
          <w:sz w:val="20"/>
          <w:szCs w:val="20"/>
          <w:color w:val="auto"/>
        </w:rPr>
        <w:t>Cybersecurity risks and incidents, including vulnerabilites and breaches</w:t>
      </w:r>
    </w:p>
    <w:p>
      <w:pPr>
        <w:spacing w:after="0" w:line="225" w:lineRule="exact"/>
        <w:rPr>
          <w:sz w:val="20"/>
          <w:szCs w:val="20"/>
          <w:color w:val="auto"/>
        </w:rPr>
      </w:pPr>
    </w:p>
    <w:p>
      <w:pPr>
        <w:spacing w:after="0"/>
        <w:rPr>
          <w:sz w:val="20"/>
          <w:szCs w:val="20"/>
          <w:color w:val="auto"/>
        </w:rPr>
      </w:pPr>
      <w:r>
        <w:rPr>
          <w:rFonts w:ascii="Calibri" w:cs="Calibri" w:eastAsia="Calibri" w:hAnsi="Calibri"/>
          <w:sz w:val="20"/>
          <w:szCs w:val="20"/>
          <w:color w:val="auto"/>
        </w:rPr>
        <w:t>Material informaton is not limited to historical facts but may also include projectons and forecasts. With respect to a future event, such as a merger, acquisiton or introducton of a new product, the point at which negotatons or product development are determined to be material is determined by balancing the probability that the event will occur against the magnitude of the efect the event would have on a company’s operatons or stock price should it occur. Thus, informaton concerning an event that would have a large efect on stock price, such as a merger, may be material even if the possibility that the event will occur is relatvely small. When in doubt about whether partcular nonpublic informaton is material, you should presume it is material. If you are unsure whether informaton is material, you should either consult the Legal department before making any decision to disclose such informaton (other than to persons who need to know it) or to trade in or recommend securites to which that informaton relates or assume that the informaton is material.</w:t>
      </w:r>
    </w:p>
    <w:p>
      <w:pPr>
        <w:spacing w:after="0" w:line="396" w:lineRule="exact"/>
        <w:rPr>
          <w:sz w:val="20"/>
          <w:szCs w:val="20"/>
          <w:color w:val="auto"/>
        </w:rPr>
      </w:pPr>
    </w:p>
    <w:p>
      <w:pPr>
        <w:ind w:left="960" w:right="20" w:hanging="304"/>
        <w:spacing w:after="0" w:line="233" w:lineRule="auto"/>
        <w:tabs>
          <w:tab w:leader="none" w:pos="963" w:val="left"/>
        </w:tabs>
        <w:numPr>
          <w:ilvl w:val="0"/>
          <w:numId w:val="82"/>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Nonpublic</w:t>
      </w:r>
      <w:r>
        <w:rPr>
          <w:rFonts w:ascii="Calibri" w:cs="Calibri" w:eastAsia="Calibri" w:hAnsi="Calibri"/>
          <w:sz w:val="20"/>
          <w:szCs w:val="20"/>
          <w:color w:val="auto"/>
        </w:rPr>
        <w:t>. Insider trading prohibitons come into play only when you possess informaton that is material and “nonpublic.”</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Nonpublic informaton is informaton that is not generally known or available to the public. The fact that informaton has been disclosed to a few members of the public does not make it public for insider trading purposes. Informaton is considered to be available to the public only when it has been released broadly to the marketplace (such as by a press release or an SEC fling) and the investng public has had tme to absorb the informaton fully. As a general rule, informaton should be considered nonpublic untl the beginning of the </w:t>
      </w:r>
      <w:r>
        <w:rPr>
          <w:rFonts w:ascii="Calibri" w:cs="Calibri" w:eastAsia="Calibri" w:hAnsi="Calibri"/>
          <w:sz w:val="20"/>
          <w:szCs w:val="20"/>
          <w:b w:val="1"/>
          <w:bCs w:val="1"/>
          <w:u w:val="single" w:color="auto"/>
          <w:color w:val="auto"/>
        </w:rPr>
        <w:t>third</w:t>
      </w:r>
      <w:r>
        <w:rPr>
          <w:rFonts w:ascii="Calibri" w:cs="Calibri" w:eastAsia="Calibri" w:hAnsi="Calibri"/>
          <w:sz w:val="20"/>
          <w:szCs w:val="20"/>
          <w:color w:val="auto"/>
        </w:rPr>
        <w:t xml:space="preserve"> trading day afer such informaton has been publicly released. A trading day shall mean a day on which natonal stock exchanges, including Nasdaq, are open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23430" cy="8229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7123430" cy="822960"/>
                    </a:xfrm>
                    <a:prstGeom prst="rect">
                      <a:avLst/>
                    </a:prstGeom>
                    <a:noFill/>
                  </pic:spPr>
                </pic:pic>
              </a:graphicData>
            </a:graphic>
          </wp:anchor>
        </w:drawing>
      </w:r>
    </w:p>
    <w:p>
      <w:pPr>
        <w:spacing w:after="0" w:line="265" w:lineRule="exact"/>
        <w:rPr>
          <w:sz w:val="20"/>
          <w:szCs w:val="20"/>
          <w:color w:val="auto"/>
        </w:rPr>
      </w:pPr>
    </w:p>
    <w:p>
      <w:pPr>
        <w:ind w:left="480" w:right="400"/>
        <w:spacing w:after="0" w:line="244" w:lineRule="auto"/>
        <w:rPr>
          <w:sz w:val="20"/>
          <w:szCs w:val="20"/>
          <w:color w:val="auto"/>
        </w:rPr>
      </w:pPr>
      <w:r>
        <w:rPr>
          <w:rFonts w:ascii="Calibri" w:cs="Calibri" w:eastAsia="Calibri" w:hAnsi="Calibri"/>
          <w:sz w:val="20"/>
          <w:szCs w:val="20"/>
          <w:i w:val="1"/>
          <w:iCs w:val="1"/>
          <w:color w:val="auto"/>
        </w:rPr>
        <w:t>Example</w:t>
      </w:r>
      <w:r>
        <w:rPr>
          <w:rFonts w:ascii="Calibri" w:cs="Calibri" w:eastAsia="Calibri" w:hAnsi="Calibri"/>
          <w:sz w:val="20"/>
          <w:szCs w:val="20"/>
          <w:color w:val="auto"/>
        </w:rPr>
        <w:t>: If Itron announces fnancial earnings before trading begins on a Tuesday, the frst tme you can buy or sell Itron</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securites is the opening of the market on Thursday (assuming you are not aware of other material, nonpublic informaton at that tme). However, if Itron announces earnings afer trading begins on that Tuesday, the frst tme you can buy or sell Itron securites is the opening of the market on Friday.</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Nonpublic informaton may include:</w:t>
      </w:r>
    </w:p>
    <w:p>
      <w:pPr>
        <w:spacing w:after="0" w:line="215" w:lineRule="exact"/>
        <w:rPr>
          <w:sz w:val="20"/>
          <w:szCs w:val="20"/>
          <w:color w:val="auto"/>
        </w:rPr>
      </w:pPr>
    </w:p>
    <w:p>
      <w:pPr>
        <w:ind w:left="1300" w:hanging="319"/>
        <w:spacing w:after="0"/>
        <w:tabs>
          <w:tab w:leader="none" w:pos="1300" w:val="left"/>
        </w:tabs>
        <w:numPr>
          <w:ilvl w:val="0"/>
          <w:numId w:val="83"/>
        </w:numPr>
        <w:rPr>
          <w:rFonts w:ascii="Arial" w:cs="Arial" w:eastAsia="Arial" w:hAnsi="Arial"/>
          <w:sz w:val="18"/>
          <w:szCs w:val="18"/>
          <w:color w:val="auto"/>
        </w:rPr>
      </w:pPr>
      <w:r>
        <w:rPr>
          <w:rFonts w:ascii="Calibri" w:cs="Calibri" w:eastAsia="Calibri" w:hAnsi="Calibri"/>
          <w:sz w:val="20"/>
          <w:szCs w:val="20"/>
          <w:color w:val="auto"/>
        </w:rPr>
        <w:t>Informaton available to a select group of analysts or brokers or insttutonal investors.</w:t>
      </w:r>
    </w:p>
    <w:p>
      <w:pPr>
        <w:spacing w:after="0" w:line="211" w:lineRule="exact"/>
        <w:rPr>
          <w:rFonts w:ascii="Arial" w:cs="Arial" w:eastAsia="Arial" w:hAnsi="Arial"/>
          <w:sz w:val="18"/>
          <w:szCs w:val="18"/>
          <w:color w:val="auto"/>
        </w:rPr>
      </w:pPr>
    </w:p>
    <w:p>
      <w:pPr>
        <w:ind w:left="1300" w:right="100" w:hanging="319"/>
        <w:spacing w:after="0" w:line="233" w:lineRule="auto"/>
        <w:tabs>
          <w:tab w:leader="none" w:pos="1295" w:val="left"/>
        </w:tabs>
        <w:numPr>
          <w:ilvl w:val="0"/>
          <w:numId w:val="83"/>
        </w:numPr>
        <w:rPr>
          <w:rFonts w:ascii="Arial" w:cs="Arial" w:eastAsia="Arial" w:hAnsi="Arial"/>
          <w:sz w:val="18"/>
          <w:szCs w:val="18"/>
          <w:color w:val="auto"/>
        </w:rPr>
      </w:pPr>
      <w:r>
        <w:rPr>
          <w:rFonts w:ascii="Calibri" w:cs="Calibri" w:eastAsia="Calibri" w:hAnsi="Calibri"/>
          <w:sz w:val="20"/>
          <w:szCs w:val="20"/>
          <w:color w:val="auto"/>
        </w:rPr>
        <w:t>Undisclosed facts that are the subject of rumors, even if the rumors are widely circulated. • Informaton that has been entrusted to the Company on a confdental basis untl a public announcement of the informaton has been made and enough tme has elapsed for the market to respond to a public announcement of the informaton (normally three trading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alibri" w:cs="Calibri" w:eastAsia="Calibri" w:hAnsi="Calibri"/>
          <w:sz w:val="16"/>
          <w:szCs w:val="16"/>
          <w:color w:val="auto"/>
        </w:rPr>
        <w:t>© Copyright Itron. All rights reserved.</w:t>
      </w:r>
    </w:p>
    <w:p>
      <w:pPr>
        <w:sectPr>
          <w:pgSz w:w="11900" w:h="16838" w:orient="portrait"/>
          <w:cols w:equalWidth="0" w:num="1">
            <w:col w:w="11080"/>
          </w:cols>
          <w:pgMar w:left="320" w:top="781" w:right="499" w:bottom="1440" w:gutter="0" w:footer="0" w:header="0"/>
        </w:sectPr>
      </w:pPr>
    </w:p>
    <w:bookmarkStart w:id="156" w:name="page157"/>
    <w:bookmarkEnd w:id="156"/>
    <w:p>
      <w:pPr>
        <w:ind w:left="1880"/>
        <w:spacing w:after="0"/>
        <w:rPr>
          <w:sz w:val="20"/>
          <w:szCs w:val="20"/>
          <w:color w:val="auto"/>
        </w:rPr>
      </w:pPr>
      <w:r>
        <w:rPr>
          <w:rFonts w:ascii="Calibri" w:cs="Calibri" w:eastAsia="Calibri" w:hAnsi="Calibri"/>
          <w:sz w:val="20"/>
          <w:szCs w:val="20"/>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685800" cy="4972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685800" cy="497205"/>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34" w:lineRule="auto"/>
        <w:rPr>
          <w:sz w:val="20"/>
          <w:szCs w:val="20"/>
          <w:color w:val="auto"/>
        </w:rPr>
      </w:pPr>
      <w:r>
        <w:rPr>
          <w:rFonts w:ascii="Calibri" w:cs="Calibri" w:eastAsia="Calibri" w:hAnsi="Calibri"/>
          <w:sz w:val="20"/>
          <w:szCs w:val="20"/>
          <w:color w:val="auto"/>
        </w:rPr>
        <w:t>As with questons of materiality, if you are not sure whether informaton is considered public, you should either consult with the Legal department or assume that the informaton is nonpublic and treat it as confdental.</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POLICY FOR DESIGNATED INSIDERS</w:t>
      </w:r>
    </w:p>
    <w:p>
      <w:pPr>
        <w:spacing w:after="0" w:line="225" w:lineRule="exact"/>
        <w:rPr>
          <w:sz w:val="20"/>
          <w:szCs w:val="20"/>
          <w:color w:val="auto"/>
        </w:rPr>
      </w:pPr>
    </w:p>
    <w:p>
      <w:pPr>
        <w:spacing w:after="0" w:line="228" w:lineRule="auto"/>
        <w:rPr>
          <w:sz w:val="20"/>
          <w:szCs w:val="20"/>
          <w:color w:val="auto"/>
        </w:rPr>
      </w:pPr>
      <w:r>
        <w:rPr>
          <w:rFonts w:ascii="Calibri" w:cs="Calibri" w:eastAsia="Calibri" w:hAnsi="Calibri"/>
          <w:sz w:val="20"/>
          <w:szCs w:val="20"/>
          <w:color w:val="auto"/>
        </w:rPr>
        <w:t>Designated Insiders and their family members are subject to additonal restrictons on trading Itron securites that are in additon to the general restrictons set forth in this policy.</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Additonal Restrictons</w:t>
      </w:r>
    </w:p>
    <w:p>
      <w:pPr>
        <w:spacing w:after="0" w:line="215" w:lineRule="exact"/>
        <w:rPr>
          <w:sz w:val="20"/>
          <w:szCs w:val="20"/>
          <w:color w:val="auto"/>
        </w:rPr>
      </w:pPr>
    </w:p>
    <w:p>
      <w:pPr>
        <w:ind w:left="20"/>
        <w:spacing w:after="0"/>
        <w:rPr>
          <w:sz w:val="20"/>
          <w:szCs w:val="20"/>
          <w:color w:val="auto"/>
        </w:rPr>
      </w:pPr>
      <w:r>
        <w:rPr>
          <w:rFonts w:ascii="Calibri" w:cs="Calibri" w:eastAsia="Calibri" w:hAnsi="Calibri"/>
          <w:sz w:val="20"/>
          <w:szCs w:val="20"/>
          <w:b w:val="1"/>
          <w:bCs w:val="1"/>
          <w:i w:val="1"/>
          <w:iCs w:val="1"/>
          <w:u w:val="single" w:color="auto"/>
          <w:color w:val="auto"/>
        </w:rPr>
        <w:t>Blackout Periods for Designated Insiders</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All Designated Insiders and their immediate family members are prohibited from trading in the Company’s securites during:</w:t>
      </w:r>
    </w:p>
    <w:p>
      <w:pPr>
        <w:spacing w:after="0" w:line="225" w:lineRule="exact"/>
        <w:rPr>
          <w:sz w:val="20"/>
          <w:szCs w:val="20"/>
          <w:color w:val="auto"/>
        </w:rPr>
      </w:pPr>
    </w:p>
    <w:p>
      <w:pPr>
        <w:ind w:left="660" w:right="60" w:hanging="12"/>
        <w:spacing w:after="0" w:line="233" w:lineRule="auto"/>
        <w:tabs>
          <w:tab w:leader="none" w:pos="1303" w:val="left"/>
        </w:tabs>
        <w:numPr>
          <w:ilvl w:val="0"/>
          <w:numId w:val="84"/>
        </w:numPr>
        <w:rPr>
          <w:rFonts w:ascii="Arial" w:cs="Arial" w:eastAsia="Arial" w:hAnsi="Arial"/>
          <w:sz w:val="18"/>
          <w:szCs w:val="18"/>
          <w:color w:val="auto"/>
        </w:rPr>
      </w:pPr>
      <w:r>
        <w:rPr>
          <w:rFonts w:ascii="Calibri" w:cs="Calibri" w:eastAsia="Calibri" w:hAnsi="Calibri"/>
          <w:sz w:val="20"/>
          <w:szCs w:val="20"/>
          <w:b w:val="1"/>
          <w:bCs w:val="1"/>
          <w:u w:val="single" w:color="auto"/>
          <w:color w:val="auto"/>
        </w:rPr>
        <w:t>Quarterly Blackout Periods (Restricted Trading Windows)</w:t>
      </w:r>
      <w:r>
        <w:rPr>
          <w:rFonts w:ascii="Calibri" w:cs="Calibri" w:eastAsia="Calibri" w:hAnsi="Calibri"/>
          <w:sz w:val="20"/>
          <w:szCs w:val="20"/>
          <w:i w:val="1"/>
          <w:iCs w:val="1"/>
          <w:color w:val="auto"/>
        </w:rPr>
        <w: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Trading in the Company’s securites is prohibited during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period beginning on the tenth business day prior to the end of the last fscal month of the fscal quarter and ending on the third trading day following release of Itron’s earnings. During these periods, Designated Insiders generally possess or are presumed to possess material nonpublic informaton about the Company’s fnancial results.</w:t>
      </w:r>
    </w:p>
    <w:p>
      <w:pPr>
        <w:spacing w:after="0" w:line="212" w:lineRule="exact"/>
        <w:rPr>
          <w:rFonts w:ascii="Arial" w:cs="Arial" w:eastAsia="Arial" w:hAnsi="Arial"/>
          <w:sz w:val="18"/>
          <w:szCs w:val="18"/>
          <w:color w:val="auto"/>
        </w:rPr>
      </w:pPr>
    </w:p>
    <w:p>
      <w:pPr>
        <w:ind w:left="660" w:right="200" w:hanging="12"/>
        <w:spacing w:after="0" w:line="234" w:lineRule="auto"/>
        <w:tabs>
          <w:tab w:leader="none" w:pos="1303" w:val="left"/>
        </w:tabs>
        <w:numPr>
          <w:ilvl w:val="0"/>
          <w:numId w:val="84"/>
        </w:numPr>
        <w:rPr>
          <w:rFonts w:ascii="Arial" w:cs="Arial" w:eastAsia="Arial" w:hAnsi="Arial"/>
          <w:sz w:val="18"/>
          <w:szCs w:val="18"/>
          <w:color w:val="auto"/>
        </w:rPr>
      </w:pPr>
      <w:r>
        <w:rPr>
          <w:rFonts w:ascii="Calibri" w:cs="Calibri" w:eastAsia="Calibri" w:hAnsi="Calibri"/>
          <w:sz w:val="20"/>
          <w:szCs w:val="20"/>
          <w:b w:val="1"/>
          <w:bCs w:val="1"/>
          <w:u w:val="single" w:color="auto"/>
          <w:color w:val="auto"/>
        </w:rPr>
        <w:t>Other Blackout Periods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From tme to tme, other types of material nonpublic informaton regarding the Company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(such as negotaton of mergers, acquisitons or dispositons, investgaton and assessment of cybersecurity incidents or new product developments) may be pending and not be publicly disclosed. While such material nonpublic informaton is pending, the Company may impose special blackout periods during which Designated Insiders are prohibited from trading in the Company’s securites. If the Company imposes a special blackout period, it will notfy the persons afected.</w:t>
      </w:r>
    </w:p>
    <w:p>
      <w:pPr>
        <w:spacing w:after="0" w:line="213" w:lineRule="exact"/>
        <w:rPr>
          <w:rFonts w:ascii="Arial" w:cs="Arial" w:eastAsia="Arial" w:hAnsi="Arial"/>
          <w:sz w:val="18"/>
          <w:szCs w:val="18"/>
          <w:color w:val="auto"/>
        </w:rPr>
      </w:pPr>
    </w:p>
    <w:p>
      <w:pPr>
        <w:ind w:left="660" w:right="380" w:hanging="12"/>
        <w:spacing w:after="0" w:line="231" w:lineRule="auto"/>
        <w:tabs>
          <w:tab w:leader="none" w:pos="1306" w:val="left"/>
        </w:tabs>
        <w:numPr>
          <w:ilvl w:val="0"/>
          <w:numId w:val="84"/>
        </w:numPr>
        <w:rPr>
          <w:rFonts w:ascii="Arial" w:cs="Arial" w:eastAsia="Arial" w:hAnsi="Arial"/>
          <w:sz w:val="18"/>
          <w:szCs w:val="18"/>
          <w:color w:val="auto"/>
        </w:rPr>
      </w:pPr>
      <w:r>
        <w:rPr>
          <w:rFonts w:ascii="Calibri" w:cs="Calibri" w:eastAsia="Calibri" w:hAnsi="Calibri"/>
          <w:sz w:val="20"/>
          <w:szCs w:val="20"/>
          <w:b w:val="1"/>
          <w:bCs w:val="1"/>
          <w:u w:val="single" w:color="auto"/>
          <w:color w:val="auto"/>
        </w:rPr>
        <w:t>Excepton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These trading restrictons do not apply to transactons under a pre-existng writen plan, contract,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instructon, or arrangement under Rule 10b5-1 under the Securites Exchange Act of 1934 (an “Approved 10b5-1 Plan”; see Trading Plans).</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u w:val="single" w:color="auto"/>
          <w:color w:val="auto"/>
        </w:rPr>
        <w:t>Open Window and the Pre-Clearance Process for Designated Insiders</w:t>
      </w:r>
    </w:p>
    <w:p>
      <w:pPr>
        <w:spacing w:after="0" w:line="211" w:lineRule="exact"/>
        <w:rPr>
          <w:sz w:val="20"/>
          <w:szCs w:val="20"/>
          <w:color w:val="auto"/>
        </w:rPr>
      </w:pPr>
    </w:p>
    <w:p>
      <w:pPr>
        <w:ind w:right="20"/>
        <w:spacing w:after="0" w:line="233" w:lineRule="auto"/>
        <w:rPr>
          <w:sz w:val="20"/>
          <w:szCs w:val="20"/>
          <w:color w:val="auto"/>
        </w:rPr>
      </w:pPr>
      <w:r>
        <w:rPr>
          <w:rFonts w:ascii="Calibri" w:cs="Calibri" w:eastAsia="Calibri" w:hAnsi="Calibri"/>
          <w:sz w:val="20"/>
          <w:szCs w:val="20"/>
          <w:color w:val="auto"/>
        </w:rPr>
        <w:t xml:space="preserve">Designated Insiders may only trade during a non-restricted period (an “open window”) and afer receiving pre-clearance. </w:t>
      </w:r>
      <w:r>
        <w:rPr>
          <w:rFonts w:ascii="Calibri" w:cs="Calibri" w:eastAsia="Calibri" w:hAnsi="Calibri"/>
          <w:sz w:val="20"/>
          <w:szCs w:val="20"/>
          <w:i w:val="1"/>
          <w:iCs w:val="1"/>
          <w:color w:val="auto"/>
        </w:rPr>
        <w:t>See</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Appendix</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 xml:space="preserve">A </w:t>
      </w:r>
      <w:r>
        <w:rPr>
          <w:rFonts w:ascii="Calibri" w:cs="Calibri" w:eastAsia="Calibri" w:hAnsi="Calibri"/>
          <w:sz w:val="20"/>
          <w:szCs w:val="20"/>
          <w:color w:val="auto"/>
        </w:rPr>
        <w:t>to this policy for the pre-clearance process. However, securites laws contnue to apply during any open trading window.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determining whether to grant pre-clearance to trade, the Senior Vice President General Counsel and/or the Chief Financial Ofcer will assess whether you have access, as a result of your positon, to material, nonpublic informaton.</w:t>
      </w:r>
    </w:p>
    <w:p>
      <w:pPr>
        <w:spacing w:after="0" w:line="226" w:lineRule="exact"/>
        <w:rPr>
          <w:sz w:val="20"/>
          <w:szCs w:val="20"/>
          <w:color w:val="auto"/>
        </w:rPr>
      </w:pPr>
    </w:p>
    <w:p>
      <w:pPr>
        <w:ind w:right="60"/>
        <w:spacing w:after="0" w:line="231" w:lineRule="auto"/>
        <w:rPr>
          <w:sz w:val="20"/>
          <w:szCs w:val="20"/>
          <w:color w:val="auto"/>
        </w:rPr>
      </w:pPr>
      <w:r>
        <w:rPr>
          <w:rFonts w:ascii="Calibri" w:cs="Calibri" w:eastAsia="Calibri" w:hAnsi="Calibri"/>
          <w:sz w:val="20"/>
          <w:szCs w:val="20"/>
          <w:color w:val="auto"/>
        </w:rPr>
        <w:t>Afer pre-clearance is granted, you should make your trade as soon as possible since, at any tme prior to efectng your trade, you may become aware of material nonpublic informaton and the pre-clearance process must be undertaken again in light of any new informaton before you may make the requested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alibri" w:cs="Calibri" w:eastAsia="Calibri" w:hAnsi="Calibri"/>
          <w:sz w:val="16"/>
          <w:szCs w:val="16"/>
          <w:color w:val="auto"/>
        </w:rPr>
        <w:t>© Copyright Itron. All rights reserved.</w:t>
      </w:r>
    </w:p>
    <w:p>
      <w:pPr>
        <w:sectPr>
          <w:pgSz w:w="11900" w:h="16838" w:orient="portrait"/>
          <w:cols w:equalWidth="0" w:num="1">
            <w:col w:w="11100"/>
          </w:cols>
          <w:pgMar w:left="320" w:top="781" w:right="479" w:bottom="1440" w:gutter="0" w:footer="0" w:header="0"/>
        </w:sectPr>
      </w:pPr>
    </w:p>
    <w:bookmarkStart w:id="157" w:name="page158"/>
    <w:bookmarkEnd w:id="157"/>
    <w:p>
      <w:pPr>
        <w:ind w:left="1880"/>
        <w:spacing w:after="0"/>
        <w:rPr>
          <w:sz w:val="20"/>
          <w:szCs w:val="20"/>
          <w:color w:val="auto"/>
        </w:rPr>
      </w:pPr>
      <w:r>
        <w:rPr>
          <w:rFonts w:ascii="Calibri" w:cs="Calibri" w:eastAsia="Calibri" w:hAnsi="Calibri"/>
          <w:sz w:val="20"/>
          <w:szCs w:val="20"/>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685800" cy="4972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685800" cy="497205"/>
                    </a:xfrm>
                    <a:prstGeom prst="rect">
                      <a:avLst/>
                    </a:prstGeom>
                    <a:noFill/>
                  </pic:spPr>
                </pic:pic>
              </a:graphicData>
            </a:graphic>
          </wp:anchor>
        </w:drawing>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23430" cy="8229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712343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0" w:right="580"/>
        <w:spacing w:after="0"/>
        <w:rPr>
          <w:sz w:val="20"/>
          <w:szCs w:val="20"/>
          <w:color w:val="auto"/>
        </w:rPr>
      </w:pPr>
      <w:r>
        <w:rPr>
          <w:rFonts w:ascii="Calibri" w:cs="Calibri" w:eastAsia="Calibri" w:hAnsi="Calibri"/>
          <w:sz w:val="20"/>
          <w:szCs w:val="20"/>
          <w:i w:val="1"/>
          <w:iCs w:val="1"/>
          <w:color w:val="auto"/>
        </w:rPr>
        <w:t>Example</w:t>
      </w:r>
      <w:r>
        <w:rPr>
          <w:rFonts w:ascii="Calibri" w:cs="Calibri" w:eastAsia="Calibri" w:hAnsi="Calibri"/>
          <w:sz w:val="20"/>
          <w:szCs w:val="20"/>
          <w:color w:val="auto"/>
        </w:rPr>
        <w:t>: You are a Designated Insider and are granted pre-clearance to trade during an open window. Shortly afer your pre-clearance is approved, but before you make your trade, you learn of a major litgaton case to be fled against Itron. You may no longer make any trades as your pre-clearance lapses. Later, while stll in the open window, the litgaton case is made public, and afer waitng three days you request pre-clearance again and it is approved. You are again cleared to trade.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u w:val="single" w:color="auto"/>
          <w:color w:val="auto"/>
        </w:rPr>
        <w:t>Additonal Prohibited Transactons for Designated Insiders</w:t>
      </w:r>
    </w:p>
    <w:p>
      <w:pPr>
        <w:spacing w:after="0" w:line="211" w:lineRule="exact"/>
        <w:rPr>
          <w:sz w:val="20"/>
          <w:szCs w:val="20"/>
          <w:color w:val="auto"/>
        </w:rPr>
      </w:pPr>
    </w:p>
    <w:p>
      <w:pPr>
        <w:ind w:left="660" w:right="300" w:hanging="4"/>
        <w:spacing w:after="0" w:line="234" w:lineRule="auto"/>
        <w:tabs>
          <w:tab w:leader="none" w:pos="1289" w:val="left"/>
        </w:tabs>
        <w:numPr>
          <w:ilvl w:val="0"/>
          <w:numId w:val="85"/>
        </w:numPr>
        <w:rPr>
          <w:rFonts w:ascii="Arial" w:cs="Arial" w:eastAsia="Arial" w:hAnsi="Arial"/>
          <w:sz w:val="18"/>
          <w:szCs w:val="18"/>
          <w:color w:val="auto"/>
        </w:rPr>
      </w:pPr>
      <w:r>
        <w:rPr>
          <w:rFonts w:ascii="Calibri" w:cs="Calibri" w:eastAsia="Calibri" w:hAnsi="Calibri"/>
          <w:sz w:val="20"/>
          <w:szCs w:val="20"/>
          <w:b w:val="1"/>
          <w:bCs w:val="1"/>
          <w:u w:val="single" w:color="auto"/>
          <w:color w:val="auto"/>
        </w:rPr>
        <w:t>No Standing Orders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If you are in possession of material nonpublic informaton, you may not have standing orders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sell or purchase Itron’s stock at a specifed price as standing orders leave you with no control over the tming of the transacton. A standing order transacton executed by your broker while you are in possession of material nonpublic informaton may result in unlawful insider trading. However, eligible persons may purchase or sell shares pursuant to a Rule 10b5-1 Plan that has been entered into pursuant to Itron’s Rule 10b5-1 Plan procedures.</w:t>
      </w:r>
    </w:p>
    <w:p>
      <w:pPr>
        <w:spacing w:after="0" w:line="213" w:lineRule="exact"/>
        <w:rPr>
          <w:rFonts w:ascii="Arial" w:cs="Arial" w:eastAsia="Arial" w:hAnsi="Arial"/>
          <w:sz w:val="18"/>
          <w:szCs w:val="18"/>
          <w:color w:val="auto"/>
        </w:rPr>
      </w:pPr>
    </w:p>
    <w:p>
      <w:pPr>
        <w:jc w:val="both"/>
        <w:ind w:left="660" w:right="60" w:hanging="4"/>
        <w:spacing w:after="0" w:line="233" w:lineRule="auto"/>
        <w:tabs>
          <w:tab w:leader="none" w:pos="1289" w:val="left"/>
        </w:tabs>
        <w:numPr>
          <w:ilvl w:val="0"/>
          <w:numId w:val="85"/>
        </w:numPr>
        <w:rPr>
          <w:rFonts w:ascii="Arial" w:cs="Arial" w:eastAsia="Arial" w:hAnsi="Arial"/>
          <w:sz w:val="18"/>
          <w:szCs w:val="18"/>
          <w:color w:val="auto"/>
        </w:rPr>
      </w:pPr>
      <w:r>
        <w:rPr>
          <w:rFonts w:ascii="Calibri" w:cs="Calibri" w:eastAsia="Calibri" w:hAnsi="Calibri"/>
          <w:sz w:val="20"/>
          <w:szCs w:val="20"/>
          <w:b w:val="1"/>
          <w:bCs w:val="1"/>
          <w:u w:val="single" w:color="auto"/>
          <w:color w:val="auto"/>
        </w:rPr>
        <w:t>No Margin Account or Pledging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You may not hold Itron securites in a margin account or pledge it as collateral. Your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broker may execute a margin call, or your loan may come due if the value of your collateral falls below the value of the loan, while you are in possession of material, nonpublic informaton and this may result in unlawful insider trading. Please see Itron’s Corporate Hedging Policy for additonal restrictons applicable to Itron directors, ofcers, or employees.</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TRADING PLANS</w:t>
      </w:r>
    </w:p>
    <w:p>
      <w:pPr>
        <w:spacing w:after="0" w:line="211" w:lineRule="exact"/>
        <w:rPr>
          <w:sz w:val="20"/>
          <w:szCs w:val="20"/>
          <w:color w:val="auto"/>
        </w:rPr>
      </w:pPr>
    </w:p>
    <w:p>
      <w:pPr>
        <w:ind w:right="60"/>
        <w:spacing w:after="0" w:line="234" w:lineRule="auto"/>
        <w:rPr>
          <w:sz w:val="20"/>
          <w:szCs w:val="20"/>
          <w:color w:val="auto"/>
        </w:rPr>
      </w:pPr>
      <w:r>
        <w:rPr>
          <w:rFonts w:ascii="Calibri" w:cs="Calibri" w:eastAsia="Calibri" w:hAnsi="Calibri"/>
          <w:sz w:val="20"/>
          <w:szCs w:val="20"/>
          <w:color w:val="auto"/>
        </w:rPr>
        <w:t>Rule 10b5-1 Plans allow you to establish an afrmatve defense to an illegal insider-trading charge when your trades are made pursuant to a pre-existng writen trading plan meetng the requirements set forth below. These plans allow you to plan future trades (sales or purchases) at a tme when you do not possess material, nonpublic informaton and then have those trades executed later, even during tmes when you may possess material, nonpublic informaton about Itron, but requires that you maintain no control over trades once the Rule 10b5-1 Plan takes efect.</w:t>
      </w: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Eligibility</w:t>
      </w:r>
    </w:p>
    <w:p>
      <w:pPr>
        <w:spacing w:after="0" w:line="225" w:lineRule="exact"/>
        <w:rPr>
          <w:sz w:val="20"/>
          <w:szCs w:val="20"/>
          <w:color w:val="auto"/>
        </w:rPr>
      </w:pPr>
    </w:p>
    <w:p>
      <w:pPr>
        <w:spacing w:after="0" w:line="228" w:lineRule="auto"/>
        <w:rPr>
          <w:sz w:val="20"/>
          <w:szCs w:val="20"/>
          <w:color w:val="auto"/>
        </w:rPr>
      </w:pPr>
      <w:r>
        <w:rPr>
          <w:rFonts w:ascii="Calibri" w:cs="Calibri" w:eastAsia="Calibri" w:hAnsi="Calibri"/>
          <w:sz w:val="20"/>
          <w:szCs w:val="20"/>
          <w:color w:val="auto"/>
        </w:rPr>
        <w:t>Rule 10b5-1 Plans are available to Designated Insiders and others approved on a case-by-case basis by the Senior Vice President General Counsel and Senior Vice President Chief Financial Ofcer.</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Requirements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Each Rule 10b5-1 Plan must:</w:t>
      </w:r>
    </w:p>
    <w:p>
      <w:pPr>
        <w:spacing w:after="0" w:line="201" w:lineRule="exact"/>
        <w:rPr>
          <w:sz w:val="20"/>
          <w:szCs w:val="20"/>
          <w:color w:val="auto"/>
        </w:rPr>
      </w:pPr>
    </w:p>
    <w:p>
      <w:pPr>
        <w:ind w:left="1300" w:hanging="319"/>
        <w:spacing w:after="0"/>
        <w:tabs>
          <w:tab w:leader="none" w:pos="1300" w:val="left"/>
        </w:tabs>
        <w:numPr>
          <w:ilvl w:val="0"/>
          <w:numId w:val="86"/>
        </w:numPr>
        <w:rPr>
          <w:rFonts w:ascii="Arial" w:cs="Arial" w:eastAsia="Arial" w:hAnsi="Arial"/>
          <w:sz w:val="18"/>
          <w:szCs w:val="18"/>
          <w:color w:val="auto"/>
        </w:rPr>
      </w:pPr>
      <w:r>
        <w:rPr>
          <w:rFonts w:ascii="Calibri" w:cs="Calibri" w:eastAsia="Calibri" w:hAnsi="Calibri"/>
          <w:sz w:val="20"/>
          <w:szCs w:val="20"/>
          <w:color w:val="auto"/>
        </w:rPr>
        <w:t>Be entered into when you are not aware of any material nonpublic informaton;</w:t>
      </w:r>
    </w:p>
    <w:p>
      <w:pPr>
        <w:spacing w:after="0" w:line="214" w:lineRule="exact"/>
        <w:rPr>
          <w:rFonts w:ascii="Arial" w:cs="Arial" w:eastAsia="Arial" w:hAnsi="Arial"/>
          <w:sz w:val="18"/>
          <w:szCs w:val="18"/>
          <w:color w:val="auto"/>
        </w:rPr>
      </w:pPr>
    </w:p>
    <w:p>
      <w:pPr>
        <w:ind w:left="1300" w:hanging="319"/>
        <w:spacing w:after="0"/>
        <w:tabs>
          <w:tab w:leader="none" w:pos="1300" w:val="left"/>
        </w:tabs>
        <w:numPr>
          <w:ilvl w:val="0"/>
          <w:numId w:val="86"/>
        </w:numPr>
        <w:rPr>
          <w:rFonts w:ascii="Arial" w:cs="Arial" w:eastAsia="Arial" w:hAnsi="Arial"/>
          <w:sz w:val="18"/>
          <w:szCs w:val="18"/>
          <w:color w:val="auto"/>
        </w:rPr>
      </w:pPr>
      <w:r>
        <w:rPr>
          <w:rFonts w:ascii="Calibri" w:cs="Calibri" w:eastAsia="Calibri" w:hAnsi="Calibri"/>
          <w:sz w:val="20"/>
          <w:szCs w:val="20"/>
          <w:color w:val="auto"/>
        </w:rPr>
        <w:t>Be entered into in good faith and not as part of a plan or scheme to evade prohibitons of Rule 10b5-1;</w:t>
      </w:r>
    </w:p>
    <w:p>
      <w:pPr>
        <w:spacing w:after="0" w:line="201" w:lineRule="exact"/>
        <w:rPr>
          <w:rFonts w:ascii="Arial" w:cs="Arial" w:eastAsia="Arial" w:hAnsi="Arial"/>
          <w:sz w:val="18"/>
          <w:szCs w:val="18"/>
          <w:color w:val="auto"/>
        </w:rPr>
      </w:pPr>
    </w:p>
    <w:p>
      <w:pPr>
        <w:ind w:left="1300" w:hanging="319"/>
        <w:spacing w:after="0"/>
        <w:tabs>
          <w:tab w:leader="none" w:pos="1300" w:val="left"/>
        </w:tabs>
        <w:numPr>
          <w:ilvl w:val="0"/>
          <w:numId w:val="86"/>
        </w:numPr>
        <w:rPr>
          <w:rFonts w:ascii="Arial" w:cs="Arial" w:eastAsia="Arial" w:hAnsi="Arial"/>
          <w:sz w:val="18"/>
          <w:szCs w:val="18"/>
          <w:color w:val="auto"/>
        </w:rPr>
      </w:pPr>
      <w:r>
        <w:rPr>
          <w:rFonts w:ascii="Calibri" w:cs="Calibri" w:eastAsia="Calibri" w:hAnsi="Calibri"/>
          <w:sz w:val="20"/>
          <w:szCs w:val="20"/>
          <w:color w:val="auto"/>
        </w:rPr>
        <w:t>Be entered into during an open trading window;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alibri" w:cs="Calibri" w:eastAsia="Calibri" w:hAnsi="Calibri"/>
          <w:sz w:val="16"/>
          <w:szCs w:val="16"/>
          <w:color w:val="auto"/>
        </w:rPr>
        <w:t>© Copyright Itron. All rights reserved.</w:t>
      </w:r>
    </w:p>
    <w:p>
      <w:pPr>
        <w:sectPr>
          <w:pgSz w:w="11900" w:h="16838" w:orient="portrait"/>
          <w:cols w:equalWidth="0" w:num="1">
            <w:col w:w="11160"/>
          </w:cols>
          <w:pgMar w:left="320" w:top="781" w:right="419" w:bottom="1440" w:gutter="0" w:footer="0" w:header="0"/>
        </w:sectPr>
      </w:pPr>
    </w:p>
    <w:bookmarkStart w:id="158" w:name="page159"/>
    <w:bookmarkEnd w:id="158"/>
    <w:p>
      <w:pPr>
        <w:ind w:left="1880"/>
        <w:spacing w:after="0"/>
        <w:rPr>
          <w:sz w:val="20"/>
          <w:szCs w:val="20"/>
          <w:color w:val="auto"/>
        </w:rPr>
      </w:pPr>
      <w:r>
        <w:rPr>
          <w:rFonts w:ascii="Calibri" w:cs="Calibri" w:eastAsia="Calibri" w:hAnsi="Calibri"/>
          <w:sz w:val="20"/>
          <w:szCs w:val="20"/>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685800" cy="4972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685800" cy="497205"/>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00" w:right="360" w:hanging="319"/>
        <w:spacing w:after="0" w:line="234" w:lineRule="auto"/>
        <w:tabs>
          <w:tab w:leader="none" w:pos="1295" w:val="left"/>
        </w:tabs>
        <w:numPr>
          <w:ilvl w:val="0"/>
          <w:numId w:val="87"/>
        </w:numPr>
        <w:rPr>
          <w:rFonts w:ascii="Arial" w:cs="Arial" w:eastAsia="Arial" w:hAnsi="Arial"/>
          <w:sz w:val="18"/>
          <w:szCs w:val="18"/>
          <w:color w:val="auto"/>
        </w:rPr>
      </w:pPr>
      <w:r>
        <w:rPr>
          <w:rFonts w:ascii="Calibri" w:cs="Calibri" w:eastAsia="Calibri" w:hAnsi="Calibri"/>
          <w:sz w:val="20"/>
          <w:szCs w:val="20"/>
          <w:color w:val="auto"/>
        </w:rPr>
        <w:t>Include (1) a binding contract to purchase or sell the security, (2) instructons to purchase or sell the security for your account, or (3) a writen plan for trading securites;</w:t>
      </w:r>
    </w:p>
    <w:p>
      <w:pPr>
        <w:spacing w:after="0" w:line="212" w:lineRule="exact"/>
        <w:rPr>
          <w:rFonts w:ascii="Arial" w:cs="Arial" w:eastAsia="Arial" w:hAnsi="Arial"/>
          <w:sz w:val="18"/>
          <w:szCs w:val="18"/>
          <w:color w:val="auto"/>
        </w:rPr>
      </w:pPr>
    </w:p>
    <w:p>
      <w:pPr>
        <w:ind w:left="1300" w:right="160" w:hanging="319"/>
        <w:spacing w:after="0" w:line="234" w:lineRule="auto"/>
        <w:tabs>
          <w:tab w:leader="none" w:pos="1295" w:val="left"/>
        </w:tabs>
        <w:numPr>
          <w:ilvl w:val="0"/>
          <w:numId w:val="87"/>
        </w:numPr>
        <w:rPr>
          <w:rFonts w:ascii="Arial" w:cs="Arial" w:eastAsia="Arial" w:hAnsi="Arial"/>
          <w:sz w:val="18"/>
          <w:szCs w:val="18"/>
          <w:color w:val="auto"/>
        </w:rPr>
      </w:pPr>
      <w:r>
        <w:rPr>
          <w:rFonts w:ascii="Calibri" w:cs="Calibri" w:eastAsia="Calibri" w:hAnsi="Calibri"/>
          <w:sz w:val="20"/>
          <w:szCs w:val="20"/>
          <w:color w:val="auto"/>
        </w:rPr>
        <w:t>Specify the amount, date, and price of the transacton or include a writen formula or algorithm, or computer program, to determine the amount, price and date of securites to be purchased or sold;</w:t>
      </w:r>
    </w:p>
    <w:p>
      <w:pPr>
        <w:spacing w:after="0" w:line="202" w:lineRule="exact"/>
        <w:rPr>
          <w:rFonts w:ascii="Arial" w:cs="Arial" w:eastAsia="Arial" w:hAnsi="Arial"/>
          <w:sz w:val="18"/>
          <w:szCs w:val="18"/>
          <w:color w:val="auto"/>
        </w:rPr>
      </w:pPr>
    </w:p>
    <w:p>
      <w:pPr>
        <w:ind w:left="1300" w:hanging="319"/>
        <w:spacing w:after="0"/>
        <w:tabs>
          <w:tab w:leader="none" w:pos="1300" w:val="left"/>
        </w:tabs>
        <w:numPr>
          <w:ilvl w:val="0"/>
          <w:numId w:val="87"/>
        </w:numPr>
        <w:rPr>
          <w:rFonts w:ascii="Arial" w:cs="Arial" w:eastAsia="Arial" w:hAnsi="Arial"/>
          <w:sz w:val="18"/>
          <w:szCs w:val="18"/>
          <w:color w:val="auto"/>
        </w:rPr>
      </w:pPr>
      <w:r>
        <w:rPr>
          <w:rFonts w:ascii="Calibri" w:cs="Calibri" w:eastAsia="Calibri" w:hAnsi="Calibri"/>
          <w:sz w:val="20"/>
          <w:szCs w:val="20"/>
          <w:color w:val="auto"/>
        </w:rPr>
        <w:t>Not permit you to exercise any subsequent infuence over how, when, or whether to efect purchases or sales;</w:t>
      </w:r>
    </w:p>
    <w:p>
      <w:pPr>
        <w:spacing w:after="0" w:line="214" w:lineRule="exact"/>
        <w:rPr>
          <w:rFonts w:ascii="Arial" w:cs="Arial" w:eastAsia="Arial" w:hAnsi="Arial"/>
          <w:sz w:val="18"/>
          <w:szCs w:val="18"/>
          <w:color w:val="auto"/>
        </w:rPr>
      </w:pPr>
    </w:p>
    <w:p>
      <w:pPr>
        <w:ind w:left="1300" w:hanging="319"/>
        <w:spacing w:after="0"/>
        <w:tabs>
          <w:tab w:leader="none" w:pos="1300" w:val="left"/>
        </w:tabs>
        <w:numPr>
          <w:ilvl w:val="0"/>
          <w:numId w:val="87"/>
        </w:numPr>
        <w:rPr>
          <w:rFonts w:ascii="Arial" w:cs="Arial" w:eastAsia="Arial" w:hAnsi="Arial"/>
          <w:sz w:val="18"/>
          <w:szCs w:val="18"/>
          <w:color w:val="auto"/>
        </w:rPr>
      </w:pPr>
      <w:r>
        <w:rPr>
          <w:rFonts w:ascii="Calibri" w:cs="Calibri" w:eastAsia="Calibri" w:hAnsi="Calibri"/>
          <w:sz w:val="20"/>
          <w:szCs w:val="20"/>
          <w:color w:val="auto"/>
        </w:rPr>
        <w:t>Provide that the frst trade may not occur untl at least thirty days afer the Rule 10b5-1 Plan was entered into;</w:t>
      </w:r>
    </w:p>
    <w:p>
      <w:pPr>
        <w:spacing w:after="0" w:line="214" w:lineRule="exact"/>
        <w:rPr>
          <w:rFonts w:ascii="Arial" w:cs="Arial" w:eastAsia="Arial" w:hAnsi="Arial"/>
          <w:sz w:val="18"/>
          <w:szCs w:val="18"/>
          <w:color w:val="auto"/>
        </w:rPr>
      </w:pPr>
    </w:p>
    <w:p>
      <w:pPr>
        <w:ind w:left="1300" w:hanging="319"/>
        <w:spacing w:after="0"/>
        <w:tabs>
          <w:tab w:leader="none" w:pos="1300" w:val="left"/>
        </w:tabs>
        <w:numPr>
          <w:ilvl w:val="0"/>
          <w:numId w:val="87"/>
        </w:numPr>
        <w:rPr>
          <w:rFonts w:ascii="Arial" w:cs="Arial" w:eastAsia="Arial" w:hAnsi="Arial"/>
          <w:sz w:val="18"/>
          <w:szCs w:val="18"/>
          <w:color w:val="auto"/>
        </w:rPr>
      </w:pPr>
      <w:r>
        <w:rPr>
          <w:rFonts w:ascii="Calibri" w:cs="Calibri" w:eastAsia="Calibri" w:hAnsi="Calibri"/>
          <w:sz w:val="20"/>
          <w:szCs w:val="20"/>
          <w:color w:val="auto"/>
        </w:rPr>
        <w:t>Be for a term no more than 12 months; and</w:t>
      </w:r>
    </w:p>
    <w:p>
      <w:pPr>
        <w:spacing w:after="0" w:line="201" w:lineRule="exact"/>
        <w:rPr>
          <w:rFonts w:ascii="Arial" w:cs="Arial" w:eastAsia="Arial" w:hAnsi="Arial"/>
          <w:sz w:val="18"/>
          <w:szCs w:val="18"/>
          <w:color w:val="auto"/>
        </w:rPr>
      </w:pPr>
    </w:p>
    <w:p>
      <w:pPr>
        <w:ind w:left="1300" w:hanging="319"/>
        <w:spacing w:after="0"/>
        <w:tabs>
          <w:tab w:leader="none" w:pos="1300" w:val="left"/>
        </w:tabs>
        <w:numPr>
          <w:ilvl w:val="0"/>
          <w:numId w:val="87"/>
        </w:numPr>
        <w:rPr>
          <w:rFonts w:ascii="Arial" w:cs="Arial" w:eastAsia="Arial" w:hAnsi="Arial"/>
          <w:sz w:val="18"/>
          <w:szCs w:val="18"/>
          <w:color w:val="auto"/>
        </w:rPr>
      </w:pPr>
      <w:r>
        <w:rPr>
          <w:rFonts w:ascii="Calibri" w:cs="Calibri" w:eastAsia="Calibri" w:hAnsi="Calibri"/>
          <w:sz w:val="20"/>
          <w:szCs w:val="20"/>
          <w:color w:val="auto"/>
        </w:rPr>
        <w:t>Conform with applicable securites laws and requirements.</w:t>
      </w:r>
    </w:p>
    <w:p>
      <w:pPr>
        <w:spacing w:after="0" w:line="225" w:lineRule="exact"/>
        <w:rPr>
          <w:sz w:val="20"/>
          <w:szCs w:val="20"/>
          <w:color w:val="auto"/>
        </w:rPr>
      </w:pPr>
    </w:p>
    <w:p>
      <w:pPr>
        <w:jc w:val="both"/>
        <w:ind w:right="660"/>
        <w:spacing w:after="0" w:line="233" w:lineRule="auto"/>
        <w:rPr>
          <w:sz w:val="20"/>
          <w:szCs w:val="20"/>
          <w:color w:val="auto"/>
        </w:rPr>
      </w:pPr>
      <w:r>
        <w:rPr>
          <w:rFonts w:ascii="Calibri" w:cs="Calibri" w:eastAsia="Calibri" w:hAnsi="Calibri"/>
          <w:sz w:val="20"/>
          <w:szCs w:val="20"/>
          <w:color w:val="auto"/>
        </w:rPr>
        <w:t>If a Rule 10b5-1 Plan is terminated early, you may not enter into a new Rule 10b5-1 Plan for at least sixty (60) days following the terminaton date. You may only have one (1) Rule 10b5-1 Plan in efect at any given tme that covers the same securites (e.g. no multple, overlapping plans); multple plans covering diferent securites may be allowed on a case-by-case basis. Once approved, executed and implemented, Rule 10b5-1 Plans may not be modifed.</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Process</w:t>
      </w:r>
    </w:p>
    <w:p>
      <w:pPr>
        <w:spacing w:after="0" w:line="225"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To enter into a Rule 10b5-1 Plan, you should contact Fidelity to begin documentng the terms and conditons of the proposed purchases or sales using the form Rule 10b5-1 Plan provided by Fidelity. Before entering the plan, the Corporate Legal Department must review and approve the Rule 10b5-1 Plan including:</w:t>
      </w:r>
    </w:p>
    <w:p>
      <w:pPr>
        <w:spacing w:after="0" w:line="217" w:lineRule="exact"/>
        <w:rPr>
          <w:sz w:val="20"/>
          <w:szCs w:val="20"/>
          <w:color w:val="auto"/>
        </w:rPr>
      </w:pPr>
    </w:p>
    <w:p>
      <w:pPr>
        <w:ind w:left="980" w:hanging="324"/>
        <w:spacing w:after="0"/>
        <w:tabs>
          <w:tab w:leader="none" w:pos="980" w:val="left"/>
        </w:tabs>
        <w:numPr>
          <w:ilvl w:val="0"/>
          <w:numId w:val="88"/>
        </w:numPr>
        <w:rPr>
          <w:rFonts w:ascii="Arial" w:cs="Arial" w:eastAsia="Arial" w:hAnsi="Arial"/>
          <w:sz w:val="18"/>
          <w:szCs w:val="18"/>
          <w:color w:val="auto"/>
        </w:rPr>
      </w:pPr>
      <w:r>
        <w:rPr>
          <w:rFonts w:ascii="Calibri" w:cs="Calibri" w:eastAsia="Calibri" w:hAnsi="Calibri"/>
          <w:sz w:val="20"/>
          <w:szCs w:val="20"/>
          <w:color w:val="auto"/>
        </w:rPr>
        <w:t>Confrming that it satsfes the Requirements listed above;</w:t>
      </w:r>
    </w:p>
    <w:p>
      <w:pPr>
        <w:spacing w:after="0" w:line="201" w:lineRule="exact"/>
        <w:rPr>
          <w:rFonts w:ascii="Arial" w:cs="Arial" w:eastAsia="Arial" w:hAnsi="Arial"/>
          <w:sz w:val="18"/>
          <w:szCs w:val="18"/>
          <w:color w:val="auto"/>
        </w:rPr>
      </w:pPr>
    </w:p>
    <w:p>
      <w:pPr>
        <w:ind w:left="980" w:hanging="324"/>
        <w:spacing w:after="0"/>
        <w:tabs>
          <w:tab w:leader="none" w:pos="980" w:val="left"/>
        </w:tabs>
        <w:numPr>
          <w:ilvl w:val="0"/>
          <w:numId w:val="88"/>
        </w:numPr>
        <w:rPr>
          <w:rFonts w:ascii="Arial" w:cs="Arial" w:eastAsia="Arial" w:hAnsi="Arial"/>
          <w:sz w:val="18"/>
          <w:szCs w:val="18"/>
          <w:color w:val="auto"/>
        </w:rPr>
      </w:pPr>
      <w:r>
        <w:rPr>
          <w:rFonts w:ascii="Calibri" w:cs="Calibri" w:eastAsia="Calibri" w:hAnsi="Calibri"/>
          <w:sz w:val="20"/>
          <w:szCs w:val="20"/>
          <w:color w:val="auto"/>
        </w:rPr>
        <w:t>Confrming that the arrangement will not potentally damage Itron or you; and</w:t>
      </w:r>
    </w:p>
    <w:p>
      <w:pPr>
        <w:spacing w:after="0" w:line="224" w:lineRule="exact"/>
        <w:rPr>
          <w:rFonts w:ascii="Arial" w:cs="Arial" w:eastAsia="Arial" w:hAnsi="Arial"/>
          <w:sz w:val="18"/>
          <w:szCs w:val="18"/>
          <w:color w:val="auto"/>
        </w:rPr>
      </w:pPr>
    </w:p>
    <w:p>
      <w:pPr>
        <w:ind w:left="980" w:right="820" w:hanging="324"/>
        <w:spacing w:after="0" w:line="228" w:lineRule="auto"/>
        <w:tabs>
          <w:tab w:leader="none" w:pos="975" w:val="left"/>
        </w:tabs>
        <w:numPr>
          <w:ilvl w:val="0"/>
          <w:numId w:val="88"/>
        </w:numPr>
        <w:rPr>
          <w:rFonts w:ascii="Arial" w:cs="Arial" w:eastAsia="Arial" w:hAnsi="Arial"/>
          <w:sz w:val="18"/>
          <w:szCs w:val="18"/>
          <w:color w:val="auto"/>
        </w:rPr>
      </w:pPr>
      <w:r>
        <w:rPr>
          <w:rFonts w:ascii="Calibri" w:cs="Calibri" w:eastAsia="Calibri" w:hAnsi="Calibri"/>
          <w:sz w:val="20"/>
          <w:szCs w:val="20"/>
          <w:color w:val="auto"/>
        </w:rPr>
        <w:t>Confrming that at the tme you enter into an arrangement it is during an open trading window and that there is no material informaton about Itron that has not been publicly disclosed.</w:t>
      </w:r>
    </w:p>
    <w:p>
      <w:pPr>
        <w:spacing w:after="0" w:line="225" w:lineRule="exact"/>
        <w:rPr>
          <w:sz w:val="20"/>
          <w:szCs w:val="20"/>
          <w:color w:val="auto"/>
        </w:rPr>
      </w:pPr>
    </w:p>
    <w:p>
      <w:pPr>
        <w:ind w:left="980" w:right="100"/>
        <w:spacing w:after="0" w:line="228" w:lineRule="auto"/>
        <w:rPr>
          <w:sz w:val="20"/>
          <w:szCs w:val="20"/>
          <w:color w:val="auto"/>
        </w:rPr>
      </w:pPr>
      <w:r>
        <w:rPr>
          <w:rFonts w:ascii="Calibri" w:cs="Calibri" w:eastAsia="Calibri" w:hAnsi="Calibri"/>
          <w:sz w:val="20"/>
          <w:szCs w:val="20"/>
          <w:color w:val="auto"/>
        </w:rPr>
        <w:t xml:space="preserve">Upon approval of the Rule 10b5-1 Plan, you will execute and implement the plan with Fidelity. </w:t>
      </w:r>
      <w:r>
        <w:rPr>
          <w:rFonts w:ascii="Calibri" w:cs="Calibri" w:eastAsia="Calibri" w:hAnsi="Calibri"/>
          <w:sz w:val="20"/>
          <w:szCs w:val="20"/>
          <w:i w:val="1"/>
          <w:iCs w:val="1"/>
          <w:color w:val="auto"/>
        </w:rPr>
        <w:t>See</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Appendix B</w:t>
      </w:r>
      <w:r>
        <w:rPr>
          <w:rFonts w:ascii="Calibri" w:cs="Calibri" w:eastAsia="Calibri" w:hAnsi="Calibri"/>
          <w:sz w:val="20"/>
          <w:szCs w:val="20"/>
          <w:color w:val="auto"/>
        </w:rPr>
        <w:t xml:space="preserve"> to this policy for the Rule 10b5-1 Plan process.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CONSEQUENCES FOR INSIDER TRADING</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Criminal Penaltes</w:t>
      </w:r>
    </w:p>
    <w:p>
      <w:pPr>
        <w:spacing w:after="0" w:line="211" w:lineRule="exact"/>
        <w:rPr>
          <w:sz w:val="20"/>
          <w:szCs w:val="20"/>
          <w:color w:val="auto"/>
        </w:rPr>
      </w:pPr>
    </w:p>
    <w:p>
      <w:pPr>
        <w:jc w:val="both"/>
        <w:ind w:left="660" w:right="300"/>
        <w:spacing w:after="0" w:line="231" w:lineRule="auto"/>
        <w:rPr>
          <w:sz w:val="20"/>
          <w:szCs w:val="20"/>
          <w:color w:val="auto"/>
        </w:rPr>
      </w:pPr>
      <w:r>
        <w:rPr>
          <w:rFonts w:ascii="Calibri" w:cs="Calibri" w:eastAsia="Calibri" w:hAnsi="Calibri"/>
          <w:sz w:val="20"/>
          <w:szCs w:val="20"/>
          <w:i w:val="1"/>
          <w:iCs w:val="1"/>
          <w:u w:val="single" w:color="auto"/>
          <w:color w:val="auto"/>
        </w:rPr>
        <w:t>Liability for Insider Trading</w:t>
      </w:r>
      <w:r>
        <w:rPr>
          <w:rFonts w:ascii="Calibri" w:cs="Calibri" w:eastAsia="Calibri" w:hAnsi="Calibri"/>
          <w:sz w:val="20"/>
          <w:szCs w:val="20"/>
          <w:color w:val="auto"/>
        </w:rPr>
        <w:t>: Individuals found liable for insider trading face penaltes of up to three (3) tmes the proft gained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or loss avoided, a criminal fne of up to $5 million, and up to twenty (20) years in jail. In additon to the potental criminal and civil liabilites mentoned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alibri" w:cs="Calibri" w:eastAsia="Calibri" w:hAnsi="Calibri"/>
          <w:sz w:val="16"/>
          <w:szCs w:val="16"/>
          <w:color w:val="auto"/>
        </w:rPr>
        <w:t>© Copyright Itron. All rights reserved.</w:t>
      </w:r>
    </w:p>
    <w:p>
      <w:pPr>
        <w:sectPr>
          <w:pgSz w:w="11900" w:h="16838" w:orient="portrait"/>
          <w:cols w:equalWidth="0" w:num="1">
            <w:col w:w="11220"/>
          </w:cols>
          <w:pgMar w:left="320" w:top="781" w:right="359" w:bottom="1440" w:gutter="0" w:footer="0" w:header="0"/>
        </w:sectPr>
      </w:pPr>
    </w:p>
    <w:bookmarkStart w:id="159" w:name="page160"/>
    <w:bookmarkEnd w:id="159"/>
    <w:p>
      <w:pPr>
        <w:ind w:left="1880"/>
        <w:spacing w:after="0"/>
        <w:rPr>
          <w:sz w:val="20"/>
          <w:szCs w:val="20"/>
          <w:color w:val="auto"/>
        </w:rPr>
      </w:pPr>
      <w:r>
        <w:rPr>
          <w:rFonts w:ascii="Calibri" w:cs="Calibri" w:eastAsia="Calibri" w:hAnsi="Calibri"/>
          <w:sz w:val="20"/>
          <w:szCs w:val="20"/>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685800" cy="4972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685800" cy="497205"/>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right="480"/>
        <w:spacing w:after="0" w:line="234" w:lineRule="auto"/>
        <w:rPr>
          <w:sz w:val="20"/>
          <w:szCs w:val="20"/>
          <w:color w:val="auto"/>
        </w:rPr>
      </w:pPr>
      <w:r>
        <w:rPr>
          <w:rFonts w:ascii="Calibri" w:cs="Calibri" w:eastAsia="Calibri" w:hAnsi="Calibri"/>
          <w:sz w:val="20"/>
          <w:szCs w:val="20"/>
          <w:color w:val="auto"/>
        </w:rPr>
        <w:t>above, in certain circumstances a company may be able to recover all profts made by an insider who traded illegally, plus collect other damages.</w:t>
      </w:r>
    </w:p>
    <w:p>
      <w:pPr>
        <w:spacing w:after="0" w:line="212" w:lineRule="exact"/>
        <w:rPr>
          <w:sz w:val="20"/>
          <w:szCs w:val="20"/>
          <w:color w:val="auto"/>
        </w:rPr>
      </w:pPr>
    </w:p>
    <w:p>
      <w:pPr>
        <w:ind w:left="640"/>
        <w:spacing w:after="0" w:line="231" w:lineRule="auto"/>
        <w:rPr>
          <w:sz w:val="20"/>
          <w:szCs w:val="20"/>
          <w:color w:val="auto"/>
        </w:rPr>
      </w:pPr>
      <w:r>
        <w:rPr>
          <w:rFonts w:ascii="Calibri" w:cs="Calibri" w:eastAsia="Calibri" w:hAnsi="Calibri"/>
          <w:sz w:val="20"/>
          <w:szCs w:val="20"/>
          <w:i w:val="1"/>
          <w:iCs w:val="1"/>
          <w:u w:val="single" w:color="auto"/>
          <w:color w:val="auto"/>
        </w:rPr>
        <w:t>Liability for Tipping</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You may be liable for the improper trading in Itron’s securites by a “tppee” to whom you have disclosed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inside informaton. This is true even if you do not personally proft from the misuse of the inside informaton but merely passed it on. You and the tppee would be subject to the same penaltes and sanctons as described above.</w:t>
      </w:r>
    </w:p>
    <w:p>
      <w:pPr>
        <w:spacing w:after="0" w:line="227" w:lineRule="exact"/>
        <w:rPr>
          <w:sz w:val="20"/>
          <w:szCs w:val="20"/>
          <w:color w:val="auto"/>
        </w:rPr>
      </w:pPr>
    </w:p>
    <w:p>
      <w:pPr>
        <w:ind w:left="660" w:right="140"/>
        <w:spacing w:after="0" w:line="231" w:lineRule="auto"/>
        <w:rPr>
          <w:sz w:val="20"/>
          <w:szCs w:val="20"/>
          <w:color w:val="auto"/>
        </w:rPr>
      </w:pPr>
      <w:r>
        <w:rPr>
          <w:rFonts w:ascii="Calibri" w:cs="Calibri" w:eastAsia="Calibri" w:hAnsi="Calibri"/>
          <w:sz w:val="20"/>
          <w:szCs w:val="20"/>
          <w:i w:val="1"/>
          <w:iCs w:val="1"/>
          <w:u w:val="single" w:color="auto"/>
          <w:color w:val="auto"/>
        </w:rPr>
        <w:t>Liability of Itron</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Itron (and its executve ofcers and directors) could face penaltes up to the greater of $1 million or three (3)</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tmes the proft gained or loss avoided as a result of an Insider’s violaton and/or a criminal penalty of up to $25 million for failing to take steps to prevent insider trading.</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Company Penaltes</w:t>
      </w:r>
    </w:p>
    <w:p>
      <w:pPr>
        <w:spacing w:after="0" w:line="211" w:lineRule="exact"/>
        <w:rPr>
          <w:sz w:val="20"/>
          <w:szCs w:val="20"/>
          <w:color w:val="auto"/>
        </w:rPr>
      </w:pPr>
    </w:p>
    <w:p>
      <w:pPr>
        <w:ind w:right="80"/>
        <w:spacing w:after="0" w:line="234" w:lineRule="auto"/>
        <w:rPr>
          <w:sz w:val="20"/>
          <w:szCs w:val="20"/>
          <w:color w:val="auto"/>
        </w:rPr>
      </w:pPr>
      <w:r>
        <w:rPr>
          <w:rFonts w:ascii="Calibri" w:cs="Calibri" w:eastAsia="Calibri" w:hAnsi="Calibri"/>
          <w:sz w:val="20"/>
          <w:szCs w:val="20"/>
          <w:color w:val="auto"/>
        </w:rPr>
        <w:t>Without regard to the civil or criminal penaltes that may be imposed by others, violaton of this policy and its procedures may subject you to Itron-imposed discipline, including dismissal.</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Policy Revisions and Exceptons</w:t>
      </w:r>
    </w:p>
    <w:p>
      <w:pPr>
        <w:spacing w:after="0" w:line="211" w:lineRule="exact"/>
        <w:rPr>
          <w:sz w:val="20"/>
          <w:szCs w:val="20"/>
          <w:color w:val="auto"/>
        </w:rPr>
      </w:pPr>
    </w:p>
    <w:p>
      <w:pPr>
        <w:ind w:right="280"/>
        <w:spacing w:after="0" w:line="234" w:lineRule="auto"/>
        <w:rPr>
          <w:sz w:val="20"/>
          <w:szCs w:val="20"/>
          <w:color w:val="auto"/>
        </w:rPr>
      </w:pPr>
      <w:r>
        <w:rPr>
          <w:rFonts w:ascii="Calibri" w:cs="Calibri" w:eastAsia="Calibri" w:hAnsi="Calibri"/>
          <w:sz w:val="20"/>
          <w:szCs w:val="20"/>
          <w:color w:val="auto"/>
        </w:rPr>
        <w:t>Itron’s Chief Compliance Ofcer will periodically review and revise this Policy. Any excepton to or deviaton from this Policy must be approved in writng by Company’s Chief Compliance Ofcer or General Counsel.</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Related Policies and Procedures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Prohibiton of Hedging Transactons in Itron Security Policy</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FF0000"/>
        </w:rPr>
        <w:t>Questons</w:t>
      </w:r>
    </w:p>
    <w:p>
      <w:pPr>
        <w:spacing w:after="0" w:line="211"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 xml:space="preserve">This policy is not intended to address all conceivable questons about compliance with the securites laws. You should not try to resolve uncertaintes you encounter as the rules relatng to insider trading are ofen complex, not always intuitve, and carry severe consequences. Questons about this Policy should be directed to Itron’s Global Compliance Team at </w:t>
      </w:r>
      <w:r>
        <w:rPr>
          <w:rFonts w:ascii="Calibri" w:cs="Calibri" w:eastAsia="Calibri" w:hAnsi="Calibri"/>
          <w:sz w:val="20"/>
          <w:szCs w:val="20"/>
          <w:u w:val="single" w:color="auto"/>
          <w:color w:val="auto"/>
        </w:rPr>
        <w:t>Compliance@itron.com</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16"/>
          <w:szCs w:val="16"/>
          <w:color w:val="auto"/>
        </w:rPr>
        <w:t>© Copyright Itron. All rights reserved.</w:t>
      </w:r>
    </w:p>
    <w:p>
      <w:pPr>
        <w:sectPr>
          <w:pgSz w:w="11900" w:h="16838" w:orient="portrait"/>
          <w:cols w:equalWidth="0" w:num="1">
            <w:col w:w="11080"/>
          </w:cols>
          <w:pgMar w:left="320" w:top="781" w:right="499" w:bottom="1440" w:gutter="0" w:footer="0" w:header="0"/>
        </w:sectPr>
      </w:pPr>
    </w:p>
    <w:bookmarkStart w:id="160" w:name="page161"/>
    <w:bookmarkEnd w:id="160"/>
    <w:p>
      <w:pPr>
        <w:ind w:left="1880"/>
        <w:spacing w:after="0"/>
        <w:rPr>
          <w:sz w:val="20"/>
          <w:szCs w:val="20"/>
          <w:color w:val="auto"/>
        </w:rPr>
      </w:pPr>
      <w:r>
        <w:rPr>
          <w:rFonts w:ascii="Calibri" w:cs="Calibri" w:eastAsia="Calibri" w:hAnsi="Calibri"/>
          <w:sz w:val="20"/>
          <w:szCs w:val="20"/>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685800" cy="4972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685800" cy="497205"/>
                    </a:xfrm>
                    <a:prstGeom prst="rect">
                      <a:avLst/>
                    </a:prstGeom>
                    <a:noFill/>
                  </pic:spPr>
                </pic:pic>
              </a:graphicData>
            </a:graphic>
          </wp:anchor>
        </w:drawing>
        <w:t>Insider Trading Policy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00"/>
        <w:spacing w:after="0"/>
        <w:rPr>
          <w:sz w:val="20"/>
          <w:szCs w:val="20"/>
          <w:color w:val="auto"/>
        </w:rPr>
      </w:pPr>
      <w:r>
        <w:rPr>
          <w:rFonts w:ascii="Calibri" w:cs="Calibri" w:eastAsia="Calibri" w:hAnsi="Calibri"/>
          <w:sz w:val="20"/>
          <w:szCs w:val="20"/>
          <w:b w:val="1"/>
          <w:bCs w:val="1"/>
          <w:u w:val="single" w:color="auto"/>
          <w:color w:val="FF0000"/>
        </w:rPr>
        <w:t>APPENDIX A</w:t>
      </w:r>
      <w:r>
        <w:rPr>
          <w:rFonts w:ascii="Calibri" w:cs="Calibri" w:eastAsia="Calibri" w:hAnsi="Calibri"/>
          <w:sz w:val="20"/>
          <w:szCs w:val="20"/>
          <w:b w:val="1"/>
          <w:bCs w:val="1"/>
          <w:color w:val="000000"/>
        </w:rPr>
        <w:t>:</w:t>
      </w:r>
    </w:p>
    <w:p>
      <w:pPr>
        <w:spacing w:after="0" w:line="134" w:lineRule="exact"/>
        <w:rPr>
          <w:sz w:val="20"/>
          <w:szCs w:val="20"/>
          <w:color w:val="auto"/>
        </w:rPr>
      </w:pPr>
    </w:p>
    <w:p>
      <w:pPr>
        <w:jc w:val="center"/>
        <w:ind w:right="-1100"/>
        <w:spacing w:after="0"/>
        <w:rPr>
          <w:sz w:val="20"/>
          <w:szCs w:val="20"/>
          <w:color w:val="auto"/>
        </w:rPr>
      </w:pPr>
      <w:r>
        <w:rPr>
          <w:rFonts w:ascii="Calibri" w:cs="Calibri" w:eastAsia="Calibri" w:hAnsi="Calibri"/>
          <w:sz w:val="20"/>
          <w:szCs w:val="20"/>
          <w:b w:val="1"/>
          <w:bCs w:val="1"/>
          <w:u w:val="single" w:color="auto"/>
          <w:color w:val="auto"/>
        </w:rPr>
        <w:t>Designated Insiders List</w:t>
      </w:r>
    </w:p>
    <w:p>
      <w:pPr>
        <w:spacing w:after="0" w:line="134" w:lineRule="exact"/>
        <w:rPr>
          <w:sz w:val="20"/>
          <w:szCs w:val="20"/>
          <w:color w:val="auto"/>
        </w:rPr>
      </w:pPr>
    </w:p>
    <w:p>
      <w:pPr>
        <w:jc w:val="right"/>
        <w:ind w:right="879"/>
        <w:spacing w:after="0"/>
        <w:rPr>
          <w:sz w:val="20"/>
          <w:szCs w:val="20"/>
          <w:color w:val="auto"/>
        </w:rPr>
      </w:pPr>
      <w:r>
        <w:rPr>
          <w:rFonts w:ascii="Calibri" w:cs="Calibri" w:eastAsia="Calibri" w:hAnsi="Calibri"/>
          <w:sz w:val="20"/>
          <w:szCs w:val="20"/>
          <w:color w:val="auto"/>
        </w:rPr>
        <w:t>[Please contact the Corporate Legal Department for the current Designated Insiders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alibri" w:cs="Calibri" w:eastAsia="Calibri" w:hAnsi="Calibri"/>
          <w:sz w:val="16"/>
          <w:szCs w:val="16"/>
          <w:color w:val="auto"/>
        </w:rPr>
        <w:t>© Copyright Itron. All rights reserved.</w:t>
      </w:r>
    </w:p>
    <w:p>
      <w:pPr>
        <w:sectPr>
          <w:pgSz w:w="11900" w:h="16838" w:orient="portrait"/>
          <w:cols w:equalWidth="0" w:num="1">
            <w:col w:w="10139"/>
          </w:cols>
          <w:pgMar w:left="320" w:top="781" w:right="1440" w:bottom="1440" w:gutter="0" w:footer="0" w:header="0"/>
        </w:sectPr>
      </w:pPr>
    </w:p>
    <w:bookmarkStart w:id="161" w:name="page162"/>
    <w:bookmarkEnd w:id="161"/>
    <w:p>
      <w:pPr>
        <w:ind w:left="1160"/>
        <w:spacing w:after="0"/>
        <w:rPr>
          <w:sz w:val="20"/>
          <w:szCs w:val="20"/>
          <w:color w:val="auto"/>
        </w:rPr>
      </w:pPr>
      <w:r>
        <w:rPr>
          <w:rFonts w:ascii="Calibri" w:cs="Calibri" w:eastAsia="Calibri" w:hAnsi="Calibri"/>
          <w:sz w:val="22"/>
          <w:szCs w:val="22"/>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582930" cy="2311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582930" cy="231140"/>
                    </a:xfrm>
                    <a:prstGeom prst="rect">
                      <a:avLst/>
                    </a:prstGeom>
                    <a:noFill/>
                  </pic:spPr>
                </pic:pic>
              </a:graphicData>
            </a:graphic>
          </wp:anchor>
        </w:drawing>
        <w:t>Prohibiton of Hedging Transactons in Itron Securites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591185</wp:posOffset>
            </wp:positionV>
            <wp:extent cx="5048885" cy="66179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5048885" cy="6617970"/>
                    </a:xfrm>
                    <a:prstGeom prst="rect">
                      <a:avLst/>
                    </a:prstGeom>
                    <a:noFill/>
                  </pic:spPr>
                </pic:pic>
              </a:graphicData>
            </a:graphic>
          </wp:anchor>
        </w:drawing>
      </w:r>
    </w:p>
    <w:p>
      <w:pPr>
        <w:sectPr>
          <w:pgSz w:w="11900" w:h="16838" w:orient="portrait"/>
          <w:cols w:equalWidth="0" w:num="1">
            <w:col w:w="10139"/>
          </w:cols>
          <w:pgMar w:left="320" w:top="3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alibri" w:cs="Calibri" w:eastAsia="Calibri" w:hAnsi="Calibri"/>
          <w:sz w:val="16"/>
          <w:szCs w:val="16"/>
          <w:color w:val="auto"/>
        </w:rPr>
        <w:t>© Copyright Itron. All rights reserved.</w:t>
      </w:r>
    </w:p>
    <w:p>
      <w:pPr>
        <w:sectPr>
          <w:pgSz w:w="11900" w:h="16838" w:orient="portrait"/>
          <w:cols w:equalWidth="0" w:num="1">
            <w:col w:w="10139"/>
          </w:cols>
          <w:pgMar w:left="320" w:top="344" w:right="1440" w:bottom="1440" w:gutter="0" w:footer="0" w:header="0"/>
          <w:type w:val="continuous"/>
        </w:sectPr>
      </w:pPr>
    </w:p>
    <w:bookmarkStart w:id="162" w:name="page163"/>
    <w:bookmarkEnd w:id="162"/>
    <w:p>
      <w:pPr>
        <w:jc w:val="right"/>
        <w:ind w:right="3599"/>
        <w:spacing w:after="0"/>
        <w:rPr>
          <w:sz w:val="20"/>
          <w:szCs w:val="20"/>
          <w:color w:val="auto"/>
        </w:rPr>
      </w:pPr>
      <w:r>
        <w:rPr>
          <w:rFonts w:ascii="Calibri" w:cs="Calibri" w:eastAsia="Calibri" w:hAnsi="Calibri"/>
          <w:sz w:val="22"/>
          <w:szCs w:val="22"/>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582930" cy="2311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582930" cy="231140"/>
                    </a:xfrm>
                    <a:prstGeom prst="rect">
                      <a:avLst/>
                    </a:prstGeom>
                    <a:noFill/>
                  </pic:spPr>
                </pic:pic>
              </a:graphicData>
            </a:graphic>
          </wp:anchor>
        </w:drawing>
        <w:t>Prohibiton of Hedging Transactons in Itron Securites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120"/>
        <w:spacing w:after="0"/>
        <w:rPr>
          <w:sz w:val="20"/>
          <w:szCs w:val="20"/>
          <w:color w:val="auto"/>
        </w:rPr>
      </w:pPr>
      <w:r>
        <w:rPr>
          <w:rFonts w:ascii="Calibri" w:cs="Calibri" w:eastAsia="Calibri" w:hAnsi="Calibri"/>
          <w:sz w:val="20"/>
          <w:szCs w:val="20"/>
          <w:b w:val="1"/>
          <w:bCs w:val="1"/>
          <w:u w:val="single" w:color="auto"/>
          <w:color w:val="FF0000"/>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4869180" cy="60521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4869180" cy="6052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6"/>
          <w:szCs w:val="16"/>
          <w:color w:val="auto"/>
        </w:rPr>
        <w:t>© Copyright Itron. All rights reserved.</w:t>
      </w:r>
    </w:p>
    <w:p>
      <w:pPr>
        <w:sectPr>
          <w:pgSz w:w="11900" w:h="16838" w:orient="portrait"/>
          <w:cols w:equalWidth="0" w:num="1">
            <w:col w:w="10139"/>
          </w:cols>
          <w:pgMar w:left="320" w:top="344" w:right="1440"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51515"/>
        </w:rPr>
        <w:t>ITRON,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51515"/>
        </w:rPr>
        <w:t>EXECUTIVE DEFERRED COMPENSATION PLAN</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51515"/>
        </w:rPr>
        <w:t xml:space="preserve">ARTICLE </w:t>
      </w:r>
      <w:r>
        <w:rPr>
          <w:rFonts w:ascii="Times New Roman" w:cs="Times New Roman" w:eastAsia="Times New Roman" w:hAnsi="Times New Roman"/>
          <w:sz w:val="21"/>
          <w:szCs w:val="21"/>
          <w:color w:val="151515"/>
        </w:rPr>
        <w:t>I.</w:t>
      </w:r>
      <w:r>
        <w:rPr>
          <w:rFonts w:ascii="Times New Roman" w:cs="Times New Roman" w:eastAsia="Times New Roman" w:hAnsi="Times New Roman"/>
          <w:sz w:val="20"/>
          <w:szCs w:val="20"/>
          <w:b w:val="1"/>
          <w:bCs w:val="1"/>
          <w:color w:val="151515"/>
        </w:rPr>
        <w:t xml:space="preserve"> ESTABLISHMENT AND NATURE OF PLAN</w:t>
      </w:r>
    </w:p>
    <w:p>
      <w:pPr>
        <w:ind w:left="800"/>
        <w:spacing w:after="0" w:line="187" w:lineRule="auto"/>
        <w:rPr>
          <w:sz w:val="20"/>
          <w:szCs w:val="20"/>
          <w:color w:val="auto"/>
        </w:rPr>
      </w:pPr>
      <w:r>
        <w:rPr>
          <w:rFonts w:ascii="Times New Roman" w:cs="Times New Roman" w:eastAsia="Times New Roman" w:hAnsi="Times New Roman"/>
          <w:sz w:val="21"/>
          <w:szCs w:val="21"/>
          <w:color w:val="151515"/>
        </w:rPr>
        <w:t>The Company established the Plan effective October 1</w:t>
      </w:r>
      <w:r>
        <w:rPr>
          <w:rFonts w:ascii="Times New Roman" w:cs="Times New Roman" w:eastAsia="Times New Roman" w:hAnsi="Times New Roman"/>
          <w:sz w:val="21"/>
          <w:szCs w:val="21"/>
          <w:color w:val="2F2F2F"/>
        </w:rPr>
        <w:t>,</w:t>
      </w:r>
      <w:r>
        <w:rPr>
          <w:rFonts w:ascii="Times New Roman" w:cs="Times New Roman" w:eastAsia="Times New Roman" w:hAnsi="Times New Roman"/>
          <w:sz w:val="21"/>
          <w:szCs w:val="21"/>
          <w:color w:val="151515"/>
        </w:rPr>
        <w:t xml:space="preserve"> 1991. The Plan was</w:t>
      </w:r>
    </w:p>
    <w:p>
      <w:pPr>
        <w:spacing w:after="0" w:line="1" w:lineRule="exact"/>
        <w:rPr>
          <w:sz w:val="20"/>
          <w:szCs w:val="20"/>
          <w:color w:val="auto"/>
        </w:rPr>
      </w:pPr>
    </w:p>
    <w:p>
      <w:pPr>
        <w:jc w:val="both"/>
        <w:ind w:left="140" w:right="60" w:firstLine="9"/>
        <w:spacing w:after="0" w:line="212" w:lineRule="auto"/>
        <w:rPr>
          <w:sz w:val="20"/>
          <w:szCs w:val="20"/>
          <w:color w:val="auto"/>
        </w:rPr>
      </w:pPr>
      <w:r>
        <w:rPr>
          <w:rFonts w:ascii="Times New Roman" w:cs="Times New Roman" w:eastAsia="Times New Roman" w:hAnsi="Times New Roman"/>
          <w:sz w:val="22"/>
          <w:szCs w:val="22"/>
          <w:color w:val="151515"/>
        </w:rPr>
        <w:t>amended and restated effective August 1</w:t>
      </w:r>
      <w:r>
        <w:rPr>
          <w:rFonts w:ascii="Times New Roman" w:cs="Times New Roman" w:eastAsia="Times New Roman" w:hAnsi="Times New Roman"/>
          <w:sz w:val="22"/>
          <w:szCs w:val="22"/>
          <w:color w:val="2F2F2F"/>
        </w:rPr>
        <w:t>,</w:t>
      </w:r>
      <w:r>
        <w:rPr>
          <w:rFonts w:ascii="Times New Roman" w:cs="Times New Roman" w:eastAsia="Times New Roman" w:hAnsi="Times New Roman"/>
          <w:sz w:val="22"/>
          <w:szCs w:val="22"/>
          <w:color w:val="151515"/>
        </w:rPr>
        <w:t xml:space="preserve"> 1996</w:t>
      </w:r>
      <w:r>
        <w:rPr>
          <w:rFonts w:ascii="Times New Roman" w:cs="Times New Roman" w:eastAsia="Times New Roman" w:hAnsi="Times New Roman"/>
          <w:sz w:val="22"/>
          <w:szCs w:val="22"/>
          <w:color w:val="2F2F2F"/>
        </w:rPr>
        <w:t>,</w:t>
      </w:r>
      <w:r>
        <w:rPr>
          <w:rFonts w:ascii="Times New Roman" w:cs="Times New Roman" w:eastAsia="Times New Roman" w:hAnsi="Times New Roman"/>
          <w:sz w:val="22"/>
          <w:szCs w:val="22"/>
          <w:color w:val="151515"/>
        </w:rPr>
        <w:t xml:space="preserve"> and was further amended in 2007</w:t>
      </w:r>
      <w:r>
        <w:rPr>
          <w:rFonts w:ascii="Times New Roman" w:cs="Times New Roman" w:eastAsia="Times New Roman" w:hAnsi="Times New Roman"/>
          <w:sz w:val="22"/>
          <w:szCs w:val="22"/>
          <w:color w:val="2F2F2F"/>
        </w:rPr>
        <w:t>.</w:t>
      </w:r>
      <w:r>
        <w:rPr>
          <w:rFonts w:ascii="Times New Roman" w:cs="Times New Roman" w:eastAsia="Times New Roman" w:hAnsi="Times New Roman"/>
          <w:sz w:val="22"/>
          <w:szCs w:val="22"/>
          <w:color w:val="151515"/>
        </w:rPr>
        <w:t xml:space="preserve"> The Plan was amended and restated in its entirety effective January 1, 2008, and the amendment and restatement applied to all amounts deferred under the Plan that remained unpaid on or after January 1, 2008 (whether deferred before, on or after January 1, 2005). The Plan was further amended and restated in its entirety effective [January 1, 2012] to expand eligibility and provide new benefits and additional flexibility</w:t>
      </w:r>
      <w:r>
        <w:rPr>
          <w:rFonts w:ascii="Times New Roman" w:cs="Times New Roman" w:eastAsia="Times New Roman" w:hAnsi="Times New Roman"/>
          <w:sz w:val="22"/>
          <w:szCs w:val="22"/>
          <w:color w:val="2F2F2F"/>
        </w:rPr>
        <w:t>.</w:t>
      </w:r>
    </w:p>
    <w:p>
      <w:pPr>
        <w:spacing w:after="0" w:line="195" w:lineRule="exact"/>
        <w:rPr>
          <w:sz w:val="20"/>
          <w:szCs w:val="20"/>
          <w:color w:val="auto"/>
        </w:rPr>
      </w:pPr>
    </w:p>
    <w:p>
      <w:pPr>
        <w:jc w:val="both"/>
        <w:ind w:left="120" w:right="60" w:firstLine="652"/>
        <w:spacing w:after="0" w:line="215" w:lineRule="auto"/>
        <w:rPr>
          <w:sz w:val="20"/>
          <w:szCs w:val="20"/>
          <w:color w:val="auto"/>
        </w:rPr>
      </w:pPr>
      <w:r>
        <w:rPr>
          <w:rFonts w:ascii="Times New Roman" w:cs="Times New Roman" w:eastAsia="Times New Roman" w:hAnsi="Times New Roman"/>
          <w:sz w:val="22"/>
          <w:szCs w:val="22"/>
          <w:color w:val="151515"/>
        </w:rPr>
        <w:t>The purpose o</w:t>
      </w:r>
      <w:r>
        <w:rPr>
          <w:rFonts w:ascii="Times New Roman" w:cs="Times New Roman" w:eastAsia="Times New Roman" w:hAnsi="Times New Roman"/>
          <w:sz w:val="22"/>
          <w:szCs w:val="22"/>
          <w:color w:val="2F2F2F"/>
        </w:rPr>
        <w:t>f</w:t>
      </w:r>
      <w:r>
        <w:rPr>
          <w:rFonts w:ascii="Times New Roman" w:cs="Times New Roman" w:eastAsia="Times New Roman" w:hAnsi="Times New Roman"/>
          <w:sz w:val="22"/>
          <w:szCs w:val="22"/>
          <w:color w:val="151515"/>
        </w:rPr>
        <w:t xml:space="preserve"> the Plan is to permit a s</w:t>
      </w:r>
      <w:r>
        <w:rPr>
          <w:rFonts w:ascii="Times New Roman" w:cs="Times New Roman" w:eastAsia="Times New Roman" w:hAnsi="Times New Roman"/>
          <w:sz w:val="22"/>
          <w:szCs w:val="22"/>
          <w:color w:val="2F2F2F"/>
        </w:rPr>
        <w:t>el</w:t>
      </w:r>
      <w:r>
        <w:rPr>
          <w:rFonts w:ascii="Times New Roman" w:cs="Times New Roman" w:eastAsia="Times New Roman" w:hAnsi="Times New Roman"/>
          <w:sz w:val="22"/>
          <w:szCs w:val="22"/>
          <w:color w:val="151515"/>
        </w:rPr>
        <w:t xml:space="preserve">ect group of management and highly compensated employees of the Company to defer receipt of a portion of their anticipated compensation in addition to the amount that they can defer under the Company's 401(k) plan and </w:t>
      </w:r>
      <w:r>
        <w:rPr>
          <w:rFonts w:ascii="Times New Roman" w:cs="Times New Roman" w:eastAsia="Times New Roman" w:hAnsi="Times New Roman"/>
          <w:sz w:val="22"/>
          <w:szCs w:val="22"/>
          <w:color w:val="2F2F2F"/>
        </w:rPr>
        <w:t>t</w:t>
      </w:r>
      <w:r>
        <w:rPr>
          <w:rFonts w:ascii="Times New Roman" w:cs="Times New Roman" w:eastAsia="Times New Roman" w:hAnsi="Times New Roman"/>
          <w:sz w:val="22"/>
          <w:szCs w:val="22"/>
          <w:color w:val="151515"/>
        </w:rPr>
        <w:t>o defer equity compensation awards. Non-employee members of the Board also are eligible to participate and to defer directors fees and equity compensation awards. The Company intends that the Plan shall constitute</w:t>
      </w:r>
      <w:r>
        <w:rPr>
          <w:rFonts w:ascii="Times New Roman" w:cs="Times New Roman" w:eastAsia="Times New Roman" w:hAnsi="Times New Roman"/>
          <w:sz w:val="22"/>
          <w:szCs w:val="22"/>
          <w:color w:val="2F2F2F"/>
        </w:rPr>
        <w:t>,</w:t>
      </w:r>
      <w:r>
        <w:rPr>
          <w:rFonts w:ascii="Times New Roman" w:cs="Times New Roman" w:eastAsia="Times New Roman" w:hAnsi="Times New Roman"/>
          <w:sz w:val="22"/>
          <w:szCs w:val="22"/>
          <w:color w:val="151515"/>
        </w:rPr>
        <w:t xml:space="preserve"> and shall be construed and administered as</w:t>
      </w:r>
      <w:r>
        <w:rPr>
          <w:rFonts w:ascii="Times New Roman" w:cs="Times New Roman" w:eastAsia="Times New Roman" w:hAnsi="Times New Roman"/>
          <w:sz w:val="22"/>
          <w:szCs w:val="22"/>
          <w:color w:val="2F2F2F"/>
        </w:rPr>
        <w:t>,</w:t>
      </w:r>
      <w:r>
        <w:rPr>
          <w:rFonts w:ascii="Times New Roman" w:cs="Times New Roman" w:eastAsia="Times New Roman" w:hAnsi="Times New Roman"/>
          <w:sz w:val="22"/>
          <w:szCs w:val="22"/>
          <w:color w:val="151515"/>
        </w:rPr>
        <w:t xml:space="preserve"> an unfunded plan of deferred compensation within the meaning of the </w:t>
      </w:r>
      <w:r>
        <w:rPr>
          <w:rFonts w:ascii="Times New Roman" w:cs="Times New Roman" w:eastAsia="Times New Roman" w:hAnsi="Times New Roman"/>
          <w:sz w:val="22"/>
          <w:szCs w:val="22"/>
          <w:color w:val="2F2F2F"/>
        </w:rPr>
        <w:t>E</w:t>
      </w:r>
      <w:r>
        <w:rPr>
          <w:rFonts w:ascii="Times New Roman" w:cs="Times New Roman" w:eastAsia="Times New Roman" w:hAnsi="Times New Roman"/>
          <w:sz w:val="22"/>
          <w:szCs w:val="22"/>
          <w:color w:val="151515"/>
        </w:rPr>
        <w:t>mployee Retirement Income Security Act of 1974, as amended, and the Code.</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51515"/>
        </w:rPr>
        <w:t xml:space="preserve">ARTICLE </w:t>
      </w:r>
      <w:r>
        <w:rPr>
          <w:rFonts w:ascii="Times New Roman" w:cs="Times New Roman" w:eastAsia="Times New Roman" w:hAnsi="Times New Roman"/>
          <w:sz w:val="21"/>
          <w:szCs w:val="21"/>
          <w:color w:val="151515"/>
        </w:rPr>
        <w:t>II.</w:t>
      </w:r>
      <w:r>
        <w:rPr>
          <w:rFonts w:ascii="Times New Roman" w:cs="Times New Roman" w:eastAsia="Times New Roman" w:hAnsi="Times New Roman"/>
          <w:sz w:val="20"/>
          <w:szCs w:val="20"/>
          <w:b w:val="1"/>
          <w:bCs w:val="1"/>
          <w:color w:val="151515"/>
        </w:rPr>
        <w:t xml:space="preserve"> DEFINITIONS</w:t>
      </w:r>
    </w:p>
    <w:p>
      <w:pPr>
        <w:spacing w:after="0" w:line="231" w:lineRule="exact"/>
        <w:rPr>
          <w:sz w:val="20"/>
          <w:szCs w:val="20"/>
          <w:color w:val="auto"/>
        </w:rPr>
      </w:pPr>
    </w:p>
    <w:p>
      <w:pPr>
        <w:jc w:val="both"/>
        <w:ind w:left="120" w:right="100" w:firstLine="652"/>
        <w:spacing w:after="0" w:line="225" w:lineRule="auto"/>
        <w:rPr>
          <w:sz w:val="20"/>
          <w:szCs w:val="20"/>
          <w:color w:val="auto"/>
        </w:rPr>
      </w:pPr>
      <w:r>
        <w:rPr>
          <w:rFonts w:ascii="Times New Roman" w:cs="Times New Roman" w:eastAsia="Times New Roman" w:hAnsi="Times New Roman"/>
          <w:sz w:val="22"/>
          <w:szCs w:val="22"/>
          <w:color w:val="151515"/>
        </w:rPr>
        <w:t>Wh</w:t>
      </w:r>
      <w:r>
        <w:rPr>
          <w:rFonts w:ascii="Times New Roman" w:cs="Times New Roman" w:eastAsia="Times New Roman" w:hAnsi="Times New Roman"/>
          <w:sz w:val="22"/>
          <w:szCs w:val="22"/>
          <w:color w:val="2F2F2F"/>
        </w:rPr>
        <w:t>e</w:t>
      </w:r>
      <w:r>
        <w:rPr>
          <w:rFonts w:ascii="Times New Roman" w:cs="Times New Roman" w:eastAsia="Times New Roman" w:hAnsi="Times New Roman"/>
          <w:sz w:val="22"/>
          <w:szCs w:val="22"/>
          <w:color w:val="151515"/>
        </w:rPr>
        <w:t>never used herein</w:t>
      </w:r>
      <w:r>
        <w:rPr>
          <w:rFonts w:ascii="Times New Roman" w:cs="Times New Roman" w:eastAsia="Times New Roman" w:hAnsi="Times New Roman"/>
          <w:sz w:val="22"/>
          <w:szCs w:val="22"/>
          <w:color w:val="2F2F2F"/>
        </w:rPr>
        <w:t>,</w:t>
      </w:r>
      <w:r>
        <w:rPr>
          <w:rFonts w:ascii="Times New Roman" w:cs="Times New Roman" w:eastAsia="Times New Roman" w:hAnsi="Times New Roman"/>
          <w:sz w:val="22"/>
          <w:szCs w:val="22"/>
          <w:color w:val="151515"/>
        </w:rPr>
        <w:t xml:space="preserve"> the following terms shall have the respective meanings set forth below, unle</w:t>
      </w:r>
      <w:r>
        <w:rPr>
          <w:rFonts w:ascii="Times New Roman" w:cs="Times New Roman" w:eastAsia="Times New Roman" w:hAnsi="Times New Roman"/>
          <w:sz w:val="22"/>
          <w:szCs w:val="22"/>
          <w:color w:val="2F2F2F"/>
        </w:rPr>
        <w:t>s</w:t>
      </w:r>
      <w:r>
        <w:rPr>
          <w:rFonts w:ascii="Times New Roman" w:cs="Times New Roman" w:eastAsia="Times New Roman" w:hAnsi="Times New Roman"/>
          <w:sz w:val="22"/>
          <w:szCs w:val="22"/>
          <w:color w:val="151515"/>
        </w:rPr>
        <w:t>s the context cl</w:t>
      </w:r>
      <w:r>
        <w:rPr>
          <w:rFonts w:ascii="Times New Roman" w:cs="Times New Roman" w:eastAsia="Times New Roman" w:hAnsi="Times New Roman"/>
          <w:sz w:val="22"/>
          <w:szCs w:val="22"/>
          <w:color w:val="2F2F2F"/>
        </w:rPr>
        <w:t>e</w:t>
      </w:r>
      <w:r>
        <w:rPr>
          <w:rFonts w:ascii="Times New Roman" w:cs="Times New Roman" w:eastAsia="Times New Roman" w:hAnsi="Times New Roman"/>
          <w:sz w:val="22"/>
          <w:szCs w:val="22"/>
          <w:color w:val="151515"/>
        </w:rPr>
        <w:t>arly indicates otherwise. In addition</w:t>
      </w:r>
      <w:r>
        <w:rPr>
          <w:rFonts w:ascii="Times New Roman" w:cs="Times New Roman" w:eastAsia="Times New Roman" w:hAnsi="Times New Roman"/>
          <w:sz w:val="22"/>
          <w:szCs w:val="22"/>
          <w:color w:val="2F2F2F"/>
        </w:rPr>
        <w:t>,</w:t>
      </w:r>
      <w:r>
        <w:rPr>
          <w:rFonts w:ascii="Times New Roman" w:cs="Times New Roman" w:eastAsia="Times New Roman" w:hAnsi="Times New Roman"/>
          <w:sz w:val="22"/>
          <w:szCs w:val="22"/>
          <w:color w:val="151515"/>
        </w:rPr>
        <w:t xml:space="preserve"> unl</w:t>
      </w:r>
      <w:r>
        <w:rPr>
          <w:rFonts w:ascii="Times New Roman" w:cs="Times New Roman" w:eastAsia="Times New Roman" w:hAnsi="Times New Roman"/>
          <w:sz w:val="22"/>
          <w:szCs w:val="22"/>
          <w:color w:val="2F2F2F"/>
        </w:rPr>
        <w:t>e</w:t>
      </w:r>
      <w:r>
        <w:rPr>
          <w:rFonts w:ascii="Times New Roman" w:cs="Times New Roman" w:eastAsia="Times New Roman" w:hAnsi="Times New Roman"/>
          <w:sz w:val="22"/>
          <w:szCs w:val="22"/>
          <w:color w:val="151515"/>
        </w:rPr>
        <w:t>ss some other meaning or intent is apparent from the context, the plural shall include the s</w:t>
      </w:r>
      <w:r>
        <w:rPr>
          <w:rFonts w:ascii="Times New Roman" w:cs="Times New Roman" w:eastAsia="Times New Roman" w:hAnsi="Times New Roman"/>
          <w:sz w:val="22"/>
          <w:szCs w:val="22"/>
          <w:color w:val="2F2F2F"/>
        </w:rPr>
        <w:t>i</w:t>
      </w:r>
      <w:r>
        <w:rPr>
          <w:rFonts w:ascii="Times New Roman" w:cs="Times New Roman" w:eastAsia="Times New Roman" w:hAnsi="Times New Roman"/>
          <w:sz w:val="22"/>
          <w:szCs w:val="22"/>
          <w:color w:val="151515"/>
        </w:rPr>
        <w:t>ngular and vice v</w:t>
      </w:r>
      <w:r>
        <w:rPr>
          <w:rFonts w:ascii="Times New Roman" w:cs="Times New Roman" w:eastAsia="Times New Roman" w:hAnsi="Times New Roman"/>
          <w:sz w:val="22"/>
          <w:szCs w:val="22"/>
          <w:color w:val="2F2F2F"/>
        </w:rPr>
        <w:t>e</w:t>
      </w:r>
      <w:r>
        <w:rPr>
          <w:rFonts w:ascii="Times New Roman" w:cs="Times New Roman" w:eastAsia="Times New Roman" w:hAnsi="Times New Roman"/>
          <w:sz w:val="22"/>
          <w:szCs w:val="22"/>
          <w:color w:val="151515"/>
        </w:rPr>
        <w:t>rsa; and masculine</w:t>
      </w:r>
      <w:r>
        <w:rPr>
          <w:rFonts w:ascii="Times New Roman" w:cs="Times New Roman" w:eastAsia="Times New Roman" w:hAnsi="Times New Roman"/>
          <w:sz w:val="22"/>
          <w:szCs w:val="22"/>
          <w:color w:val="2F2F2F"/>
        </w:rPr>
        <w:t>,</w:t>
      </w:r>
      <w:r>
        <w:rPr>
          <w:rFonts w:ascii="Times New Roman" w:cs="Times New Roman" w:eastAsia="Times New Roman" w:hAnsi="Times New Roman"/>
          <w:sz w:val="22"/>
          <w:szCs w:val="22"/>
          <w:color w:val="151515"/>
        </w:rPr>
        <w:t xml:space="preserve"> feminine and neuter words shall be used interchangeably</w:t>
      </w:r>
      <w:r>
        <w:rPr>
          <w:rFonts w:ascii="Times New Roman" w:cs="Times New Roman" w:eastAsia="Times New Roman" w:hAnsi="Times New Roman"/>
          <w:sz w:val="22"/>
          <w:szCs w:val="22"/>
          <w:color w:val="2F2F2F"/>
        </w:rPr>
        <w:t>.</w:t>
      </w:r>
    </w:p>
    <w:p>
      <w:pPr>
        <w:spacing w:after="0" w:line="193" w:lineRule="exact"/>
        <w:rPr>
          <w:sz w:val="20"/>
          <w:szCs w:val="20"/>
          <w:color w:val="auto"/>
        </w:rPr>
      </w:pPr>
    </w:p>
    <w:p>
      <w:pPr>
        <w:jc w:val="both"/>
        <w:ind w:left="120" w:right="80" w:firstLine="643"/>
        <w:spacing w:after="0" w:line="236" w:lineRule="auto"/>
        <w:rPr>
          <w:sz w:val="20"/>
          <w:szCs w:val="20"/>
          <w:color w:val="auto"/>
        </w:rPr>
      </w:pPr>
      <w:r>
        <w:rPr>
          <w:rFonts w:ascii="Times New Roman" w:cs="Times New Roman" w:eastAsia="Times New Roman" w:hAnsi="Times New Roman"/>
          <w:sz w:val="20"/>
          <w:szCs w:val="20"/>
          <w:b w:val="1"/>
          <w:bCs w:val="1"/>
          <w:color w:val="151515"/>
        </w:rPr>
        <w:t xml:space="preserve">2.1 </w:t>
      </w:r>
      <w:r>
        <w:rPr>
          <w:rFonts w:ascii="Times New Roman" w:cs="Times New Roman" w:eastAsia="Times New Roman" w:hAnsi="Times New Roman"/>
          <w:sz w:val="21"/>
          <w:szCs w:val="21"/>
          <w:color w:val="151515"/>
        </w:rPr>
        <w:t>"Account" means</w:t>
      </w:r>
      <w:r>
        <w:rPr>
          <w:rFonts w:ascii="Times New Roman" w:cs="Times New Roman" w:eastAsia="Times New Roman" w:hAnsi="Times New Roman"/>
          <w:sz w:val="21"/>
          <w:szCs w:val="21"/>
          <w:color w:val="2F2F2F"/>
        </w:rPr>
        <w:t>,</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1"/>
          <w:szCs w:val="21"/>
          <w:color w:val="151515"/>
        </w:rPr>
        <w:t>with respect to each Participant</w:t>
      </w:r>
      <w:r>
        <w:rPr>
          <w:rFonts w:ascii="Times New Roman" w:cs="Times New Roman" w:eastAsia="Times New Roman" w:hAnsi="Times New Roman"/>
          <w:sz w:val="21"/>
          <w:szCs w:val="21"/>
          <w:color w:val="2F2F2F"/>
        </w:rPr>
        <w:t>,</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1"/>
          <w:szCs w:val="21"/>
          <w:color w:val="151515"/>
        </w:rPr>
        <w:t>the account established by the Company to reflect the Deferrals</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1"/>
          <w:szCs w:val="21"/>
          <w:color w:val="151515"/>
        </w:rPr>
        <w:t>under Article IV and the Matching Contributions under Article V below, increased (decreased) by allocated earnings (losses) and income (expenses) as determined under Article VI below.</w:t>
      </w:r>
    </w:p>
    <w:p>
      <w:pPr>
        <w:spacing w:after="0" w:line="192" w:lineRule="exact"/>
        <w:rPr>
          <w:sz w:val="20"/>
          <w:szCs w:val="20"/>
          <w:color w:val="auto"/>
        </w:rPr>
      </w:pPr>
    </w:p>
    <w:p>
      <w:pPr>
        <w:jc w:val="both"/>
        <w:ind w:left="120" w:right="100" w:firstLine="635"/>
        <w:spacing w:after="0" w:line="255" w:lineRule="auto"/>
        <w:rPr>
          <w:sz w:val="20"/>
          <w:szCs w:val="20"/>
          <w:color w:val="auto"/>
        </w:rPr>
      </w:pPr>
      <w:r>
        <w:rPr>
          <w:rFonts w:ascii="Times New Roman" w:cs="Times New Roman" w:eastAsia="Times New Roman" w:hAnsi="Times New Roman"/>
          <w:sz w:val="20"/>
          <w:szCs w:val="20"/>
          <w:b w:val="1"/>
          <w:bCs w:val="1"/>
          <w:color w:val="151515"/>
        </w:rPr>
        <w:t xml:space="preserve">2.2 </w:t>
      </w:r>
      <w:r>
        <w:rPr>
          <w:rFonts w:ascii="Times New Roman" w:cs="Times New Roman" w:eastAsia="Times New Roman" w:hAnsi="Times New Roman"/>
          <w:sz w:val="21"/>
          <w:szCs w:val="21"/>
          <w:color w:val="151515"/>
        </w:rPr>
        <w:t>"Administrator" means the person or persons appointed by the Compensation Committee to administer the Plan or,</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1"/>
          <w:szCs w:val="21"/>
          <w:color w:val="151515"/>
        </w:rPr>
        <w:t>if no such person has been appo</w:t>
      </w:r>
      <w:r>
        <w:rPr>
          <w:rFonts w:ascii="Times New Roman" w:cs="Times New Roman" w:eastAsia="Times New Roman" w:hAnsi="Times New Roman"/>
          <w:sz w:val="21"/>
          <w:szCs w:val="21"/>
          <w:color w:val="2F2F2F"/>
        </w:rPr>
        <w:t>i</w:t>
      </w:r>
      <w:r>
        <w:rPr>
          <w:rFonts w:ascii="Times New Roman" w:cs="Times New Roman" w:eastAsia="Times New Roman" w:hAnsi="Times New Roman"/>
          <w:sz w:val="21"/>
          <w:szCs w:val="21"/>
          <w:color w:val="151515"/>
        </w:rPr>
        <w:t>nted, the Compensation Committee.</w:t>
      </w:r>
    </w:p>
    <w:p>
      <w:pPr>
        <w:spacing w:after="0" w:line="175" w:lineRule="exact"/>
        <w:rPr>
          <w:sz w:val="20"/>
          <w:szCs w:val="20"/>
          <w:color w:val="auto"/>
        </w:rPr>
      </w:pPr>
    </w:p>
    <w:p>
      <w:pPr>
        <w:jc w:val="both"/>
        <w:ind w:left="100" w:right="100" w:firstLine="639"/>
        <w:spacing w:after="0" w:line="282" w:lineRule="auto"/>
        <w:rPr>
          <w:sz w:val="20"/>
          <w:szCs w:val="20"/>
          <w:color w:val="auto"/>
        </w:rPr>
      </w:pPr>
      <w:r>
        <w:rPr>
          <w:rFonts w:ascii="Times New Roman" w:cs="Times New Roman" w:eastAsia="Times New Roman" w:hAnsi="Times New Roman"/>
          <w:sz w:val="20"/>
          <w:szCs w:val="20"/>
          <w:b w:val="1"/>
          <w:bCs w:val="1"/>
          <w:color w:val="151515"/>
        </w:rPr>
        <w:t xml:space="preserve">2.3 </w:t>
      </w:r>
      <w:r>
        <w:rPr>
          <w:rFonts w:ascii="Times New Roman" w:cs="Times New Roman" w:eastAsia="Times New Roman" w:hAnsi="Times New Roman"/>
          <w:sz w:val="21"/>
          <w:szCs w:val="21"/>
          <w:color w:val="151515"/>
        </w:rPr>
        <w:t>"Beneficiary" means the person</w:t>
      </w:r>
      <w:r>
        <w:rPr>
          <w:rFonts w:ascii="Times New Roman" w:cs="Times New Roman" w:eastAsia="Times New Roman" w:hAnsi="Times New Roman"/>
          <w:sz w:val="21"/>
          <w:szCs w:val="21"/>
          <w:color w:val="2F2F2F"/>
        </w:rPr>
        <w:t>,</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1"/>
          <w:szCs w:val="21"/>
          <w:color w:val="151515"/>
        </w:rPr>
        <w:t>trust or other entity designated by the Participant in accordance with Section 8.4</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1"/>
          <w:szCs w:val="21"/>
          <w:color w:val="151515"/>
        </w:rPr>
        <w:t>below to receive payment under the Plan in the event of the Participant's death.</w:t>
      </w:r>
    </w:p>
    <w:p>
      <w:pPr>
        <w:spacing w:after="0" w:line="175" w:lineRule="exact"/>
        <w:rPr>
          <w:sz w:val="20"/>
          <w:szCs w:val="20"/>
          <w:color w:val="auto"/>
        </w:rPr>
      </w:pPr>
    </w:p>
    <w:p>
      <w:pPr>
        <w:jc w:val="both"/>
        <w:ind w:left="100" w:right="100" w:firstLine="648"/>
        <w:spacing w:after="0"/>
        <w:rPr>
          <w:sz w:val="20"/>
          <w:szCs w:val="20"/>
          <w:color w:val="auto"/>
        </w:rPr>
      </w:pPr>
      <w:r>
        <w:rPr>
          <w:rFonts w:ascii="Times New Roman" w:cs="Times New Roman" w:eastAsia="Times New Roman" w:hAnsi="Times New Roman"/>
          <w:sz w:val="20"/>
          <w:szCs w:val="20"/>
          <w:b w:val="1"/>
          <w:bCs w:val="1"/>
          <w:color w:val="151515"/>
        </w:rPr>
        <w:t xml:space="preserve">2.4 </w:t>
      </w:r>
      <w:r>
        <w:rPr>
          <w:rFonts w:ascii="Times New Roman" w:cs="Times New Roman" w:eastAsia="Times New Roman" w:hAnsi="Times New Roman"/>
          <w:sz w:val="21"/>
          <w:szCs w:val="21"/>
          <w:color w:val="151515"/>
        </w:rPr>
        <w:t>"Board" me</w:t>
      </w:r>
      <w:r>
        <w:rPr>
          <w:rFonts w:ascii="Times New Roman" w:cs="Times New Roman" w:eastAsia="Times New Roman" w:hAnsi="Times New Roman"/>
          <w:sz w:val="21"/>
          <w:szCs w:val="21"/>
          <w:color w:val="2F2F2F"/>
        </w:rPr>
        <w:t>a</w:t>
      </w:r>
      <w:r>
        <w:rPr>
          <w:rFonts w:ascii="Times New Roman" w:cs="Times New Roman" w:eastAsia="Times New Roman" w:hAnsi="Times New Roman"/>
          <w:sz w:val="21"/>
          <w:szCs w:val="21"/>
          <w:color w:val="151515"/>
        </w:rPr>
        <w:t>ns the Board of Directors of Itron</w:t>
      </w:r>
      <w:r>
        <w:rPr>
          <w:rFonts w:ascii="Times New Roman" w:cs="Times New Roman" w:eastAsia="Times New Roman" w:hAnsi="Times New Roman"/>
          <w:sz w:val="21"/>
          <w:szCs w:val="21"/>
          <w:color w:val="2F2F2F"/>
        </w:rPr>
        <w:t>,</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1"/>
          <w:szCs w:val="21"/>
          <w:color w:val="151515"/>
        </w:rPr>
        <w:t>Inc</w:t>
      </w:r>
      <w:r>
        <w:rPr>
          <w:rFonts w:ascii="Times New Roman" w:cs="Times New Roman" w:eastAsia="Times New Roman" w:hAnsi="Times New Roman"/>
          <w:sz w:val="21"/>
          <w:szCs w:val="21"/>
          <w:color w:val="2F2F2F"/>
        </w:rPr>
        <w:t>.</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1"/>
          <w:szCs w:val="21"/>
          <w:color w:val="151515"/>
        </w:rPr>
        <w:t>With respect to the exercise of authority hereunder, not</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1"/>
          <w:szCs w:val="21"/>
          <w:color w:val="151515"/>
        </w:rPr>
        <w:t>otherwise delegated, including</w:t>
      </w:r>
      <w:r>
        <w:rPr>
          <w:rFonts w:ascii="Times New Roman" w:cs="Times New Roman" w:eastAsia="Times New Roman" w:hAnsi="Times New Roman"/>
          <w:sz w:val="21"/>
          <w:szCs w:val="21"/>
          <w:color w:val="2F2F2F"/>
        </w:rPr>
        <w:t>,</w:t>
      </w:r>
      <w:r>
        <w:rPr>
          <w:rFonts w:ascii="Times New Roman" w:cs="Times New Roman" w:eastAsia="Times New Roman" w:hAnsi="Times New Roman"/>
          <w:sz w:val="21"/>
          <w:szCs w:val="21"/>
          <w:color w:val="151515"/>
        </w:rPr>
        <w:t xml:space="preserve"> but not limited to, the powers to amend, modi</w:t>
      </w:r>
      <w:r>
        <w:rPr>
          <w:rFonts w:ascii="Times New Roman" w:cs="Times New Roman" w:eastAsia="Times New Roman" w:hAnsi="Times New Roman"/>
          <w:sz w:val="21"/>
          <w:szCs w:val="21"/>
          <w:color w:val="2F2F2F"/>
        </w:rPr>
        <w:t>f</w:t>
      </w:r>
      <w:r>
        <w:rPr>
          <w:rFonts w:ascii="Times New Roman" w:cs="Times New Roman" w:eastAsia="Times New Roman" w:hAnsi="Times New Roman"/>
          <w:sz w:val="21"/>
          <w:szCs w:val="21"/>
          <w:color w:val="151515"/>
        </w:rPr>
        <w:t>y or terminate the Plan, "Board" shall mean the Board acting through the Compensation Committee or such other committees, officers or persons as the Board may authorize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800735</wp:posOffset>
            </wp:positionV>
            <wp:extent cx="70808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1062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7"/>
          <w:szCs w:val="17"/>
          <w:color w:val="151515"/>
        </w:rPr>
        <w:t>Page 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220"/>
          </w:cols>
          <w:pgMar w:left="340" w:top="104" w:right="339" w:bottom="1440" w:gutter="0" w:footer="0" w:header="0"/>
        </w:sectPr>
      </w:pPr>
    </w:p>
    <w:bookmarkStart w:id="164" w:name="page165"/>
    <w:bookmarkEnd w:id="164"/>
    <w:p>
      <w:pPr>
        <w:spacing w:after="0" w:line="9" w:lineRule="exact"/>
        <w:rPr>
          <w:sz w:val="20"/>
          <w:szCs w:val="20"/>
          <w:color w:val="auto"/>
        </w:rPr>
      </w:pPr>
    </w:p>
    <w:p>
      <w:pPr>
        <w:jc w:val="both"/>
        <w:ind w:left="120" w:right="60" w:firstLine="643"/>
        <w:spacing w:after="0" w:line="236" w:lineRule="auto"/>
        <w:rPr>
          <w:sz w:val="20"/>
          <w:szCs w:val="20"/>
          <w:color w:val="auto"/>
        </w:rPr>
      </w:pPr>
      <w:r>
        <w:rPr>
          <w:rFonts w:ascii="Times New Roman" w:cs="Times New Roman" w:eastAsia="Times New Roman" w:hAnsi="Times New Roman"/>
          <w:sz w:val="20"/>
          <w:szCs w:val="20"/>
          <w:b w:val="1"/>
          <w:bCs w:val="1"/>
          <w:color w:val="0D0D0D"/>
        </w:rPr>
        <w:t xml:space="preserve">2.5 </w:t>
      </w:r>
      <w:r>
        <w:rPr>
          <w:rFonts w:ascii="Times New Roman" w:cs="Times New Roman" w:eastAsia="Times New Roman" w:hAnsi="Times New Roman"/>
          <w:sz w:val="21"/>
          <w:szCs w:val="21"/>
          <w:color w:val="0D0D0D"/>
        </w:rPr>
        <w:t>"Bonus" means any amount paid to an Eligible Employee as a bonus pursuant to a bonus arrangement maintained by</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1"/>
          <w:szCs w:val="21"/>
          <w:color w:val="0D0D0D"/>
        </w:rPr>
        <w:t>the Company, before payroll deduction (including, without limitation, payroll deductions for taxes, deferrals under this Plan and deferrals under the Itron, Inc. Incentive Savings Plan).</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0D0D0D"/>
        </w:rPr>
        <w:t xml:space="preserve">2.6 </w:t>
      </w:r>
      <w:r>
        <w:rPr>
          <w:rFonts w:ascii="Times New Roman" w:cs="Times New Roman" w:eastAsia="Times New Roman" w:hAnsi="Times New Roman"/>
          <w:sz w:val="21"/>
          <w:szCs w:val="21"/>
          <w:color w:val="0D0D0D"/>
        </w:rPr>
        <w:t>"Change of Control" means any of the following:</w:t>
      </w:r>
    </w:p>
    <w:p>
      <w:pPr>
        <w:spacing w:after="0" w:line="245" w:lineRule="exact"/>
        <w:rPr>
          <w:sz w:val="20"/>
          <w:szCs w:val="20"/>
          <w:color w:val="auto"/>
        </w:rPr>
      </w:pPr>
    </w:p>
    <w:p>
      <w:pPr>
        <w:ind w:left="1380" w:right="40" w:hanging="624"/>
        <w:spacing w:after="0" w:line="217" w:lineRule="auto"/>
        <w:tabs>
          <w:tab w:leader="none" w:pos="1043" w:val="left"/>
        </w:tabs>
        <w:numPr>
          <w:ilvl w:val="1"/>
          <w:numId w:val="89"/>
        </w:numPr>
        <w:rPr>
          <w:rFonts w:ascii="Times New Roman" w:cs="Times New Roman" w:eastAsia="Times New Roman" w:hAnsi="Times New Roman"/>
          <w:sz w:val="22"/>
          <w:szCs w:val="22"/>
          <w:color w:val="0D0D0D"/>
        </w:rPr>
      </w:pPr>
      <w:r>
        <w:rPr>
          <w:rFonts w:ascii="Times New Roman" w:cs="Times New Roman" w:eastAsia="Times New Roman" w:hAnsi="Times New Roman"/>
          <w:sz w:val="22"/>
          <w:szCs w:val="22"/>
          <w:color w:val="0D0D0D"/>
        </w:rPr>
        <w:t xml:space="preserve">the purchase or other acquisition by any person, entity or group of persons, within the meaning of Section 13(d) or </w:t>
      </w:r>
      <w:r>
        <w:rPr>
          <w:rFonts w:ascii="Times New Roman" w:cs="Times New Roman" w:eastAsia="Times New Roman" w:hAnsi="Times New Roman"/>
          <w:sz w:val="22"/>
          <w:szCs w:val="22"/>
          <w:color w:val="1D1D1D"/>
        </w:rPr>
        <w:t>1</w:t>
      </w:r>
      <w:r>
        <w:rPr>
          <w:rFonts w:ascii="Times New Roman" w:cs="Times New Roman" w:eastAsia="Times New Roman" w:hAnsi="Times New Roman"/>
          <w:sz w:val="22"/>
          <w:szCs w:val="22"/>
          <w:color w:val="0D0D0D"/>
        </w:rPr>
        <w:t>4(d) of the S</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curities Exchange Act of 1934 (the "Act"), or any comparable successor provisions, of beneficial</w:t>
      </w:r>
      <w:r>
        <w:rPr>
          <w:rFonts w:ascii="Times New Roman" w:cs="Times New Roman" w:eastAsia="Times New Roman" w:hAnsi="Times New Roman"/>
          <w:sz w:val="22"/>
          <w:szCs w:val="22"/>
          <w:color w:val="1D1D1D"/>
        </w:rPr>
        <w:t xml:space="preserve"> </w:t>
      </w:r>
      <w:r>
        <w:rPr>
          <w:rFonts w:ascii="Times New Roman" w:cs="Times New Roman" w:eastAsia="Times New Roman" w:hAnsi="Times New Roman"/>
          <w:sz w:val="22"/>
          <w:szCs w:val="22"/>
          <w:color w:val="0D0D0D"/>
        </w:rPr>
        <w:t>ownership (within the meaning of Rule 13d-3 promulgated unde</w:t>
      </w:r>
      <w:r>
        <w:rPr>
          <w:rFonts w:ascii="Times New Roman" w:cs="Times New Roman" w:eastAsia="Times New Roman" w:hAnsi="Times New Roman"/>
          <w:sz w:val="22"/>
          <w:szCs w:val="22"/>
          <w:color w:val="1D1D1D"/>
        </w:rPr>
        <w:t>r</w:t>
      </w:r>
      <w:r>
        <w:rPr>
          <w:rFonts w:ascii="Times New Roman" w:cs="Times New Roman" w:eastAsia="Times New Roman" w:hAnsi="Times New Roman"/>
          <w:sz w:val="22"/>
          <w:szCs w:val="22"/>
          <w:color w:val="0D0D0D"/>
        </w:rPr>
        <w:t xml:space="preserve"> the Act) of fifteen perc</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 xml:space="preserve">nt (15%) or more of </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ith</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r</w:t>
      </w:r>
      <w:r>
        <w:rPr>
          <w:rFonts w:ascii="Times New Roman" w:cs="Times New Roman" w:eastAsia="Times New Roman" w:hAnsi="Times New Roman"/>
          <w:sz w:val="22"/>
          <w:szCs w:val="22"/>
          <w:color w:val="1D1D1D"/>
        </w:rPr>
        <w:t xml:space="preserve"> t</w:t>
      </w:r>
      <w:r>
        <w:rPr>
          <w:rFonts w:ascii="Times New Roman" w:cs="Times New Roman" w:eastAsia="Times New Roman" w:hAnsi="Times New Roman"/>
          <w:sz w:val="22"/>
          <w:szCs w:val="22"/>
          <w:color w:val="0D0D0D"/>
        </w:rPr>
        <w:t>he Comp</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ny's then outst</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nding shares o</w:t>
      </w:r>
      <w:r>
        <w:rPr>
          <w:rFonts w:ascii="Times New Roman" w:cs="Times New Roman" w:eastAsia="Times New Roman" w:hAnsi="Times New Roman"/>
          <w:sz w:val="22"/>
          <w:szCs w:val="22"/>
          <w:color w:val="1D1D1D"/>
        </w:rPr>
        <w:t xml:space="preserve">f </w:t>
      </w:r>
      <w:r>
        <w:rPr>
          <w:rFonts w:ascii="Times New Roman" w:cs="Times New Roman" w:eastAsia="Times New Roman" w:hAnsi="Times New Roman"/>
          <w:sz w:val="22"/>
          <w:szCs w:val="22"/>
          <w:color w:val="0D0D0D"/>
        </w:rPr>
        <w:t>common stock or the combined voting pow</w:t>
      </w:r>
      <w:r>
        <w:rPr>
          <w:rFonts w:ascii="Times New Roman" w:cs="Times New Roman" w:eastAsia="Times New Roman" w:hAnsi="Times New Roman"/>
          <w:sz w:val="22"/>
          <w:szCs w:val="22"/>
          <w:color w:val="1D1D1D"/>
        </w:rPr>
        <w:t xml:space="preserve">er </w:t>
      </w:r>
      <w:r>
        <w:rPr>
          <w:rFonts w:ascii="Times New Roman" w:cs="Times New Roman" w:eastAsia="Times New Roman" w:hAnsi="Times New Roman"/>
          <w:sz w:val="22"/>
          <w:szCs w:val="22"/>
          <w:color w:val="0D0D0D"/>
        </w:rPr>
        <w:t>o</w:t>
      </w:r>
      <w:r>
        <w:rPr>
          <w:rFonts w:ascii="Times New Roman" w:cs="Times New Roman" w:eastAsia="Times New Roman" w:hAnsi="Times New Roman"/>
          <w:sz w:val="22"/>
          <w:szCs w:val="22"/>
          <w:color w:val="1D1D1D"/>
        </w:rPr>
        <w:t xml:space="preserve">f </w:t>
      </w:r>
      <w:r>
        <w:rPr>
          <w:rFonts w:ascii="Times New Roman" w:cs="Times New Roman" w:eastAsia="Times New Roman" w:hAnsi="Times New Roman"/>
          <w:sz w:val="22"/>
          <w:szCs w:val="22"/>
          <w:color w:val="0D0D0D"/>
        </w:rPr>
        <w:t>th</w:t>
      </w:r>
      <w:r>
        <w:rPr>
          <w:rFonts w:ascii="Times New Roman" w:cs="Times New Roman" w:eastAsia="Times New Roman" w:hAnsi="Times New Roman"/>
          <w:sz w:val="22"/>
          <w:szCs w:val="22"/>
          <w:color w:val="1D1D1D"/>
        </w:rPr>
        <w:t xml:space="preserve">e </w:t>
      </w:r>
      <w:r>
        <w:rPr>
          <w:rFonts w:ascii="Times New Roman" w:cs="Times New Roman" w:eastAsia="Times New Roman" w:hAnsi="Times New Roman"/>
          <w:sz w:val="22"/>
          <w:szCs w:val="22"/>
          <w:color w:val="0D0D0D"/>
        </w:rPr>
        <w:t>Co</w:t>
      </w:r>
      <w:r>
        <w:rPr>
          <w:rFonts w:ascii="Times New Roman" w:cs="Times New Roman" w:eastAsia="Times New Roman" w:hAnsi="Times New Roman"/>
          <w:sz w:val="22"/>
          <w:szCs w:val="22"/>
          <w:color w:val="1D1D1D"/>
        </w:rPr>
        <w:t>m</w:t>
      </w:r>
      <w:r>
        <w:rPr>
          <w:rFonts w:ascii="Times New Roman" w:cs="Times New Roman" w:eastAsia="Times New Roman" w:hAnsi="Times New Roman"/>
          <w:sz w:val="22"/>
          <w:szCs w:val="22"/>
          <w:color w:val="0D0D0D"/>
        </w:rPr>
        <w:t>pany's</w:t>
      </w:r>
      <w:r>
        <w:rPr>
          <w:rFonts w:ascii="Times New Roman" w:cs="Times New Roman" w:eastAsia="Times New Roman" w:hAnsi="Times New Roman"/>
          <w:sz w:val="22"/>
          <w:szCs w:val="22"/>
          <w:color w:val="1D1D1D"/>
        </w:rPr>
        <w:t xml:space="preserve"> </w:t>
      </w:r>
      <w:r>
        <w:rPr>
          <w:rFonts w:ascii="Times New Roman" w:cs="Times New Roman" w:eastAsia="Times New Roman" w:hAnsi="Times New Roman"/>
          <w:sz w:val="22"/>
          <w:szCs w:val="22"/>
          <w:color w:val="0D0D0D"/>
        </w:rPr>
        <w:t>then outst</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nding s</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curiti</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s entitled to vo</w:t>
      </w:r>
      <w:r>
        <w:rPr>
          <w:rFonts w:ascii="Times New Roman" w:cs="Times New Roman" w:eastAsia="Times New Roman" w:hAnsi="Times New Roman"/>
          <w:sz w:val="22"/>
          <w:szCs w:val="22"/>
          <w:color w:val="1D1D1D"/>
        </w:rPr>
        <w:t>te</w:t>
      </w:r>
      <w:r>
        <w:rPr>
          <w:rFonts w:ascii="Times New Roman" w:cs="Times New Roman" w:eastAsia="Times New Roman" w:hAnsi="Times New Roman"/>
          <w:sz w:val="22"/>
          <w:szCs w:val="22"/>
          <w:color w:val="0D0D0D"/>
        </w:rPr>
        <w:t xml:space="preserve"> ge</w:t>
      </w:r>
      <w:r>
        <w:rPr>
          <w:rFonts w:ascii="Times New Roman" w:cs="Times New Roman" w:eastAsia="Times New Roman" w:hAnsi="Times New Roman"/>
          <w:sz w:val="22"/>
          <w:szCs w:val="22"/>
          <w:color w:val="1D1D1D"/>
        </w:rPr>
        <w:t>n</w:t>
      </w:r>
      <w:r>
        <w:rPr>
          <w:rFonts w:ascii="Times New Roman" w:cs="Times New Roman" w:eastAsia="Times New Roman" w:hAnsi="Times New Roman"/>
          <w:sz w:val="22"/>
          <w:szCs w:val="22"/>
          <w:color w:val="0D0D0D"/>
        </w:rPr>
        <w:t>e</w:t>
      </w:r>
      <w:r>
        <w:rPr>
          <w:rFonts w:ascii="Times New Roman" w:cs="Times New Roman" w:eastAsia="Times New Roman" w:hAnsi="Times New Roman"/>
          <w:sz w:val="22"/>
          <w:szCs w:val="22"/>
          <w:color w:val="1D1D1D"/>
        </w:rPr>
        <w:t>ra</w:t>
      </w:r>
      <w:r>
        <w:rPr>
          <w:rFonts w:ascii="Times New Roman" w:cs="Times New Roman" w:eastAsia="Times New Roman" w:hAnsi="Times New Roman"/>
          <w:sz w:val="22"/>
          <w:szCs w:val="22"/>
          <w:color w:val="0D0D0D"/>
        </w:rPr>
        <w:t>lly;</w:t>
      </w:r>
    </w:p>
    <w:p>
      <w:pPr>
        <w:spacing w:after="0" w:line="179" w:lineRule="exact"/>
        <w:rPr>
          <w:rFonts w:ascii="Times New Roman" w:cs="Times New Roman" w:eastAsia="Times New Roman" w:hAnsi="Times New Roman"/>
          <w:sz w:val="22"/>
          <w:szCs w:val="22"/>
          <w:color w:val="0D0D0D"/>
        </w:rPr>
      </w:pPr>
    </w:p>
    <w:p>
      <w:pPr>
        <w:ind w:left="1380" w:right="40" w:hanging="632"/>
        <w:spacing w:after="0" w:line="217" w:lineRule="auto"/>
        <w:tabs>
          <w:tab w:leader="none" w:pos="1091" w:val="left"/>
        </w:tabs>
        <w:numPr>
          <w:ilvl w:val="1"/>
          <w:numId w:val="89"/>
        </w:numPr>
        <w:rPr>
          <w:rFonts w:ascii="Times New Roman" w:cs="Times New Roman" w:eastAsia="Times New Roman" w:hAnsi="Times New Roman"/>
          <w:sz w:val="22"/>
          <w:szCs w:val="22"/>
          <w:color w:val="0D0D0D"/>
        </w:rPr>
      </w:pPr>
      <w:r>
        <w:rPr>
          <w:rFonts w:ascii="Times New Roman" w:cs="Times New Roman" w:eastAsia="Times New Roman" w:hAnsi="Times New Roman"/>
          <w:sz w:val="22"/>
          <w:szCs w:val="22"/>
          <w:color w:val="0D0D0D"/>
        </w:rPr>
        <w:t>durin</w:t>
      </w:r>
      <w:r>
        <w:rPr>
          <w:rFonts w:ascii="Times New Roman" w:cs="Times New Roman" w:eastAsia="Times New Roman" w:hAnsi="Times New Roman"/>
          <w:sz w:val="22"/>
          <w:szCs w:val="22"/>
          <w:color w:val="1D1D1D"/>
        </w:rPr>
        <w:t>g a</w:t>
      </w:r>
      <w:r>
        <w:rPr>
          <w:rFonts w:ascii="Times New Roman" w:cs="Times New Roman" w:eastAsia="Times New Roman" w:hAnsi="Times New Roman"/>
          <w:sz w:val="22"/>
          <w:szCs w:val="22"/>
          <w:color w:val="0D0D0D"/>
        </w:rPr>
        <w:t xml:space="preserve">ny period </w:t>
      </w:r>
      <w:r>
        <w:rPr>
          <w:rFonts w:ascii="Times New Roman" w:cs="Times New Roman" w:eastAsia="Times New Roman" w:hAnsi="Times New Roman"/>
          <w:sz w:val="22"/>
          <w:szCs w:val="22"/>
          <w:color w:val="1D1D1D"/>
        </w:rPr>
        <w:t>o</w:t>
      </w:r>
      <w:r>
        <w:rPr>
          <w:rFonts w:ascii="Times New Roman" w:cs="Times New Roman" w:eastAsia="Times New Roman" w:hAnsi="Times New Roman"/>
          <w:sz w:val="22"/>
          <w:szCs w:val="22"/>
          <w:color w:val="0D0D0D"/>
        </w:rPr>
        <w:t xml:space="preserve">f </w:t>
      </w:r>
      <w:r>
        <w:rPr>
          <w:rFonts w:ascii="Times New Roman" w:cs="Times New Roman" w:eastAsia="Times New Roman" w:hAnsi="Times New Roman"/>
          <w:sz w:val="22"/>
          <w:szCs w:val="22"/>
          <w:color w:val="1D1D1D"/>
        </w:rPr>
        <w:t>tw</w:t>
      </w:r>
      <w:r>
        <w:rPr>
          <w:rFonts w:ascii="Times New Roman" w:cs="Times New Roman" w:eastAsia="Times New Roman" w:hAnsi="Times New Roman"/>
          <w:sz w:val="22"/>
          <w:szCs w:val="22"/>
          <w:color w:val="0D0D0D"/>
        </w:rPr>
        <w:t>en</w:t>
      </w:r>
      <w:r>
        <w:rPr>
          <w:rFonts w:ascii="Times New Roman" w:cs="Times New Roman" w:eastAsia="Times New Roman" w:hAnsi="Times New Roman"/>
          <w:sz w:val="22"/>
          <w:szCs w:val="22"/>
          <w:color w:val="1D1D1D"/>
        </w:rPr>
        <w:t>t</w:t>
      </w:r>
      <w:r>
        <w:rPr>
          <w:rFonts w:ascii="Times New Roman" w:cs="Times New Roman" w:eastAsia="Times New Roman" w:hAnsi="Times New Roman"/>
          <w:sz w:val="22"/>
          <w:szCs w:val="22"/>
          <w:color w:val="0D0D0D"/>
        </w:rPr>
        <w:t>y-</w:t>
      </w:r>
      <w:r>
        <w:rPr>
          <w:rFonts w:ascii="Times New Roman" w:cs="Times New Roman" w:eastAsia="Times New Roman" w:hAnsi="Times New Roman"/>
          <w:sz w:val="22"/>
          <w:szCs w:val="22"/>
          <w:color w:val="1D1D1D"/>
        </w:rPr>
        <w:t>fo</w:t>
      </w:r>
      <w:r>
        <w:rPr>
          <w:rFonts w:ascii="Times New Roman" w:cs="Times New Roman" w:eastAsia="Times New Roman" w:hAnsi="Times New Roman"/>
          <w:sz w:val="22"/>
          <w:szCs w:val="22"/>
          <w:color w:val="0D0D0D"/>
        </w:rPr>
        <w:t>ur (24) con</w:t>
      </w:r>
      <w:r>
        <w:rPr>
          <w:rFonts w:ascii="Times New Roman" w:cs="Times New Roman" w:eastAsia="Times New Roman" w:hAnsi="Times New Roman"/>
          <w:sz w:val="22"/>
          <w:szCs w:val="22"/>
          <w:color w:val="1D1D1D"/>
        </w:rPr>
        <w:t>se</w:t>
      </w:r>
      <w:r>
        <w:rPr>
          <w:rFonts w:ascii="Times New Roman" w:cs="Times New Roman" w:eastAsia="Times New Roman" w:hAnsi="Times New Roman"/>
          <w:sz w:val="22"/>
          <w:szCs w:val="22"/>
          <w:color w:val="0D0D0D"/>
        </w:rPr>
        <w:t>cutive months</w:t>
      </w:r>
      <w:r>
        <w:rPr>
          <w:rFonts w:ascii="Times New Roman" w:cs="Times New Roman" w:eastAsia="Times New Roman" w:hAnsi="Times New Roman"/>
          <w:sz w:val="22"/>
          <w:szCs w:val="22"/>
          <w:color w:val="1D1D1D"/>
        </w:rPr>
        <w:t>,</w:t>
      </w:r>
      <w:r>
        <w:rPr>
          <w:rFonts w:ascii="Times New Roman" w:cs="Times New Roman" w:eastAsia="Times New Roman" w:hAnsi="Times New Roman"/>
          <w:sz w:val="22"/>
          <w:szCs w:val="22"/>
          <w:color w:val="0D0D0D"/>
        </w:rPr>
        <w:t xml:space="preserve"> individu</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 xml:space="preserve">ls who </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t the b</w:t>
      </w:r>
      <w:r>
        <w:rPr>
          <w:rFonts w:ascii="Times New Roman" w:cs="Times New Roman" w:eastAsia="Times New Roman" w:hAnsi="Times New Roman"/>
          <w:sz w:val="22"/>
          <w:szCs w:val="22"/>
          <w:color w:val="1D1D1D"/>
        </w:rPr>
        <w:t>eg</w:t>
      </w:r>
      <w:r>
        <w:rPr>
          <w:rFonts w:ascii="Times New Roman" w:cs="Times New Roman" w:eastAsia="Times New Roman" w:hAnsi="Times New Roman"/>
          <w:sz w:val="22"/>
          <w:szCs w:val="22"/>
          <w:color w:val="0D0D0D"/>
        </w:rPr>
        <w:t>in</w:t>
      </w:r>
      <w:r>
        <w:rPr>
          <w:rFonts w:ascii="Times New Roman" w:cs="Times New Roman" w:eastAsia="Times New Roman" w:hAnsi="Times New Roman"/>
          <w:sz w:val="22"/>
          <w:szCs w:val="22"/>
          <w:color w:val="1D1D1D"/>
        </w:rPr>
        <w:t>ni</w:t>
      </w:r>
      <w:r>
        <w:rPr>
          <w:rFonts w:ascii="Times New Roman" w:cs="Times New Roman" w:eastAsia="Times New Roman" w:hAnsi="Times New Roman"/>
          <w:sz w:val="22"/>
          <w:szCs w:val="22"/>
          <w:color w:val="0D0D0D"/>
        </w:rPr>
        <w:t xml:space="preserve">ng of </w:t>
      </w:r>
      <w:r>
        <w:rPr>
          <w:rFonts w:ascii="Times New Roman" w:cs="Times New Roman" w:eastAsia="Times New Roman" w:hAnsi="Times New Roman"/>
          <w:sz w:val="22"/>
          <w:szCs w:val="22"/>
          <w:color w:val="1D1D1D"/>
        </w:rPr>
        <w:t>s</w:t>
      </w:r>
      <w:r>
        <w:rPr>
          <w:rFonts w:ascii="Times New Roman" w:cs="Times New Roman" w:eastAsia="Times New Roman" w:hAnsi="Times New Roman"/>
          <w:sz w:val="22"/>
          <w:szCs w:val="22"/>
          <w:color w:val="0D0D0D"/>
        </w:rPr>
        <w:t>uch perio</w:t>
      </w:r>
      <w:r>
        <w:rPr>
          <w:rFonts w:ascii="Times New Roman" w:cs="Times New Roman" w:eastAsia="Times New Roman" w:hAnsi="Times New Roman"/>
          <w:sz w:val="22"/>
          <w:szCs w:val="22"/>
          <w:color w:val="1D1D1D"/>
        </w:rPr>
        <w:t>d</w:t>
      </w:r>
      <w:r>
        <w:rPr>
          <w:rFonts w:ascii="Times New Roman" w:cs="Times New Roman" w:eastAsia="Times New Roman" w:hAnsi="Times New Roman"/>
          <w:sz w:val="22"/>
          <w:szCs w:val="22"/>
          <w:color w:val="0D0D0D"/>
        </w:rPr>
        <w:t xml:space="preserve"> con</w:t>
      </w:r>
      <w:r>
        <w:rPr>
          <w:rFonts w:ascii="Times New Roman" w:cs="Times New Roman" w:eastAsia="Times New Roman" w:hAnsi="Times New Roman"/>
          <w:sz w:val="22"/>
          <w:szCs w:val="22"/>
          <w:color w:val="1D1D1D"/>
        </w:rPr>
        <w:t>s</w:t>
      </w:r>
      <w:r>
        <w:rPr>
          <w:rFonts w:ascii="Times New Roman" w:cs="Times New Roman" w:eastAsia="Times New Roman" w:hAnsi="Times New Roman"/>
          <w:sz w:val="22"/>
          <w:szCs w:val="22"/>
          <w:color w:val="0D0D0D"/>
        </w:rPr>
        <w:t>tituted the Bo</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rd ceas</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 xml:space="preserve"> fo</w:t>
      </w:r>
      <w:r>
        <w:rPr>
          <w:rFonts w:ascii="Times New Roman" w:cs="Times New Roman" w:eastAsia="Times New Roman" w:hAnsi="Times New Roman"/>
          <w:sz w:val="22"/>
          <w:szCs w:val="22"/>
          <w:color w:val="1D1D1D"/>
        </w:rPr>
        <w:t>r</w:t>
      </w:r>
      <w:r>
        <w:rPr>
          <w:rFonts w:ascii="Times New Roman" w:cs="Times New Roman" w:eastAsia="Times New Roman" w:hAnsi="Times New Roman"/>
          <w:sz w:val="22"/>
          <w:szCs w:val="22"/>
          <w:color w:val="0D0D0D"/>
        </w:rPr>
        <w:t xml:space="preserve"> any re</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 xml:space="preserve">son to constitute </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t l</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a</w:t>
      </w:r>
      <w:r>
        <w:rPr>
          <w:rFonts w:ascii="Times New Roman" w:cs="Times New Roman" w:eastAsia="Times New Roman" w:hAnsi="Times New Roman"/>
          <w:sz w:val="22"/>
          <w:szCs w:val="22"/>
          <w:color w:val="1D1D1D"/>
        </w:rPr>
        <w:t>st</w:t>
      </w:r>
      <w:r>
        <w:rPr>
          <w:rFonts w:ascii="Times New Roman" w:cs="Times New Roman" w:eastAsia="Times New Roman" w:hAnsi="Times New Roman"/>
          <w:sz w:val="22"/>
          <w:szCs w:val="22"/>
          <w:color w:val="0D0D0D"/>
        </w:rPr>
        <w:t xml:space="preserve"> a m</w:t>
      </w:r>
      <w:r>
        <w:rPr>
          <w:rFonts w:ascii="Times New Roman" w:cs="Times New Roman" w:eastAsia="Times New Roman" w:hAnsi="Times New Roman"/>
          <w:sz w:val="22"/>
          <w:szCs w:val="22"/>
          <w:color w:val="1D1D1D"/>
        </w:rPr>
        <w:t>aj</w:t>
      </w:r>
      <w:r>
        <w:rPr>
          <w:rFonts w:ascii="Times New Roman" w:cs="Times New Roman" w:eastAsia="Times New Roman" w:hAnsi="Times New Roman"/>
          <w:sz w:val="22"/>
          <w:szCs w:val="22"/>
          <w:color w:val="0D0D0D"/>
        </w:rPr>
        <w:t>or</w:t>
      </w:r>
      <w:r>
        <w:rPr>
          <w:rFonts w:ascii="Times New Roman" w:cs="Times New Roman" w:eastAsia="Times New Roman" w:hAnsi="Times New Roman"/>
          <w:sz w:val="22"/>
          <w:szCs w:val="22"/>
          <w:color w:val="1D1D1D"/>
        </w:rPr>
        <w:t>i</w:t>
      </w:r>
      <w:r>
        <w:rPr>
          <w:rFonts w:ascii="Times New Roman" w:cs="Times New Roman" w:eastAsia="Times New Roman" w:hAnsi="Times New Roman"/>
          <w:sz w:val="22"/>
          <w:szCs w:val="22"/>
          <w:color w:val="0D0D0D"/>
        </w:rPr>
        <w:t>ty of th</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 xml:space="preserve"> Bo</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rd</w:t>
      </w:r>
      <w:r>
        <w:rPr>
          <w:rFonts w:ascii="Times New Roman" w:cs="Times New Roman" w:eastAsia="Times New Roman" w:hAnsi="Times New Roman"/>
          <w:sz w:val="22"/>
          <w:szCs w:val="22"/>
          <w:color w:val="1D1D1D"/>
        </w:rPr>
        <w:t>,</w:t>
      </w:r>
      <w:r>
        <w:rPr>
          <w:rFonts w:ascii="Times New Roman" w:cs="Times New Roman" w:eastAsia="Times New Roman" w:hAnsi="Times New Roman"/>
          <w:sz w:val="22"/>
          <w:szCs w:val="22"/>
          <w:color w:val="0D0D0D"/>
        </w:rPr>
        <w:t xml:space="preserve"> unle</w:t>
      </w:r>
      <w:r>
        <w:rPr>
          <w:rFonts w:ascii="Times New Roman" w:cs="Times New Roman" w:eastAsia="Times New Roman" w:hAnsi="Times New Roman"/>
          <w:sz w:val="22"/>
          <w:szCs w:val="22"/>
          <w:color w:val="1D1D1D"/>
        </w:rPr>
        <w:t>ss</w:t>
      </w:r>
      <w:r>
        <w:rPr>
          <w:rFonts w:ascii="Times New Roman" w:cs="Times New Roman" w:eastAsia="Times New Roman" w:hAnsi="Times New Roman"/>
          <w:sz w:val="22"/>
          <w:szCs w:val="22"/>
          <w:color w:val="0D0D0D"/>
        </w:rPr>
        <w:t xml:space="preserve"> the el</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cti</w:t>
      </w:r>
      <w:r>
        <w:rPr>
          <w:rFonts w:ascii="Times New Roman" w:cs="Times New Roman" w:eastAsia="Times New Roman" w:hAnsi="Times New Roman"/>
          <w:sz w:val="22"/>
          <w:szCs w:val="22"/>
          <w:color w:val="1D1D1D"/>
        </w:rPr>
        <w:t>on</w:t>
      </w:r>
      <w:r>
        <w:rPr>
          <w:rFonts w:ascii="Times New Roman" w:cs="Times New Roman" w:eastAsia="Times New Roman" w:hAnsi="Times New Roman"/>
          <w:sz w:val="22"/>
          <w:szCs w:val="22"/>
          <w:color w:val="0D0D0D"/>
        </w:rPr>
        <w:t xml:space="preserve"> o</w:t>
      </w:r>
      <w:r>
        <w:rPr>
          <w:rFonts w:ascii="Times New Roman" w:cs="Times New Roman" w:eastAsia="Times New Roman" w:hAnsi="Times New Roman"/>
          <w:sz w:val="22"/>
          <w:szCs w:val="22"/>
          <w:color w:val="1D1D1D"/>
        </w:rPr>
        <w:t>f</w:t>
      </w:r>
      <w:r>
        <w:rPr>
          <w:rFonts w:ascii="Times New Roman" w:cs="Times New Roman" w:eastAsia="Times New Roman" w:hAnsi="Times New Roman"/>
          <w:sz w:val="22"/>
          <w:szCs w:val="22"/>
          <w:color w:val="0D0D0D"/>
        </w:rPr>
        <w:t xml:space="preserve"> each new d</w:t>
      </w:r>
      <w:r>
        <w:rPr>
          <w:rFonts w:ascii="Times New Roman" w:cs="Times New Roman" w:eastAsia="Times New Roman" w:hAnsi="Times New Roman"/>
          <w:sz w:val="22"/>
          <w:szCs w:val="22"/>
          <w:color w:val="1D1D1D"/>
        </w:rPr>
        <w:t>ir</w:t>
      </w:r>
      <w:r>
        <w:rPr>
          <w:rFonts w:ascii="Times New Roman" w:cs="Times New Roman" w:eastAsia="Times New Roman" w:hAnsi="Times New Roman"/>
          <w:sz w:val="22"/>
          <w:szCs w:val="22"/>
          <w:color w:val="0D0D0D"/>
        </w:rPr>
        <w:t>ector</w:t>
      </w:r>
      <w:r>
        <w:rPr>
          <w:rFonts w:ascii="Times New Roman" w:cs="Times New Roman" w:eastAsia="Times New Roman" w:hAnsi="Times New Roman"/>
          <w:sz w:val="22"/>
          <w:szCs w:val="22"/>
          <w:color w:val="1D1D1D"/>
        </w:rPr>
        <w:t>,</w:t>
      </w:r>
      <w:r>
        <w:rPr>
          <w:rFonts w:ascii="Times New Roman" w:cs="Times New Roman" w:eastAsia="Times New Roman" w:hAnsi="Times New Roman"/>
          <w:sz w:val="22"/>
          <w:szCs w:val="22"/>
          <w:color w:val="0D0D0D"/>
        </w:rPr>
        <w:t xml:space="preserve"> o</w:t>
      </w:r>
      <w:r>
        <w:rPr>
          <w:rFonts w:ascii="Times New Roman" w:cs="Times New Roman" w:eastAsia="Times New Roman" w:hAnsi="Times New Roman"/>
          <w:sz w:val="22"/>
          <w:szCs w:val="22"/>
          <w:color w:val="1D1D1D"/>
        </w:rPr>
        <w:t>r</w:t>
      </w:r>
      <w:r>
        <w:rPr>
          <w:rFonts w:ascii="Times New Roman" w:cs="Times New Roman" w:eastAsia="Times New Roman" w:hAnsi="Times New Roman"/>
          <w:sz w:val="22"/>
          <w:szCs w:val="22"/>
          <w:color w:val="0D0D0D"/>
        </w:rPr>
        <w:t xml:space="preserve"> h</w:t>
      </w:r>
      <w:r>
        <w:rPr>
          <w:rFonts w:ascii="Times New Roman" w:cs="Times New Roman" w:eastAsia="Times New Roman" w:hAnsi="Times New Roman"/>
          <w:sz w:val="22"/>
          <w:szCs w:val="22"/>
          <w:color w:val="1D1D1D"/>
        </w:rPr>
        <w:t>i</w:t>
      </w:r>
      <w:r>
        <w:rPr>
          <w:rFonts w:ascii="Times New Roman" w:cs="Times New Roman" w:eastAsia="Times New Roman" w:hAnsi="Times New Roman"/>
          <w:sz w:val="22"/>
          <w:szCs w:val="22"/>
          <w:color w:val="0D0D0D"/>
        </w:rPr>
        <w:t>s o</w:t>
      </w:r>
      <w:r>
        <w:rPr>
          <w:rFonts w:ascii="Times New Roman" w:cs="Times New Roman" w:eastAsia="Times New Roman" w:hAnsi="Times New Roman"/>
          <w:sz w:val="22"/>
          <w:szCs w:val="22"/>
          <w:color w:val="1D1D1D"/>
        </w:rPr>
        <w:t>r</w:t>
      </w:r>
      <w:r>
        <w:rPr>
          <w:rFonts w:ascii="Times New Roman" w:cs="Times New Roman" w:eastAsia="Times New Roman" w:hAnsi="Times New Roman"/>
          <w:sz w:val="22"/>
          <w:szCs w:val="22"/>
          <w:color w:val="0D0D0D"/>
        </w:rPr>
        <w:t xml:space="preserve"> h</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 xml:space="preserve">r </w:t>
      </w:r>
      <w:r>
        <w:rPr>
          <w:rFonts w:ascii="Times New Roman" w:cs="Times New Roman" w:eastAsia="Times New Roman" w:hAnsi="Times New Roman"/>
          <w:sz w:val="22"/>
          <w:szCs w:val="22"/>
          <w:color w:val="1D1D1D"/>
        </w:rPr>
        <w:t>n</w:t>
      </w:r>
      <w:r>
        <w:rPr>
          <w:rFonts w:ascii="Times New Roman" w:cs="Times New Roman" w:eastAsia="Times New Roman" w:hAnsi="Times New Roman"/>
          <w:sz w:val="22"/>
          <w:szCs w:val="22"/>
          <w:color w:val="0D0D0D"/>
        </w:rPr>
        <w:t>om</w:t>
      </w:r>
      <w:r>
        <w:rPr>
          <w:rFonts w:ascii="Times New Roman" w:cs="Times New Roman" w:eastAsia="Times New Roman" w:hAnsi="Times New Roman"/>
          <w:sz w:val="22"/>
          <w:szCs w:val="22"/>
          <w:color w:val="1D1D1D"/>
        </w:rPr>
        <w:t>i</w:t>
      </w:r>
      <w:r>
        <w:rPr>
          <w:rFonts w:ascii="Times New Roman" w:cs="Times New Roman" w:eastAsia="Times New Roman" w:hAnsi="Times New Roman"/>
          <w:sz w:val="22"/>
          <w:szCs w:val="22"/>
          <w:color w:val="0D0D0D"/>
        </w:rPr>
        <w:t>n</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 xml:space="preserve">tion </w:t>
      </w:r>
      <w:r>
        <w:rPr>
          <w:rFonts w:ascii="Times New Roman" w:cs="Times New Roman" w:eastAsia="Times New Roman" w:hAnsi="Times New Roman"/>
          <w:sz w:val="22"/>
          <w:szCs w:val="22"/>
          <w:color w:val="1D1D1D"/>
        </w:rPr>
        <w:t>fo</w:t>
      </w:r>
      <w:r>
        <w:rPr>
          <w:rFonts w:ascii="Times New Roman" w:cs="Times New Roman" w:eastAsia="Times New Roman" w:hAnsi="Times New Roman"/>
          <w:sz w:val="22"/>
          <w:szCs w:val="22"/>
          <w:color w:val="0D0D0D"/>
        </w:rPr>
        <w:t xml:space="preserve">r </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lectio</w:t>
      </w:r>
      <w:r>
        <w:rPr>
          <w:rFonts w:ascii="Times New Roman" w:cs="Times New Roman" w:eastAsia="Times New Roman" w:hAnsi="Times New Roman"/>
          <w:sz w:val="22"/>
          <w:szCs w:val="22"/>
          <w:color w:val="1D1D1D"/>
        </w:rPr>
        <w:t>n</w:t>
      </w:r>
      <w:r>
        <w:rPr>
          <w:rFonts w:ascii="Times New Roman" w:cs="Times New Roman" w:eastAsia="Times New Roman" w:hAnsi="Times New Roman"/>
          <w:sz w:val="22"/>
          <w:szCs w:val="22"/>
          <w:color w:val="0D0D0D"/>
        </w:rPr>
        <w:t xml:space="preserve"> by th</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 xml:space="preserve"> stockh</w:t>
      </w:r>
      <w:r>
        <w:rPr>
          <w:rFonts w:ascii="Times New Roman" w:cs="Times New Roman" w:eastAsia="Times New Roman" w:hAnsi="Times New Roman"/>
          <w:sz w:val="22"/>
          <w:szCs w:val="22"/>
          <w:color w:val="1D1D1D"/>
        </w:rPr>
        <w:t>o</w:t>
      </w:r>
      <w:r>
        <w:rPr>
          <w:rFonts w:ascii="Times New Roman" w:cs="Times New Roman" w:eastAsia="Times New Roman" w:hAnsi="Times New Roman"/>
          <w:sz w:val="22"/>
          <w:szCs w:val="22"/>
          <w:color w:val="0D0D0D"/>
        </w:rPr>
        <w:t>ld</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rs o</w:t>
      </w:r>
      <w:r>
        <w:rPr>
          <w:rFonts w:ascii="Times New Roman" w:cs="Times New Roman" w:eastAsia="Times New Roman" w:hAnsi="Times New Roman"/>
          <w:sz w:val="22"/>
          <w:szCs w:val="22"/>
          <w:color w:val="2F2F2F"/>
        </w:rPr>
        <w:t>f</w:t>
      </w:r>
      <w:r>
        <w:rPr>
          <w:rFonts w:ascii="Times New Roman" w:cs="Times New Roman" w:eastAsia="Times New Roman" w:hAnsi="Times New Roman"/>
          <w:sz w:val="22"/>
          <w:szCs w:val="22"/>
          <w:color w:val="0D0D0D"/>
        </w:rPr>
        <w:t xml:space="preserve"> </w:t>
      </w:r>
      <w:r>
        <w:rPr>
          <w:rFonts w:ascii="Times New Roman" w:cs="Times New Roman" w:eastAsia="Times New Roman" w:hAnsi="Times New Roman"/>
          <w:sz w:val="22"/>
          <w:szCs w:val="22"/>
          <w:color w:val="1D1D1D"/>
        </w:rPr>
        <w:t>t</w:t>
      </w:r>
      <w:r>
        <w:rPr>
          <w:rFonts w:ascii="Times New Roman" w:cs="Times New Roman" w:eastAsia="Times New Roman" w:hAnsi="Times New Roman"/>
          <w:sz w:val="22"/>
          <w:szCs w:val="22"/>
          <w:color w:val="0D0D0D"/>
        </w:rPr>
        <w:t>he Company</w:t>
      </w:r>
      <w:r>
        <w:rPr>
          <w:rFonts w:ascii="Times New Roman" w:cs="Times New Roman" w:eastAsia="Times New Roman" w:hAnsi="Times New Roman"/>
          <w:sz w:val="22"/>
          <w:szCs w:val="22"/>
          <w:color w:val="1D1D1D"/>
        </w:rPr>
        <w:t>,</w:t>
      </w:r>
      <w:r>
        <w:rPr>
          <w:rFonts w:ascii="Times New Roman" w:cs="Times New Roman" w:eastAsia="Times New Roman" w:hAnsi="Times New Roman"/>
          <w:sz w:val="22"/>
          <w:szCs w:val="22"/>
          <w:color w:val="0D0D0D"/>
        </w:rPr>
        <w:t xml:space="preserve"> was appro</w:t>
      </w:r>
      <w:r>
        <w:rPr>
          <w:rFonts w:ascii="Times New Roman" w:cs="Times New Roman" w:eastAsia="Times New Roman" w:hAnsi="Times New Roman"/>
          <w:sz w:val="22"/>
          <w:szCs w:val="22"/>
          <w:color w:val="1D1D1D"/>
        </w:rPr>
        <w:t>v</w:t>
      </w:r>
      <w:r>
        <w:rPr>
          <w:rFonts w:ascii="Times New Roman" w:cs="Times New Roman" w:eastAsia="Times New Roman" w:hAnsi="Times New Roman"/>
          <w:sz w:val="22"/>
          <w:szCs w:val="22"/>
          <w:color w:val="0D0D0D"/>
        </w:rPr>
        <w:t>ed by a vote o</w:t>
      </w:r>
      <w:r>
        <w:rPr>
          <w:rFonts w:ascii="Times New Roman" w:cs="Times New Roman" w:eastAsia="Times New Roman" w:hAnsi="Times New Roman"/>
          <w:sz w:val="22"/>
          <w:szCs w:val="22"/>
          <w:color w:val="1D1D1D"/>
        </w:rPr>
        <w:t>f</w:t>
      </w:r>
      <w:r>
        <w:rPr>
          <w:rFonts w:ascii="Times New Roman" w:cs="Times New Roman" w:eastAsia="Times New Roman" w:hAnsi="Times New Roman"/>
          <w:sz w:val="22"/>
          <w:szCs w:val="22"/>
          <w:color w:val="0D0D0D"/>
        </w:rPr>
        <w:t xml:space="preserve"> at l</w:t>
      </w:r>
      <w:r>
        <w:rPr>
          <w:rFonts w:ascii="Times New Roman" w:cs="Times New Roman" w:eastAsia="Times New Roman" w:hAnsi="Times New Roman"/>
          <w:sz w:val="22"/>
          <w:szCs w:val="22"/>
          <w:color w:val="1D1D1D"/>
        </w:rPr>
        <w:t>eas</w:t>
      </w:r>
      <w:r>
        <w:rPr>
          <w:rFonts w:ascii="Times New Roman" w:cs="Times New Roman" w:eastAsia="Times New Roman" w:hAnsi="Times New Roman"/>
          <w:sz w:val="22"/>
          <w:szCs w:val="22"/>
          <w:color w:val="0D0D0D"/>
        </w:rPr>
        <w:t>t two- t</w:t>
      </w:r>
      <w:r>
        <w:rPr>
          <w:rFonts w:ascii="Times New Roman" w:cs="Times New Roman" w:eastAsia="Times New Roman" w:hAnsi="Times New Roman"/>
          <w:sz w:val="22"/>
          <w:szCs w:val="22"/>
          <w:color w:val="1D1D1D"/>
        </w:rPr>
        <w:t>h</w:t>
      </w:r>
      <w:r>
        <w:rPr>
          <w:rFonts w:ascii="Times New Roman" w:cs="Times New Roman" w:eastAsia="Times New Roman" w:hAnsi="Times New Roman"/>
          <w:sz w:val="22"/>
          <w:szCs w:val="22"/>
          <w:color w:val="0D0D0D"/>
        </w:rPr>
        <w:t>ir</w:t>
      </w:r>
      <w:r>
        <w:rPr>
          <w:rFonts w:ascii="Times New Roman" w:cs="Times New Roman" w:eastAsia="Times New Roman" w:hAnsi="Times New Roman"/>
          <w:sz w:val="22"/>
          <w:szCs w:val="22"/>
          <w:color w:val="1D1D1D"/>
        </w:rPr>
        <w:t>d</w:t>
      </w:r>
      <w:r>
        <w:rPr>
          <w:rFonts w:ascii="Times New Roman" w:cs="Times New Roman" w:eastAsia="Times New Roman" w:hAnsi="Times New Roman"/>
          <w:sz w:val="22"/>
          <w:szCs w:val="22"/>
          <w:color w:val="0D0D0D"/>
        </w:rPr>
        <w:t>s (2</w:t>
      </w:r>
      <w:r>
        <w:rPr>
          <w:rFonts w:ascii="Times New Roman" w:cs="Times New Roman" w:eastAsia="Times New Roman" w:hAnsi="Times New Roman"/>
          <w:sz w:val="22"/>
          <w:szCs w:val="22"/>
          <w:color w:val="1D1D1D"/>
        </w:rPr>
        <w:t>/</w:t>
      </w:r>
      <w:r>
        <w:rPr>
          <w:rFonts w:ascii="Times New Roman" w:cs="Times New Roman" w:eastAsia="Times New Roman" w:hAnsi="Times New Roman"/>
          <w:sz w:val="22"/>
          <w:szCs w:val="22"/>
          <w:color w:val="0D0D0D"/>
        </w:rPr>
        <w:t xml:space="preserve">3) of the </w:t>
      </w:r>
      <w:r>
        <w:rPr>
          <w:rFonts w:ascii="Times New Roman" w:cs="Times New Roman" w:eastAsia="Times New Roman" w:hAnsi="Times New Roman"/>
          <w:sz w:val="22"/>
          <w:szCs w:val="22"/>
          <w:color w:val="1D1D1D"/>
        </w:rPr>
        <w:t>d</w:t>
      </w:r>
      <w:r>
        <w:rPr>
          <w:rFonts w:ascii="Times New Roman" w:cs="Times New Roman" w:eastAsia="Times New Roman" w:hAnsi="Times New Roman"/>
          <w:sz w:val="22"/>
          <w:szCs w:val="22"/>
          <w:color w:val="0D0D0D"/>
        </w:rPr>
        <w:t>ir</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cto</w:t>
      </w:r>
      <w:r>
        <w:rPr>
          <w:rFonts w:ascii="Times New Roman" w:cs="Times New Roman" w:eastAsia="Times New Roman" w:hAnsi="Times New Roman"/>
          <w:sz w:val="22"/>
          <w:szCs w:val="22"/>
          <w:color w:val="1D1D1D"/>
        </w:rPr>
        <w:t>rs t</w:t>
      </w:r>
      <w:r>
        <w:rPr>
          <w:rFonts w:ascii="Times New Roman" w:cs="Times New Roman" w:eastAsia="Times New Roman" w:hAnsi="Times New Roman"/>
          <w:sz w:val="22"/>
          <w:szCs w:val="22"/>
          <w:color w:val="0D0D0D"/>
        </w:rPr>
        <w:t>he</w:t>
      </w:r>
      <w:r>
        <w:rPr>
          <w:rFonts w:ascii="Times New Roman" w:cs="Times New Roman" w:eastAsia="Times New Roman" w:hAnsi="Times New Roman"/>
          <w:sz w:val="22"/>
          <w:szCs w:val="22"/>
          <w:color w:val="1D1D1D"/>
        </w:rPr>
        <w:t>n</w:t>
      </w:r>
      <w:r>
        <w:rPr>
          <w:rFonts w:ascii="Times New Roman" w:cs="Times New Roman" w:eastAsia="Times New Roman" w:hAnsi="Times New Roman"/>
          <w:sz w:val="22"/>
          <w:szCs w:val="22"/>
          <w:color w:val="0D0D0D"/>
        </w:rPr>
        <w:t xml:space="preserve"> st</w:t>
      </w:r>
      <w:r>
        <w:rPr>
          <w:rFonts w:ascii="Times New Roman" w:cs="Times New Roman" w:eastAsia="Times New Roman" w:hAnsi="Times New Roman"/>
          <w:sz w:val="22"/>
          <w:szCs w:val="22"/>
          <w:color w:val="1D1D1D"/>
        </w:rPr>
        <w:t>ill i</w:t>
      </w:r>
      <w:r>
        <w:rPr>
          <w:rFonts w:ascii="Times New Roman" w:cs="Times New Roman" w:eastAsia="Times New Roman" w:hAnsi="Times New Roman"/>
          <w:sz w:val="22"/>
          <w:szCs w:val="22"/>
          <w:color w:val="0D0D0D"/>
        </w:rPr>
        <w:t>n offic</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 xml:space="preserve"> who w</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r</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 xml:space="preserve"> d</w:t>
      </w:r>
      <w:r>
        <w:rPr>
          <w:rFonts w:ascii="Times New Roman" w:cs="Times New Roman" w:eastAsia="Times New Roman" w:hAnsi="Times New Roman"/>
          <w:sz w:val="22"/>
          <w:szCs w:val="22"/>
          <w:color w:val="1D1D1D"/>
        </w:rPr>
        <w:t>ir</w:t>
      </w:r>
      <w:r>
        <w:rPr>
          <w:rFonts w:ascii="Times New Roman" w:cs="Times New Roman" w:eastAsia="Times New Roman" w:hAnsi="Times New Roman"/>
          <w:sz w:val="22"/>
          <w:szCs w:val="22"/>
          <w:color w:val="0D0D0D"/>
        </w:rPr>
        <w:t>ector</w:t>
      </w:r>
      <w:r>
        <w:rPr>
          <w:rFonts w:ascii="Times New Roman" w:cs="Times New Roman" w:eastAsia="Times New Roman" w:hAnsi="Times New Roman"/>
          <w:sz w:val="22"/>
          <w:szCs w:val="22"/>
          <w:color w:val="1D1D1D"/>
        </w:rPr>
        <w:t>s a</w:t>
      </w:r>
      <w:r>
        <w:rPr>
          <w:rFonts w:ascii="Times New Roman" w:cs="Times New Roman" w:eastAsia="Times New Roman" w:hAnsi="Times New Roman"/>
          <w:sz w:val="22"/>
          <w:szCs w:val="22"/>
          <w:color w:val="0D0D0D"/>
        </w:rPr>
        <w:t>t th</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 xml:space="preserve"> b</w:t>
      </w:r>
      <w:r>
        <w:rPr>
          <w:rFonts w:ascii="Times New Roman" w:cs="Times New Roman" w:eastAsia="Times New Roman" w:hAnsi="Times New Roman"/>
          <w:sz w:val="22"/>
          <w:szCs w:val="22"/>
          <w:color w:val="1D1D1D"/>
        </w:rPr>
        <w:t>eg</w:t>
      </w:r>
      <w:r>
        <w:rPr>
          <w:rFonts w:ascii="Times New Roman" w:cs="Times New Roman" w:eastAsia="Times New Roman" w:hAnsi="Times New Roman"/>
          <w:sz w:val="22"/>
          <w:szCs w:val="22"/>
          <w:color w:val="0D0D0D"/>
        </w:rPr>
        <w:t>innin</w:t>
      </w:r>
      <w:r>
        <w:rPr>
          <w:rFonts w:ascii="Times New Roman" w:cs="Times New Roman" w:eastAsia="Times New Roman" w:hAnsi="Times New Roman"/>
          <w:sz w:val="22"/>
          <w:szCs w:val="22"/>
          <w:color w:val="1D1D1D"/>
        </w:rPr>
        <w:t>g</w:t>
      </w:r>
      <w:r>
        <w:rPr>
          <w:rFonts w:ascii="Times New Roman" w:cs="Times New Roman" w:eastAsia="Times New Roman" w:hAnsi="Times New Roman"/>
          <w:sz w:val="22"/>
          <w:szCs w:val="22"/>
          <w:color w:val="0D0D0D"/>
        </w:rPr>
        <w:t xml:space="preserve"> o</w:t>
      </w:r>
      <w:r>
        <w:rPr>
          <w:rFonts w:ascii="Times New Roman" w:cs="Times New Roman" w:eastAsia="Times New Roman" w:hAnsi="Times New Roman"/>
          <w:sz w:val="22"/>
          <w:szCs w:val="22"/>
          <w:color w:val="1D1D1D"/>
        </w:rPr>
        <w:t>f</w:t>
      </w:r>
      <w:r>
        <w:rPr>
          <w:rFonts w:ascii="Times New Roman" w:cs="Times New Roman" w:eastAsia="Times New Roman" w:hAnsi="Times New Roman"/>
          <w:sz w:val="22"/>
          <w:szCs w:val="22"/>
          <w:color w:val="0D0D0D"/>
        </w:rPr>
        <w:t xml:space="preserve"> such pe</w:t>
      </w:r>
      <w:r>
        <w:rPr>
          <w:rFonts w:ascii="Times New Roman" w:cs="Times New Roman" w:eastAsia="Times New Roman" w:hAnsi="Times New Roman"/>
          <w:sz w:val="22"/>
          <w:szCs w:val="22"/>
          <w:color w:val="1D1D1D"/>
        </w:rPr>
        <w:t>ri</w:t>
      </w:r>
      <w:r>
        <w:rPr>
          <w:rFonts w:ascii="Times New Roman" w:cs="Times New Roman" w:eastAsia="Times New Roman" w:hAnsi="Times New Roman"/>
          <w:sz w:val="22"/>
          <w:szCs w:val="22"/>
          <w:color w:val="0D0D0D"/>
        </w:rPr>
        <w:t>od;</w:t>
      </w:r>
    </w:p>
    <w:p>
      <w:pPr>
        <w:spacing w:after="0" w:line="192" w:lineRule="exact"/>
        <w:rPr>
          <w:rFonts w:ascii="Times New Roman" w:cs="Times New Roman" w:eastAsia="Times New Roman" w:hAnsi="Times New Roman"/>
          <w:sz w:val="22"/>
          <w:szCs w:val="22"/>
          <w:color w:val="0D0D0D"/>
        </w:rPr>
      </w:pPr>
    </w:p>
    <w:p>
      <w:pPr>
        <w:ind w:left="1380" w:right="60" w:hanging="637"/>
        <w:spacing w:after="0" w:line="217" w:lineRule="auto"/>
        <w:tabs>
          <w:tab w:leader="none" w:pos="1052" w:val="left"/>
        </w:tabs>
        <w:numPr>
          <w:ilvl w:val="0"/>
          <w:numId w:val="90"/>
        </w:numPr>
        <w:rPr>
          <w:rFonts w:ascii="Times New Roman" w:cs="Times New Roman" w:eastAsia="Times New Roman" w:hAnsi="Times New Roman"/>
          <w:sz w:val="22"/>
          <w:szCs w:val="22"/>
          <w:color w:val="0D0D0D"/>
        </w:rPr>
      </w:pPr>
      <w:r>
        <w:rPr>
          <w:rFonts w:ascii="Times New Roman" w:cs="Times New Roman" w:eastAsia="Times New Roman" w:hAnsi="Times New Roman"/>
          <w:sz w:val="22"/>
          <w:szCs w:val="22"/>
          <w:color w:val="0D0D0D"/>
        </w:rPr>
        <w:t>th</w:t>
      </w:r>
      <w:r>
        <w:rPr>
          <w:rFonts w:ascii="Times New Roman" w:cs="Times New Roman" w:eastAsia="Times New Roman" w:hAnsi="Times New Roman"/>
          <w:sz w:val="22"/>
          <w:szCs w:val="22"/>
          <w:color w:val="1D1D1D"/>
        </w:rPr>
        <w:t>e a</w:t>
      </w:r>
      <w:r>
        <w:rPr>
          <w:rFonts w:ascii="Times New Roman" w:cs="Times New Roman" w:eastAsia="Times New Roman" w:hAnsi="Times New Roman"/>
          <w:sz w:val="22"/>
          <w:szCs w:val="22"/>
          <w:color w:val="0D0D0D"/>
        </w:rPr>
        <w:t>p</w:t>
      </w:r>
      <w:r>
        <w:rPr>
          <w:rFonts w:ascii="Times New Roman" w:cs="Times New Roman" w:eastAsia="Times New Roman" w:hAnsi="Times New Roman"/>
          <w:sz w:val="22"/>
          <w:szCs w:val="22"/>
          <w:color w:val="1D1D1D"/>
        </w:rPr>
        <w:t>p</w:t>
      </w:r>
      <w:r>
        <w:rPr>
          <w:rFonts w:ascii="Times New Roman" w:cs="Times New Roman" w:eastAsia="Times New Roman" w:hAnsi="Times New Roman"/>
          <w:sz w:val="22"/>
          <w:szCs w:val="22"/>
          <w:color w:val="0D0D0D"/>
        </w:rPr>
        <w:t>ro</w:t>
      </w:r>
      <w:r>
        <w:rPr>
          <w:rFonts w:ascii="Times New Roman" w:cs="Times New Roman" w:eastAsia="Times New Roman" w:hAnsi="Times New Roman"/>
          <w:sz w:val="22"/>
          <w:szCs w:val="22"/>
          <w:color w:val="1D1D1D"/>
        </w:rPr>
        <w:t>v</w:t>
      </w:r>
      <w:r>
        <w:rPr>
          <w:rFonts w:ascii="Times New Roman" w:cs="Times New Roman" w:eastAsia="Times New Roman" w:hAnsi="Times New Roman"/>
          <w:sz w:val="22"/>
          <w:szCs w:val="22"/>
          <w:color w:val="0D0D0D"/>
        </w:rPr>
        <w:t>a</w:t>
      </w:r>
      <w:r>
        <w:rPr>
          <w:rFonts w:ascii="Times New Roman" w:cs="Times New Roman" w:eastAsia="Times New Roman" w:hAnsi="Times New Roman"/>
          <w:sz w:val="22"/>
          <w:szCs w:val="22"/>
          <w:color w:val="1D1D1D"/>
        </w:rPr>
        <w:t>l</w:t>
      </w:r>
      <w:r>
        <w:rPr>
          <w:rFonts w:ascii="Times New Roman" w:cs="Times New Roman" w:eastAsia="Times New Roman" w:hAnsi="Times New Roman"/>
          <w:sz w:val="22"/>
          <w:szCs w:val="22"/>
          <w:color w:val="0D0D0D"/>
        </w:rPr>
        <w:t xml:space="preserve"> by the s</w:t>
      </w:r>
      <w:r>
        <w:rPr>
          <w:rFonts w:ascii="Times New Roman" w:cs="Times New Roman" w:eastAsia="Times New Roman" w:hAnsi="Times New Roman"/>
          <w:sz w:val="22"/>
          <w:szCs w:val="22"/>
          <w:color w:val="1D1D1D"/>
        </w:rPr>
        <w:t>t</w:t>
      </w:r>
      <w:r>
        <w:rPr>
          <w:rFonts w:ascii="Times New Roman" w:cs="Times New Roman" w:eastAsia="Times New Roman" w:hAnsi="Times New Roman"/>
          <w:sz w:val="22"/>
          <w:szCs w:val="22"/>
          <w:color w:val="0D0D0D"/>
        </w:rPr>
        <w:t>ockhold</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rs o</w:t>
      </w:r>
      <w:r>
        <w:rPr>
          <w:rFonts w:ascii="Times New Roman" w:cs="Times New Roman" w:eastAsia="Times New Roman" w:hAnsi="Times New Roman"/>
          <w:sz w:val="22"/>
          <w:szCs w:val="22"/>
          <w:color w:val="2F2F2F"/>
        </w:rPr>
        <w:t>f</w:t>
      </w:r>
      <w:r>
        <w:rPr>
          <w:rFonts w:ascii="Times New Roman" w:cs="Times New Roman" w:eastAsia="Times New Roman" w:hAnsi="Times New Roman"/>
          <w:sz w:val="22"/>
          <w:szCs w:val="22"/>
          <w:color w:val="0D0D0D"/>
        </w:rPr>
        <w:t xml:space="preserve"> th</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 xml:space="preserve"> Comp</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ny o</w:t>
      </w:r>
      <w:r>
        <w:rPr>
          <w:rFonts w:ascii="Times New Roman" w:cs="Times New Roman" w:eastAsia="Times New Roman" w:hAnsi="Times New Roman"/>
          <w:sz w:val="22"/>
          <w:szCs w:val="22"/>
          <w:color w:val="1D1D1D"/>
        </w:rPr>
        <w:t>f a</w:t>
      </w:r>
      <w:r>
        <w:rPr>
          <w:rFonts w:ascii="Times New Roman" w:cs="Times New Roman" w:eastAsia="Times New Roman" w:hAnsi="Times New Roman"/>
          <w:sz w:val="22"/>
          <w:szCs w:val="22"/>
          <w:color w:val="0D0D0D"/>
        </w:rPr>
        <w:t xml:space="preserve"> r</w:t>
      </w:r>
      <w:r>
        <w:rPr>
          <w:rFonts w:ascii="Times New Roman" w:cs="Times New Roman" w:eastAsia="Times New Roman" w:hAnsi="Times New Roman"/>
          <w:sz w:val="22"/>
          <w:szCs w:val="22"/>
          <w:color w:val="1D1D1D"/>
        </w:rPr>
        <w:t>eorga</w:t>
      </w:r>
      <w:r>
        <w:rPr>
          <w:rFonts w:ascii="Times New Roman" w:cs="Times New Roman" w:eastAsia="Times New Roman" w:hAnsi="Times New Roman"/>
          <w:sz w:val="22"/>
          <w:szCs w:val="22"/>
          <w:color w:val="0D0D0D"/>
        </w:rPr>
        <w:t>n</w:t>
      </w:r>
      <w:r>
        <w:rPr>
          <w:rFonts w:ascii="Times New Roman" w:cs="Times New Roman" w:eastAsia="Times New Roman" w:hAnsi="Times New Roman"/>
          <w:sz w:val="22"/>
          <w:szCs w:val="22"/>
          <w:color w:val="1D1D1D"/>
        </w:rPr>
        <w:t>iz</w:t>
      </w:r>
      <w:r>
        <w:rPr>
          <w:rFonts w:ascii="Times New Roman" w:cs="Times New Roman" w:eastAsia="Times New Roman" w:hAnsi="Times New Roman"/>
          <w:sz w:val="22"/>
          <w:szCs w:val="22"/>
          <w:color w:val="0D0D0D"/>
        </w:rPr>
        <w:t>ation</w:t>
      </w:r>
      <w:r>
        <w:rPr>
          <w:rFonts w:ascii="Times New Roman" w:cs="Times New Roman" w:eastAsia="Times New Roman" w:hAnsi="Times New Roman"/>
          <w:sz w:val="22"/>
          <w:szCs w:val="22"/>
          <w:color w:val="1D1D1D"/>
        </w:rPr>
        <w:t>,</w:t>
      </w:r>
      <w:r>
        <w:rPr>
          <w:rFonts w:ascii="Times New Roman" w:cs="Times New Roman" w:eastAsia="Times New Roman" w:hAnsi="Times New Roman"/>
          <w:sz w:val="22"/>
          <w:szCs w:val="22"/>
          <w:color w:val="0D0D0D"/>
        </w:rPr>
        <w:t xml:space="preserve"> m</w:t>
      </w:r>
      <w:r>
        <w:rPr>
          <w:rFonts w:ascii="Times New Roman" w:cs="Times New Roman" w:eastAsia="Times New Roman" w:hAnsi="Times New Roman"/>
          <w:sz w:val="22"/>
          <w:szCs w:val="22"/>
          <w:color w:val="1D1D1D"/>
        </w:rPr>
        <w:t>erge</w:t>
      </w:r>
      <w:r>
        <w:rPr>
          <w:rFonts w:ascii="Times New Roman" w:cs="Times New Roman" w:eastAsia="Times New Roman" w:hAnsi="Times New Roman"/>
          <w:sz w:val="22"/>
          <w:szCs w:val="22"/>
          <w:color w:val="0D0D0D"/>
        </w:rPr>
        <w:t>r</w:t>
      </w:r>
      <w:r>
        <w:rPr>
          <w:rFonts w:ascii="Times New Roman" w:cs="Times New Roman" w:eastAsia="Times New Roman" w:hAnsi="Times New Roman"/>
          <w:sz w:val="22"/>
          <w:szCs w:val="22"/>
          <w:color w:val="2F2F2F"/>
        </w:rPr>
        <w:t>,</w:t>
      </w:r>
      <w:r>
        <w:rPr>
          <w:rFonts w:ascii="Times New Roman" w:cs="Times New Roman" w:eastAsia="Times New Roman" w:hAnsi="Times New Roman"/>
          <w:sz w:val="22"/>
          <w:szCs w:val="22"/>
          <w:color w:val="0D0D0D"/>
        </w:rPr>
        <w:t xml:space="preserve"> </w:t>
      </w:r>
      <w:r>
        <w:rPr>
          <w:rFonts w:ascii="Times New Roman" w:cs="Times New Roman" w:eastAsia="Times New Roman" w:hAnsi="Times New Roman"/>
          <w:sz w:val="22"/>
          <w:szCs w:val="22"/>
          <w:color w:val="1D1D1D"/>
        </w:rPr>
        <w:t>c</w:t>
      </w:r>
      <w:r>
        <w:rPr>
          <w:rFonts w:ascii="Times New Roman" w:cs="Times New Roman" w:eastAsia="Times New Roman" w:hAnsi="Times New Roman"/>
          <w:sz w:val="22"/>
          <w:szCs w:val="22"/>
          <w:color w:val="0D0D0D"/>
        </w:rPr>
        <w:t>o</w:t>
      </w:r>
      <w:r>
        <w:rPr>
          <w:rFonts w:ascii="Times New Roman" w:cs="Times New Roman" w:eastAsia="Times New Roman" w:hAnsi="Times New Roman"/>
          <w:sz w:val="22"/>
          <w:szCs w:val="22"/>
          <w:color w:val="1D1D1D"/>
        </w:rPr>
        <w:t>ns</w:t>
      </w:r>
      <w:r>
        <w:rPr>
          <w:rFonts w:ascii="Times New Roman" w:cs="Times New Roman" w:eastAsia="Times New Roman" w:hAnsi="Times New Roman"/>
          <w:sz w:val="22"/>
          <w:szCs w:val="22"/>
          <w:color w:val="0D0D0D"/>
        </w:rPr>
        <w:t>o</w:t>
      </w:r>
      <w:r>
        <w:rPr>
          <w:rFonts w:ascii="Times New Roman" w:cs="Times New Roman" w:eastAsia="Times New Roman" w:hAnsi="Times New Roman"/>
          <w:sz w:val="22"/>
          <w:szCs w:val="22"/>
          <w:color w:val="1D1D1D"/>
        </w:rPr>
        <w:t>l</w:t>
      </w:r>
      <w:r>
        <w:rPr>
          <w:rFonts w:ascii="Times New Roman" w:cs="Times New Roman" w:eastAsia="Times New Roman" w:hAnsi="Times New Roman"/>
          <w:sz w:val="22"/>
          <w:szCs w:val="22"/>
          <w:color w:val="0D0D0D"/>
        </w:rPr>
        <w:t>id</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t</w:t>
      </w:r>
      <w:r>
        <w:rPr>
          <w:rFonts w:ascii="Times New Roman" w:cs="Times New Roman" w:eastAsia="Times New Roman" w:hAnsi="Times New Roman"/>
          <w:sz w:val="22"/>
          <w:szCs w:val="22"/>
          <w:color w:val="1D1D1D"/>
        </w:rPr>
        <w:t>io</w:t>
      </w:r>
      <w:r>
        <w:rPr>
          <w:rFonts w:ascii="Times New Roman" w:cs="Times New Roman" w:eastAsia="Times New Roman" w:hAnsi="Times New Roman"/>
          <w:sz w:val="22"/>
          <w:szCs w:val="22"/>
          <w:color w:val="0D0D0D"/>
        </w:rPr>
        <w:t>n or share exch</w:t>
      </w:r>
      <w:r>
        <w:rPr>
          <w:rFonts w:ascii="Times New Roman" w:cs="Times New Roman" w:eastAsia="Times New Roman" w:hAnsi="Times New Roman"/>
          <w:sz w:val="22"/>
          <w:szCs w:val="22"/>
          <w:color w:val="1D1D1D"/>
        </w:rPr>
        <w:t>an</w:t>
      </w:r>
      <w:r>
        <w:rPr>
          <w:rFonts w:ascii="Times New Roman" w:cs="Times New Roman" w:eastAsia="Times New Roman" w:hAnsi="Times New Roman"/>
          <w:sz w:val="22"/>
          <w:szCs w:val="22"/>
          <w:color w:val="0D0D0D"/>
        </w:rPr>
        <w:t>ge</w:t>
      </w:r>
      <w:r>
        <w:rPr>
          <w:rFonts w:ascii="Times New Roman" w:cs="Times New Roman" w:eastAsia="Times New Roman" w:hAnsi="Times New Roman"/>
          <w:sz w:val="22"/>
          <w:szCs w:val="22"/>
          <w:color w:val="1D1D1D"/>
        </w:rPr>
        <w:t>,</w:t>
      </w:r>
      <w:r>
        <w:rPr>
          <w:rFonts w:ascii="Times New Roman" w:cs="Times New Roman" w:eastAsia="Times New Roman" w:hAnsi="Times New Roman"/>
          <w:sz w:val="22"/>
          <w:szCs w:val="22"/>
          <w:color w:val="0D0D0D"/>
        </w:rPr>
        <w:t xml:space="preserve"> i</w:t>
      </w:r>
      <w:r>
        <w:rPr>
          <w:rFonts w:ascii="Times New Roman" w:cs="Times New Roman" w:eastAsia="Times New Roman" w:hAnsi="Times New Roman"/>
          <w:sz w:val="22"/>
          <w:szCs w:val="22"/>
          <w:color w:val="1D1D1D"/>
        </w:rPr>
        <w:t>n</w:t>
      </w:r>
      <w:r>
        <w:rPr>
          <w:rFonts w:ascii="Times New Roman" w:cs="Times New Roman" w:eastAsia="Times New Roman" w:hAnsi="Times New Roman"/>
          <w:sz w:val="22"/>
          <w:szCs w:val="22"/>
          <w:color w:val="0D0D0D"/>
        </w:rPr>
        <w:t xml:space="preserve"> </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ach c</w:t>
      </w:r>
      <w:r>
        <w:rPr>
          <w:rFonts w:ascii="Times New Roman" w:cs="Times New Roman" w:eastAsia="Times New Roman" w:hAnsi="Times New Roman"/>
          <w:sz w:val="22"/>
          <w:szCs w:val="22"/>
          <w:color w:val="1D1D1D"/>
        </w:rPr>
        <w:t>as</w:t>
      </w:r>
      <w:r>
        <w:rPr>
          <w:rFonts w:ascii="Times New Roman" w:cs="Times New Roman" w:eastAsia="Times New Roman" w:hAnsi="Times New Roman"/>
          <w:sz w:val="22"/>
          <w:szCs w:val="22"/>
          <w:color w:val="0D0D0D"/>
        </w:rPr>
        <w:t>e</w:t>
      </w:r>
      <w:r>
        <w:rPr>
          <w:rFonts w:ascii="Times New Roman" w:cs="Times New Roman" w:eastAsia="Times New Roman" w:hAnsi="Times New Roman"/>
          <w:sz w:val="22"/>
          <w:szCs w:val="22"/>
          <w:color w:val="1D1D1D"/>
        </w:rPr>
        <w:t xml:space="preserve">, </w:t>
      </w:r>
      <w:r>
        <w:rPr>
          <w:rFonts w:ascii="Times New Roman" w:cs="Times New Roman" w:eastAsia="Times New Roman" w:hAnsi="Times New Roman"/>
          <w:sz w:val="22"/>
          <w:szCs w:val="22"/>
          <w:color w:val="0D0D0D"/>
        </w:rPr>
        <w:t>with</w:t>
      </w:r>
      <w:r>
        <w:rPr>
          <w:rFonts w:ascii="Times New Roman" w:cs="Times New Roman" w:eastAsia="Times New Roman" w:hAnsi="Times New Roman"/>
          <w:sz w:val="22"/>
          <w:szCs w:val="22"/>
          <w:color w:val="1D1D1D"/>
        </w:rPr>
        <w:t xml:space="preserve"> re</w:t>
      </w:r>
      <w:r>
        <w:rPr>
          <w:rFonts w:ascii="Times New Roman" w:cs="Times New Roman" w:eastAsia="Times New Roman" w:hAnsi="Times New Roman"/>
          <w:sz w:val="22"/>
          <w:szCs w:val="22"/>
          <w:color w:val="0D0D0D"/>
        </w:rPr>
        <w:t>sp</w:t>
      </w:r>
      <w:r>
        <w:rPr>
          <w:rFonts w:ascii="Times New Roman" w:cs="Times New Roman" w:eastAsia="Times New Roman" w:hAnsi="Times New Roman"/>
          <w:sz w:val="22"/>
          <w:szCs w:val="22"/>
          <w:color w:val="1D1D1D"/>
        </w:rPr>
        <w:t>ect t</w:t>
      </w:r>
      <w:r>
        <w:rPr>
          <w:rFonts w:ascii="Times New Roman" w:cs="Times New Roman" w:eastAsia="Times New Roman" w:hAnsi="Times New Roman"/>
          <w:sz w:val="22"/>
          <w:szCs w:val="22"/>
          <w:color w:val="0D0D0D"/>
        </w:rPr>
        <w:t>o which persons who w</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r</w:t>
      </w:r>
      <w:r>
        <w:rPr>
          <w:rFonts w:ascii="Times New Roman" w:cs="Times New Roman" w:eastAsia="Times New Roman" w:hAnsi="Times New Roman"/>
          <w:sz w:val="22"/>
          <w:szCs w:val="22"/>
          <w:color w:val="1D1D1D"/>
        </w:rPr>
        <w:t xml:space="preserve">e </w:t>
      </w:r>
      <w:r>
        <w:rPr>
          <w:rFonts w:ascii="Times New Roman" w:cs="Times New Roman" w:eastAsia="Times New Roman" w:hAnsi="Times New Roman"/>
          <w:sz w:val="22"/>
          <w:szCs w:val="22"/>
          <w:color w:val="0D0D0D"/>
        </w:rPr>
        <w:t>stoc</w:t>
      </w:r>
      <w:r>
        <w:rPr>
          <w:rFonts w:ascii="Times New Roman" w:cs="Times New Roman" w:eastAsia="Times New Roman" w:hAnsi="Times New Roman"/>
          <w:sz w:val="22"/>
          <w:szCs w:val="22"/>
          <w:color w:val="1D1D1D"/>
        </w:rPr>
        <w:t>k</w:t>
      </w:r>
      <w:r>
        <w:rPr>
          <w:rFonts w:ascii="Times New Roman" w:cs="Times New Roman" w:eastAsia="Times New Roman" w:hAnsi="Times New Roman"/>
          <w:sz w:val="22"/>
          <w:szCs w:val="22"/>
          <w:color w:val="0D0D0D"/>
        </w:rPr>
        <w:t>ho</w:t>
      </w:r>
      <w:r>
        <w:rPr>
          <w:rFonts w:ascii="Times New Roman" w:cs="Times New Roman" w:eastAsia="Times New Roman" w:hAnsi="Times New Roman"/>
          <w:sz w:val="22"/>
          <w:szCs w:val="22"/>
          <w:color w:val="1D1D1D"/>
        </w:rPr>
        <w:t>l</w:t>
      </w:r>
      <w:r>
        <w:rPr>
          <w:rFonts w:ascii="Times New Roman" w:cs="Times New Roman" w:eastAsia="Times New Roman" w:hAnsi="Times New Roman"/>
          <w:sz w:val="22"/>
          <w:szCs w:val="22"/>
          <w:color w:val="0D0D0D"/>
        </w:rPr>
        <w:t>ders of the Co</w:t>
      </w:r>
      <w:r>
        <w:rPr>
          <w:rFonts w:ascii="Times New Roman" w:cs="Times New Roman" w:eastAsia="Times New Roman" w:hAnsi="Times New Roman"/>
          <w:sz w:val="22"/>
          <w:szCs w:val="22"/>
          <w:color w:val="1D1D1D"/>
        </w:rPr>
        <w:t>m</w:t>
      </w:r>
      <w:r>
        <w:rPr>
          <w:rFonts w:ascii="Times New Roman" w:cs="Times New Roman" w:eastAsia="Times New Roman" w:hAnsi="Times New Roman"/>
          <w:sz w:val="22"/>
          <w:szCs w:val="22"/>
          <w:color w:val="0D0D0D"/>
        </w:rPr>
        <w:t>p</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n</w:t>
      </w:r>
      <w:r>
        <w:rPr>
          <w:rFonts w:ascii="Times New Roman" w:cs="Times New Roman" w:eastAsia="Times New Roman" w:hAnsi="Times New Roman"/>
          <w:sz w:val="22"/>
          <w:szCs w:val="22"/>
          <w:color w:val="1D1D1D"/>
        </w:rPr>
        <w:t xml:space="preserve">y </w:t>
      </w:r>
      <w:r>
        <w:rPr>
          <w:rFonts w:ascii="Times New Roman" w:cs="Times New Roman" w:eastAsia="Times New Roman" w:hAnsi="Times New Roman"/>
          <w:sz w:val="22"/>
          <w:szCs w:val="22"/>
          <w:color w:val="2F2F2F"/>
        </w:rPr>
        <w:t>i</w:t>
      </w:r>
      <w:r>
        <w:rPr>
          <w:rFonts w:ascii="Times New Roman" w:cs="Times New Roman" w:eastAsia="Times New Roman" w:hAnsi="Times New Roman"/>
          <w:sz w:val="22"/>
          <w:szCs w:val="22"/>
          <w:color w:val="0D0D0D"/>
        </w:rPr>
        <w:t>mm</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di</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tely</w:t>
      </w:r>
      <w:r>
        <w:rPr>
          <w:rFonts w:ascii="Times New Roman" w:cs="Times New Roman" w:eastAsia="Times New Roman" w:hAnsi="Times New Roman"/>
          <w:sz w:val="22"/>
          <w:szCs w:val="22"/>
          <w:color w:val="1D1D1D"/>
        </w:rPr>
        <w:t xml:space="preserve"> p</w:t>
      </w:r>
      <w:r>
        <w:rPr>
          <w:rFonts w:ascii="Times New Roman" w:cs="Times New Roman" w:eastAsia="Times New Roman" w:hAnsi="Times New Roman"/>
          <w:sz w:val="22"/>
          <w:szCs w:val="22"/>
          <w:color w:val="0D0D0D"/>
        </w:rPr>
        <w:t>rio</w:t>
      </w:r>
      <w:r>
        <w:rPr>
          <w:rFonts w:ascii="Times New Roman" w:cs="Times New Roman" w:eastAsia="Times New Roman" w:hAnsi="Times New Roman"/>
          <w:sz w:val="22"/>
          <w:szCs w:val="22"/>
          <w:color w:val="1D1D1D"/>
        </w:rPr>
        <w:t xml:space="preserve">r </w:t>
      </w:r>
      <w:r>
        <w:rPr>
          <w:rFonts w:ascii="Times New Roman" w:cs="Times New Roman" w:eastAsia="Times New Roman" w:hAnsi="Times New Roman"/>
          <w:sz w:val="22"/>
          <w:szCs w:val="22"/>
          <w:color w:val="0D0D0D"/>
        </w:rPr>
        <w:t>to such</w:t>
      </w:r>
      <w:r>
        <w:rPr>
          <w:rFonts w:ascii="Times New Roman" w:cs="Times New Roman" w:eastAsia="Times New Roman" w:hAnsi="Times New Roman"/>
          <w:sz w:val="22"/>
          <w:szCs w:val="22"/>
          <w:color w:val="1D1D1D"/>
        </w:rPr>
        <w:t xml:space="preserve"> </w:t>
      </w:r>
      <w:r>
        <w:rPr>
          <w:rFonts w:ascii="Times New Roman" w:cs="Times New Roman" w:eastAsia="Times New Roman" w:hAnsi="Times New Roman"/>
          <w:sz w:val="22"/>
          <w:szCs w:val="22"/>
          <w:color w:val="0D0D0D"/>
        </w:rPr>
        <w:t>reo</w:t>
      </w:r>
      <w:r>
        <w:rPr>
          <w:rFonts w:ascii="Times New Roman" w:cs="Times New Roman" w:eastAsia="Times New Roman" w:hAnsi="Times New Roman"/>
          <w:sz w:val="22"/>
          <w:szCs w:val="22"/>
          <w:color w:val="1D1D1D"/>
        </w:rPr>
        <w:t>r</w:t>
      </w:r>
      <w:r>
        <w:rPr>
          <w:rFonts w:ascii="Times New Roman" w:cs="Times New Roman" w:eastAsia="Times New Roman" w:hAnsi="Times New Roman"/>
          <w:sz w:val="22"/>
          <w:szCs w:val="22"/>
          <w:color w:val="0D0D0D"/>
        </w:rPr>
        <w:t>g</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niza</w:t>
      </w:r>
      <w:r>
        <w:rPr>
          <w:rFonts w:ascii="Times New Roman" w:cs="Times New Roman" w:eastAsia="Times New Roman" w:hAnsi="Times New Roman"/>
          <w:sz w:val="22"/>
          <w:szCs w:val="22"/>
          <w:color w:val="1D1D1D"/>
        </w:rPr>
        <w:t>ti</w:t>
      </w:r>
      <w:r>
        <w:rPr>
          <w:rFonts w:ascii="Times New Roman" w:cs="Times New Roman" w:eastAsia="Times New Roman" w:hAnsi="Times New Roman"/>
          <w:sz w:val="22"/>
          <w:szCs w:val="22"/>
          <w:color w:val="0D0D0D"/>
        </w:rPr>
        <w:t>on</w:t>
      </w:r>
      <w:r>
        <w:rPr>
          <w:rFonts w:ascii="Times New Roman" w:cs="Times New Roman" w:eastAsia="Times New Roman" w:hAnsi="Times New Roman"/>
          <w:sz w:val="22"/>
          <w:szCs w:val="22"/>
          <w:color w:val="1D1D1D"/>
        </w:rPr>
        <w:t>, me</w:t>
      </w:r>
      <w:r>
        <w:rPr>
          <w:rFonts w:ascii="Times New Roman" w:cs="Times New Roman" w:eastAsia="Times New Roman" w:hAnsi="Times New Roman"/>
          <w:sz w:val="22"/>
          <w:szCs w:val="22"/>
          <w:color w:val="0D0D0D"/>
        </w:rPr>
        <w:t>rg</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r</w:t>
      </w:r>
      <w:r>
        <w:rPr>
          <w:rFonts w:ascii="Times New Roman" w:cs="Times New Roman" w:eastAsia="Times New Roman" w:hAnsi="Times New Roman"/>
          <w:sz w:val="22"/>
          <w:szCs w:val="22"/>
          <w:color w:val="1D1D1D"/>
        </w:rPr>
        <w:t>, c</w:t>
      </w:r>
      <w:r>
        <w:rPr>
          <w:rFonts w:ascii="Times New Roman" w:cs="Times New Roman" w:eastAsia="Times New Roman" w:hAnsi="Times New Roman"/>
          <w:sz w:val="22"/>
          <w:szCs w:val="22"/>
          <w:color w:val="0D0D0D"/>
        </w:rPr>
        <w:t>o</w:t>
      </w:r>
      <w:r>
        <w:rPr>
          <w:rFonts w:ascii="Times New Roman" w:cs="Times New Roman" w:eastAsia="Times New Roman" w:hAnsi="Times New Roman"/>
          <w:sz w:val="22"/>
          <w:szCs w:val="22"/>
          <w:color w:val="1D1D1D"/>
        </w:rPr>
        <w:t>n</w:t>
      </w:r>
      <w:r>
        <w:rPr>
          <w:rFonts w:ascii="Times New Roman" w:cs="Times New Roman" w:eastAsia="Times New Roman" w:hAnsi="Times New Roman"/>
          <w:sz w:val="22"/>
          <w:szCs w:val="22"/>
          <w:color w:val="0D0D0D"/>
        </w:rPr>
        <w:t>so</w:t>
      </w:r>
      <w:r>
        <w:rPr>
          <w:rFonts w:ascii="Times New Roman" w:cs="Times New Roman" w:eastAsia="Times New Roman" w:hAnsi="Times New Roman"/>
          <w:sz w:val="22"/>
          <w:szCs w:val="22"/>
          <w:color w:val="1D1D1D"/>
        </w:rPr>
        <w:t>li</w:t>
      </w:r>
      <w:r>
        <w:rPr>
          <w:rFonts w:ascii="Times New Roman" w:cs="Times New Roman" w:eastAsia="Times New Roman" w:hAnsi="Times New Roman"/>
          <w:sz w:val="22"/>
          <w:szCs w:val="22"/>
          <w:color w:val="0D0D0D"/>
        </w:rPr>
        <w:t>d</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tion o</w:t>
      </w:r>
      <w:r>
        <w:rPr>
          <w:rFonts w:ascii="Times New Roman" w:cs="Times New Roman" w:eastAsia="Times New Roman" w:hAnsi="Times New Roman"/>
          <w:sz w:val="22"/>
          <w:szCs w:val="22"/>
          <w:color w:val="1D1D1D"/>
        </w:rPr>
        <w:t>r</w:t>
      </w:r>
      <w:r>
        <w:rPr>
          <w:rFonts w:ascii="Times New Roman" w:cs="Times New Roman" w:eastAsia="Times New Roman" w:hAnsi="Times New Roman"/>
          <w:sz w:val="22"/>
          <w:szCs w:val="22"/>
          <w:color w:val="0D0D0D"/>
        </w:rPr>
        <w:t xml:space="preserve"> sh</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r</w:t>
      </w:r>
      <w:r>
        <w:rPr>
          <w:rFonts w:ascii="Times New Roman" w:cs="Times New Roman" w:eastAsia="Times New Roman" w:hAnsi="Times New Roman"/>
          <w:sz w:val="22"/>
          <w:szCs w:val="22"/>
          <w:color w:val="1D1D1D"/>
        </w:rPr>
        <w:t>e ex</w:t>
      </w:r>
      <w:r>
        <w:rPr>
          <w:rFonts w:ascii="Times New Roman" w:cs="Times New Roman" w:eastAsia="Times New Roman" w:hAnsi="Times New Roman"/>
          <w:sz w:val="22"/>
          <w:szCs w:val="22"/>
          <w:color w:val="0D0D0D"/>
        </w:rPr>
        <w:t>ch</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n</w:t>
      </w:r>
      <w:r>
        <w:rPr>
          <w:rFonts w:ascii="Times New Roman" w:cs="Times New Roman" w:eastAsia="Times New Roman" w:hAnsi="Times New Roman"/>
          <w:sz w:val="22"/>
          <w:szCs w:val="22"/>
          <w:color w:val="1D1D1D"/>
        </w:rPr>
        <w:t>ge d</w:t>
      </w:r>
      <w:r>
        <w:rPr>
          <w:rFonts w:ascii="Times New Roman" w:cs="Times New Roman" w:eastAsia="Times New Roman" w:hAnsi="Times New Roman"/>
          <w:sz w:val="22"/>
          <w:szCs w:val="22"/>
          <w:color w:val="0D0D0D"/>
        </w:rPr>
        <w:t>o n</w:t>
      </w:r>
      <w:r>
        <w:rPr>
          <w:rFonts w:ascii="Times New Roman" w:cs="Times New Roman" w:eastAsia="Times New Roman" w:hAnsi="Times New Roman"/>
          <w:sz w:val="22"/>
          <w:szCs w:val="22"/>
          <w:color w:val="1D1D1D"/>
        </w:rPr>
        <w:t>o</w:t>
      </w:r>
      <w:r>
        <w:rPr>
          <w:rFonts w:ascii="Times New Roman" w:cs="Times New Roman" w:eastAsia="Times New Roman" w:hAnsi="Times New Roman"/>
          <w:sz w:val="22"/>
          <w:szCs w:val="22"/>
          <w:color w:val="0D0D0D"/>
        </w:rPr>
        <w:t>t</w:t>
      </w:r>
      <w:r>
        <w:rPr>
          <w:rFonts w:ascii="Times New Roman" w:cs="Times New Roman" w:eastAsia="Times New Roman" w:hAnsi="Times New Roman"/>
          <w:sz w:val="22"/>
          <w:szCs w:val="22"/>
          <w:color w:val="1D1D1D"/>
        </w:rPr>
        <w:t>,</w:t>
      </w:r>
      <w:r>
        <w:rPr>
          <w:rFonts w:ascii="Times New Roman" w:cs="Times New Roman" w:eastAsia="Times New Roman" w:hAnsi="Times New Roman"/>
          <w:sz w:val="22"/>
          <w:szCs w:val="22"/>
          <w:color w:val="0D0D0D"/>
        </w:rPr>
        <w:t xml:space="preserve"> i</w:t>
      </w:r>
      <w:r>
        <w:rPr>
          <w:rFonts w:ascii="Times New Roman" w:cs="Times New Roman" w:eastAsia="Times New Roman" w:hAnsi="Times New Roman"/>
          <w:sz w:val="22"/>
          <w:szCs w:val="22"/>
          <w:color w:val="1D1D1D"/>
        </w:rPr>
        <w:t>m</w:t>
      </w:r>
      <w:r>
        <w:rPr>
          <w:rFonts w:ascii="Times New Roman" w:cs="Times New Roman" w:eastAsia="Times New Roman" w:hAnsi="Times New Roman"/>
          <w:sz w:val="22"/>
          <w:szCs w:val="22"/>
          <w:color w:val="0D0D0D"/>
        </w:rPr>
        <w:t>m</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di</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tely there</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fter</w:t>
      </w:r>
      <w:r>
        <w:rPr>
          <w:rFonts w:ascii="Times New Roman" w:cs="Times New Roman" w:eastAsia="Times New Roman" w:hAnsi="Times New Roman"/>
          <w:sz w:val="22"/>
          <w:szCs w:val="22"/>
          <w:color w:val="1D1D1D"/>
        </w:rPr>
        <w:t>,</w:t>
      </w:r>
      <w:r>
        <w:rPr>
          <w:rFonts w:ascii="Times New Roman" w:cs="Times New Roman" w:eastAsia="Times New Roman" w:hAnsi="Times New Roman"/>
          <w:sz w:val="22"/>
          <w:szCs w:val="22"/>
          <w:color w:val="0D0D0D"/>
        </w:rPr>
        <w:t xml:space="preserve"> own mor</w:t>
      </w:r>
      <w:r>
        <w:rPr>
          <w:rFonts w:ascii="Times New Roman" w:cs="Times New Roman" w:eastAsia="Times New Roman" w:hAnsi="Times New Roman"/>
          <w:sz w:val="22"/>
          <w:szCs w:val="22"/>
          <w:color w:val="1D1D1D"/>
        </w:rPr>
        <w:t>e t</w:t>
      </w:r>
      <w:r>
        <w:rPr>
          <w:rFonts w:ascii="Times New Roman" w:cs="Times New Roman" w:eastAsia="Times New Roman" w:hAnsi="Times New Roman"/>
          <w:sz w:val="22"/>
          <w:szCs w:val="22"/>
          <w:color w:val="0D0D0D"/>
        </w:rPr>
        <w:t>h</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n eighty-five perc</w:t>
      </w:r>
      <w:r>
        <w:rPr>
          <w:rFonts w:ascii="Times New Roman" w:cs="Times New Roman" w:eastAsia="Times New Roman" w:hAnsi="Times New Roman"/>
          <w:sz w:val="22"/>
          <w:szCs w:val="22"/>
          <w:color w:val="1D1D1D"/>
        </w:rPr>
        <w:t>en</w:t>
      </w:r>
      <w:r>
        <w:rPr>
          <w:rFonts w:ascii="Times New Roman" w:cs="Times New Roman" w:eastAsia="Times New Roman" w:hAnsi="Times New Roman"/>
          <w:sz w:val="22"/>
          <w:szCs w:val="22"/>
          <w:color w:val="0D0D0D"/>
        </w:rPr>
        <w:t>t (85</w:t>
      </w:r>
      <w:r>
        <w:rPr>
          <w:rFonts w:ascii="Times New Roman" w:cs="Times New Roman" w:eastAsia="Times New Roman" w:hAnsi="Times New Roman"/>
          <w:sz w:val="22"/>
          <w:szCs w:val="22"/>
          <w:color w:val="1D1D1D"/>
        </w:rPr>
        <w:t>%</w:t>
      </w:r>
      <w:r>
        <w:rPr>
          <w:rFonts w:ascii="Times New Roman" w:cs="Times New Roman" w:eastAsia="Times New Roman" w:hAnsi="Times New Roman"/>
          <w:sz w:val="22"/>
          <w:szCs w:val="22"/>
          <w:color w:val="0D0D0D"/>
        </w:rPr>
        <w:t>) o</w:t>
      </w:r>
      <w:r>
        <w:rPr>
          <w:rFonts w:ascii="Times New Roman" w:cs="Times New Roman" w:eastAsia="Times New Roman" w:hAnsi="Times New Roman"/>
          <w:sz w:val="22"/>
          <w:szCs w:val="22"/>
          <w:color w:val="1D1D1D"/>
        </w:rPr>
        <w:t>f</w:t>
      </w:r>
      <w:r>
        <w:rPr>
          <w:rFonts w:ascii="Times New Roman" w:cs="Times New Roman" w:eastAsia="Times New Roman" w:hAnsi="Times New Roman"/>
          <w:sz w:val="22"/>
          <w:szCs w:val="22"/>
          <w:color w:val="0D0D0D"/>
        </w:rPr>
        <w:t xml:space="preserve"> the c</w:t>
      </w:r>
      <w:r>
        <w:rPr>
          <w:rFonts w:ascii="Times New Roman" w:cs="Times New Roman" w:eastAsia="Times New Roman" w:hAnsi="Times New Roman"/>
          <w:sz w:val="22"/>
          <w:szCs w:val="22"/>
          <w:color w:val="1D1D1D"/>
        </w:rPr>
        <w:t>om</w:t>
      </w:r>
      <w:r>
        <w:rPr>
          <w:rFonts w:ascii="Times New Roman" w:cs="Times New Roman" w:eastAsia="Times New Roman" w:hAnsi="Times New Roman"/>
          <w:sz w:val="22"/>
          <w:szCs w:val="22"/>
          <w:color w:val="0D0D0D"/>
        </w:rPr>
        <w:t>b</w:t>
      </w:r>
      <w:r>
        <w:rPr>
          <w:rFonts w:ascii="Times New Roman" w:cs="Times New Roman" w:eastAsia="Times New Roman" w:hAnsi="Times New Roman"/>
          <w:sz w:val="22"/>
          <w:szCs w:val="22"/>
          <w:color w:val="1D1D1D"/>
        </w:rPr>
        <w:t>ine</w:t>
      </w:r>
      <w:r>
        <w:rPr>
          <w:rFonts w:ascii="Times New Roman" w:cs="Times New Roman" w:eastAsia="Times New Roman" w:hAnsi="Times New Roman"/>
          <w:sz w:val="22"/>
          <w:szCs w:val="22"/>
          <w:color w:val="0D0D0D"/>
        </w:rPr>
        <w:t>d vo</w:t>
      </w:r>
      <w:r>
        <w:rPr>
          <w:rFonts w:ascii="Times New Roman" w:cs="Times New Roman" w:eastAsia="Times New Roman" w:hAnsi="Times New Roman"/>
          <w:sz w:val="22"/>
          <w:szCs w:val="22"/>
          <w:color w:val="1D1D1D"/>
        </w:rPr>
        <w:t>ti</w:t>
      </w:r>
      <w:r>
        <w:rPr>
          <w:rFonts w:ascii="Times New Roman" w:cs="Times New Roman" w:eastAsia="Times New Roman" w:hAnsi="Times New Roman"/>
          <w:sz w:val="22"/>
          <w:szCs w:val="22"/>
          <w:color w:val="0D0D0D"/>
        </w:rPr>
        <w:t>n</w:t>
      </w:r>
      <w:r>
        <w:rPr>
          <w:rFonts w:ascii="Times New Roman" w:cs="Times New Roman" w:eastAsia="Times New Roman" w:hAnsi="Times New Roman"/>
          <w:sz w:val="22"/>
          <w:szCs w:val="22"/>
          <w:color w:val="1D1D1D"/>
        </w:rPr>
        <w:t>g</w:t>
      </w:r>
      <w:r>
        <w:rPr>
          <w:rFonts w:ascii="Times New Roman" w:cs="Times New Roman" w:eastAsia="Times New Roman" w:hAnsi="Times New Roman"/>
          <w:sz w:val="22"/>
          <w:szCs w:val="22"/>
          <w:color w:val="0D0D0D"/>
        </w:rPr>
        <w:t xml:space="preserve"> p</w:t>
      </w:r>
      <w:r>
        <w:rPr>
          <w:rFonts w:ascii="Times New Roman" w:cs="Times New Roman" w:eastAsia="Times New Roman" w:hAnsi="Times New Roman"/>
          <w:sz w:val="22"/>
          <w:szCs w:val="22"/>
          <w:color w:val="1D1D1D"/>
        </w:rPr>
        <w:t>o</w:t>
      </w:r>
      <w:r>
        <w:rPr>
          <w:rFonts w:ascii="Times New Roman" w:cs="Times New Roman" w:eastAsia="Times New Roman" w:hAnsi="Times New Roman"/>
          <w:sz w:val="22"/>
          <w:szCs w:val="22"/>
          <w:color w:val="0D0D0D"/>
        </w:rPr>
        <w:t>wer entitled to vot</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 xml:space="preserve"> g</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n</w:t>
      </w:r>
      <w:r>
        <w:rPr>
          <w:rFonts w:ascii="Times New Roman" w:cs="Times New Roman" w:eastAsia="Times New Roman" w:hAnsi="Times New Roman"/>
          <w:sz w:val="22"/>
          <w:szCs w:val="22"/>
          <w:color w:val="1D1D1D"/>
        </w:rPr>
        <w:t>era</w:t>
      </w:r>
      <w:r>
        <w:rPr>
          <w:rFonts w:ascii="Times New Roman" w:cs="Times New Roman" w:eastAsia="Times New Roman" w:hAnsi="Times New Roman"/>
          <w:sz w:val="22"/>
          <w:szCs w:val="22"/>
          <w:color w:val="0D0D0D"/>
        </w:rPr>
        <w:t>lly in the electio</w:t>
      </w:r>
      <w:r>
        <w:rPr>
          <w:rFonts w:ascii="Times New Roman" w:cs="Times New Roman" w:eastAsia="Times New Roman" w:hAnsi="Times New Roman"/>
          <w:sz w:val="22"/>
          <w:szCs w:val="22"/>
          <w:color w:val="1D1D1D"/>
        </w:rPr>
        <w:t>n</w:t>
      </w:r>
      <w:r>
        <w:rPr>
          <w:rFonts w:ascii="Times New Roman" w:cs="Times New Roman" w:eastAsia="Times New Roman" w:hAnsi="Times New Roman"/>
          <w:sz w:val="22"/>
          <w:szCs w:val="22"/>
          <w:color w:val="0D0D0D"/>
        </w:rPr>
        <w:t xml:space="preserve"> o</w:t>
      </w:r>
      <w:r>
        <w:rPr>
          <w:rFonts w:ascii="Times New Roman" w:cs="Times New Roman" w:eastAsia="Times New Roman" w:hAnsi="Times New Roman"/>
          <w:sz w:val="22"/>
          <w:szCs w:val="22"/>
          <w:color w:val="1D1D1D"/>
        </w:rPr>
        <w:t>f</w:t>
      </w:r>
      <w:r>
        <w:rPr>
          <w:rFonts w:ascii="Times New Roman" w:cs="Times New Roman" w:eastAsia="Times New Roman" w:hAnsi="Times New Roman"/>
          <w:sz w:val="22"/>
          <w:szCs w:val="22"/>
          <w:color w:val="0D0D0D"/>
        </w:rPr>
        <w:t xml:space="preserve"> directors o</w:t>
      </w:r>
      <w:r>
        <w:rPr>
          <w:rFonts w:ascii="Times New Roman" w:cs="Times New Roman" w:eastAsia="Times New Roman" w:hAnsi="Times New Roman"/>
          <w:sz w:val="22"/>
          <w:szCs w:val="22"/>
          <w:color w:val="1D1D1D"/>
        </w:rPr>
        <w:t>f</w:t>
      </w:r>
      <w:r>
        <w:rPr>
          <w:rFonts w:ascii="Times New Roman" w:cs="Times New Roman" w:eastAsia="Times New Roman" w:hAnsi="Times New Roman"/>
          <w:sz w:val="22"/>
          <w:szCs w:val="22"/>
          <w:color w:val="0D0D0D"/>
        </w:rPr>
        <w:t xml:space="preserve"> th</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 xml:space="preserve"> </w:t>
      </w:r>
      <w:r>
        <w:rPr>
          <w:rFonts w:ascii="Times New Roman" w:cs="Times New Roman" w:eastAsia="Times New Roman" w:hAnsi="Times New Roman"/>
          <w:sz w:val="22"/>
          <w:szCs w:val="22"/>
          <w:color w:val="1D1D1D"/>
        </w:rPr>
        <w:t>re</w:t>
      </w:r>
      <w:r>
        <w:rPr>
          <w:rFonts w:ascii="Times New Roman" w:cs="Times New Roman" w:eastAsia="Times New Roman" w:hAnsi="Times New Roman"/>
          <w:sz w:val="22"/>
          <w:szCs w:val="22"/>
          <w:color w:val="0D0D0D"/>
        </w:rPr>
        <w:t>o</w:t>
      </w:r>
      <w:r>
        <w:rPr>
          <w:rFonts w:ascii="Times New Roman" w:cs="Times New Roman" w:eastAsia="Times New Roman" w:hAnsi="Times New Roman"/>
          <w:sz w:val="22"/>
          <w:szCs w:val="22"/>
          <w:color w:val="1D1D1D"/>
        </w:rPr>
        <w:t>rgan</w:t>
      </w:r>
      <w:r>
        <w:rPr>
          <w:rFonts w:ascii="Times New Roman" w:cs="Times New Roman" w:eastAsia="Times New Roman" w:hAnsi="Times New Roman"/>
          <w:sz w:val="22"/>
          <w:szCs w:val="22"/>
          <w:color w:val="0D0D0D"/>
        </w:rPr>
        <w:t>i</w:t>
      </w:r>
      <w:r>
        <w:rPr>
          <w:rFonts w:ascii="Times New Roman" w:cs="Times New Roman" w:eastAsia="Times New Roman" w:hAnsi="Times New Roman"/>
          <w:sz w:val="22"/>
          <w:szCs w:val="22"/>
          <w:color w:val="1D1D1D"/>
        </w:rPr>
        <w:t>ze</w:t>
      </w:r>
      <w:r>
        <w:rPr>
          <w:rFonts w:ascii="Times New Roman" w:cs="Times New Roman" w:eastAsia="Times New Roman" w:hAnsi="Times New Roman"/>
          <w:sz w:val="22"/>
          <w:szCs w:val="22"/>
          <w:color w:val="0D0D0D"/>
        </w:rPr>
        <w:t>d</w:t>
      </w:r>
      <w:r>
        <w:rPr>
          <w:rFonts w:ascii="Times New Roman" w:cs="Times New Roman" w:eastAsia="Times New Roman" w:hAnsi="Times New Roman"/>
          <w:sz w:val="22"/>
          <w:szCs w:val="22"/>
          <w:color w:val="1D1D1D"/>
        </w:rPr>
        <w:t xml:space="preserve">, </w:t>
      </w:r>
      <w:r>
        <w:rPr>
          <w:rFonts w:ascii="Times New Roman" w:cs="Times New Roman" w:eastAsia="Times New Roman" w:hAnsi="Times New Roman"/>
          <w:sz w:val="22"/>
          <w:szCs w:val="22"/>
          <w:color w:val="0D0D0D"/>
        </w:rPr>
        <w:t>merged</w:t>
      </w:r>
      <w:r>
        <w:rPr>
          <w:rFonts w:ascii="Times New Roman" w:cs="Times New Roman" w:eastAsia="Times New Roman" w:hAnsi="Times New Roman"/>
          <w:sz w:val="22"/>
          <w:szCs w:val="22"/>
          <w:color w:val="1D1D1D"/>
        </w:rPr>
        <w:t xml:space="preserve">, </w:t>
      </w:r>
      <w:r>
        <w:rPr>
          <w:rFonts w:ascii="Times New Roman" w:cs="Times New Roman" w:eastAsia="Times New Roman" w:hAnsi="Times New Roman"/>
          <w:sz w:val="22"/>
          <w:szCs w:val="22"/>
          <w:color w:val="0D0D0D"/>
        </w:rPr>
        <w:t>co</w:t>
      </w:r>
      <w:r>
        <w:rPr>
          <w:rFonts w:ascii="Times New Roman" w:cs="Times New Roman" w:eastAsia="Times New Roman" w:hAnsi="Times New Roman"/>
          <w:sz w:val="22"/>
          <w:szCs w:val="22"/>
          <w:color w:val="1D1D1D"/>
        </w:rPr>
        <w:t>n</w:t>
      </w:r>
      <w:r>
        <w:rPr>
          <w:rFonts w:ascii="Times New Roman" w:cs="Times New Roman" w:eastAsia="Times New Roman" w:hAnsi="Times New Roman"/>
          <w:sz w:val="22"/>
          <w:szCs w:val="22"/>
          <w:color w:val="0D0D0D"/>
        </w:rPr>
        <w:t>so</w:t>
      </w:r>
      <w:r>
        <w:rPr>
          <w:rFonts w:ascii="Times New Roman" w:cs="Times New Roman" w:eastAsia="Times New Roman" w:hAnsi="Times New Roman"/>
          <w:sz w:val="22"/>
          <w:szCs w:val="22"/>
          <w:color w:val="1D1D1D"/>
        </w:rPr>
        <w:t>l</w:t>
      </w:r>
      <w:r>
        <w:rPr>
          <w:rFonts w:ascii="Times New Roman" w:cs="Times New Roman" w:eastAsia="Times New Roman" w:hAnsi="Times New Roman"/>
          <w:sz w:val="22"/>
          <w:szCs w:val="22"/>
          <w:color w:val="0D0D0D"/>
        </w:rPr>
        <w:t>idat</w:t>
      </w:r>
      <w:r>
        <w:rPr>
          <w:rFonts w:ascii="Times New Roman" w:cs="Times New Roman" w:eastAsia="Times New Roman" w:hAnsi="Times New Roman"/>
          <w:sz w:val="22"/>
          <w:szCs w:val="22"/>
          <w:color w:val="1D1D1D"/>
        </w:rPr>
        <w:t xml:space="preserve">ed </w:t>
      </w:r>
      <w:r>
        <w:rPr>
          <w:rFonts w:ascii="Times New Roman" w:cs="Times New Roman" w:eastAsia="Times New Roman" w:hAnsi="Times New Roman"/>
          <w:sz w:val="22"/>
          <w:szCs w:val="22"/>
          <w:color w:val="0D0D0D"/>
        </w:rPr>
        <w:t>o</w:t>
      </w:r>
      <w:r>
        <w:rPr>
          <w:rFonts w:ascii="Times New Roman" w:cs="Times New Roman" w:eastAsia="Times New Roman" w:hAnsi="Times New Roman"/>
          <w:sz w:val="22"/>
          <w:szCs w:val="22"/>
          <w:color w:val="1D1D1D"/>
        </w:rPr>
        <w:t xml:space="preserve">r </w:t>
      </w:r>
      <w:r>
        <w:rPr>
          <w:rFonts w:ascii="Times New Roman" w:cs="Times New Roman" w:eastAsia="Times New Roman" w:hAnsi="Times New Roman"/>
          <w:sz w:val="22"/>
          <w:szCs w:val="22"/>
          <w:color w:val="0D0D0D"/>
        </w:rPr>
        <w:t>exch</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ng</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d C</w:t>
      </w:r>
      <w:r>
        <w:rPr>
          <w:rFonts w:ascii="Times New Roman" w:cs="Times New Roman" w:eastAsia="Times New Roman" w:hAnsi="Times New Roman"/>
          <w:sz w:val="22"/>
          <w:szCs w:val="22"/>
          <w:color w:val="1D1D1D"/>
        </w:rPr>
        <w:t>o</w:t>
      </w:r>
      <w:r>
        <w:rPr>
          <w:rFonts w:ascii="Times New Roman" w:cs="Times New Roman" w:eastAsia="Times New Roman" w:hAnsi="Times New Roman"/>
          <w:sz w:val="22"/>
          <w:szCs w:val="22"/>
          <w:color w:val="0D0D0D"/>
        </w:rPr>
        <w:t>mp</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ny's then outst</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nd</w:t>
      </w:r>
      <w:r>
        <w:rPr>
          <w:rFonts w:ascii="Times New Roman" w:cs="Times New Roman" w:eastAsia="Times New Roman" w:hAnsi="Times New Roman"/>
          <w:sz w:val="22"/>
          <w:szCs w:val="22"/>
          <w:color w:val="1D1D1D"/>
        </w:rPr>
        <w:t>i</w:t>
      </w:r>
      <w:r>
        <w:rPr>
          <w:rFonts w:ascii="Times New Roman" w:cs="Times New Roman" w:eastAsia="Times New Roman" w:hAnsi="Times New Roman"/>
          <w:sz w:val="22"/>
          <w:szCs w:val="22"/>
          <w:color w:val="0D0D0D"/>
        </w:rPr>
        <w:t>ng</w:t>
      </w:r>
      <w:r>
        <w:rPr>
          <w:rFonts w:ascii="Times New Roman" w:cs="Times New Roman" w:eastAsia="Times New Roman" w:hAnsi="Times New Roman"/>
          <w:sz w:val="22"/>
          <w:szCs w:val="22"/>
          <w:color w:val="1D1D1D"/>
        </w:rPr>
        <w:t xml:space="preserve"> se</w:t>
      </w:r>
      <w:r>
        <w:rPr>
          <w:rFonts w:ascii="Times New Roman" w:cs="Times New Roman" w:eastAsia="Times New Roman" w:hAnsi="Times New Roman"/>
          <w:sz w:val="22"/>
          <w:szCs w:val="22"/>
          <w:color w:val="0D0D0D"/>
        </w:rPr>
        <w:t>curit</w:t>
      </w:r>
      <w:r>
        <w:rPr>
          <w:rFonts w:ascii="Times New Roman" w:cs="Times New Roman" w:eastAsia="Times New Roman" w:hAnsi="Times New Roman"/>
          <w:sz w:val="22"/>
          <w:szCs w:val="22"/>
          <w:color w:val="1D1D1D"/>
        </w:rPr>
        <w:t>ie</w:t>
      </w:r>
      <w:r>
        <w:rPr>
          <w:rFonts w:ascii="Times New Roman" w:cs="Times New Roman" w:eastAsia="Times New Roman" w:hAnsi="Times New Roman"/>
          <w:sz w:val="22"/>
          <w:szCs w:val="22"/>
          <w:color w:val="0D0D0D"/>
        </w:rPr>
        <w:t>s; or</w:t>
      </w:r>
    </w:p>
    <w:p>
      <w:pPr>
        <w:spacing w:after="0" w:line="192" w:lineRule="exact"/>
        <w:rPr>
          <w:rFonts w:ascii="Times New Roman" w:cs="Times New Roman" w:eastAsia="Times New Roman" w:hAnsi="Times New Roman"/>
          <w:sz w:val="22"/>
          <w:szCs w:val="22"/>
          <w:color w:val="0D0D0D"/>
        </w:rPr>
      </w:pPr>
    </w:p>
    <w:p>
      <w:pPr>
        <w:ind w:left="1380" w:right="60" w:hanging="645"/>
        <w:spacing w:after="0" w:line="236" w:lineRule="auto"/>
        <w:tabs>
          <w:tab w:leader="none" w:pos="1056" w:val="left"/>
        </w:tabs>
        <w:numPr>
          <w:ilvl w:val="0"/>
          <w:numId w:val="90"/>
        </w:numPr>
        <w:rPr>
          <w:rFonts w:ascii="Times New Roman" w:cs="Times New Roman" w:eastAsia="Times New Roman" w:hAnsi="Times New Roman"/>
          <w:sz w:val="22"/>
          <w:szCs w:val="22"/>
          <w:color w:val="0D0D0D"/>
        </w:rPr>
      </w:pPr>
      <w:r>
        <w:rPr>
          <w:rFonts w:ascii="Times New Roman" w:cs="Times New Roman" w:eastAsia="Times New Roman" w:hAnsi="Times New Roman"/>
          <w:sz w:val="22"/>
          <w:szCs w:val="22"/>
          <w:color w:val="0D0D0D"/>
        </w:rPr>
        <w:t>th</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 xml:space="preserve"> approval by the stockholders of th</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 xml:space="preserve"> Company o</w:t>
      </w:r>
      <w:r>
        <w:rPr>
          <w:rFonts w:ascii="Times New Roman" w:cs="Times New Roman" w:eastAsia="Times New Roman" w:hAnsi="Times New Roman"/>
          <w:sz w:val="22"/>
          <w:szCs w:val="22"/>
          <w:color w:val="1D1D1D"/>
        </w:rPr>
        <w:t>f</w:t>
      </w:r>
      <w:r>
        <w:rPr>
          <w:rFonts w:ascii="Times New Roman" w:cs="Times New Roman" w:eastAsia="Times New Roman" w:hAnsi="Times New Roman"/>
          <w:sz w:val="22"/>
          <w:szCs w:val="22"/>
          <w:color w:val="0D0D0D"/>
        </w:rPr>
        <w:t xml:space="preserve"> the comp</w:t>
      </w:r>
      <w:r>
        <w:rPr>
          <w:rFonts w:ascii="Times New Roman" w:cs="Times New Roman" w:eastAsia="Times New Roman" w:hAnsi="Times New Roman"/>
          <w:sz w:val="22"/>
          <w:szCs w:val="22"/>
          <w:color w:val="1D1D1D"/>
        </w:rPr>
        <w:t>le</w:t>
      </w:r>
      <w:r>
        <w:rPr>
          <w:rFonts w:ascii="Times New Roman" w:cs="Times New Roman" w:eastAsia="Times New Roman" w:hAnsi="Times New Roman"/>
          <w:sz w:val="22"/>
          <w:szCs w:val="22"/>
          <w:color w:val="0D0D0D"/>
        </w:rPr>
        <w:t>t</w:t>
      </w:r>
      <w:r>
        <w:rPr>
          <w:rFonts w:ascii="Times New Roman" w:cs="Times New Roman" w:eastAsia="Times New Roman" w:hAnsi="Times New Roman"/>
          <w:sz w:val="22"/>
          <w:szCs w:val="22"/>
          <w:color w:val="1D1D1D"/>
        </w:rPr>
        <w:t>e</w:t>
      </w:r>
      <w:r>
        <w:rPr>
          <w:rFonts w:ascii="Times New Roman" w:cs="Times New Roman" w:eastAsia="Times New Roman" w:hAnsi="Times New Roman"/>
          <w:sz w:val="22"/>
          <w:szCs w:val="22"/>
          <w:color w:val="0D0D0D"/>
        </w:rPr>
        <w:t xml:space="preserve"> liquidation or dissolution of the Company or an </w:t>
      </w:r>
      <w:r>
        <w:rPr>
          <w:rFonts w:ascii="Times New Roman" w:cs="Times New Roman" w:eastAsia="Times New Roman" w:hAnsi="Times New Roman"/>
          <w:sz w:val="22"/>
          <w:szCs w:val="22"/>
          <w:color w:val="1D1D1D"/>
        </w:rPr>
        <w:t>a</w:t>
      </w:r>
      <w:r>
        <w:rPr>
          <w:rFonts w:ascii="Times New Roman" w:cs="Times New Roman" w:eastAsia="Times New Roman" w:hAnsi="Times New Roman"/>
          <w:sz w:val="22"/>
          <w:szCs w:val="22"/>
          <w:color w:val="0D0D0D"/>
        </w:rPr>
        <w:t>greem</w:t>
      </w:r>
      <w:r>
        <w:rPr>
          <w:rFonts w:ascii="Times New Roman" w:cs="Times New Roman" w:eastAsia="Times New Roman" w:hAnsi="Times New Roman"/>
          <w:sz w:val="22"/>
          <w:szCs w:val="22"/>
          <w:color w:val="1D1D1D"/>
        </w:rPr>
        <w:t xml:space="preserve">ent </w:t>
      </w:r>
      <w:r>
        <w:rPr>
          <w:rFonts w:ascii="Times New Roman" w:cs="Times New Roman" w:eastAsia="Times New Roman" w:hAnsi="Times New Roman"/>
          <w:sz w:val="22"/>
          <w:szCs w:val="22"/>
          <w:color w:val="0D0D0D"/>
        </w:rPr>
        <w:t>fo</w:t>
      </w:r>
      <w:r>
        <w:rPr>
          <w:rFonts w:ascii="Times New Roman" w:cs="Times New Roman" w:eastAsia="Times New Roman" w:hAnsi="Times New Roman"/>
          <w:sz w:val="22"/>
          <w:szCs w:val="22"/>
          <w:color w:val="1D1D1D"/>
        </w:rPr>
        <w:t xml:space="preserve">r </w:t>
      </w:r>
      <w:r>
        <w:rPr>
          <w:rFonts w:ascii="Times New Roman" w:cs="Times New Roman" w:eastAsia="Times New Roman" w:hAnsi="Times New Roman"/>
          <w:sz w:val="22"/>
          <w:szCs w:val="22"/>
          <w:color w:val="0D0D0D"/>
        </w:rPr>
        <w:t>the sale of all or substantially all of the Company's assets.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0D0D0D"/>
        </w:rPr>
        <w:t xml:space="preserve">2.7 </w:t>
      </w:r>
      <w:r>
        <w:rPr>
          <w:rFonts w:ascii="Times New Roman" w:cs="Times New Roman" w:eastAsia="Times New Roman" w:hAnsi="Times New Roman"/>
          <w:sz w:val="21"/>
          <w:szCs w:val="21"/>
          <w:color w:val="0D0D0D"/>
        </w:rPr>
        <w:t>"Code" means the Internal Revenue Code of 1986, as now or hereafter amended and in effect.</w:t>
      </w:r>
    </w:p>
    <w:p>
      <w:pPr>
        <w:spacing w:after="0" w:line="258" w:lineRule="exact"/>
        <w:rPr>
          <w:sz w:val="20"/>
          <w:szCs w:val="20"/>
          <w:color w:val="auto"/>
        </w:rPr>
      </w:pPr>
    </w:p>
    <w:p>
      <w:pPr>
        <w:ind w:left="80" w:right="100" w:firstLine="639"/>
        <w:spacing w:after="0" w:line="255" w:lineRule="auto"/>
        <w:rPr>
          <w:sz w:val="20"/>
          <w:szCs w:val="20"/>
          <w:color w:val="auto"/>
        </w:rPr>
      </w:pPr>
      <w:r>
        <w:rPr>
          <w:rFonts w:ascii="Times New Roman" w:cs="Times New Roman" w:eastAsia="Times New Roman" w:hAnsi="Times New Roman"/>
          <w:sz w:val="20"/>
          <w:szCs w:val="20"/>
          <w:b w:val="1"/>
          <w:bCs w:val="1"/>
          <w:color w:val="0D0D0D"/>
        </w:rPr>
        <w:t xml:space="preserve">2.8 </w:t>
      </w:r>
      <w:r>
        <w:rPr>
          <w:rFonts w:ascii="Times New Roman" w:cs="Times New Roman" w:eastAsia="Times New Roman" w:hAnsi="Times New Roman"/>
          <w:sz w:val="21"/>
          <w:szCs w:val="21"/>
          <w:color w:val="0D0D0D"/>
        </w:rPr>
        <w:t>"Company" means Itron, Inc. and any other corporation or other entity that is aggregated with Itron, Inc. under Code</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1"/>
          <w:szCs w:val="21"/>
          <w:color w:val="0D0D0D"/>
        </w:rPr>
        <w:t>Section 414(b) or (c) to which the Board, in its sole discretion, may from time to time extend the Plan.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0D0D0D"/>
        </w:rPr>
        <w:t xml:space="preserve">2.9 </w:t>
      </w:r>
      <w:r>
        <w:rPr>
          <w:rFonts w:ascii="Times New Roman" w:cs="Times New Roman" w:eastAsia="Times New Roman" w:hAnsi="Times New Roman"/>
          <w:sz w:val="21"/>
          <w:szCs w:val="21"/>
          <w:color w:val="0D0D0D"/>
        </w:rPr>
        <w:t>"Compensation Committee" means the Compensation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0"/>
          <w:szCs w:val="20"/>
          <w:color w:val="auto"/>
        </w:rPr>
      </w:pPr>
    </w:p>
    <w:p>
      <w:pPr>
        <w:spacing w:after="0"/>
        <w:tabs>
          <w:tab w:leader="none" w:pos="1070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7"/>
          <w:szCs w:val="17"/>
          <w:color w:val="151515"/>
        </w:rPr>
        <w:t>Page 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200"/>
          </w:cols>
          <w:pgMar w:left="340" w:top="1440" w:right="359" w:bottom="1440" w:gutter="0" w:footer="0" w:header="0"/>
        </w:sectPr>
      </w:pPr>
    </w:p>
    <w:bookmarkStart w:id="165" w:name="page166"/>
    <w:bookmarkEnd w:id="165"/>
    <w:p>
      <w:pPr>
        <w:spacing w:after="0" w:line="50" w:lineRule="exact"/>
        <w:rPr>
          <w:sz w:val="20"/>
          <w:szCs w:val="20"/>
          <w:color w:val="auto"/>
        </w:rPr>
      </w:pPr>
    </w:p>
    <w:p>
      <w:pPr>
        <w:jc w:val="both"/>
        <w:ind w:left="140" w:right="60" w:firstLine="643"/>
        <w:spacing w:after="0" w:line="277" w:lineRule="auto"/>
        <w:rPr>
          <w:sz w:val="20"/>
          <w:szCs w:val="20"/>
          <w:color w:val="auto"/>
        </w:rPr>
      </w:pPr>
      <w:r>
        <w:rPr>
          <w:rFonts w:ascii="Times New Roman" w:cs="Times New Roman" w:eastAsia="Times New Roman" w:hAnsi="Times New Roman"/>
          <w:sz w:val="20"/>
          <w:szCs w:val="20"/>
          <w:b w:val="1"/>
          <w:bCs w:val="1"/>
          <w:color w:val="070707"/>
        </w:rPr>
        <w:t xml:space="preserve">2.10 </w:t>
      </w:r>
      <w:r>
        <w:rPr>
          <w:rFonts w:ascii="Times New Roman" w:cs="Times New Roman" w:eastAsia="Times New Roman" w:hAnsi="Times New Roman"/>
          <w:sz w:val="20"/>
          <w:szCs w:val="20"/>
          <w:color w:val="070707"/>
        </w:rPr>
        <w:t>"Deferral Agreement" means the election form(s) promulgated by the Administrato</w:t>
      </w:r>
      <w:r>
        <w:rPr>
          <w:rFonts w:ascii="Times New Roman" w:cs="Times New Roman" w:eastAsia="Times New Roman" w:hAnsi="Times New Roman"/>
          <w:sz w:val="20"/>
          <w:szCs w:val="20"/>
          <w:color w:val="151515"/>
        </w:rPr>
        <w:t>r</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and executed by the Participant</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authorizing the deferral of Salary, Bonus, Restricted Stock Units and/or Directors Fees and consenting to the terms and conditions of the Plan, the same as if the Participant were a signatory her</w:t>
      </w:r>
      <w:r>
        <w:rPr>
          <w:rFonts w:ascii="Times New Roman" w:cs="Times New Roman" w:eastAsia="Times New Roman" w:hAnsi="Times New Roman"/>
          <w:sz w:val="20"/>
          <w:szCs w:val="20"/>
          <w:color w:val="151515"/>
        </w:rPr>
        <w:t>e</w:t>
      </w:r>
      <w:r>
        <w:rPr>
          <w:rFonts w:ascii="Times New Roman" w:cs="Times New Roman" w:eastAsia="Times New Roman" w:hAnsi="Times New Roman"/>
          <w:sz w:val="20"/>
          <w:szCs w:val="20"/>
          <w:color w:val="070707"/>
        </w:rPr>
        <w:t>to.</w:t>
      </w:r>
    </w:p>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color w:val="070707"/>
        </w:rPr>
        <w:t xml:space="preserve">2.11 </w:t>
      </w:r>
      <w:r>
        <w:rPr>
          <w:rFonts w:ascii="Times New Roman" w:cs="Times New Roman" w:eastAsia="Times New Roman" w:hAnsi="Times New Roman"/>
          <w:sz w:val="20"/>
          <w:szCs w:val="20"/>
          <w:color w:val="070707"/>
        </w:rPr>
        <w:t>"Director" means</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a</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non-employee member o</w:t>
      </w:r>
      <w:r>
        <w:rPr>
          <w:rFonts w:ascii="Times New Roman" w:cs="Times New Roman" w:eastAsia="Times New Roman" w:hAnsi="Times New Roman"/>
          <w:sz w:val="20"/>
          <w:szCs w:val="20"/>
          <w:color w:val="151515"/>
        </w:rPr>
        <w:t>f</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51515"/>
        </w:rPr>
        <w:t>h</w:t>
      </w:r>
      <w:r>
        <w:rPr>
          <w:rFonts w:ascii="Times New Roman" w:cs="Times New Roman" w:eastAsia="Times New Roman" w:hAnsi="Times New Roman"/>
          <w:sz w:val="20"/>
          <w:szCs w:val="20"/>
          <w:color w:val="070707"/>
        </w:rPr>
        <w:t>e Bo</w:t>
      </w:r>
      <w:r>
        <w:rPr>
          <w:rFonts w:ascii="Times New Roman" w:cs="Times New Roman" w:eastAsia="Times New Roman" w:hAnsi="Times New Roman"/>
          <w:sz w:val="20"/>
          <w:szCs w:val="20"/>
          <w:color w:val="151515"/>
        </w:rPr>
        <w:t>ar</w:t>
      </w:r>
      <w:r>
        <w:rPr>
          <w:rFonts w:ascii="Times New Roman" w:cs="Times New Roman" w:eastAsia="Times New Roman" w:hAnsi="Times New Roman"/>
          <w:sz w:val="20"/>
          <w:szCs w:val="20"/>
          <w:color w:val="070707"/>
        </w:rPr>
        <w:t>d.</w:t>
      </w:r>
    </w:p>
    <w:p>
      <w:pPr>
        <w:spacing w:after="0" w:line="216" w:lineRule="exact"/>
        <w:rPr>
          <w:sz w:val="20"/>
          <w:szCs w:val="20"/>
          <w:color w:val="auto"/>
        </w:rPr>
      </w:pPr>
    </w:p>
    <w:p>
      <w:pPr>
        <w:ind w:left="140" w:right="4740" w:firstLine="639"/>
        <w:spacing w:after="0" w:line="259" w:lineRule="auto"/>
        <w:rPr>
          <w:sz w:val="20"/>
          <w:szCs w:val="20"/>
          <w:color w:val="auto"/>
        </w:rPr>
      </w:pPr>
      <w:r>
        <w:rPr>
          <w:rFonts w:ascii="Times New Roman" w:cs="Times New Roman" w:eastAsia="Times New Roman" w:hAnsi="Times New Roman"/>
          <w:sz w:val="20"/>
          <w:szCs w:val="20"/>
          <w:b w:val="1"/>
          <w:bCs w:val="1"/>
          <w:color w:val="070707"/>
        </w:rPr>
        <w:t xml:space="preserve">2.12 </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51515"/>
        </w:rPr>
        <w:t>ir</w:t>
      </w:r>
      <w:r>
        <w:rPr>
          <w:rFonts w:ascii="Times New Roman" w:cs="Times New Roman" w:eastAsia="Times New Roman" w:hAnsi="Times New Roman"/>
          <w:sz w:val="20"/>
          <w:szCs w:val="20"/>
          <w:color w:val="070707"/>
        </w:rPr>
        <w:t>ec</w:t>
      </w:r>
      <w:r>
        <w:rPr>
          <w:rFonts w:ascii="Times New Roman" w:cs="Times New Roman" w:eastAsia="Times New Roman" w:hAnsi="Times New Roman"/>
          <w:sz w:val="20"/>
          <w:szCs w:val="20"/>
          <w:color w:val="151515"/>
        </w:rPr>
        <w:t>t</w:t>
      </w:r>
      <w:r>
        <w:rPr>
          <w:rFonts w:ascii="Times New Roman" w:cs="Times New Roman" w:eastAsia="Times New Roman" w:hAnsi="Times New Roman"/>
          <w:sz w:val="20"/>
          <w:szCs w:val="20"/>
          <w:color w:val="070707"/>
        </w:rPr>
        <w:t>o</w:t>
      </w:r>
      <w:r>
        <w:rPr>
          <w:rFonts w:ascii="Times New Roman" w:cs="Times New Roman" w:eastAsia="Times New Roman" w:hAnsi="Times New Roman"/>
          <w:sz w:val="20"/>
          <w:szCs w:val="20"/>
          <w:color w:val="151515"/>
        </w:rPr>
        <w:t>r</w:t>
      </w:r>
      <w:r>
        <w:rPr>
          <w:rFonts w:ascii="Times New Roman" w:cs="Times New Roman" w:eastAsia="Times New Roman" w:hAnsi="Times New Roman"/>
          <w:sz w:val="20"/>
          <w:szCs w:val="20"/>
          <w:color w:val="070707"/>
        </w:rPr>
        <w:t>s</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Fee</w:t>
      </w:r>
      <w:r>
        <w:rPr>
          <w:rFonts w:ascii="Times New Roman" w:cs="Times New Roman" w:eastAsia="Times New Roman" w:hAnsi="Times New Roman"/>
          <w:sz w:val="20"/>
          <w:szCs w:val="20"/>
          <w:color w:val="070707"/>
        </w:rPr>
        <w:t>s" me</w:t>
      </w:r>
      <w:r>
        <w:rPr>
          <w:rFonts w:ascii="Times New Roman" w:cs="Times New Roman" w:eastAsia="Times New Roman" w:hAnsi="Times New Roman"/>
          <w:sz w:val="20"/>
          <w:szCs w:val="20"/>
          <w:color w:val="151515"/>
        </w:rPr>
        <w:t>a</w:t>
      </w:r>
      <w:r>
        <w:rPr>
          <w:rFonts w:ascii="Times New Roman" w:cs="Times New Roman" w:eastAsia="Times New Roman" w:hAnsi="Times New Roman"/>
          <w:sz w:val="20"/>
          <w:szCs w:val="20"/>
          <w:color w:val="070707"/>
        </w:rPr>
        <w:t>n the</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a</w:t>
      </w:r>
      <w:r>
        <w:rPr>
          <w:rFonts w:ascii="Times New Roman" w:cs="Times New Roman" w:eastAsia="Times New Roman" w:hAnsi="Times New Roman"/>
          <w:sz w:val="20"/>
          <w:szCs w:val="20"/>
          <w:color w:val="070707"/>
        </w:rPr>
        <w:t>nnu</w:t>
      </w:r>
      <w:r>
        <w:rPr>
          <w:rFonts w:ascii="Times New Roman" w:cs="Times New Roman" w:eastAsia="Times New Roman" w:hAnsi="Times New Roman"/>
          <w:sz w:val="20"/>
          <w:szCs w:val="20"/>
          <w:color w:val="151515"/>
        </w:rPr>
        <w:t>a</w:t>
      </w:r>
      <w:r>
        <w:rPr>
          <w:rFonts w:ascii="Times New Roman" w:cs="Times New Roman" w:eastAsia="Times New Roman" w:hAnsi="Times New Roman"/>
          <w:sz w:val="20"/>
          <w:szCs w:val="20"/>
          <w:color w:val="070707"/>
        </w:rPr>
        <w:t>l re</w:t>
      </w:r>
      <w:r>
        <w:rPr>
          <w:rFonts w:ascii="Times New Roman" w:cs="Times New Roman" w:eastAsia="Times New Roman" w:hAnsi="Times New Roman"/>
          <w:sz w:val="20"/>
          <w:szCs w:val="20"/>
          <w:color w:val="151515"/>
        </w:rPr>
        <w:t>ta</w:t>
      </w:r>
      <w:r>
        <w:rPr>
          <w:rFonts w:ascii="Times New Roman" w:cs="Times New Roman" w:eastAsia="Times New Roman" w:hAnsi="Times New Roman"/>
          <w:sz w:val="20"/>
          <w:szCs w:val="20"/>
          <w:color w:val="070707"/>
        </w:rPr>
        <w:t>iner and meeting fees paid to</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Di</w:t>
      </w:r>
      <w:r>
        <w:rPr>
          <w:rFonts w:ascii="Times New Roman" w:cs="Times New Roman" w:eastAsia="Times New Roman" w:hAnsi="Times New Roman"/>
          <w:sz w:val="20"/>
          <w:szCs w:val="20"/>
          <w:color w:val="151515"/>
        </w:rPr>
        <w:t>re</w:t>
      </w:r>
      <w:r>
        <w:rPr>
          <w:rFonts w:ascii="Times New Roman" w:cs="Times New Roman" w:eastAsia="Times New Roman" w:hAnsi="Times New Roman"/>
          <w:sz w:val="20"/>
          <w:szCs w:val="20"/>
          <w:color w:val="070707"/>
        </w:rPr>
        <w:t>cto</w:t>
      </w:r>
      <w:r>
        <w:rPr>
          <w:rFonts w:ascii="Times New Roman" w:cs="Times New Roman" w:eastAsia="Times New Roman" w:hAnsi="Times New Roman"/>
          <w:sz w:val="20"/>
          <w:szCs w:val="20"/>
          <w:color w:val="151515"/>
        </w:rPr>
        <w:t>r</w:t>
      </w:r>
      <w:r>
        <w:rPr>
          <w:rFonts w:ascii="Times New Roman" w:cs="Times New Roman" w:eastAsia="Times New Roman" w:hAnsi="Times New Roman"/>
          <w:sz w:val="20"/>
          <w:szCs w:val="20"/>
          <w:color w:val="070707"/>
        </w:rPr>
        <w:t>s</w:t>
      </w:r>
      <w:r>
        <w:rPr>
          <w:rFonts w:ascii="Times New Roman" w:cs="Times New Roman" w:eastAsia="Times New Roman" w:hAnsi="Times New Roman"/>
          <w:sz w:val="20"/>
          <w:szCs w:val="20"/>
          <w:color w:val="151515"/>
        </w:rPr>
        <w:t>.</w:t>
      </w:r>
    </w:p>
    <w:p>
      <w:pPr>
        <w:spacing w:after="0" w:line="16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color w:val="070707"/>
        </w:rPr>
        <w:t xml:space="preserve">2.13 </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51515"/>
        </w:rPr>
        <w:t>E</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51515"/>
        </w:rPr>
        <w:t>igi</w:t>
      </w:r>
      <w:r>
        <w:rPr>
          <w:rFonts w:ascii="Times New Roman" w:cs="Times New Roman" w:eastAsia="Times New Roman" w:hAnsi="Times New Roman"/>
          <w:sz w:val="20"/>
          <w:szCs w:val="20"/>
          <w:color w:val="070707"/>
        </w:rPr>
        <w:t>bl</w:t>
      </w:r>
      <w:r>
        <w:rPr>
          <w:rFonts w:ascii="Times New Roman" w:cs="Times New Roman" w:eastAsia="Times New Roman" w:hAnsi="Times New Roman"/>
          <w:sz w:val="20"/>
          <w:szCs w:val="20"/>
          <w:color w:val="151515"/>
        </w:rPr>
        <w:t>e Dire</w:t>
      </w:r>
      <w:r>
        <w:rPr>
          <w:rFonts w:ascii="Times New Roman" w:cs="Times New Roman" w:eastAsia="Times New Roman" w:hAnsi="Times New Roman"/>
          <w:sz w:val="20"/>
          <w:szCs w:val="20"/>
          <w:color w:val="070707"/>
        </w:rPr>
        <w:t>c</w:t>
      </w:r>
      <w:r>
        <w:rPr>
          <w:rFonts w:ascii="Times New Roman" w:cs="Times New Roman" w:eastAsia="Times New Roman" w:hAnsi="Times New Roman"/>
          <w:sz w:val="20"/>
          <w:szCs w:val="20"/>
          <w:color w:val="151515"/>
        </w:rPr>
        <w:t>t</w:t>
      </w:r>
      <w:r>
        <w:rPr>
          <w:rFonts w:ascii="Times New Roman" w:cs="Times New Roman" w:eastAsia="Times New Roman" w:hAnsi="Times New Roman"/>
          <w:sz w:val="20"/>
          <w:szCs w:val="20"/>
          <w:color w:val="070707"/>
        </w:rPr>
        <w:t>or" m</w:t>
      </w:r>
      <w:r>
        <w:rPr>
          <w:rFonts w:ascii="Times New Roman" w:cs="Times New Roman" w:eastAsia="Times New Roman" w:hAnsi="Times New Roman"/>
          <w:sz w:val="20"/>
          <w:szCs w:val="20"/>
          <w:color w:val="151515"/>
        </w:rPr>
        <w:t>ea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s a</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Dir</w:t>
      </w:r>
      <w:r>
        <w:rPr>
          <w:rFonts w:ascii="Times New Roman" w:cs="Times New Roman" w:eastAsia="Times New Roman" w:hAnsi="Times New Roman"/>
          <w:sz w:val="20"/>
          <w:szCs w:val="20"/>
          <w:color w:val="151515"/>
        </w:rPr>
        <w:t>e</w:t>
      </w:r>
      <w:r>
        <w:rPr>
          <w:rFonts w:ascii="Times New Roman" w:cs="Times New Roman" w:eastAsia="Times New Roman" w:hAnsi="Times New Roman"/>
          <w:sz w:val="20"/>
          <w:szCs w:val="20"/>
          <w:color w:val="070707"/>
        </w:rPr>
        <w:t>ct</w:t>
      </w:r>
      <w:r>
        <w:rPr>
          <w:rFonts w:ascii="Times New Roman" w:cs="Times New Roman" w:eastAsia="Times New Roman" w:hAnsi="Times New Roman"/>
          <w:sz w:val="20"/>
          <w:szCs w:val="20"/>
          <w:color w:val="151515"/>
        </w:rPr>
        <w:t>or</w:t>
      </w:r>
      <w:r>
        <w:rPr>
          <w:rFonts w:ascii="Times New Roman" w:cs="Times New Roman" w:eastAsia="Times New Roman" w:hAnsi="Times New Roman"/>
          <w:sz w:val="20"/>
          <w:szCs w:val="20"/>
          <w:color w:val="070707"/>
        </w:rPr>
        <w:t>.</w:t>
      </w: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070707"/>
        </w:rPr>
        <w:t xml:space="preserve">2.14 </w:t>
      </w:r>
      <w:r>
        <w:rPr>
          <w:rFonts w:ascii="Times New Roman" w:cs="Times New Roman" w:eastAsia="Times New Roman" w:hAnsi="Times New Roman"/>
          <w:sz w:val="20"/>
          <w:szCs w:val="20"/>
          <w:color w:val="151515"/>
        </w:rPr>
        <w:t>"E</w:t>
      </w:r>
      <w:r>
        <w:rPr>
          <w:rFonts w:ascii="Times New Roman" w:cs="Times New Roman" w:eastAsia="Times New Roman" w:hAnsi="Times New Roman"/>
          <w:sz w:val="20"/>
          <w:szCs w:val="20"/>
          <w:color w:val="070707"/>
        </w:rPr>
        <w:t>li</w:t>
      </w:r>
      <w:r>
        <w:rPr>
          <w:rFonts w:ascii="Times New Roman" w:cs="Times New Roman" w:eastAsia="Times New Roman" w:hAnsi="Times New Roman"/>
          <w:sz w:val="20"/>
          <w:szCs w:val="20"/>
          <w:color w:val="151515"/>
        </w:rPr>
        <w:t>gi</w:t>
      </w:r>
      <w:r>
        <w:rPr>
          <w:rFonts w:ascii="Times New Roman" w:cs="Times New Roman" w:eastAsia="Times New Roman" w:hAnsi="Times New Roman"/>
          <w:sz w:val="20"/>
          <w:szCs w:val="20"/>
          <w:color w:val="070707"/>
        </w:rPr>
        <w:t>bl</w:t>
      </w:r>
      <w:r>
        <w:rPr>
          <w:rFonts w:ascii="Times New Roman" w:cs="Times New Roman" w:eastAsia="Times New Roman" w:hAnsi="Times New Roman"/>
          <w:sz w:val="20"/>
          <w:szCs w:val="20"/>
          <w:color w:val="151515"/>
        </w:rPr>
        <w:t>e Emp</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51515"/>
        </w:rPr>
        <w:t>o</w:t>
      </w:r>
      <w:r>
        <w:rPr>
          <w:rFonts w:ascii="Times New Roman" w:cs="Times New Roman" w:eastAsia="Times New Roman" w:hAnsi="Times New Roman"/>
          <w:sz w:val="20"/>
          <w:szCs w:val="20"/>
          <w:color w:val="070707"/>
        </w:rPr>
        <w:t>y</w:t>
      </w:r>
      <w:r>
        <w:rPr>
          <w:rFonts w:ascii="Times New Roman" w:cs="Times New Roman" w:eastAsia="Times New Roman" w:hAnsi="Times New Roman"/>
          <w:sz w:val="20"/>
          <w:szCs w:val="20"/>
          <w:color w:val="151515"/>
        </w:rPr>
        <w:t>ee</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means 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e</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51515"/>
        </w:rPr>
        <w:t>plo</w:t>
      </w:r>
      <w:r>
        <w:rPr>
          <w:rFonts w:ascii="Times New Roman" w:cs="Times New Roman" w:eastAsia="Times New Roman" w:hAnsi="Times New Roman"/>
          <w:sz w:val="20"/>
          <w:szCs w:val="20"/>
          <w:color w:val="070707"/>
        </w:rPr>
        <w:t>y</w:t>
      </w:r>
      <w:r>
        <w:rPr>
          <w:rFonts w:ascii="Times New Roman" w:cs="Times New Roman" w:eastAsia="Times New Roman" w:hAnsi="Times New Roman"/>
          <w:sz w:val="20"/>
          <w:szCs w:val="20"/>
          <w:color w:val="151515"/>
        </w:rPr>
        <w:t>ee of</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th</w:t>
      </w:r>
      <w:r>
        <w:rPr>
          <w:rFonts w:ascii="Times New Roman" w:cs="Times New Roman" w:eastAsia="Times New Roman" w:hAnsi="Times New Roman"/>
          <w:sz w:val="20"/>
          <w:szCs w:val="20"/>
          <w:color w:val="151515"/>
        </w:rPr>
        <w:t>e Co</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51515"/>
        </w:rPr>
        <w:t>pa</w:t>
      </w:r>
      <w:r>
        <w:rPr>
          <w:rFonts w:ascii="Times New Roman" w:cs="Times New Roman" w:eastAsia="Times New Roman" w:hAnsi="Times New Roman"/>
          <w:sz w:val="20"/>
          <w:szCs w:val="20"/>
          <w:color w:val="070707"/>
        </w:rPr>
        <w:t>ny</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w</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51515"/>
        </w:rPr>
        <w:t>o</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51515"/>
        </w:rPr>
        <w:t>ee</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51515"/>
        </w:rPr>
        <w:t>s</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th</w:t>
      </w:r>
      <w:r>
        <w:rPr>
          <w:rFonts w:ascii="Times New Roman" w:cs="Times New Roman" w:eastAsia="Times New Roman" w:hAnsi="Times New Roman"/>
          <w:sz w:val="20"/>
          <w:szCs w:val="20"/>
          <w:color w:val="151515"/>
        </w:rPr>
        <w:t>e eligibi</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51515"/>
        </w:rPr>
        <w:t>ity re</w:t>
      </w:r>
      <w:r>
        <w:rPr>
          <w:rFonts w:ascii="Times New Roman" w:cs="Times New Roman" w:eastAsia="Times New Roman" w:hAnsi="Times New Roman"/>
          <w:sz w:val="20"/>
          <w:szCs w:val="20"/>
          <w:color w:val="070707"/>
        </w:rPr>
        <w:t>q</w:t>
      </w:r>
      <w:r>
        <w:rPr>
          <w:rFonts w:ascii="Times New Roman" w:cs="Times New Roman" w:eastAsia="Times New Roman" w:hAnsi="Times New Roman"/>
          <w:sz w:val="20"/>
          <w:szCs w:val="20"/>
          <w:color w:val="151515"/>
        </w:rPr>
        <w:t>uiremen</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51515"/>
        </w:rPr>
        <w:t>s set forth in Article III</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51515"/>
        </w:rPr>
        <w:t>e</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51515"/>
        </w:rPr>
        <w:t>ow.</w:t>
      </w:r>
    </w:p>
    <w:p>
      <w:pPr>
        <w:spacing w:after="0" w:line="237" w:lineRule="exact"/>
        <w:rPr>
          <w:sz w:val="20"/>
          <w:szCs w:val="20"/>
          <w:color w:val="auto"/>
        </w:rPr>
      </w:pPr>
    </w:p>
    <w:p>
      <w:pPr>
        <w:jc w:val="both"/>
        <w:ind w:left="120" w:right="60" w:firstLine="639"/>
        <w:spacing w:after="0" w:line="301" w:lineRule="auto"/>
        <w:rPr>
          <w:sz w:val="20"/>
          <w:szCs w:val="20"/>
          <w:color w:val="auto"/>
        </w:rPr>
      </w:pPr>
      <w:r>
        <w:rPr>
          <w:rFonts w:ascii="Times New Roman" w:cs="Times New Roman" w:eastAsia="Times New Roman" w:hAnsi="Times New Roman"/>
          <w:sz w:val="20"/>
          <w:szCs w:val="20"/>
          <w:b w:val="1"/>
          <w:bCs w:val="1"/>
          <w:color w:val="070707"/>
        </w:rPr>
        <w:t xml:space="preserve">2.15 </w:t>
      </w:r>
      <w:r>
        <w:rPr>
          <w:rFonts w:ascii="Times New Roman" w:cs="Times New Roman" w:eastAsia="Times New Roman" w:hAnsi="Times New Roman"/>
          <w:sz w:val="20"/>
          <w:szCs w:val="20"/>
          <w:color w:val="151515"/>
        </w:rPr>
        <w:t>"Hostile C</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51515"/>
        </w:rPr>
        <w:t>ange of Control</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means an event or occ</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51515"/>
        </w:rPr>
        <w:t>rre</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ce desc</w:t>
      </w:r>
      <w:r>
        <w:rPr>
          <w:rFonts w:ascii="Times New Roman" w:cs="Times New Roman" w:eastAsia="Times New Roman" w:hAnsi="Times New Roman"/>
          <w:sz w:val="20"/>
          <w:szCs w:val="20"/>
          <w:color w:val="070707"/>
        </w:rPr>
        <w:t>ri</w:t>
      </w:r>
      <w:r>
        <w:rPr>
          <w:rFonts w:ascii="Times New Roman" w:cs="Times New Roman" w:eastAsia="Times New Roman" w:hAnsi="Times New Roman"/>
          <w:sz w:val="20"/>
          <w:szCs w:val="20"/>
          <w:color w:val="151515"/>
        </w:rPr>
        <w:t>be</w:t>
      </w:r>
      <w:r>
        <w:rPr>
          <w:rFonts w:ascii="Times New Roman" w:cs="Times New Roman" w:eastAsia="Times New Roman" w:hAnsi="Times New Roman"/>
          <w:sz w:val="20"/>
          <w:szCs w:val="20"/>
          <w:color w:val="070707"/>
        </w:rPr>
        <w:t>d in</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Section 2.6(a), (c) or (d) above that occurs withou</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the prior recomme</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dation, approva</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51515"/>
        </w:rPr>
        <w:t xml:space="preserve"> or consent of the Board or an event or occurrence described in Sectio</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 xml:space="preserve"> 2</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51515"/>
        </w:rPr>
        <w:t>6(b) above</w:t>
      </w:r>
      <w:r>
        <w:rPr>
          <w:rFonts w:ascii="Times New Roman" w:cs="Times New Roman" w:eastAsia="Times New Roman" w:hAnsi="Times New Roman"/>
          <w:sz w:val="20"/>
          <w:szCs w:val="20"/>
          <w:color w:val="070707"/>
        </w:rPr>
        <w:t>.</w:t>
      </w:r>
    </w:p>
    <w:p>
      <w:pPr>
        <w:spacing w:after="0" w:line="179" w:lineRule="exact"/>
        <w:rPr>
          <w:sz w:val="20"/>
          <w:szCs w:val="20"/>
          <w:color w:val="auto"/>
        </w:rPr>
      </w:pPr>
    </w:p>
    <w:p>
      <w:pPr>
        <w:jc w:val="both"/>
        <w:ind w:left="120" w:right="40" w:firstLine="639"/>
        <w:spacing w:after="0" w:line="301" w:lineRule="auto"/>
        <w:rPr>
          <w:sz w:val="20"/>
          <w:szCs w:val="20"/>
          <w:color w:val="auto"/>
        </w:rPr>
      </w:pPr>
      <w:r>
        <w:rPr>
          <w:rFonts w:ascii="Times New Roman" w:cs="Times New Roman" w:eastAsia="Times New Roman" w:hAnsi="Times New Roman"/>
          <w:sz w:val="20"/>
          <w:szCs w:val="20"/>
          <w:b w:val="1"/>
          <w:bCs w:val="1"/>
          <w:color w:val="070707"/>
        </w:rPr>
        <w:t>2</w:t>
      </w:r>
      <w:r>
        <w:rPr>
          <w:rFonts w:ascii="Times New Roman" w:cs="Times New Roman" w:eastAsia="Times New Roman" w:hAnsi="Times New Roman"/>
          <w:sz w:val="20"/>
          <w:szCs w:val="20"/>
          <w:b w:val="1"/>
          <w:bCs w:val="1"/>
          <w:color w:val="151515"/>
        </w:rPr>
        <w:t>.</w:t>
      </w:r>
      <w:r>
        <w:rPr>
          <w:rFonts w:ascii="Times New Roman" w:cs="Times New Roman" w:eastAsia="Times New Roman" w:hAnsi="Times New Roman"/>
          <w:sz w:val="20"/>
          <w:szCs w:val="20"/>
          <w:b w:val="1"/>
          <w:bCs w:val="1"/>
          <w:color w:val="070707"/>
        </w:rPr>
        <w:t xml:space="preserve">16 </w:t>
      </w:r>
      <w:r>
        <w:rPr>
          <w:rFonts w:ascii="Times New Roman" w:cs="Times New Roman" w:eastAsia="Times New Roman" w:hAnsi="Times New Roman"/>
          <w:sz w:val="20"/>
          <w:szCs w:val="20"/>
          <w:color w:val="151515"/>
        </w:rPr>
        <w:t>"Measu</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51515"/>
        </w:rPr>
        <w:t>eme</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t Fund"</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51515"/>
        </w:rPr>
        <w:t>eans a pha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tom investmen</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fund designated</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51515"/>
        </w:rPr>
        <w:t>y 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51515"/>
        </w:rPr>
        <w:t>e Administra</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51515"/>
        </w:rPr>
        <w:t>or to serve as a measurement</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51515"/>
        </w:rPr>
        <w:t>evi</w:t>
      </w:r>
      <w:r>
        <w:rPr>
          <w:rFonts w:ascii="Times New Roman" w:cs="Times New Roman" w:eastAsia="Times New Roman" w:hAnsi="Times New Roman"/>
          <w:sz w:val="20"/>
          <w:szCs w:val="20"/>
          <w:color w:val="070707"/>
        </w:rPr>
        <w:t>c</w:t>
      </w:r>
      <w:r>
        <w:rPr>
          <w:rFonts w:ascii="Times New Roman" w:cs="Times New Roman" w:eastAsia="Times New Roman" w:hAnsi="Times New Roman"/>
          <w:sz w:val="20"/>
          <w:szCs w:val="20"/>
          <w:color w:val="151515"/>
        </w:rPr>
        <w:t>e</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for purposes of va</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51515"/>
        </w:rPr>
        <w:t>uing the port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51515"/>
        </w:rPr>
        <w:t>on, if any, of a Part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51515"/>
        </w:rPr>
        <w:t>c</w:t>
      </w:r>
      <w:r>
        <w:rPr>
          <w:rFonts w:ascii="Times New Roman" w:cs="Times New Roman" w:eastAsia="Times New Roman" w:hAnsi="Times New Roman"/>
          <w:sz w:val="20"/>
          <w:szCs w:val="20"/>
          <w:color w:val="070707"/>
        </w:rPr>
        <w:t>ip</w:t>
      </w:r>
      <w:r>
        <w:rPr>
          <w:rFonts w:ascii="Times New Roman" w:cs="Times New Roman" w:eastAsia="Times New Roman" w:hAnsi="Times New Roman"/>
          <w:sz w:val="20"/>
          <w:szCs w:val="20"/>
          <w:color w:val="151515"/>
        </w:rPr>
        <w:t>ant's Accoun</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51515"/>
        </w:rPr>
        <w:t xml:space="preserve"> alloca</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51515"/>
        </w:rPr>
        <w:t xml:space="preserve">ed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51515"/>
        </w:rPr>
        <w:t>o suc</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51515"/>
        </w:rPr>
        <w:t xml:space="preserve"> p</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51515"/>
        </w:rPr>
        <w:t>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to</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51515"/>
        </w:rPr>
        <w:t xml:space="preserve"> i</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v</w:t>
      </w:r>
      <w:r>
        <w:rPr>
          <w:rFonts w:ascii="Times New Roman" w:cs="Times New Roman" w:eastAsia="Times New Roman" w:hAnsi="Times New Roman"/>
          <w:sz w:val="20"/>
          <w:szCs w:val="20"/>
          <w:color w:val="070707"/>
        </w:rPr>
        <w:t>e</w:t>
      </w:r>
      <w:r>
        <w:rPr>
          <w:rFonts w:ascii="Times New Roman" w:cs="Times New Roman" w:eastAsia="Times New Roman" w:hAnsi="Times New Roman"/>
          <w:sz w:val="20"/>
          <w:szCs w:val="20"/>
          <w:color w:val="151515"/>
        </w:rPr>
        <w:t>stme</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t fund.</w:t>
      </w:r>
    </w:p>
    <w:p>
      <w:pPr>
        <w:spacing w:after="0" w:line="179" w:lineRule="exact"/>
        <w:rPr>
          <w:sz w:val="20"/>
          <w:szCs w:val="20"/>
          <w:color w:val="auto"/>
        </w:rPr>
      </w:pPr>
    </w:p>
    <w:p>
      <w:pPr>
        <w:jc w:val="both"/>
        <w:ind w:left="100" w:right="60" w:firstLine="643"/>
        <w:spacing w:after="0" w:line="270" w:lineRule="auto"/>
        <w:rPr>
          <w:sz w:val="20"/>
          <w:szCs w:val="20"/>
          <w:color w:val="auto"/>
        </w:rPr>
      </w:pPr>
      <w:r>
        <w:rPr>
          <w:rFonts w:ascii="Times New Roman" w:cs="Times New Roman" w:eastAsia="Times New Roman" w:hAnsi="Times New Roman"/>
          <w:sz w:val="20"/>
          <w:szCs w:val="20"/>
          <w:b w:val="1"/>
          <w:bCs w:val="1"/>
          <w:color w:val="070707"/>
        </w:rPr>
        <w:t>2</w:t>
      </w:r>
      <w:r>
        <w:rPr>
          <w:rFonts w:ascii="Times New Roman" w:cs="Times New Roman" w:eastAsia="Times New Roman" w:hAnsi="Times New Roman"/>
          <w:sz w:val="20"/>
          <w:szCs w:val="20"/>
          <w:b w:val="1"/>
          <w:bCs w:val="1"/>
          <w:color w:val="151515"/>
        </w:rPr>
        <w:t>.</w:t>
      </w:r>
      <w:r>
        <w:rPr>
          <w:rFonts w:ascii="Times New Roman" w:cs="Times New Roman" w:eastAsia="Times New Roman" w:hAnsi="Times New Roman"/>
          <w:sz w:val="20"/>
          <w:szCs w:val="20"/>
          <w:b w:val="1"/>
          <w:bCs w:val="1"/>
          <w:color w:val="070707"/>
        </w:rPr>
        <w:t xml:space="preserve">17 </w:t>
      </w:r>
      <w:r>
        <w:rPr>
          <w:rFonts w:ascii="Times New Roman" w:cs="Times New Roman" w:eastAsia="Times New Roman" w:hAnsi="Times New Roman"/>
          <w:sz w:val="20"/>
          <w:szCs w:val="20"/>
          <w:color w:val="151515"/>
        </w:rPr>
        <w:t>"Pa</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51515"/>
        </w:rPr>
        <w:t>ticipant means an E</w:t>
      </w:r>
      <w:r>
        <w:rPr>
          <w:rFonts w:ascii="Times New Roman" w:cs="Times New Roman" w:eastAsia="Times New Roman" w:hAnsi="Times New Roman"/>
          <w:sz w:val="20"/>
          <w:szCs w:val="20"/>
          <w:color w:val="070707"/>
        </w:rPr>
        <w:t>li</w:t>
      </w:r>
      <w:r>
        <w:rPr>
          <w:rFonts w:ascii="Times New Roman" w:cs="Times New Roman" w:eastAsia="Times New Roman" w:hAnsi="Times New Roman"/>
          <w:sz w:val="20"/>
          <w:szCs w:val="20"/>
          <w:color w:val="151515"/>
        </w:rPr>
        <w:t>gible Employe</w:t>
      </w:r>
      <w:r>
        <w:rPr>
          <w:rFonts w:ascii="Times New Roman" w:cs="Times New Roman" w:eastAsia="Times New Roman" w:hAnsi="Times New Roman"/>
          <w:sz w:val="20"/>
          <w:szCs w:val="20"/>
          <w:color w:val="070707"/>
        </w:rPr>
        <w:t>e o</w:t>
      </w:r>
      <w:r>
        <w:rPr>
          <w:rFonts w:ascii="Times New Roman" w:cs="Times New Roman" w:eastAsia="Times New Roman" w:hAnsi="Times New Roman"/>
          <w:sz w:val="20"/>
          <w:szCs w:val="20"/>
          <w:color w:val="151515"/>
        </w:rPr>
        <w:t>r Eligib</w:t>
      </w:r>
      <w:r>
        <w:rPr>
          <w:rFonts w:ascii="Times New Roman" w:cs="Times New Roman" w:eastAsia="Times New Roman" w:hAnsi="Times New Roman"/>
          <w:sz w:val="20"/>
          <w:szCs w:val="20"/>
          <w:color w:val="070707"/>
        </w:rPr>
        <w:t>le Di</w:t>
      </w:r>
      <w:r>
        <w:rPr>
          <w:rFonts w:ascii="Times New Roman" w:cs="Times New Roman" w:eastAsia="Times New Roman" w:hAnsi="Times New Roman"/>
          <w:sz w:val="20"/>
          <w:szCs w:val="20"/>
          <w:color w:val="151515"/>
        </w:rPr>
        <w:t>rec</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51515"/>
        </w:rPr>
        <w:t>o</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wh</w:t>
      </w:r>
      <w:r>
        <w:rPr>
          <w:rFonts w:ascii="Times New Roman" w:cs="Times New Roman" w:eastAsia="Times New Roman" w:hAnsi="Times New Roman"/>
          <w:sz w:val="20"/>
          <w:szCs w:val="20"/>
          <w:color w:val="070707"/>
        </w:rPr>
        <w:t>o</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has elec</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51515"/>
        </w:rPr>
        <w:t>ed,</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51515"/>
        </w:rPr>
        <w:t>n</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51515"/>
        </w:rPr>
        <w:t>er the Plan to defer payment</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o</w:t>
      </w:r>
      <w:r>
        <w:rPr>
          <w:rFonts w:ascii="Times New Roman" w:cs="Times New Roman" w:eastAsia="Times New Roman" w:hAnsi="Times New Roman"/>
          <w:sz w:val="20"/>
          <w:szCs w:val="20"/>
          <w:color w:val="151515"/>
        </w:rPr>
        <w:t>f</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S</w:t>
      </w:r>
      <w:r>
        <w:rPr>
          <w:rFonts w:ascii="Times New Roman" w:cs="Times New Roman" w:eastAsia="Times New Roman" w:hAnsi="Times New Roman"/>
          <w:sz w:val="20"/>
          <w:szCs w:val="20"/>
          <w:color w:val="151515"/>
        </w:rPr>
        <w:t>a</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51515"/>
        </w:rPr>
        <w:t>ary,</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51515"/>
        </w:rPr>
        <w:t>onus, Restr</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51515"/>
        </w:rPr>
        <w:t>cted Stock Units an</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51515"/>
        </w:rPr>
        <w:t>/or Directors Fees. A person remai</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s a</w:t>
      </w:r>
      <w:r>
        <w:rPr>
          <w:rFonts w:ascii="Times New Roman" w:cs="Times New Roman" w:eastAsia="Times New Roman" w:hAnsi="Times New Roman"/>
          <w:sz w:val="20"/>
          <w:szCs w:val="20"/>
          <w:color w:val="070707"/>
        </w:rPr>
        <w:t xml:space="preserve"> P</w:t>
      </w:r>
      <w:r>
        <w:rPr>
          <w:rFonts w:ascii="Times New Roman" w:cs="Times New Roman" w:eastAsia="Times New Roman" w:hAnsi="Times New Roman"/>
          <w:sz w:val="20"/>
          <w:szCs w:val="20"/>
          <w:color w:val="151515"/>
        </w:rPr>
        <w:t>ar</w:t>
      </w:r>
      <w:r>
        <w:rPr>
          <w:rFonts w:ascii="Times New Roman" w:cs="Times New Roman" w:eastAsia="Times New Roman" w:hAnsi="Times New Roman"/>
          <w:sz w:val="20"/>
          <w:szCs w:val="20"/>
          <w:color w:val="070707"/>
        </w:rPr>
        <w:t>tic</w:t>
      </w:r>
      <w:r>
        <w:rPr>
          <w:rFonts w:ascii="Times New Roman" w:cs="Times New Roman" w:eastAsia="Times New Roman" w:hAnsi="Times New Roman"/>
          <w:sz w:val="20"/>
          <w:szCs w:val="20"/>
          <w:color w:val="151515"/>
        </w:rPr>
        <w:t>ipa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t</w:t>
      </w:r>
      <w:r>
        <w:rPr>
          <w:rFonts w:ascii="Times New Roman" w:cs="Times New Roman" w:eastAsia="Times New Roman" w:hAnsi="Times New Roman"/>
          <w:sz w:val="20"/>
          <w:szCs w:val="20"/>
          <w:color w:val="070707"/>
        </w:rPr>
        <w:t xml:space="preserve"> s</w:t>
      </w:r>
      <w:r>
        <w:rPr>
          <w:rFonts w:ascii="Times New Roman" w:cs="Times New Roman" w:eastAsia="Times New Roman" w:hAnsi="Times New Roman"/>
          <w:sz w:val="20"/>
          <w:szCs w:val="20"/>
          <w:color w:val="151515"/>
        </w:rPr>
        <w:t>o</w:t>
      </w:r>
      <w:r>
        <w:rPr>
          <w:rFonts w:ascii="Times New Roman" w:cs="Times New Roman" w:eastAsia="Times New Roman" w:hAnsi="Times New Roman"/>
          <w:sz w:val="20"/>
          <w:szCs w:val="20"/>
          <w:color w:val="070707"/>
        </w:rPr>
        <w:t xml:space="preserve"> l</w:t>
      </w:r>
      <w:r>
        <w:rPr>
          <w:rFonts w:ascii="Times New Roman" w:cs="Times New Roman" w:eastAsia="Times New Roman" w:hAnsi="Times New Roman"/>
          <w:sz w:val="20"/>
          <w:szCs w:val="20"/>
          <w:color w:val="151515"/>
        </w:rPr>
        <w:t>ong a</w:t>
      </w:r>
      <w:r>
        <w:rPr>
          <w:rFonts w:ascii="Times New Roman" w:cs="Times New Roman" w:eastAsia="Times New Roman" w:hAnsi="Times New Roman"/>
          <w:sz w:val="20"/>
          <w:szCs w:val="20"/>
          <w:color w:val="070707"/>
        </w:rPr>
        <w:t xml:space="preserve">s </w:t>
      </w:r>
      <w:r>
        <w:rPr>
          <w:rFonts w:ascii="Times New Roman" w:cs="Times New Roman" w:eastAsia="Times New Roman" w:hAnsi="Times New Roman"/>
          <w:sz w:val="20"/>
          <w:szCs w:val="20"/>
          <w:color w:val="151515"/>
        </w:rPr>
        <w:t>he or s</w:t>
      </w:r>
      <w:r>
        <w:rPr>
          <w:rFonts w:ascii="Times New Roman" w:cs="Times New Roman" w:eastAsia="Times New Roman" w:hAnsi="Times New Roman"/>
          <w:sz w:val="20"/>
          <w:szCs w:val="20"/>
          <w:color w:val="070707"/>
        </w:rPr>
        <w:t xml:space="preserve">he </w:t>
      </w:r>
      <w:r>
        <w:rPr>
          <w:rFonts w:ascii="Times New Roman" w:cs="Times New Roman" w:eastAsia="Times New Roman" w:hAnsi="Times New Roman"/>
          <w:sz w:val="20"/>
          <w:szCs w:val="20"/>
          <w:color w:val="151515"/>
        </w:rPr>
        <w:t>has an</w:t>
      </w:r>
      <w:r>
        <w:rPr>
          <w:rFonts w:ascii="Times New Roman" w:cs="Times New Roman" w:eastAsia="Times New Roman" w:hAnsi="Times New Roman"/>
          <w:sz w:val="20"/>
          <w:szCs w:val="20"/>
          <w:color w:val="070707"/>
        </w:rPr>
        <w:t xml:space="preserve"> A</w:t>
      </w:r>
      <w:r>
        <w:rPr>
          <w:rFonts w:ascii="Times New Roman" w:cs="Times New Roman" w:eastAsia="Times New Roman" w:hAnsi="Times New Roman"/>
          <w:sz w:val="20"/>
          <w:szCs w:val="20"/>
          <w:color w:val="151515"/>
        </w:rPr>
        <w:t>cco</w:t>
      </w:r>
      <w:r>
        <w:rPr>
          <w:rFonts w:ascii="Times New Roman" w:cs="Times New Roman" w:eastAsia="Times New Roman" w:hAnsi="Times New Roman"/>
          <w:sz w:val="20"/>
          <w:szCs w:val="20"/>
          <w:color w:val="070707"/>
        </w:rPr>
        <w:t>un</w:t>
      </w:r>
      <w:r>
        <w:rPr>
          <w:rFonts w:ascii="Times New Roman" w:cs="Times New Roman" w:eastAsia="Times New Roman" w:hAnsi="Times New Roman"/>
          <w:sz w:val="20"/>
          <w:szCs w:val="20"/>
          <w:color w:val="151515"/>
        </w:rPr>
        <w:t>t ba</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51515"/>
        </w:rPr>
        <w:t>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ce und</w:t>
      </w:r>
      <w:r>
        <w:rPr>
          <w:rFonts w:ascii="Times New Roman" w:cs="Times New Roman" w:eastAsia="Times New Roman" w:hAnsi="Times New Roman"/>
          <w:sz w:val="20"/>
          <w:szCs w:val="20"/>
          <w:color w:val="070707"/>
        </w:rPr>
        <w:t>e</w:t>
      </w:r>
      <w:r>
        <w:rPr>
          <w:rFonts w:ascii="Times New Roman" w:cs="Times New Roman" w:eastAsia="Times New Roman" w:hAnsi="Times New Roman"/>
          <w:sz w:val="20"/>
          <w:szCs w:val="20"/>
          <w:color w:val="151515"/>
        </w:rPr>
        <w:t>r</w:t>
      </w:r>
      <w:r>
        <w:rPr>
          <w:rFonts w:ascii="Times New Roman" w:cs="Times New Roman" w:eastAsia="Times New Roman" w:hAnsi="Times New Roman"/>
          <w:sz w:val="20"/>
          <w:szCs w:val="20"/>
          <w:color w:val="070707"/>
        </w:rPr>
        <w:t xml:space="preserve"> t</w:t>
      </w:r>
      <w:r>
        <w:rPr>
          <w:rFonts w:ascii="Times New Roman" w:cs="Times New Roman" w:eastAsia="Times New Roman" w:hAnsi="Times New Roman"/>
          <w:sz w:val="20"/>
          <w:szCs w:val="20"/>
          <w:color w:val="151515"/>
        </w:rPr>
        <w:t>he</w:t>
      </w:r>
      <w:r>
        <w:rPr>
          <w:rFonts w:ascii="Times New Roman" w:cs="Times New Roman" w:eastAsia="Times New Roman" w:hAnsi="Times New Roman"/>
          <w:sz w:val="20"/>
          <w:szCs w:val="20"/>
          <w:color w:val="070707"/>
        </w:rPr>
        <w:t xml:space="preserve"> </w:t>
      </w:r>
      <w:r>
        <w:rPr>
          <w:rFonts w:ascii="Times New Roman" w:cs="Times New Roman" w:eastAsia="Times New Roman" w:hAnsi="Times New Roman"/>
          <w:sz w:val="20"/>
          <w:szCs w:val="20"/>
          <w:color w:val="151515"/>
        </w:rPr>
        <w:t>P</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51515"/>
        </w:rPr>
        <w:t>an, whether or not he or she remains an E</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51515"/>
        </w:rPr>
        <w:t>igi</w:t>
      </w:r>
      <w:r>
        <w:rPr>
          <w:rFonts w:ascii="Times New Roman" w:cs="Times New Roman" w:eastAsia="Times New Roman" w:hAnsi="Times New Roman"/>
          <w:sz w:val="20"/>
          <w:szCs w:val="20"/>
          <w:color w:val="070707"/>
        </w:rPr>
        <w:t>bl</w:t>
      </w:r>
      <w:r>
        <w:rPr>
          <w:rFonts w:ascii="Times New Roman" w:cs="Times New Roman" w:eastAsia="Times New Roman" w:hAnsi="Times New Roman"/>
          <w:sz w:val="20"/>
          <w:szCs w:val="20"/>
          <w:color w:val="151515"/>
        </w:rPr>
        <w:t>e Employee or Eligib</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51515"/>
        </w:rPr>
        <w:t>e Director.</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070707"/>
        </w:rPr>
        <w:t xml:space="preserve">2.18 </w:t>
      </w:r>
      <w:r>
        <w:rPr>
          <w:rFonts w:ascii="Times New Roman" w:cs="Times New Roman" w:eastAsia="Times New Roman" w:hAnsi="Times New Roman"/>
          <w:sz w:val="20"/>
          <w:szCs w:val="20"/>
          <w:color w:val="151515"/>
        </w:rPr>
        <w:t>"</w:t>
      </w:r>
      <w:r>
        <w:rPr>
          <w:rFonts w:ascii="Times New Roman" w:cs="Times New Roman" w:eastAsia="Times New Roman" w:hAnsi="Times New Roman"/>
          <w:sz w:val="20"/>
          <w:szCs w:val="20"/>
          <w:color w:val="070707"/>
        </w:rPr>
        <w:t>Pl</w:t>
      </w:r>
      <w:r>
        <w:rPr>
          <w:rFonts w:ascii="Times New Roman" w:cs="Times New Roman" w:eastAsia="Times New Roman" w:hAnsi="Times New Roman"/>
          <w:sz w:val="20"/>
          <w:szCs w:val="20"/>
          <w:color w:val="151515"/>
        </w:rPr>
        <w:t>an" m</w:t>
      </w:r>
      <w:r>
        <w:rPr>
          <w:rFonts w:ascii="Times New Roman" w:cs="Times New Roman" w:eastAsia="Times New Roman" w:hAnsi="Times New Roman"/>
          <w:sz w:val="20"/>
          <w:szCs w:val="20"/>
          <w:color w:val="070707"/>
        </w:rPr>
        <w:t>e</w:t>
      </w:r>
      <w:r>
        <w:rPr>
          <w:rFonts w:ascii="Times New Roman" w:cs="Times New Roman" w:eastAsia="Times New Roman" w:hAnsi="Times New Roman"/>
          <w:sz w:val="20"/>
          <w:szCs w:val="20"/>
          <w:color w:val="151515"/>
        </w:rPr>
        <w:t>ans the Itron, Inc</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Executive Deferred Compensation Plan, as set forth herein, together with a</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51515"/>
        </w:rPr>
        <w:t>l amend</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51515"/>
        </w:rPr>
        <w:t>en</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51515"/>
        </w:rPr>
        <w:t>s he</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51515"/>
        </w:rPr>
        <w:t>eto.</w:t>
      </w:r>
    </w:p>
    <w:p>
      <w:pPr>
        <w:spacing w:after="0" w:line="270" w:lineRule="exact"/>
        <w:rPr>
          <w:sz w:val="20"/>
          <w:szCs w:val="20"/>
          <w:color w:val="auto"/>
        </w:rPr>
      </w:pPr>
    </w:p>
    <w:p>
      <w:pPr>
        <w:jc w:val="both"/>
        <w:ind w:left="100" w:right="80" w:firstLine="635"/>
        <w:spacing w:after="0" w:line="287" w:lineRule="auto"/>
        <w:rPr>
          <w:sz w:val="20"/>
          <w:szCs w:val="20"/>
          <w:color w:val="auto"/>
        </w:rPr>
      </w:pPr>
      <w:r>
        <w:rPr>
          <w:rFonts w:ascii="Times New Roman" w:cs="Times New Roman" w:eastAsia="Times New Roman" w:hAnsi="Times New Roman"/>
          <w:sz w:val="20"/>
          <w:szCs w:val="20"/>
          <w:b w:val="1"/>
          <w:bCs w:val="1"/>
          <w:color w:val="070707"/>
        </w:rPr>
        <w:t>2.</w:t>
      </w:r>
      <w:r>
        <w:rPr>
          <w:rFonts w:ascii="Times New Roman" w:cs="Times New Roman" w:eastAsia="Times New Roman" w:hAnsi="Times New Roman"/>
          <w:sz w:val="20"/>
          <w:szCs w:val="20"/>
          <w:b w:val="1"/>
          <w:bCs w:val="1"/>
          <w:color w:val="151515"/>
        </w:rPr>
        <w:t>1</w:t>
      </w:r>
      <w:r>
        <w:rPr>
          <w:rFonts w:ascii="Times New Roman" w:cs="Times New Roman" w:eastAsia="Times New Roman" w:hAnsi="Times New Roman"/>
          <w:sz w:val="20"/>
          <w:szCs w:val="20"/>
          <w:b w:val="1"/>
          <w:bCs w:val="1"/>
          <w:color w:val="070707"/>
        </w:rPr>
        <w:t xml:space="preserve">9 </w:t>
      </w:r>
      <w:r>
        <w:rPr>
          <w:rFonts w:ascii="Times New Roman" w:cs="Times New Roman" w:eastAsia="Times New Roman" w:hAnsi="Times New Roman"/>
          <w:sz w:val="20"/>
          <w:szCs w:val="20"/>
          <w:color w:val="151515"/>
        </w:rPr>
        <w:t>"Restricted Stock U</w:t>
      </w:r>
      <w:r>
        <w:rPr>
          <w:rFonts w:ascii="Times New Roman" w:cs="Times New Roman" w:eastAsia="Times New Roman" w:hAnsi="Times New Roman"/>
          <w:sz w:val="20"/>
          <w:szCs w:val="20"/>
          <w:color w:val="070707"/>
        </w:rPr>
        <w:t>ni</w:t>
      </w:r>
      <w:r>
        <w:rPr>
          <w:rFonts w:ascii="Times New Roman" w:cs="Times New Roman" w:eastAsia="Times New Roman" w:hAnsi="Times New Roman"/>
          <w:sz w:val="20"/>
          <w:szCs w:val="20"/>
          <w:color w:val="151515"/>
        </w:rPr>
        <w:t>t"</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51515"/>
        </w:rPr>
        <w:t>ea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s ti</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51515"/>
        </w:rPr>
        <w:t>e</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51515"/>
        </w:rPr>
        <w:t>bas</w:t>
      </w:r>
      <w:r>
        <w:rPr>
          <w:rFonts w:ascii="Times New Roman" w:cs="Times New Roman" w:eastAsia="Times New Roman" w:hAnsi="Times New Roman"/>
          <w:sz w:val="20"/>
          <w:szCs w:val="20"/>
          <w:color w:val="070707"/>
        </w:rPr>
        <w:t>ed</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a</w:t>
      </w:r>
      <w:r>
        <w:rPr>
          <w:rFonts w:ascii="Times New Roman" w:cs="Times New Roman" w:eastAsia="Times New Roman" w:hAnsi="Times New Roman"/>
          <w:sz w:val="20"/>
          <w:szCs w:val="20"/>
          <w:color w:val="070707"/>
        </w:rPr>
        <w:t>nd</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perfor</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51515"/>
        </w:rPr>
        <w:t>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ce</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51515"/>
        </w:rPr>
        <w:t>based Restricte</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S</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51515"/>
        </w:rPr>
        <w:t>ock Units gran</w:t>
      </w:r>
      <w:r>
        <w:rPr>
          <w:rFonts w:ascii="Times New Roman" w:cs="Times New Roman" w:eastAsia="Times New Roman" w:hAnsi="Times New Roman"/>
          <w:sz w:val="20"/>
          <w:szCs w:val="20"/>
          <w:color w:val="070707"/>
        </w:rPr>
        <w:t>te</w:t>
      </w:r>
      <w:r>
        <w:rPr>
          <w:rFonts w:ascii="Times New Roman" w:cs="Times New Roman" w:eastAsia="Times New Roman" w:hAnsi="Times New Roman"/>
          <w:sz w:val="20"/>
          <w:szCs w:val="20"/>
          <w:color w:val="151515"/>
        </w:rPr>
        <w:t>d</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51515"/>
        </w:rPr>
        <w:t>o E</w:t>
      </w:r>
      <w:r>
        <w:rPr>
          <w:rFonts w:ascii="Times New Roman" w:cs="Times New Roman" w:eastAsia="Times New Roman" w:hAnsi="Times New Roman"/>
          <w:sz w:val="20"/>
          <w:szCs w:val="20"/>
          <w:color w:val="070707"/>
        </w:rPr>
        <w:t>li</w:t>
      </w:r>
      <w:r>
        <w:rPr>
          <w:rFonts w:ascii="Times New Roman" w:cs="Times New Roman" w:eastAsia="Times New Roman" w:hAnsi="Times New Roman"/>
          <w:sz w:val="20"/>
          <w:szCs w:val="20"/>
          <w:color w:val="151515"/>
        </w:rPr>
        <w:t>g</w:t>
      </w:r>
      <w:r>
        <w:rPr>
          <w:rFonts w:ascii="Times New Roman" w:cs="Times New Roman" w:eastAsia="Times New Roman" w:hAnsi="Times New Roman"/>
          <w:sz w:val="20"/>
          <w:szCs w:val="20"/>
          <w:color w:val="070707"/>
        </w:rPr>
        <w:t>ibl</w:t>
      </w:r>
      <w:r>
        <w:rPr>
          <w:rFonts w:ascii="Times New Roman" w:cs="Times New Roman" w:eastAsia="Times New Roman" w:hAnsi="Times New Roman"/>
          <w:sz w:val="20"/>
          <w:szCs w:val="20"/>
          <w:color w:val="151515"/>
        </w:rPr>
        <w:t>e E</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51515"/>
        </w:rPr>
        <w:t>p</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51515"/>
        </w:rPr>
        <w:t>oyees an</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E</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51515"/>
        </w:rPr>
        <w:t>ig</w:t>
      </w:r>
      <w:r>
        <w:rPr>
          <w:rFonts w:ascii="Times New Roman" w:cs="Times New Roman" w:eastAsia="Times New Roman" w:hAnsi="Times New Roman"/>
          <w:sz w:val="20"/>
          <w:szCs w:val="20"/>
          <w:color w:val="070707"/>
        </w:rPr>
        <w:t>ibl</w:t>
      </w:r>
      <w:r>
        <w:rPr>
          <w:rFonts w:ascii="Times New Roman" w:cs="Times New Roman" w:eastAsia="Times New Roman" w:hAnsi="Times New Roman"/>
          <w:sz w:val="20"/>
          <w:szCs w:val="20"/>
          <w:color w:val="151515"/>
        </w:rPr>
        <w:t xml:space="preserve">e Directors </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51515"/>
        </w:rPr>
        <w:t>n</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51515"/>
        </w:rPr>
        <w:t>er the Com</w:t>
      </w:r>
      <w:r>
        <w:rPr>
          <w:rFonts w:ascii="Times New Roman" w:cs="Times New Roman" w:eastAsia="Times New Roman" w:hAnsi="Times New Roman"/>
          <w:sz w:val="20"/>
          <w:szCs w:val="20"/>
          <w:color w:val="070707"/>
        </w:rPr>
        <w:t>p</w:t>
      </w:r>
      <w:r>
        <w:rPr>
          <w:rFonts w:ascii="Times New Roman" w:cs="Times New Roman" w:eastAsia="Times New Roman" w:hAnsi="Times New Roman"/>
          <w:sz w:val="20"/>
          <w:szCs w:val="20"/>
          <w:color w:val="151515"/>
        </w:rPr>
        <w:t>any</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51515"/>
        </w:rPr>
        <w:t>s 2</w:t>
      </w:r>
      <w:r>
        <w:rPr>
          <w:rFonts w:ascii="Times New Roman" w:cs="Times New Roman" w:eastAsia="Times New Roman" w:hAnsi="Times New Roman"/>
          <w:sz w:val="20"/>
          <w:szCs w:val="20"/>
          <w:color w:val="070707"/>
        </w:rPr>
        <w:t>0</w:t>
      </w:r>
      <w:r>
        <w:rPr>
          <w:rFonts w:ascii="Times New Roman" w:cs="Times New Roman" w:eastAsia="Times New Roman" w:hAnsi="Times New Roman"/>
          <w:sz w:val="20"/>
          <w:szCs w:val="20"/>
          <w:color w:val="151515"/>
        </w:rPr>
        <w:t>1</w:t>
      </w:r>
      <w:r>
        <w:rPr>
          <w:rFonts w:ascii="Times New Roman" w:cs="Times New Roman" w:eastAsia="Times New Roman" w:hAnsi="Times New Roman"/>
          <w:sz w:val="20"/>
          <w:szCs w:val="20"/>
          <w:color w:val="070707"/>
        </w:rPr>
        <w:t>0</w:t>
      </w:r>
      <w:r>
        <w:rPr>
          <w:rFonts w:ascii="Times New Roman" w:cs="Times New Roman" w:eastAsia="Times New Roman" w:hAnsi="Times New Roman"/>
          <w:sz w:val="20"/>
          <w:szCs w:val="20"/>
          <w:color w:val="151515"/>
        </w:rPr>
        <w:t xml:space="preserve"> Stoc</w:t>
      </w:r>
      <w:r>
        <w:rPr>
          <w:rFonts w:ascii="Times New Roman" w:cs="Times New Roman" w:eastAsia="Times New Roman" w:hAnsi="Times New Roman"/>
          <w:sz w:val="20"/>
          <w:szCs w:val="20"/>
          <w:color w:val="070707"/>
        </w:rPr>
        <w:t>k Inc</w:t>
      </w:r>
      <w:r>
        <w:rPr>
          <w:rFonts w:ascii="Times New Roman" w:cs="Times New Roman" w:eastAsia="Times New Roman" w:hAnsi="Times New Roman"/>
          <w:sz w:val="20"/>
          <w:szCs w:val="20"/>
          <w:color w:val="151515"/>
        </w:rPr>
        <w:t>e</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51515"/>
        </w:rPr>
        <w:t>ve Pla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w:t>
      </w:r>
    </w:p>
    <w:p>
      <w:pPr>
        <w:spacing w:after="0" w:line="165" w:lineRule="exact"/>
        <w:rPr>
          <w:sz w:val="20"/>
          <w:szCs w:val="20"/>
          <w:color w:val="auto"/>
        </w:rPr>
      </w:pPr>
    </w:p>
    <w:p>
      <w:pPr>
        <w:ind w:left="100" w:right="4740" w:firstLine="635"/>
        <w:spacing w:after="0" w:line="259" w:lineRule="auto"/>
        <w:rPr>
          <w:sz w:val="20"/>
          <w:szCs w:val="20"/>
          <w:color w:val="auto"/>
        </w:rPr>
      </w:pPr>
      <w:r>
        <w:rPr>
          <w:rFonts w:ascii="Times New Roman" w:cs="Times New Roman" w:eastAsia="Times New Roman" w:hAnsi="Times New Roman"/>
          <w:sz w:val="20"/>
          <w:szCs w:val="20"/>
          <w:b w:val="1"/>
          <w:bCs w:val="1"/>
          <w:color w:val="070707"/>
        </w:rPr>
        <w:t xml:space="preserve">2.20 </w:t>
      </w:r>
      <w:r>
        <w:rPr>
          <w:rFonts w:ascii="Times New Roman" w:cs="Times New Roman" w:eastAsia="Times New Roman" w:hAnsi="Times New Roman"/>
          <w:sz w:val="20"/>
          <w:szCs w:val="20"/>
          <w:color w:val="151515"/>
        </w:rPr>
        <w:t>"</w:t>
      </w:r>
      <w:r>
        <w:rPr>
          <w:rFonts w:ascii="Times New Roman" w:cs="Times New Roman" w:eastAsia="Times New Roman" w:hAnsi="Times New Roman"/>
          <w:sz w:val="20"/>
          <w:szCs w:val="20"/>
          <w:color w:val="070707"/>
        </w:rPr>
        <w:t>S</w:t>
      </w:r>
      <w:r>
        <w:rPr>
          <w:rFonts w:ascii="Times New Roman" w:cs="Times New Roman" w:eastAsia="Times New Roman" w:hAnsi="Times New Roman"/>
          <w:sz w:val="20"/>
          <w:szCs w:val="20"/>
          <w:color w:val="151515"/>
        </w:rPr>
        <w:t>a</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51515"/>
        </w:rPr>
        <w:t>ary"</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51515"/>
        </w:rPr>
        <w:t>ea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s</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th</w:t>
      </w:r>
      <w:r>
        <w:rPr>
          <w:rFonts w:ascii="Times New Roman" w:cs="Times New Roman" w:eastAsia="Times New Roman" w:hAnsi="Times New Roman"/>
          <w:sz w:val="20"/>
          <w:szCs w:val="20"/>
          <w:color w:val="151515"/>
        </w:rPr>
        <w:t>e</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51515"/>
        </w:rPr>
        <w:t>ase</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s</w:t>
      </w:r>
      <w:r>
        <w:rPr>
          <w:rFonts w:ascii="Times New Roman" w:cs="Times New Roman" w:eastAsia="Times New Roman" w:hAnsi="Times New Roman"/>
          <w:sz w:val="20"/>
          <w:szCs w:val="20"/>
          <w:color w:val="151515"/>
        </w:rPr>
        <w:t>a</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51515"/>
        </w:rPr>
        <w:t>ary</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paid</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to an E</w:t>
      </w:r>
      <w:r>
        <w:rPr>
          <w:rFonts w:ascii="Times New Roman" w:cs="Times New Roman" w:eastAsia="Times New Roman" w:hAnsi="Times New Roman"/>
          <w:sz w:val="20"/>
          <w:szCs w:val="20"/>
          <w:color w:val="070707"/>
        </w:rPr>
        <w:t>li</w:t>
      </w:r>
      <w:r>
        <w:rPr>
          <w:rFonts w:ascii="Times New Roman" w:cs="Times New Roman" w:eastAsia="Times New Roman" w:hAnsi="Times New Roman"/>
          <w:sz w:val="20"/>
          <w:szCs w:val="20"/>
          <w:color w:val="151515"/>
        </w:rPr>
        <w:t>g</w:t>
      </w:r>
      <w:r>
        <w:rPr>
          <w:rFonts w:ascii="Times New Roman" w:cs="Times New Roman" w:eastAsia="Times New Roman" w:hAnsi="Times New Roman"/>
          <w:sz w:val="20"/>
          <w:szCs w:val="20"/>
          <w:color w:val="070707"/>
        </w:rPr>
        <w:t>ibl</w:t>
      </w:r>
      <w:r>
        <w:rPr>
          <w:rFonts w:ascii="Times New Roman" w:cs="Times New Roman" w:eastAsia="Times New Roman" w:hAnsi="Times New Roman"/>
          <w:sz w:val="20"/>
          <w:szCs w:val="20"/>
          <w:color w:val="151515"/>
        </w:rPr>
        <w:t>e Em</w:t>
      </w:r>
      <w:r>
        <w:rPr>
          <w:rFonts w:ascii="Times New Roman" w:cs="Times New Roman" w:eastAsia="Times New Roman" w:hAnsi="Times New Roman"/>
          <w:sz w:val="20"/>
          <w:szCs w:val="20"/>
          <w:color w:val="070707"/>
        </w:rPr>
        <w:t>p</w:t>
      </w:r>
      <w:r>
        <w:rPr>
          <w:rFonts w:ascii="Times New Roman" w:cs="Times New Roman" w:eastAsia="Times New Roman" w:hAnsi="Times New Roman"/>
          <w:sz w:val="20"/>
          <w:szCs w:val="20"/>
          <w:color w:val="151515"/>
        </w:rPr>
        <w:t>l</w:t>
      </w:r>
      <w:r>
        <w:rPr>
          <w:rFonts w:ascii="Times New Roman" w:cs="Times New Roman" w:eastAsia="Times New Roman" w:hAnsi="Times New Roman"/>
          <w:sz w:val="20"/>
          <w:szCs w:val="20"/>
          <w:color w:val="070707"/>
        </w:rPr>
        <w:t>o</w:t>
      </w:r>
      <w:r>
        <w:rPr>
          <w:rFonts w:ascii="Times New Roman" w:cs="Times New Roman" w:eastAsia="Times New Roman" w:hAnsi="Times New Roman"/>
          <w:sz w:val="20"/>
          <w:szCs w:val="20"/>
          <w:color w:val="151515"/>
        </w:rPr>
        <w:t>yee</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51515"/>
        </w:rPr>
        <w:t>y the</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51515"/>
        </w:rPr>
        <w:t>C</w:t>
      </w:r>
      <w:r>
        <w:rPr>
          <w:rFonts w:ascii="Times New Roman" w:cs="Times New Roman" w:eastAsia="Times New Roman" w:hAnsi="Times New Roman"/>
          <w:sz w:val="20"/>
          <w:szCs w:val="20"/>
          <w:color w:val="070707"/>
        </w:rPr>
        <w:t>om</w:t>
      </w:r>
      <w:r>
        <w:rPr>
          <w:rFonts w:ascii="Times New Roman" w:cs="Times New Roman" w:eastAsia="Times New Roman" w:hAnsi="Times New Roman"/>
          <w:sz w:val="20"/>
          <w:szCs w:val="20"/>
          <w:color w:val="151515"/>
        </w:rPr>
        <w:t>pa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51515"/>
        </w:rPr>
        <w:t xml:space="preserve">y </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51515"/>
        </w:rPr>
        <w:t>efore pa</w:t>
      </w:r>
      <w:r>
        <w:rPr>
          <w:rFonts w:ascii="Times New Roman" w:cs="Times New Roman" w:eastAsia="Times New Roman" w:hAnsi="Times New Roman"/>
          <w:sz w:val="20"/>
          <w:szCs w:val="20"/>
          <w:color w:val="070707"/>
        </w:rPr>
        <w:t>y</w:t>
      </w:r>
      <w:r>
        <w:rPr>
          <w:rFonts w:ascii="Times New Roman" w:cs="Times New Roman" w:eastAsia="Times New Roman" w:hAnsi="Times New Roman"/>
          <w:sz w:val="20"/>
          <w:szCs w:val="20"/>
          <w:color w:val="151515"/>
        </w:rPr>
        <w:t xml:space="preserve">roll </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51515"/>
        </w:rPr>
        <w:t>edu</w:t>
      </w:r>
      <w:r>
        <w:rPr>
          <w:rFonts w:ascii="Times New Roman" w:cs="Times New Roman" w:eastAsia="Times New Roman" w:hAnsi="Times New Roman"/>
          <w:sz w:val="20"/>
          <w:szCs w:val="20"/>
          <w:color w:val="070707"/>
        </w:rPr>
        <w:t>ct</w:t>
      </w:r>
      <w:r>
        <w:rPr>
          <w:rFonts w:ascii="Times New Roman" w:cs="Times New Roman" w:eastAsia="Times New Roman" w:hAnsi="Times New Roman"/>
          <w:sz w:val="20"/>
          <w:szCs w:val="20"/>
          <w:color w:val="151515"/>
        </w:rPr>
        <w:t>ion</w:t>
      </w:r>
      <w:r>
        <w:rPr>
          <w:rFonts w:ascii="Times New Roman" w:cs="Times New Roman" w:eastAsia="Times New Roman" w:hAnsi="Times New Roman"/>
          <w:sz w:val="20"/>
          <w:szCs w:val="20"/>
          <w:color w:val="070707"/>
        </w:rPr>
        <w:t>.</w:t>
      </w:r>
    </w:p>
    <w:p>
      <w:pPr>
        <w:spacing w:after="0" w:line="192" w:lineRule="exact"/>
        <w:rPr>
          <w:sz w:val="20"/>
          <w:szCs w:val="20"/>
          <w:color w:val="auto"/>
        </w:rPr>
      </w:pPr>
    </w:p>
    <w:p>
      <w:pPr>
        <w:jc w:val="both"/>
        <w:ind w:left="100" w:right="80" w:firstLine="639"/>
        <w:spacing w:after="0" w:line="279" w:lineRule="auto"/>
        <w:rPr>
          <w:sz w:val="20"/>
          <w:szCs w:val="20"/>
          <w:color w:val="auto"/>
        </w:rPr>
      </w:pPr>
      <w:r>
        <w:rPr>
          <w:rFonts w:ascii="Times New Roman" w:cs="Times New Roman" w:eastAsia="Times New Roman" w:hAnsi="Times New Roman"/>
          <w:sz w:val="19"/>
          <w:szCs w:val="19"/>
          <w:b w:val="1"/>
          <w:bCs w:val="1"/>
          <w:color w:val="070707"/>
        </w:rPr>
        <w:t xml:space="preserve">2.21 </w:t>
      </w:r>
      <w:r>
        <w:rPr>
          <w:rFonts w:ascii="Times New Roman" w:cs="Times New Roman" w:eastAsia="Times New Roman" w:hAnsi="Times New Roman"/>
          <w:sz w:val="19"/>
          <w:szCs w:val="19"/>
          <w:color w:val="151515"/>
        </w:rPr>
        <w:t>"</w:t>
      </w:r>
      <w:r>
        <w:rPr>
          <w:rFonts w:ascii="Times New Roman" w:cs="Times New Roman" w:eastAsia="Times New Roman" w:hAnsi="Times New Roman"/>
          <w:sz w:val="19"/>
          <w:szCs w:val="19"/>
          <w:color w:val="070707"/>
        </w:rPr>
        <w:t>Sp</w:t>
      </w:r>
      <w:r>
        <w:rPr>
          <w:rFonts w:ascii="Times New Roman" w:cs="Times New Roman" w:eastAsia="Times New Roman" w:hAnsi="Times New Roman"/>
          <w:sz w:val="19"/>
          <w:szCs w:val="19"/>
          <w:color w:val="151515"/>
        </w:rPr>
        <w:t>e</w:t>
      </w:r>
      <w:r>
        <w:rPr>
          <w:rFonts w:ascii="Times New Roman" w:cs="Times New Roman" w:eastAsia="Times New Roman" w:hAnsi="Times New Roman"/>
          <w:sz w:val="19"/>
          <w:szCs w:val="19"/>
          <w:color w:val="070707"/>
        </w:rPr>
        <w:t>ci</w:t>
      </w:r>
      <w:r>
        <w:rPr>
          <w:rFonts w:ascii="Times New Roman" w:cs="Times New Roman" w:eastAsia="Times New Roman" w:hAnsi="Times New Roman"/>
          <w:sz w:val="19"/>
          <w:szCs w:val="19"/>
          <w:color w:val="151515"/>
        </w:rPr>
        <w:t>fi</w:t>
      </w:r>
      <w:r>
        <w:rPr>
          <w:rFonts w:ascii="Times New Roman" w:cs="Times New Roman" w:eastAsia="Times New Roman" w:hAnsi="Times New Roman"/>
          <w:sz w:val="19"/>
          <w:szCs w:val="19"/>
          <w:color w:val="070707"/>
        </w:rPr>
        <w:t>ed</w:t>
      </w:r>
      <w:r>
        <w:rPr>
          <w:rFonts w:ascii="Times New Roman" w:cs="Times New Roman" w:eastAsia="Times New Roman" w:hAnsi="Times New Roman"/>
          <w:sz w:val="19"/>
          <w:szCs w:val="19"/>
          <w:b w:val="1"/>
          <w:bCs w:val="1"/>
          <w:color w:val="070707"/>
        </w:rPr>
        <w:t xml:space="preserve"> </w:t>
      </w:r>
      <w:r>
        <w:rPr>
          <w:rFonts w:ascii="Times New Roman" w:cs="Times New Roman" w:eastAsia="Times New Roman" w:hAnsi="Times New Roman"/>
          <w:sz w:val="19"/>
          <w:szCs w:val="19"/>
          <w:color w:val="151515"/>
        </w:rPr>
        <w:t>E</w:t>
      </w:r>
      <w:r>
        <w:rPr>
          <w:rFonts w:ascii="Times New Roman" w:cs="Times New Roman" w:eastAsia="Times New Roman" w:hAnsi="Times New Roman"/>
          <w:sz w:val="19"/>
          <w:szCs w:val="19"/>
          <w:color w:val="070707"/>
        </w:rPr>
        <w:t>mp</w:t>
      </w:r>
      <w:r>
        <w:rPr>
          <w:rFonts w:ascii="Times New Roman" w:cs="Times New Roman" w:eastAsia="Times New Roman" w:hAnsi="Times New Roman"/>
          <w:sz w:val="19"/>
          <w:szCs w:val="19"/>
          <w:color w:val="151515"/>
        </w:rPr>
        <w:t>l</w:t>
      </w:r>
      <w:r>
        <w:rPr>
          <w:rFonts w:ascii="Times New Roman" w:cs="Times New Roman" w:eastAsia="Times New Roman" w:hAnsi="Times New Roman"/>
          <w:sz w:val="19"/>
          <w:szCs w:val="19"/>
          <w:color w:val="070707"/>
        </w:rPr>
        <w:t>o</w:t>
      </w:r>
      <w:r>
        <w:rPr>
          <w:rFonts w:ascii="Times New Roman" w:cs="Times New Roman" w:eastAsia="Times New Roman" w:hAnsi="Times New Roman"/>
          <w:sz w:val="19"/>
          <w:szCs w:val="19"/>
          <w:color w:val="151515"/>
        </w:rPr>
        <w:t>ye</w:t>
      </w:r>
      <w:r>
        <w:rPr>
          <w:rFonts w:ascii="Times New Roman" w:cs="Times New Roman" w:eastAsia="Times New Roman" w:hAnsi="Times New Roman"/>
          <w:sz w:val="19"/>
          <w:szCs w:val="19"/>
          <w:color w:val="070707"/>
        </w:rPr>
        <w:t>e" me</w:t>
      </w:r>
      <w:r>
        <w:rPr>
          <w:rFonts w:ascii="Times New Roman" w:cs="Times New Roman" w:eastAsia="Times New Roman" w:hAnsi="Times New Roman"/>
          <w:sz w:val="19"/>
          <w:szCs w:val="19"/>
          <w:color w:val="151515"/>
        </w:rPr>
        <w:t>a</w:t>
      </w:r>
      <w:r>
        <w:rPr>
          <w:rFonts w:ascii="Times New Roman" w:cs="Times New Roman" w:eastAsia="Times New Roman" w:hAnsi="Times New Roman"/>
          <w:sz w:val="19"/>
          <w:szCs w:val="19"/>
          <w:color w:val="070707"/>
        </w:rPr>
        <w:t>ns</w:t>
      </w:r>
      <w:r>
        <w:rPr>
          <w:rFonts w:ascii="Times New Roman" w:cs="Times New Roman" w:eastAsia="Times New Roman" w:hAnsi="Times New Roman"/>
          <w:sz w:val="19"/>
          <w:szCs w:val="19"/>
          <w:b w:val="1"/>
          <w:bCs w:val="1"/>
          <w:color w:val="070707"/>
        </w:rPr>
        <w:t xml:space="preserve"> </w:t>
      </w:r>
      <w:r>
        <w:rPr>
          <w:rFonts w:ascii="Times New Roman" w:cs="Times New Roman" w:eastAsia="Times New Roman" w:hAnsi="Times New Roman"/>
          <w:sz w:val="19"/>
          <w:szCs w:val="19"/>
          <w:color w:val="151515"/>
        </w:rPr>
        <w:t>a</w:t>
      </w:r>
      <w:r>
        <w:rPr>
          <w:rFonts w:ascii="Times New Roman" w:cs="Times New Roman" w:eastAsia="Times New Roman" w:hAnsi="Times New Roman"/>
          <w:sz w:val="19"/>
          <w:szCs w:val="19"/>
          <w:b w:val="1"/>
          <w:bCs w:val="1"/>
          <w:color w:val="070707"/>
        </w:rPr>
        <w:t xml:space="preserve"> </w:t>
      </w:r>
      <w:r>
        <w:rPr>
          <w:rFonts w:ascii="Times New Roman" w:cs="Times New Roman" w:eastAsia="Times New Roman" w:hAnsi="Times New Roman"/>
          <w:sz w:val="19"/>
          <w:szCs w:val="19"/>
          <w:color w:val="070707"/>
        </w:rPr>
        <w:t>P</w:t>
      </w:r>
      <w:r>
        <w:rPr>
          <w:rFonts w:ascii="Times New Roman" w:cs="Times New Roman" w:eastAsia="Times New Roman" w:hAnsi="Times New Roman"/>
          <w:sz w:val="19"/>
          <w:szCs w:val="19"/>
          <w:color w:val="151515"/>
        </w:rPr>
        <w:t>a</w:t>
      </w:r>
      <w:r>
        <w:rPr>
          <w:rFonts w:ascii="Times New Roman" w:cs="Times New Roman" w:eastAsia="Times New Roman" w:hAnsi="Times New Roman"/>
          <w:sz w:val="19"/>
          <w:szCs w:val="19"/>
          <w:color w:val="070707"/>
        </w:rPr>
        <w:t>rticipant who, as of the date o</w:t>
      </w:r>
      <w:r>
        <w:rPr>
          <w:rFonts w:ascii="Times New Roman" w:cs="Times New Roman" w:eastAsia="Times New Roman" w:hAnsi="Times New Roman"/>
          <w:sz w:val="19"/>
          <w:szCs w:val="19"/>
          <w:color w:val="151515"/>
        </w:rPr>
        <w:t>f</w:t>
      </w:r>
      <w:r>
        <w:rPr>
          <w:rFonts w:ascii="Times New Roman" w:cs="Times New Roman" w:eastAsia="Times New Roman" w:hAnsi="Times New Roman"/>
          <w:sz w:val="19"/>
          <w:szCs w:val="19"/>
          <w:b w:val="1"/>
          <w:bCs w:val="1"/>
          <w:color w:val="070707"/>
        </w:rPr>
        <w:t xml:space="preserve"> </w:t>
      </w:r>
      <w:r>
        <w:rPr>
          <w:rFonts w:ascii="Times New Roman" w:cs="Times New Roman" w:eastAsia="Times New Roman" w:hAnsi="Times New Roman"/>
          <w:sz w:val="19"/>
          <w:szCs w:val="19"/>
          <w:color w:val="070707"/>
        </w:rPr>
        <w:t>the P</w:t>
      </w:r>
      <w:r>
        <w:rPr>
          <w:rFonts w:ascii="Times New Roman" w:cs="Times New Roman" w:eastAsia="Times New Roman" w:hAnsi="Times New Roman"/>
          <w:sz w:val="19"/>
          <w:szCs w:val="19"/>
          <w:color w:val="151515"/>
        </w:rPr>
        <w:t>ar</w:t>
      </w:r>
      <w:r>
        <w:rPr>
          <w:rFonts w:ascii="Times New Roman" w:cs="Times New Roman" w:eastAsia="Times New Roman" w:hAnsi="Times New Roman"/>
          <w:sz w:val="19"/>
          <w:szCs w:val="19"/>
          <w:color w:val="070707"/>
        </w:rPr>
        <w:t>t</w:t>
      </w:r>
      <w:r>
        <w:rPr>
          <w:rFonts w:ascii="Times New Roman" w:cs="Times New Roman" w:eastAsia="Times New Roman" w:hAnsi="Times New Roman"/>
          <w:sz w:val="19"/>
          <w:szCs w:val="19"/>
          <w:color w:val="151515"/>
        </w:rPr>
        <w:t>i</w:t>
      </w:r>
      <w:r>
        <w:rPr>
          <w:rFonts w:ascii="Times New Roman" w:cs="Times New Roman" w:eastAsia="Times New Roman" w:hAnsi="Times New Roman"/>
          <w:sz w:val="19"/>
          <w:szCs w:val="19"/>
          <w:color w:val="070707"/>
        </w:rPr>
        <w:t>cip</w:t>
      </w:r>
      <w:r>
        <w:rPr>
          <w:rFonts w:ascii="Times New Roman" w:cs="Times New Roman" w:eastAsia="Times New Roman" w:hAnsi="Times New Roman"/>
          <w:sz w:val="19"/>
          <w:szCs w:val="19"/>
          <w:color w:val="151515"/>
        </w:rPr>
        <w:t>a</w:t>
      </w:r>
      <w:r>
        <w:rPr>
          <w:rFonts w:ascii="Times New Roman" w:cs="Times New Roman" w:eastAsia="Times New Roman" w:hAnsi="Times New Roman"/>
          <w:sz w:val="19"/>
          <w:szCs w:val="19"/>
          <w:color w:val="070707"/>
        </w:rPr>
        <w:t>nt's Termination, is a k</w:t>
      </w:r>
      <w:r>
        <w:rPr>
          <w:rFonts w:ascii="Times New Roman" w:cs="Times New Roman" w:eastAsia="Times New Roman" w:hAnsi="Times New Roman"/>
          <w:sz w:val="19"/>
          <w:szCs w:val="19"/>
          <w:color w:val="151515"/>
        </w:rPr>
        <w:t>e</w:t>
      </w:r>
      <w:r>
        <w:rPr>
          <w:rFonts w:ascii="Times New Roman" w:cs="Times New Roman" w:eastAsia="Times New Roman" w:hAnsi="Times New Roman"/>
          <w:sz w:val="19"/>
          <w:szCs w:val="19"/>
          <w:color w:val="070707"/>
        </w:rPr>
        <w:t>y</w:t>
      </w:r>
      <w:r>
        <w:rPr>
          <w:rFonts w:ascii="Times New Roman" w:cs="Times New Roman" w:eastAsia="Times New Roman" w:hAnsi="Times New Roman"/>
          <w:sz w:val="19"/>
          <w:szCs w:val="19"/>
          <w:b w:val="1"/>
          <w:bCs w:val="1"/>
          <w:color w:val="070707"/>
        </w:rPr>
        <w:t xml:space="preserve"> </w:t>
      </w:r>
      <w:r>
        <w:rPr>
          <w:rFonts w:ascii="Times New Roman" w:cs="Times New Roman" w:eastAsia="Times New Roman" w:hAnsi="Times New Roman"/>
          <w:sz w:val="19"/>
          <w:szCs w:val="19"/>
          <w:color w:val="151515"/>
        </w:rPr>
        <w:t>e</w:t>
      </w:r>
      <w:r>
        <w:rPr>
          <w:rFonts w:ascii="Times New Roman" w:cs="Times New Roman" w:eastAsia="Times New Roman" w:hAnsi="Times New Roman"/>
          <w:sz w:val="19"/>
          <w:szCs w:val="19"/>
          <w:color w:val="070707"/>
        </w:rPr>
        <w:t>mploy</w:t>
      </w:r>
      <w:r>
        <w:rPr>
          <w:rFonts w:ascii="Times New Roman" w:cs="Times New Roman" w:eastAsia="Times New Roman" w:hAnsi="Times New Roman"/>
          <w:sz w:val="19"/>
          <w:szCs w:val="19"/>
          <w:color w:val="151515"/>
        </w:rPr>
        <w:t>ee</w:t>
      </w:r>
      <w:r>
        <w:rPr>
          <w:rFonts w:ascii="Times New Roman" w:cs="Times New Roman" w:eastAsia="Times New Roman" w:hAnsi="Times New Roman"/>
          <w:sz w:val="19"/>
          <w:szCs w:val="19"/>
          <w:b w:val="1"/>
          <w:bCs w:val="1"/>
          <w:color w:val="070707"/>
        </w:rPr>
        <w:t xml:space="preserve"> </w:t>
      </w:r>
      <w:r>
        <w:rPr>
          <w:rFonts w:ascii="Times New Roman" w:cs="Times New Roman" w:eastAsia="Times New Roman" w:hAnsi="Times New Roman"/>
          <w:sz w:val="19"/>
          <w:szCs w:val="19"/>
          <w:color w:val="070707"/>
        </w:rPr>
        <w:t>o</w:t>
      </w:r>
      <w:r>
        <w:rPr>
          <w:rFonts w:ascii="Times New Roman" w:cs="Times New Roman" w:eastAsia="Times New Roman" w:hAnsi="Times New Roman"/>
          <w:sz w:val="19"/>
          <w:szCs w:val="19"/>
          <w:color w:val="151515"/>
        </w:rPr>
        <w:t>f</w:t>
      </w:r>
      <w:r>
        <w:rPr>
          <w:rFonts w:ascii="Times New Roman" w:cs="Times New Roman" w:eastAsia="Times New Roman" w:hAnsi="Times New Roman"/>
          <w:sz w:val="19"/>
          <w:szCs w:val="19"/>
          <w:b w:val="1"/>
          <w:bCs w:val="1"/>
          <w:color w:val="070707"/>
        </w:rPr>
        <w:t xml:space="preserve"> </w:t>
      </w:r>
      <w:r>
        <w:rPr>
          <w:rFonts w:ascii="Times New Roman" w:cs="Times New Roman" w:eastAsia="Times New Roman" w:hAnsi="Times New Roman"/>
          <w:sz w:val="19"/>
          <w:szCs w:val="19"/>
          <w:color w:val="070707"/>
        </w:rPr>
        <w:t>th</w:t>
      </w:r>
      <w:r>
        <w:rPr>
          <w:rFonts w:ascii="Times New Roman" w:cs="Times New Roman" w:eastAsia="Times New Roman" w:hAnsi="Times New Roman"/>
          <w:sz w:val="19"/>
          <w:szCs w:val="19"/>
          <w:color w:val="151515"/>
        </w:rPr>
        <w:t>e</w:t>
      </w:r>
      <w:r>
        <w:rPr>
          <w:rFonts w:ascii="Times New Roman" w:cs="Times New Roman" w:eastAsia="Times New Roman" w:hAnsi="Times New Roman"/>
          <w:sz w:val="19"/>
          <w:szCs w:val="19"/>
          <w:b w:val="1"/>
          <w:bCs w:val="1"/>
          <w:color w:val="070707"/>
        </w:rPr>
        <w:t xml:space="preserve"> </w:t>
      </w:r>
      <w:r>
        <w:rPr>
          <w:rFonts w:ascii="Times New Roman" w:cs="Times New Roman" w:eastAsia="Times New Roman" w:hAnsi="Times New Roman"/>
          <w:sz w:val="19"/>
          <w:szCs w:val="19"/>
          <w:color w:val="070707"/>
        </w:rPr>
        <w:t>Co</w:t>
      </w:r>
      <w:r>
        <w:rPr>
          <w:rFonts w:ascii="Times New Roman" w:cs="Times New Roman" w:eastAsia="Times New Roman" w:hAnsi="Times New Roman"/>
          <w:sz w:val="19"/>
          <w:szCs w:val="19"/>
          <w:color w:val="151515"/>
        </w:rPr>
        <w:t>m</w:t>
      </w:r>
      <w:r>
        <w:rPr>
          <w:rFonts w:ascii="Times New Roman" w:cs="Times New Roman" w:eastAsia="Times New Roman" w:hAnsi="Times New Roman"/>
          <w:sz w:val="19"/>
          <w:szCs w:val="19"/>
          <w:color w:val="070707"/>
        </w:rPr>
        <w:t>p</w:t>
      </w:r>
      <w:r>
        <w:rPr>
          <w:rFonts w:ascii="Times New Roman" w:cs="Times New Roman" w:eastAsia="Times New Roman" w:hAnsi="Times New Roman"/>
          <w:sz w:val="19"/>
          <w:szCs w:val="19"/>
          <w:color w:val="151515"/>
        </w:rPr>
        <w:t>an</w:t>
      </w:r>
      <w:r>
        <w:rPr>
          <w:rFonts w:ascii="Times New Roman" w:cs="Times New Roman" w:eastAsia="Times New Roman" w:hAnsi="Times New Roman"/>
          <w:sz w:val="19"/>
          <w:szCs w:val="19"/>
          <w:color w:val="070707"/>
        </w:rPr>
        <w:t>y. A Pa</w:t>
      </w:r>
      <w:r>
        <w:rPr>
          <w:rFonts w:ascii="Times New Roman" w:cs="Times New Roman" w:eastAsia="Times New Roman" w:hAnsi="Times New Roman"/>
          <w:sz w:val="19"/>
          <w:szCs w:val="19"/>
          <w:color w:val="151515"/>
        </w:rPr>
        <w:t>r</w:t>
      </w:r>
      <w:r>
        <w:rPr>
          <w:rFonts w:ascii="Times New Roman" w:cs="Times New Roman" w:eastAsia="Times New Roman" w:hAnsi="Times New Roman"/>
          <w:sz w:val="19"/>
          <w:szCs w:val="19"/>
          <w:color w:val="070707"/>
        </w:rPr>
        <w:t xml:space="preserve">ticipant </w:t>
      </w:r>
      <w:r>
        <w:rPr>
          <w:rFonts w:ascii="Times New Roman" w:cs="Times New Roman" w:eastAsia="Times New Roman" w:hAnsi="Times New Roman"/>
          <w:sz w:val="19"/>
          <w:szCs w:val="19"/>
          <w:color w:val="151515"/>
        </w:rPr>
        <w:t>i</w:t>
      </w:r>
      <w:r>
        <w:rPr>
          <w:rFonts w:ascii="Times New Roman" w:cs="Times New Roman" w:eastAsia="Times New Roman" w:hAnsi="Times New Roman"/>
          <w:sz w:val="19"/>
          <w:szCs w:val="19"/>
          <w:color w:val="070707"/>
        </w:rPr>
        <w:t>s a key employee if th</w:t>
      </w:r>
      <w:r>
        <w:rPr>
          <w:rFonts w:ascii="Times New Roman" w:cs="Times New Roman" w:eastAsia="Times New Roman" w:hAnsi="Times New Roman"/>
          <w:sz w:val="19"/>
          <w:szCs w:val="19"/>
          <w:color w:val="151515"/>
        </w:rPr>
        <w:t>e</w:t>
      </w:r>
      <w:r>
        <w:rPr>
          <w:rFonts w:ascii="Times New Roman" w:cs="Times New Roman" w:eastAsia="Times New Roman" w:hAnsi="Times New Roman"/>
          <w:sz w:val="19"/>
          <w:szCs w:val="19"/>
          <w:color w:val="070707"/>
        </w:rPr>
        <w:t xml:space="preserve"> P</w:t>
      </w:r>
      <w:r>
        <w:rPr>
          <w:rFonts w:ascii="Times New Roman" w:cs="Times New Roman" w:eastAsia="Times New Roman" w:hAnsi="Times New Roman"/>
          <w:sz w:val="19"/>
          <w:szCs w:val="19"/>
          <w:color w:val="151515"/>
        </w:rPr>
        <w:t>a</w:t>
      </w:r>
      <w:r>
        <w:rPr>
          <w:rFonts w:ascii="Times New Roman" w:cs="Times New Roman" w:eastAsia="Times New Roman" w:hAnsi="Times New Roman"/>
          <w:sz w:val="19"/>
          <w:szCs w:val="19"/>
          <w:color w:val="070707"/>
        </w:rPr>
        <w:t>rticip</w:t>
      </w:r>
      <w:r>
        <w:rPr>
          <w:rFonts w:ascii="Times New Roman" w:cs="Times New Roman" w:eastAsia="Times New Roman" w:hAnsi="Times New Roman"/>
          <w:sz w:val="19"/>
          <w:szCs w:val="19"/>
          <w:color w:val="151515"/>
        </w:rPr>
        <w:t>a</w:t>
      </w:r>
      <w:r>
        <w:rPr>
          <w:rFonts w:ascii="Times New Roman" w:cs="Times New Roman" w:eastAsia="Times New Roman" w:hAnsi="Times New Roman"/>
          <w:sz w:val="19"/>
          <w:szCs w:val="19"/>
          <w:color w:val="070707"/>
        </w:rPr>
        <w:t>nt meets the requi</w:t>
      </w:r>
      <w:r>
        <w:rPr>
          <w:rFonts w:ascii="Times New Roman" w:cs="Times New Roman" w:eastAsia="Times New Roman" w:hAnsi="Times New Roman"/>
          <w:sz w:val="19"/>
          <w:szCs w:val="19"/>
          <w:color w:val="151515"/>
        </w:rPr>
        <w:t>r</w:t>
      </w:r>
      <w:r>
        <w:rPr>
          <w:rFonts w:ascii="Times New Roman" w:cs="Times New Roman" w:eastAsia="Times New Roman" w:hAnsi="Times New Roman"/>
          <w:sz w:val="19"/>
          <w:szCs w:val="19"/>
          <w:color w:val="070707"/>
        </w:rPr>
        <w:t>ements of Code Section 416(i)(l)(A)(i), (ii), or (iii) (applied in accordance wi</w:t>
      </w:r>
      <w:r>
        <w:rPr>
          <w:rFonts w:ascii="Times New Roman" w:cs="Times New Roman" w:eastAsia="Times New Roman" w:hAnsi="Times New Roman"/>
          <w:sz w:val="19"/>
          <w:szCs w:val="19"/>
          <w:color w:val="151515"/>
        </w:rPr>
        <w:t>t</w:t>
      </w:r>
      <w:r>
        <w:rPr>
          <w:rFonts w:ascii="Times New Roman" w:cs="Times New Roman" w:eastAsia="Times New Roman" w:hAnsi="Times New Roman"/>
          <w:sz w:val="19"/>
          <w:szCs w:val="19"/>
          <w:color w:val="070707"/>
        </w:rPr>
        <w:t>h the regulations thereunder and disregardi</w:t>
      </w:r>
      <w:r>
        <w:rPr>
          <w:rFonts w:ascii="Times New Roman" w:cs="Times New Roman" w:eastAsia="Times New Roman" w:hAnsi="Times New Roman"/>
          <w:sz w:val="19"/>
          <w:szCs w:val="19"/>
          <w:color w:val="151515"/>
        </w:rPr>
        <w:t>n</w:t>
      </w:r>
      <w:r>
        <w:rPr>
          <w:rFonts w:ascii="Times New Roman" w:cs="Times New Roman" w:eastAsia="Times New Roman" w:hAnsi="Times New Roman"/>
          <w:sz w:val="19"/>
          <w:szCs w:val="19"/>
          <w:color w:val="070707"/>
        </w:rPr>
        <w:t>g Code Section 416(i)(5)) at any time during the 12 month period ending on a "specified emp</w:t>
      </w:r>
      <w:r>
        <w:rPr>
          <w:rFonts w:ascii="Times New Roman" w:cs="Times New Roman" w:eastAsia="Times New Roman" w:hAnsi="Times New Roman"/>
          <w:sz w:val="19"/>
          <w:szCs w:val="19"/>
          <w:color w:val="151515"/>
        </w:rPr>
        <w:t>l</w:t>
      </w:r>
      <w:r>
        <w:rPr>
          <w:rFonts w:ascii="Times New Roman" w:cs="Times New Roman" w:eastAsia="Times New Roman" w:hAnsi="Times New Roman"/>
          <w:sz w:val="19"/>
          <w:szCs w:val="19"/>
          <w:color w:val="070707"/>
        </w:rPr>
        <w:t>oye</w:t>
      </w:r>
      <w:r>
        <w:rPr>
          <w:rFonts w:ascii="Times New Roman" w:cs="Times New Roman" w:eastAsia="Times New Roman" w:hAnsi="Times New Roman"/>
          <w:sz w:val="19"/>
          <w:szCs w:val="19"/>
          <w:color w:val="151515"/>
        </w:rPr>
        <w:t>e</w:t>
      </w:r>
      <w:r>
        <w:rPr>
          <w:rFonts w:ascii="Times New Roman" w:cs="Times New Roman" w:eastAsia="Times New Roman" w:hAnsi="Times New Roman"/>
          <w:sz w:val="19"/>
          <w:szCs w:val="19"/>
          <w:color w:val="070707"/>
        </w:rPr>
        <w:t xml:space="preserve"> identification date." If a Participant is a key employee as of a specified employee identification date, he or she shall be treated as a Specified Employee for the 12 month period beginning on the related "specified employee effective date." Unless Itron, Inc. has designated different dates in accordance with the provisions of Treasury </w:t>
      </w:r>
      <w:r>
        <w:rPr>
          <w:rFonts w:ascii="Times New Roman" w:cs="Times New Roman" w:eastAsia="Times New Roman" w:hAnsi="Times New Roman"/>
          <w:sz w:val="19"/>
          <w:szCs w:val="19"/>
          <w:color w:val="0E0E0E"/>
        </w:rPr>
        <w:t>Regulation Sections l.409A-1(i)(3), (4) and (8), the specified</w:t>
      </w:r>
      <w:r>
        <w:rPr>
          <w:rFonts w:ascii="Times New Roman" w:cs="Times New Roman" w:eastAsia="Times New Roman" w:hAnsi="Times New Roman"/>
          <w:sz w:val="19"/>
          <w:szCs w:val="19"/>
          <w:color w:val="070707"/>
        </w:rPr>
        <w:t xml:space="preserve"> </w:t>
      </w:r>
      <w:r>
        <w:rPr>
          <w:rFonts w:ascii="Times New Roman" w:cs="Times New Roman" w:eastAsia="Times New Roman" w:hAnsi="Times New Roman"/>
          <w:sz w:val="19"/>
          <w:szCs w:val="19"/>
          <w:color w:val="0E0E0E"/>
        </w:rPr>
        <w:t>employee identification date shall be December 3l of each year and the specified employee effective date shall be the following April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0"/>
          <w:szCs w:val="20"/>
          <w:color w:val="auto"/>
        </w:rPr>
      </w:pPr>
    </w:p>
    <w:p>
      <w:pPr>
        <w:spacing w:after="0"/>
        <w:tabs>
          <w:tab w:leader="none" w:pos="1070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7"/>
          <w:szCs w:val="17"/>
          <w:color w:val="151515"/>
        </w:rPr>
        <w:t>Page 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200"/>
          </w:cols>
          <w:pgMar w:left="340" w:top="1440" w:right="359" w:bottom="1440" w:gutter="0" w:footer="0" w:header="0"/>
        </w:sectPr>
      </w:pPr>
    </w:p>
    <w:bookmarkStart w:id="166" w:name="page167"/>
    <w:bookmarkEnd w:id="166"/>
    <w:p>
      <w:pPr>
        <w:spacing w:after="0" w:line="293" w:lineRule="exact"/>
        <w:rPr>
          <w:sz w:val="20"/>
          <w:szCs w:val="20"/>
          <w:color w:val="auto"/>
        </w:rPr>
      </w:pPr>
    </w:p>
    <w:p>
      <w:pPr>
        <w:ind w:left="120" w:right="60" w:firstLine="648"/>
        <w:spacing w:after="0" w:line="287" w:lineRule="auto"/>
        <w:rPr>
          <w:sz w:val="20"/>
          <w:szCs w:val="20"/>
          <w:color w:val="auto"/>
        </w:rPr>
      </w:pPr>
      <w:r>
        <w:rPr>
          <w:rFonts w:ascii="Times New Roman" w:cs="Times New Roman" w:eastAsia="Times New Roman" w:hAnsi="Times New Roman"/>
          <w:sz w:val="20"/>
          <w:szCs w:val="20"/>
          <w:b w:val="1"/>
          <w:bCs w:val="1"/>
          <w:color w:val="0E0E0E"/>
        </w:rPr>
        <w:t xml:space="preserve">2.22 </w:t>
      </w:r>
      <w:r>
        <w:rPr>
          <w:rFonts w:ascii="Times New Roman" w:cs="Times New Roman" w:eastAsia="Times New Roman" w:hAnsi="Times New Roman"/>
          <w:sz w:val="20"/>
          <w:szCs w:val="20"/>
          <w:color w:val="0E0E0E"/>
        </w:rPr>
        <w:t>"Termination" and its derivations, such as "Terminate," mean separation from service as an Employee or Director within the</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meaning of Code Section 409A and the regulations thereunder, voluntarily or involuntarily, for any reason other than death.</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0E0E0E"/>
        </w:rPr>
        <w:t xml:space="preserve">2.23 </w:t>
      </w:r>
      <w:r>
        <w:rPr>
          <w:rFonts w:ascii="Times New Roman" w:cs="Times New Roman" w:eastAsia="Times New Roman" w:hAnsi="Times New Roman"/>
          <w:sz w:val="20"/>
          <w:szCs w:val="20"/>
          <w:color w:val="0E0E0E"/>
        </w:rPr>
        <w:t>"Trust" means the Itron, Inc. Benefits Protection Trust, as now or hereafter amended and in effect.</w:t>
      </w:r>
    </w:p>
    <w:p>
      <w:pPr>
        <w:spacing w:after="0" w:line="283" w:lineRule="exact"/>
        <w:rPr>
          <w:sz w:val="20"/>
          <w:szCs w:val="20"/>
          <w:color w:val="auto"/>
        </w:rPr>
      </w:pPr>
    </w:p>
    <w:p>
      <w:pPr>
        <w:jc w:val="both"/>
        <w:ind w:left="100" w:right="40" w:firstLine="652"/>
        <w:spacing w:after="0" w:line="257" w:lineRule="auto"/>
        <w:rPr>
          <w:sz w:val="20"/>
          <w:szCs w:val="20"/>
          <w:color w:val="auto"/>
        </w:rPr>
      </w:pPr>
      <w:r>
        <w:rPr>
          <w:rFonts w:ascii="Times New Roman" w:cs="Times New Roman" w:eastAsia="Times New Roman" w:hAnsi="Times New Roman"/>
          <w:sz w:val="20"/>
          <w:szCs w:val="20"/>
          <w:b w:val="1"/>
          <w:bCs w:val="1"/>
          <w:color w:val="0E0E0E"/>
        </w:rPr>
        <w:t xml:space="preserve">2.24 </w:t>
      </w:r>
      <w:r>
        <w:rPr>
          <w:rFonts w:ascii="Times New Roman" w:cs="Times New Roman" w:eastAsia="Times New Roman" w:hAnsi="Times New Roman"/>
          <w:sz w:val="20"/>
          <w:szCs w:val="20"/>
          <w:color w:val="0E0E0E"/>
        </w:rPr>
        <w:t>"Unforeseeable Emergency" means a severe financial hardship to the Participant resulting from an illness or accident of the</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Participant, of the Participant's spouse, the Participant's Beneficiary or the Participant's dependent (as defined in Code Section 152(a)</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0E0E0E"/>
        </w:rPr>
        <w:t xml:space="preserve"> without regard to Sections 152(b)(l), (b)(2) and (d)(l)(B)), loss of the Participant's property due to casualty (including the need to rebuild a home fo</w:t>
      </w:r>
      <w:r>
        <w:rPr>
          <w:rFonts w:ascii="Times New Roman" w:cs="Times New Roman" w:eastAsia="Times New Roman" w:hAnsi="Times New Roman"/>
          <w:sz w:val="20"/>
          <w:szCs w:val="20"/>
          <w:color w:val="262626"/>
        </w:rPr>
        <w:t>ll</w:t>
      </w:r>
      <w:r>
        <w:rPr>
          <w:rFonts w:ascii="Times New Roman" w:cs="Times New Roman" w:eastAsia="Times New Roman" w:hAnsi="Times New Roman"/>
          <w:sz w:val="20"/>
          <w:szCs w:val="20"/>
          <w:color w:val="0E0E0E"/>
        </w:rPr>
        <w:t>owing d</w:t>
      </w:r>
      <w:r>
        <w:rPr>
          <w:rFonts w:ascii="Times New Roman" w:cs="Times New Roman" w:eastAsia="Times New Roman" w:hAnsi="Times New Roman"/>
          <w:sz w:val="20"/>
          <w:szCs w:val="20"/>
          <w:color w:val="262626"/>
        </w:rPr>
        <w:t>a</w:t>
      </w:r>
      <w:r>
        <w:rPr>
          <w:rFonts w:ascii="Times New Roman" w:cs="Times New Roman" w:eastAsia="Times New Roman" w:hAnsi="Times New Roman"/>
          <w:sz w:val="20"/>
          <w:szCs w:val="20"/>
          <w:color w:val="0E0E0E"/>
        </w:rPr>
        <w:t>m</w:t>
      </w:r>
      <w:r>
        <w:rPr>
          <w:rFonts w:ascii="Times New Roman" w:cs="Times New Roman" w:eastAsia="Times New Roman" w:hAnsi="Times New Roman"/>
          <w:sz w:val="20"/>
          <w:szCs w:val="20"/>
          <w:color w:val="262626"/>
        </w:rPr>
        <w:t>a</w:t>
      </w:r>
      <w:r>
        <w:rPr>
          <w:rFonts w:ascii="Times New Roman" w:cs="Times New Roman" w:eastAsia="Times New Roman" w:hAnsi="Times New Roman"/>
          <w:sz w:val="20"/>
          <w:szCs w:val="20"/>
          <w:color w:val="0E0E0E"/>
        </w:rPr>
        <w:t>ge to a home not oth</w:t>
      </w:r>
      <w:r>
        <w:rPr>
          <w:rFonts w:ascii="Times New Roman" w:cs="Times New Roman" w:eastAsia="Times New Roman" w:hAnsi="Times New Roman"/>
          <w:sz w:val="20"/>
          <w:szCs w:val="20"/>
          <w:color w:val="262626"/>
        </w:rPr>
        <w:t>e</w:t>
      </w:r>
      <w:r>
        <w:rPr>
          <w:rFonts w:ascii="Times New Roman" w:cs="Times New Roman" w:eastAsia="Times New Roman" w:hAnsi="Times New Roman"/>
          <w:sz w:val="20"/>
          <w:szCs w:val="20"/>
          <w:color w:val="0E0E0E"/>
        </w:rPr>
        <w:t>rwise covered by insurance, for example, not as a result of a natural disaster); or other similar extraordinary and unforeseeable circumstances ar</w:t>
      </w:r>
      <w:r>
        <w:rPr>
          <w:rFonts w:ascii="Times New Roman" w:cs="Times New Roman" w:eastAsia="Times New Roman" w:hAnsi="Times New Roman"/>
          <w:sz w:val="20"/>
          <w:szCs w:val="20"/>
          <w:color w:val="262626"/>
        </w:rPr>
        <w:t>i</w:t>
      </w:r>
      <w:r>
        <w:rPr>
          <w:rFonts w:ascii="Times New Roman" w:cs="Times New Roman" w:eastAsia="Times New Roman" w:hAnsi="Times New Roman"/>
          <w:sz w:val="20"/>
          <w:szCs w:val="20"/>
          <w:color w:val="0E0E0E"/>
        </w:rPr>
        <w:t>sing as a result of events beyond the control of the Participant. For example, the following m</w:t>
      </w:r>
      <w:r>
        <w:rPr>
          <w:rFonts w:ascii="Times New Roman" w:cs="Times New Roman" w:eastAsia="Times New Roman" w:hAnsi="Times New Roman"/>
          <w:sz w:val="20"/>
          <w:szCs w:val="20"/>
          <w:color w:val="262626"/>
        </w:rPr>
        <w:t>a</w:t>
      </w:r>
      <w:r>
        <w:rPr>
          <w:rFonts w:ascii="Times New Roman" w:cs="Times New Roman" w:eastAsia="Times New Roman" w:hAnsi="Times New Roman"/>
          <w:sz w:val="20"/>
          <w:szCs w:val="20"/>
          <w:color w:val="0E0E0E"/>
        </w:rPr>
        <w:t xml:space="preserve">y be Unforeseeable Emergencies: (a) the imminent foreclosure of </w:t>
      </w:r>
      <w:r>
        <w:rPr>
          <w:rFonts w:ascii="Times New Roman" w:cs="Times New Roman" w:eastAsia="Times New Roman" w:hAnsi="Times New Roman"/>
          <w:sz w:val="20"/>
          <w:szCs w:val="20"/>
          <w:color w:val="262626"/>
        </w:rPr>
        <w:t>o</w:t>
      </w:r>
      <w:r>
        <w:rPr>
          <w:rFonts w:ascii="Times New Roman" w:cs="Times New Roman" w:eastAsia="Times New Roman" w:hAnsi="Times New Roman"/>
          <w:sz w:val="20"/>
          <w:szCs w:val="20"/>
          <w:color w:val="0E0E0E"/>
        </w:rPr>
        <w:t>r eviction from the Participant</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0E0E0E"/>
        </w:rPr>
        <w:t>s primary residence m</w:t>
      </w:r>
      <w:r>
        <w:rPr>
          <w:rFonts w:ascii="Times New Roman" w:cs="Times New Roman" w:eastAsia="Times New Roman" w:hAnsi="Times New Roman"/>
          <w:sz w:val="20"/>
          <w:szCs w:val="20"/>
          <w:color w:val="262626"/>
        </w:rPr>
        <w:t>a</w:t>
      </w:r>
      <w:r>
        <w:rPr>
          <w:rFonts w:ascii="Times New Roman" w:cs="Times New Roman" w:eastAsia="Times New Roman" w:hAnsi="Times New Roman"/>
          <w:sz w:val="20"/>
          <w:szCs w:val="20"/>
          <w:color w:val="0E0E0E"/>
        </w:rPr>
        <w:t>y cons</w:t>
      </w:r>
      <w:r>
        <w:rPr>
          <w:rFonts w:ascii="Times New Roman" w:cs="Times New Roman" w:eastAsia="Times New Roman" w:hAnsi="Times New Roman"/>
          <w:sz w:val="20"/>
          <w:szCs w:val="20"/>
          <w:color w:val="262626"/>
        </w:rPr>
        <w:t>t</w:t>
      </w:r>
      <w:r>
        <w:rPr>
          <w:rFonts w:ascii="Times New Roman" w:cs="Times New Roman" w:eastAsia="Times New Roman" w:hAnsi="Times New Roman"/>
          <w:sz w:val="20"/>
          <w:szCs w:val="20"/>
          <w:color w:val="0E0E0E"/>
        </w:rPr>
        <w:t xml:space="preserve">itute </w:t>
      </w:r>
      <w:r>
        <w:rPr>
          <w:rFonts w:ascii="Times New Roman" w:cs="Times New Roman" w:eastAsia="Times New Roman" w:hAnsi="Times New Roman"/>
          <w:sz w:val="20"/>
          <w:szCs w:val="20"/>
          <w:color w:val="262626"/>
        </w:rPr>
        <w:t>a</w:t>
      </w:r>
      <w:r>
        <w:rPr>
          <w:rFonts w:ascii="Times New Roman" w:cs="Times New Roman" w:eastAsia="Times New Roman" w:hAnsi="Times New Roman"/>
          <w:sz w:val="20"/>
          <w:szCs w:val="20"/>
          <w:color w:val="0E0E0E"/>
        </w:rPr>
        <w:t>n Unforeseeable Emergency; (b) the need to pay for medic</w:t>
      </w:r>
      <w:r>
        <w:rPr>
          <w:rFonts w:ascii="Times New Roman" w:cs="Times New Roman" w:eastAsia="Times New Roman" w:hAnsi="Times New Roman"/>
          <w:sz w:val="20"/>
          <w:szCs w:val="20"/>
          <w:color w:val="262626"/>
        </w:rPr>
        <w:t>a</w:t>
      </w:r>
      <w:r>
        <w:rPr>
          <w:rFonts w:ascii="Times New Roman" w:cs="Times New Roman" w:eastAsia="Times New Roman" w:hAnsi="Times New Roman"/>
          <w:sz w:val="20"/>
          <w:szCs w:val="20"/>
          <w:color w:val="0E0E0E"/>
        </w:rPr>
        <w:t>l e</w:t>
      </w:r>
      <w:r>
        <w:rPr>
          <w:rFonts w:ascii="Times New Roman" w:cs="Times New Roman" w:eastAsia="Times New Roman" w:hAnsi="Times New Roman"/>
          <w:sz w:val="20"/>
          <w:szCs w:val="20"/>
          <w:color w:val="262626"/>
        </w:rPr>
        <w:t>x</w:t>
      </w:r>
      <w:r>
        <w:rPr>
          <w:rFonts w:ascii="Times New Roman" w:cs="Times New Roman" w:eastAsia="Times New Roman" w:hAnsi="Times New Roman"/>
          <w:sz w:val="20"/>
          <w:szCs w:val="20"/>
          <w:color w:val="0E0E0E"/>
        </w:rPr>
        <w:t>pen</w:t>
      </w:r>
      <w:r>
        <w:rPr>
          <w:rFonts w:ascii="Times New Roman" w:cs="Times New Roman" w:eastAsia="Times New Roman" w:hAnsi="Times New Roman"/>
          <w:sz w:val="20"/>
          <w:szCs w:val="20"/>
          <w:color w:val="262626"/>
        </w:rPr>
        <w:t>s</w:t>
      </w:r>
      <w:r>
        <w:rPr>
          <w:rFonts w:ascii="Times New Roman" w:cs="Times New Roman" w:eastAsia="Times New Roman" w:hAnsi="Times New Roman"/>
          <w:sz w:val="20"/>
          <w:szCs w:val="20"/>
          <w:color w:val="0E0E0E"/>
        </w:rPr>
        <w:t>es</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0E0E0E"/>
        </w:rPr>
        <w:t xml:space="preserve"> including nonrefundab</w:t>
      </w:r>
      <w:r>
        <w:rPr>
          <w:rFonts w:ascii="Times New Roman" w:cs="Times New Roman" w:eastAsia="Times New Roman" w:hAnsi="Times New Roman"/>
          <w:sz w:val="20"/>
          <w:szCs w:val="20"/>
          <w:color w:val="262626"/>
        </w:rPr>
        <w:t>l</w:t>
      </w:r>
      <w:r>
        <w:rPr>
          <w:rFonts w:ascii="Times New Roman" w:cs="Times New Roman" w:eastAsia="Times New Roman" w:hAnsi="Times New Roman"/>
          <w:sz w:val="20"/>
          <w:szCs w:val="20"/>
          <w:color w:val="0E0E0E"/>
        </w:rPr>
        <w:t>e deduct</w:t>
      </w:r>
      <w:r>
        <w:rPr>
          <w:rFonts w:ascii="Times New Roman" w:cs="Times New Roman" w:eastAsia="Times New Roman" w:hAnsi="Times New Roman"/>
          <w:sz w:val="20"/>
          <w:szCs w:val="20"/>
          <w:color w:val="262626"/>
        </w:rPr>
        <w:t>ibl</w:t>
      </w:r>
      <w:r>
        <w:rPr>
          <w:rFonts w:ascii="Times New Roman" w:cs="Times New Roman" w:eastAsia="Times New Roman" w:hAnsi="Times New Roman"/>
          <w:sz w:val="20"/>
          <w:szCs w:val="20"/>
          <w:color w:val="0E0E0E"/>
        </w:rPr>
        <w:t>es, as well as for the costs o</w:t>
      </w:r>
      <w:r>
        <w:rPr>
          <w:rFonts w:ascii="Times New Roman" w:cs="Times New Roman" w:eastAsia="Times New Roman" w:hAnsi="Times New Roman"/>
          <w:sz w:val="20"/>
          <w:szCs w:val="20"/>
          <w:color w:val="262626"/>
        </w:rPr>
        <w:t>f</w:t>
      </w:r>
      <w:r>
        <w:rPr>
          <w:rFonts w:ascii="Times New Roman" w:cs="Times New Roman" w:eastAsia="Times New Roman" w:hAnsi="Times New Roman"/>
          <w:sz w:val="20"/>
          <w:szCs w:val="20"/>
          <w:color w:val="0E0E0E"/>
        </w:rPr>
        <w:t xml:space="preserve"> prescription drug medication may constitute an Unforeseeable Emergency; </w:t>
      </w:r>
      <w:r>
        <w:rPr>
          <w:rFonts w:ascii="Times New Roman" w:cs="Times New Roman" w:eastAsia="Times New Roman" w:hAnsi="Times New Roman"/>
          <w:sz w:val="20"/>
          <w:szCs w:val="20"/>
          <w:color w:val="262626"/>
        </w:rPr>
        <w:t>o</w:t>
      </w:r>
      <w:r>
        <w:rPr>
          <w:rFonts w:ascii="Times New Roman" w:cs="Times New Roman" w:eastAsia="Times New Roman" w:hAnsi="Times New Roman"/>
          <w:sz w:val="20"/>
          <w:szCs w:val="20"/>
          <w:color w:val="0E0E0E"/>
        </w:rPr>
        <w:t>r (c) the need to pay for the funer</w:t>
      </w:r>
      <w:r>
        <w:rPr>
          <w:rFonts w:ascii="Times New Roman" w:cs="Times New Roman" w:eastAsia="Times New Roman" w:hAnsi="Times New Roman"/>
          <w:sz w:val="20"/>
          <w:szCs w:val="20"/>
          <w:color w:val="262626"/>
        </w:rPr>
        <w:t>a</w:t>
      </w:r>
      <w:r>
        <w:rPr>
          <w:rFonts w:ascii="Times New Roman" w:cs="Times New Roman" w:eastAsia="Times New Roman" w:hAnsi="Times New Roman"/>
          <w:sz w:val="20"/>
          <w:szCs w:val="20"/>
          <w:color w:val="0E0E0E"/>
        </w:rPr>
        <w:t>l expenses o</w:t>
      </w:r>
      <w:r>
        <w:rPr>
          <w:rFonts w:ascii="Times New Roman" w:cs="Times New Roman" w:eastAsia="Times New Roman" w:hAnsi="Times New Roman"/>
          <w:sz w:val="20"/>
          <w:szCs w:val="20"/>
          <w:color w:val="262626"/>
        </w:rPr>
        <w:t>f</w:t>
      </w:r>
      <w:r>
        <w:rPr>
          <w:rFonts w:ascii="Times New Roman" w:cs="Times New Roman" w:eastAsia="Times New Roman" w:hAnsi="Times New Roman"/>
          <w:sz w:val="20"/>
          <w:szCs w:val="20"/>
          <w:color w:val="0E0E0E"/>
        </w:rPr>
        <w:t xml:space="preserve"> a sp</w:t>
      </w:r>
      <w:r>
        <w:rPr>
          <w:rFonts w:ascii="Times New Roman" w:cs="Times New Roman" w:eastAsia="Times New Roman" w:hAnsi="Times New Roman"/>
          <w:sz w:val="20"/>
          <w:szCs w:val="20"/>
          <w:color w:val="262626"/>
        </w:rPr>
        <w:t>o</w:t>
      </w:r>
      <w:r>
        <w:rPr>
          <w:rFonts w:ascii="Times New Roman" w:cs="Times New Roman" w:eastAsia="Times New Roman" w:hAnsi="Times New Roman"/>
          <w:sz w:val="20"/>
          <w:szCs w:val="20"/>
          <w:color w:val="0E0E0E"/>
        </w:rPr>
        <w:t>use</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0E0E0E"/>
        </w:rPr>
        <w:t xml:space="preserve"> a Beneficiary, or a dependent (</w:t>
      </w:r>
      <w:r>
        <w:rPr>
          <w:rFonts w:ascii="Times New Roman" w:cs="Times New Roman" w:eastAsia="Times New Roman" w:hAnsi="Times New Roman"/>
          <w:sz w:val="20"/>
          <w:szCs w:val="20"/>
          <w:color w:val="262626"/>
        </w:rPr>
        <w:t>as</w:t>
      </w:r>
      <w:r>
        <w:rPr>
          <w:rFonts w:ascii="Times New Roman" w:cs="Times New Roman" w:eastAsia="Times New Roman" w:hAnsi="Times New Roman"/>
          <w:sz w:val="20"/>
          <w:szCs w:val="20"/>
          <w:color w:val="0E0E0E"/>
        </w:rPr>
        <w:t xml:space="preserve"> defined </w:t>
      </w:r>
      <w:r>
        <w:rPr>
          <w:rFonts w:ascii="Times New Roman" w:cs="Times New Roman" w:eastAsia="Times New Roman" w:hAnsi="Times New Roman"/>
          <w:sz w:val="20"/>
          <w:szCs w:val="20"/>
          <w:color w:val="262626"/>
        </w:rPr>
        <w:t>i</w:t>
      </w:r>
      <w:r>
        <w:rPr>
          <w:rFonts w:ascii="Times New Roman" w:cs="Times New Roman" w:eastAsia="Times New Roman" w:hAnsi="Times New Roman"/>
          <w:sz w:val="20"/>
          <w:szCs w:val="20"/>
          <w:color w:val="0E0E0E"/>
        </w:rPr>
        <w:t>n Code Section 152</w:t>
      </w:r>
      <w:r>
        <w:rPr>
          <w:rFonts w:ascii="Times New Roman" w:cs="Times New Roman" w:eastAsia="Times New Roman" w:hAnsi="Times New Roman"/>
          <w:sz w:val="20"/>
          <w:szCs w:val="20"/>
          <w:color w:val="3B3B3B"/>
        </w:rPr>
        <w:t>,</w:t>
      </w:r>
      <w:r>
        <w:rPr>
          <w:rFonts w:ascii="Times New Roman" w:cs="Times New Roman" w:eastAsia="Times New Roman" w:hAnsi="Times New Roman"/>
          <w:sz w:val="20"/>
          <w:szCs w:val="20"/>
          <w:color w:val="0E0E0E"/>
        </w:rPr>
        <w:t xml:space="preserve"> without reg</w:t>
      </w:r>
      <w:r>
        <w:rPr>
          <w:rFonts w:ascii="Times New Roman" w:cs="Times New Roman" w:eastAsia="Times New Roman" w:hAnsi="Times New Roman"/>
          <w:sz w:val="20"/>
          <w:szCs w:val="20"/>
          <w:color w:val="262626"/>
        </w:rPr>
        <w:t>a</w:t>
      </w:r>
      <w:r>
        <w:rPr>
          <w:rFonts w:ascii="Times New Roman" w:cs="Times New Roman" w:eastAsia="Times New Roman" w:hAnsi="Times New Roman"/>
          <w:sz w:val="20"/>
          <w:szCs w:val="20"/>
          <w:color w:val="0E0E0E"/>
        </w:rPr>
        <w:t>rd to Sections l52(b)</w:t>
      </w:r>
      <w:r>
        <w:rPr>
          <w:rFonts w:ascii="Times New Roman" w:cs="Times New Roman" w:eastAsia="Times New Roman" w:hAnsi="Times New Roman"/>
          <w:sz w:val="20"/>
          <w:szCs w:val="20"/>
          <w:color w:val="262626"/>
        </w:rPr>
        <w:t>(1</w:t>
      </w:r>
      <w:r>
        <w:rPr>
          <w:rFonts w:ascii="Times New Roman" w:cs="Times New Roman" w:eastAsia="Times New Roman" w:hAnsi="Times New Roman"/>
          <w:sz w:val="20"/>
          <w:szCs w:val="20"/>
          <w:color w:val="0E0E0E"/>
        </w:rPr>
        <w:t xml:space="preserve">), (b)(2) and (d)(l)(B)). </w:t>
      </w:r>
      <w:r>
        <w:rPr>
          <w:rFonts w:ascii="Times New Roman" w:cs="Times New Roman" w:eastAsia="Times New Roman" w:hAnsi="Times New Roman"/>
          <w:sz w:val="20"/>
          <w:szCs w:val="20"/>
          <w:color w:val="262626"/>
        </w:rPr>
        <w:t>E</w:t>
      </w:r>
      <w:r>
        <w:rPr>
          <w:rFonts w:ascii="Times New Roman" w:cs="Times New Roman" w:eastAsia="Times New Roman" w:hAnsi="Times New Roman"/>
          <w:sz w:val="20"/>
          <w:szCs w:val="20"/>
          <w:color w:val="0E0E0E"/>
        </w:rPr>
        <w:t>xamples o</w:t>
      </w:r>
      <w:r>
        <w:rPr>
          <w:rFonts w:ascii="Times New Roman" w:cs="Times New Roman" w:eastAsia="Times New Roman" w:hAnsi="Times New Roman"/>
          <w:sz w:val="20"/>
          <w:szCs w:val="20"/>
          <w:color w:val="262626"/>
        </w:rPr>
        <w:t xml:space="preserve">f </w:t>
      </w:r>
      <w:r>
        <w:rPr>
          <w:rFonts w:ascii="Times New Roman" w:cs="Times New Roman" w:eastAsia="Times New Roman" w:hAnsi="Times New Roman"/>
          <w:sz w:val="20"/>
          <w:szCs w:val="20"/>
          <w:color w:val="0E0E0E"/>
        </w:rPr>
        <w:t>events not considered Unfo</w:t>
      </w:r>
      <w:r>
        <w:rPr>
          <w:rFonts w:ascii="Times New Roman" w:cs="Times New Roman" w:eastAsia="Times New Roman" w:hAnsi="Times New Roman"/>
          <w:sz w:val="20"/>
          <w:szCs w:val="20"/>
          <w:color w:val="262626"/>
        </w:rPr>
        <w:t>r</w:t>
      </w:r>
      <w:r>
        <w:rPr>
          <w:rFonts w:ascii="Times New Roman" w:cs="Times New Roman" w:eastAsia="Times New Roman" w:hAnsi="Times New Roman"/>
          <w:sz w:val="20"/>
          <w:szCs w:val="20"/>
          <w:color w:val="0E0E0E"/>
        </w:rPr>
        <w:t>esee</w:t>
      </w:r>
      <w:r>
        <w:rPr>
          <w:rFonts w:ascii="Times New Roman" w:cs="Times New Roman" w:eastAsia="Times New Roman" w:hAnsi="Times New Roman"/>
          <w:sz w:val="20"/>
          <w:szCs w:val="20"/>
          <w:color w:val="262626"/>
        </w:rPr>
        <w:t>a</w:t>
      </w:r>
      <w:r>
        <w:rPr>
          <w:rFonts w:ascii="Times New Roman" w:cs="Times New Roman" w:eastAsia="Times New Roman" w:hAnsi="Times New Roman"/>
          <w:sz w:val="20"/>
          <w:szCs w:val="20"/>
          <w:color w:val="0E0E0E"/>
        </w:rPr>
        <w:t>ble Emergen</w:t>
      </w:r>
      <w:r>
        <w:rPr>
          <w:rFonts w:ascii="Times New Roman" w:cs="Times New Roman" w:eastAsia="Times New Roman" w:hAnsi="Times New Roman"/>
          <w:sz w:val="20"/>
          <w:szCs w:val="20"/>
          <w:color w:val="262626"/>
        </w:rPr>
        <w:t>c</w:t>
      </w:r>
      <w:r>
        <w:rPr>
          <w:rFonts w:ascii="Times New Roman" w:cs="Times New Roman" w:eastAsia="Times New Roman" w:hAnsi="Times New Roman"/>
          <w:sz w:val="20"/>
          <w:szCs w:val="20"/>
          <w:color w:val="0E0E0E"/>
        </w:rPr>
        <w:t>ies include the need to pay for tu</w:t>
      </w:r>
      <w:r>
        <w:rPr>
          <w:rFonts w:ascii="Times New Roman" w:cs="Times New Roman" w:eastAsia="Times New Roman" w:hAnsi="Times New Roman"/>
          <w:sz w:val="20"/>
          <w:szCs w:val="20"/>
          <w:color w:val="262626"/>
        </w:rPr>
        <w:t>i</w:t>
      </w:r>
      <w:r>
        <w:rPr>
          <w:rFonts w:ascii="Times New Roman" w:cs="Times New Roman" w:eastAsia="Times New Roman" w:hAnsi="Times New Roman"/>
          <w:sz w:val="20"/>
          <w:szCs w:val="20"/>
          <w:color w:val="0E0E0E"/>
        </w:rPr>
        <w:t>tion or the desire to purchase a home.</w:t>
      </w:r>
    </w:p>
    <w:p>
      <w:pPr>
        <w:spacing w:after="0" w:line="237" w:lineRule="exact"/>
        <w:rPr>
          <w:sz w:val="20"/>
          <w:szCs w:val="20"/>
          <w:color w:val="auto"/>
        </w:rPr>
      </w:pPr>
    </w:p>
    <w:p>
      <w:pPr>
        <w:jc w:val="both"/>
        <w:ind w:left="100" w:right="60" w:firstLine="648"/>
        <w:spacing w:after="0" w:line="287" w:lineRule="auto"/>
        <w:rPr>
          <w:sz w:val="20"/>
          <w:szCs w:val="20"/>
          <w:color w:val="auto"/>
        </w:rPr>
      </w:pPr>
      <w:r>
        <w:rPr>
          <w:rFonts w:ascii="Times New Roman" w:cs="Times New Roman" w:eastAsia="Times New Roman" w:hAnsi="Times New Roman"/>
          <w:sz w:val="20"/>
          <w:szCs w:val="20"/>
          <w:b w:val="1"/>
          <w:bCs w:val="1"/>
          <w:color w:val="0E0E0E"/>
        </w:rPr>
        <w:t xml:space="preserve">2.25 </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0E0E0E"/>
        </w:rPr>
        <w:t>Y</w:t>
      </w:r>
      <w:r>
        <w:rPr>
          <w:rFonts w:ascii="Times New Roman" w:cs="Times New Roman" w:eastAsia="Times New Roman" w:hAnsi="Times New Roman"/>
          <w:sz w:val="20"/>
          <w:szCs w:val="20"/>
          <w:color w:val="262626"/>
        </w:rPr>
        <w:t>ea</w:t>
      </w:r>
      <w:r>
        <w:rPr>
          <w:rFonts w:ascii="Times New Roman" w:cs="Times New Roman" w:eastAsia="Times New Roman" w:hAnsi="Times New Roman"/>
          <w:sz w:val="20"/>
          <w:szCs w:val="20"/>
          <w:color w:val="0E0E0E"/>
        </w:rPr>
        <w:t>r of Service" mea</w:t>
      </w:r>
      <w:r>
        <w:rPr>
          <w:rFonts w:ascii="Times New Roman" w:cs="Times New Roman" w:eastAsia="Times New Roman" w:hAnsi="Times New Roman"/>
          <w:sz w:val="20"/>
          <w:szCs w:val="20"/>
          <w:color w:val="262626"/>
        </w:rPr>
        <w:t>n</w:t>
      </w:r>
      <w:r>
        <w:rPr>
          <w:rFonts w:ascii="Times New Roman" w:cs="Times New Roman" w:eastAsia="Times New Roman" w:hAnsi="Times New Roman"/>
          <w:sz w:val="20"/>
          <w:szCs w:val="20"/>
          <w:color w:val="0E0E0E"/>
        </w:rPr>
        <w:t>s twelve consecutive months o</w:t>
      </w:r>
      <w:r>
        <w:rPr>
          <w:rFonts w:ascii="Times New Roman" w:cs="Times New Roman" w:eastAsia="Times New Roman" w:hAnsi="Times New Roman"/>
          <w:sz w:val="20"/>
          <w:szCs w:val="20"/>
          <w:color w:val="262626"/>
        </w:rPr>
        <w:t>f</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employment wi</w:t>
      </w:r>
      <w:r>
        <w:rPr>
          <w:rFonts w:ascii="Times New Roman" w:cs="Times New Roman" w:eastAsia="Times New Roman" w:hAnsi="Times New Roman"/>
          <w:sz w:val="20"/>
          <w:szCs w:val="20"/>
          <w:color w:val="262626"/>
        </w:rPr>
        <w:t>t</w:t>
      </w:r>
      <w:r>
        <w:rPr>
          <w:rFonts w:ascii="Times New Roman" w:cs="Times New Roman" w:eastAsia="Times New Roman" w:hAnsi="Times New Roman"/>
          <w:sz w:val="20"/>
          <w:szCs w:val="20"/>
          <w:color w:val="0E0E0E"/>
        </w:rPr>
        <w:t>h the Company, or in the case of a Director-Participant tw</w:t>
      </w:r>
      <w:r>
        <w:rPr>
          <w:rFonts w:ascii="Times New Roman" w:cs="Times New Roman" w:eastAsia="Times New Roman" w:hAnsi="Times New Roman"/>
          <w:sz w:val="20"/>
          <w:szCs w:val="20"/>
          <w:color w:val="262626"/>
        </w:rPr>
        <w:t>e</w:t>
      </w:r>
      <w:r>
        <w:rPr>
          <w:rFonts w:ascii="Times New Roman" w:cs="Times New Roman" w:eastAsia="Times New Roman" w:hAnsi="Times New Roman"/>
          <w:sz w:val="20"/>
          <w:szCs w:val="20"/>
          <w:color w:val="0E0E0E"/>
        </w:rPr>
        <w:t>lve cons</w:t>
      </w:r>
      <w:r>
        <w:rPr>
          <w:rFonts w:ascii="Times New Roman" w:cs="Times New Roman" w:eastAsia="Times New Roman" w:hAnsi="Times New Roman"/>
          <w:sz w:val="20"/>
          <w:szCs w:val="20"/>
          <w:color w:val="262626"/>
        </w:rPr>
        <w:t>e</w:t>
      </w:r>
      <w:r>
        <w:rPr>
          <w:rFonts w:ascii="Times New Roman" w:cs="Times New Roman" w:eastAsia="Times New Roman" w:hAnsi="Times New Roman"/>
          <w:sz w:val="20"/>
          <w:szCs w:val="20"/>
          <w:color w:val="0E0E0E"/>
        </w:rPr>
        <w:t>cutive months of servic</w:t>
      </w:r>
      <w:r>
        <w:rPr>
          <w:rFonts w:ascii="Times New Roman" w:cs="Times New Roman" w:eastAsia="Times New Roman" w:hAnsi="Times New Roman"/>
          <w:sz w:val="20"/>
          <w:szCs w:val="20"/>
          <w:color w:val="262626"/>
        </w:rPr>
        <w:t>e</w:t>
      </w:r>
      <w:r>
        <w:rPr>
          <w:rFonts w:ascii="Times New Roman" w:cs="Times New Roman" w:eastAsia="Times New Roman" w:hAnsi="Times New Roman"/>
          <w:sz w:val="20"/>
          <w:szCs w:val="20"/>
          <w:color w:val="0E0E0E"/>
        </w:rPr>
        <w:t xml:space="preserve"> on the Board</w:t>
      </w:r>
      <w:r>
        <w:rPr>
          <w:rFonts w:ascii="Times New Roman" w:cs="Times New Roman" w:eastAsia="Times New Roman" w:hAnsi="Times New Roman"/>
          <w:sz w:val="20"/>
          <w:szCs w:val="20"/>
          <w:color w:val="262626"/>
        </w:rPr>
        <w: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E0E0E"/>
        </w:rPr>
        <w:t>ARTICLE III. ELIGIBILITY AND PARTICIPATION</w:t>
      </w:r>
    </w:p>
    <w:p>
      <w:pPr>
        <w:spacing w:after="0" w:line="251" w:lineRule="exact"/>
        <w:rPr>
          <w:sz w:val="20"/>
          <w:szCs w:val="20"/>
          <w:color w:val="auto"/>
        </w:rPr>
      </w:pPr>
    </w:p>
    <w:p>
      <w:pPr>
        <w:jc w:val="both"/>
        <w:ind w:left="100" w:right="80" w:firstLine="643"/>
        <w:spacing w:after="0" w:line="274" w:lineRule="auto"/>
        <w:rPr>
          <w:sz w:val="20"/>
          <w:szCs w:val="20"/>
          <w:color w:val="auto"/>
        </w:rPr>
      </w:pPr>
      <w:r>
        <w:rPr>
          <w:rFonts w:ascii="Times New Roman" w:cs="Times New Roman" w:eastAsia="Times New Roman" w:hAnsi="Times New Roman"/>
          <w:sz w:val="20"/>
          <w:szCs w:val="20"/>
          <w:b w:val="1"/>
          <w:bCs w:val="1"/>
          <w:color w:val="0E0E0E"/>
        </w:rPr>
        <w:t xml:space="preserve">3.1 Eligibility. </w:t>
      </w:r>
      <w:r>
        <w:rPr>
          <w:rFonts w:ascii="Times New Roman" w:cs="Times New Roman" w:eastAsia="Times New Roman" w:hAnsi="Times New Roman"/>
          <w:sz w:val="20"/>
          <w:szCs w:val="20"/>
          <w:color w:val="0E0E0E"/>
        </w:rPr>
        <w:t>All executive officers of Itron, Inc., and such other employees of the Company as the Board may designate from</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time to time, shall be eligible to participate in the Plan as of the date designated by the Board; prov</w:t>
      </w:r>
      <w:r>
        <w:rPr>
          <w:rFonts w:ascii="Times New Roman" w:cs="Times New Roman" w:eastAsia="Times New Roman" w:hAnsi="Times New Roman"/>
          <w:sz w:val="20"/>
          <w:szCs w:val="20"/>
          <w:color w:val="262626"/>
        </w:rPr>
        <w:t>i</w:t>
      </w:r>
      <w:r>
        <w:rPr>
          <w:rFonts w:ascii="Times New Roman" w:cs="Times New Roman" w:eastAsia="Times New Roman" w:hAnsi="Times New Roman"/>
          <w:sz w:val="20"/>
          <w:szCs w:val="20"/>
          <w:color w:val="0E0E0E"/>
        </w:rPr>
        <w:t>ded, however, that the Board may revoke an active Participant's privilege to make prospective deferrals to this Plan at any time. Each Director of Itron, Inc. shall be eligible to participate in the Plan on January 1, 2012 or upon his or her later election to the Board.</w:t>
      </w:r>
    </w:p>
    <w:p>
      <w:pPr>
        <w:spacing w:after="0" w:line="205" w:lineRule="exact"/>
        <w:rPr>
          <w:sz w:val="20"/>
          <w:szCs w:val="20"/>
          <w:color w:val="auto"/>
        </w:rPr>
      </w:pPr>
    </w:p>
    <w:p>
      <w:pPr>
        <w:jc w:val="both"/>
        <w:ind w:left="80" w:right="80" w:firstLine="643"/>
        <w:spacing w:after="0" w:line="301" w:lineRule="auto"/>
        <w:rPr>
          <w:sz w:val="20"/>
          <w:szCs w:val="20"/>
          <w:color w:val="auto"/>
        </w:rPr>
      </w:pPr>
      <w:r>
        <w:rPr>
          <w:rFonts w:ascii="Times New Roman" w:cs="Times New Roman" w:eastAsia="Times New Roman" w:hAnsi="Times New Roman"/>
          <w:sz w:val="20"/>
          <w:szCs w:val="20"/>
          <w:b w:val="1"/>
          <w:bCs w:val="1"/>
          <w:color w:val="0E0E0E"/>
        </w:rPr>
        <w:t xml:space="preserve">3.2 Participation. </w:t>
      </w:r>
      <w:r>
        <w:rPr>
          <w:rFonts w:ascii="Times New Roman" w:cs="Times New Roman" w:eastAsia="Times New Roman" w:hAnsi="Times New Roman"/>
          <w:sz w:val="20"/>
          <w:szCs w:val="20"/>
          <w:color w:val="0E0E0E"/>
        </w:rPr>
        <w:t>An Eligible Employee or Eligible Director shall become a Participant by completing a Deferral Agreement and</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filing it with the Company in accordance with Article IV below.</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E0E0E"/>
        </w:rPr>
        <w:t>ARTICLE IV. DEFERRALS</w:t>
      </w:r>
    </w:p>
    <w:p>
      <w:pPr>
        <w:spacing w:after="0" w:line="2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b w:val="1"/>
          <w:bCs w:val="1"/>
          <w:color w:val="0E0E0E"/>
        </w:rPr>
        <w:t xml:space="preserve">4.1 </w:t>
      </w:r>
      <w:r>
        <w:rPr>
          <w:rFonts w:ascii="Times New Roman" w:cs="Times New Roman" w:eastAsia="Times New Roman" w:hAnsi="Times New Roman"/>
          <w:sz w:val="19"/>
          <w:szCs w:val="19"/>
          <w:b w:val="1"/>
          <w:bCs w:val="1"/>
          <w:color w:val="0E0E0E"/>
        </w:rPr>
        <w:t>Salary Deferrals.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070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7"/>
          <w:szCs w:val="17"/>
          <w:color w:val="151515"/>
        </w:rPr>
        <w:t>Page 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200"/>
          </w:cols>
          <w:pgMar w:left="340" w:top="1440" w:right="359" w:bottom="1440" w:gutter="0" w:footer="0" w:header="0"/>
        </w:sectPr>
      </w:pPr>
    </w:p>
    <w:bookmarkStart w:id="167" w:name="page168"/>
    <w:bookmarkEnd w:id="167"/>
    <w:p>
      <w:pPr>
        <w:spacing w:after="0" w:line="41" w:lineRule="exact"/>
        <w:rPr>
          <w:sz w:val="20"/>
          <w:szCs w:val="20"/>
          <w:color w:val="auto"/>
        </w:rPr>
      </w:pPr>
    </w:p>
    <w:p>
      <w:pPr>
        <w:jc w:val="both"/>
        <w:ind w:left="120" w:right="40" w:firstLine="1950"/>
        <w:spacing w:after="0" w:line="266" w:lineRule="auto"/>
        <w:tabs>
          <w:tab w:leader="none" w:pos="2355" w:val="left"/>
        </w:tabs>
        <w:numPr>
          <w:ilvl w:val="0"/>
          <w:numId w:val="91"/>
        </w:numPr>
        <w:rPr>
          <w:rFonts w:ascii="Times New Roman" w:cs="Times New Roman" w:eastAsia="Times New Roman" w:hAnsi="Times New Roman"/>
          <w:sz w:val="20"/>
          <w:szCs w:val="20"/>
          <w:color w:val="0D0D0D"/>
        </w:rPr>
      </w:pPr>
      <w:r>
        <w:rPr>
          <w:rFonts w:ascii="Times New Roman" w:cs="Times New Roman" w:eastAsia="Times New Roman" w:hAnsi="Times New Roman"/>
          <w:sz w:val="20"/>
          <w:szCs w:val="20"/>
          <w:color w:val="0D0D0D"/>
        </w:rPr>
        <w:t>Prior to the beginning of each calendar year, an Eligible Employee may elect to defer receipt of up to fifty percent (50%) (or such other percentage as may be determined by the Compensation Committee) of the Salary that he or she anticipates earning for services performed during such calendar year. Such election shall be made by filing a Deferral Agreement with the Company in the manner and by the time specified by the Administrator; provided, however, that such Deferral Agreement must be filed with the Company prior to the first day of the first calendar year for which it is to be effective and shall become irrevocable with respect to a calendar year on the last day of the calendar year immediately preceding such c</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lendar year ( or such earlier dat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as the Administrator may prescrib</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Notwi</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D0D0D"/>
        </w:rPr>
        <w:t xml:space="preserve">hstanding the foregoing, an Eligible </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mployee who first becomes eligible to p</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rticipat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in the </w:t>
      </w:r>
      <w:r>
        <w:rPr>
          <w:rFonts w:ascii="Times New Roman" w:cs="Times New Roman" w:eastAsia="Times New Roman" w:hAnsi="Times New Roman"/>
          <w:sz w:val="20"/>
          <w:szCs w:val="20"/>
          <w:color w:val="1F1F1F"/>
        </w:rPr>
        <w:t>P</w:t>
      </w:r>
      <w:r>
        <w:rPr>
          <w:rFonts w:ascii="Times New Roman" w:cs="Times New Roman" w:eastAsia="Times New Roman" w:hAnsi="Times New Roman"/>
          <w:sz w:val="20"/>
          <w:szCs w:val="20"/>
          <w:color w:val="0D0D0D"/>
        </w:rPr>
        <w:t>lan during a calend</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r year may elect to d</w:t>
      </w:r>
      <w:r>
        <w:rPr>
          <w:rFonts w:ascii="Times New Roman" w:cs="Times New Roman" w:eastAsia="Times New Roman" w:hAnsi="Times New Roman"/>
          <w:sz w:val="20"/>
          <w:szCs w:val="20"/>
          <w:color w:val="1F1F1F"/>
        </w:rPr>
        <w:t>efe</w:t>
      </w:r>
      <w:r>
        <w:rPr>
          <w:rFonts w:ascii="Times New Roman" w:cs="Times New Roman" w:eastAsia="Times New Roman" w:hAnsi="Times New Roman"/>
          <w:sz w:val="20"/>
          <w:szCs w:val="20"/>
          <w:color w:val="0D0D0D"/>
        </w:rPr>
        <w:t>r S</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lary that has not y</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t be</w:t>
      </w:r>
      <w:r>
        <w:rPr>
          <w:rFonts w:ascii="Times New Roman" w:cs="Times New Roman" w:eastAsia="Times New Roman" w:hAnsi="Times New Roman"/>
          <w:sz w:val="20"/>
          <w:szCs w:val="20"/>
          <w:color w:val="1F1F1F"/>
        </w:rPr>
        <w:t>en</w:t>
      </w:r>
      <w:r>
        <w:rPr>
          <w:rFonts w:ascii="Times New Roman" w:cs="Times New Roman" w:eastAsia="Times New Roman" w:hAnsi="Times New Roman"/>
          <w:sz w:val="20"/>
          <w:szCs w:val="20"/>
          <w:color w:val="0D0D0D"/>
        </w:rPr>
        <w:t xml:space="preserve"> e</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rned in that c</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lendar year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s o</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D0D0D"/>
        </w:rPr>
        <w:t xml:space="preserve"> the date his or 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r Deferral Agreement is filed with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Company) within thirty (30) d</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 xml:space="preserve">ys </w:t>
      </w:r>
      <w:r>
        <w:rPr>
          <w:rFonts w:ascii="Times New Roman" w:cs="Times New Roman" w:eastAsia="Times New Roman" w:hAnsi="Times New Roman"/>
          <w:sz w:val="20"/>
          <w:szCs w:val="20"/>
          <w:color w:val="1F1F1F"/>
        </w:rPr>
        <w:t>after</w:t>
      </w:r>
      <w:r>
        <w:rPr>
          <w:rFonts w:ascii="Times New Roman" w:cs="Times New Roman" w:eastAsia="Times New Roman" w:hAnsi="Times New Roman"/>
          <w:sz w:val="20"/>
          <w:szCs w:val="20"/>
          <w:color w:val="0D0D0D"/>
        </w:rPr>
        <w:t xml:space="preserve"> b</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comi</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D0D0D"/>
        </w:rPr>
        <w:t xml:space="preserve">g </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li</w:t>
      </w:r>
      <w:r>
        <w:rPr>
          <w:rFonts w:ascii="Times New Roman" w:cs="Times New Roman" w:eastAsia="Times New Roman" w:hAnsi="Times New Roman"/>
          <w:sz w:val="20"/>
          <w:szCs w:val="20"/>
          <w:color w:val="1F1F1F"/>
        </w:rPr>
        <w:t>g</w:t>
      </w:r>
      <w:r>
        <w:rPr>
          <w:rFonts w:ascii="Times New Roman" w:cs="Times New Roman" w:eastAsia="Times New Roman" w:hAnsi="Times New Roman"/>
          <w:sz w:val="20"/>
          <w:szCs w:val="20"/>
          <w:color w:val="0D0D0D"/>
        </w:rPr>
        <w:t>ible to participate.</w:t>
      </w:r>
    </w:p>
    <w:p>
      <w:pPr>
        <w:spacing w:after="0" w:line="230" w:lineRule="exact"/>
        <w:rPr>
          <w:rFonts w:ascii="Times New Roman" w:cs="Times New Roman" w:eastAsia="Times New Roman" w:hAnsi="Times New Roman"/>
          <w:sz w:val="20"/>
          <w:szCs w:val="20"/>
          <w:color w:val="0D0D0D"/>
        </w:rPr>
      </w:pPr>
    </w:p>
    <w:p>
      <w:pPr>
        <w:jc w:val="both"/>
        <w:ind w:left="100" w:right="40" w:firstLine="1957"/>
        <w:spacing w:after="0" w:line="263" w:lineRule="auto"/>
        <w:tabs>
          <w:tab w:leader="none" w:pos="2329" w:val="left"/>
        </w:tabs>
        <w:numPr>
          <w:ilvl w:val="0"/>
          <w:numId w:val="91"/>
        </w:numPr>
        <w:rPr>
          <w:rFonts w:ascii="Times New Roman" w:cs="Times New Roman" w:eastAsia="Times New Roman" w:hAnsi="Times New Roman"/>
          <w:sz w:val="20"/>
          <w:szCs w:val="20"/>
          <w:color w:val="0D0D0D"/>
        </w:rPr>
      </w:pPr>
      <w:r>
        <w:rPr>
          <w:rFonts w:ascii="Times New Roman" w:cs="Times New Roman" w:eastAsia="Times New Roman" w:hAnsi="Times New Roman"/>
          <w:sz w:val="20"/>
          <w:szCs w:val="20"/>
          <w:color w:val="0D0D0D"/>
        </w:rPr>
        <w:t xml:space="preserve">In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dd</w:t>
      </w:r>
      <w:r>
        <w:rPr>
          <w:rFonts w:ascii="Times New Roman" w:cs="Times New Roman" w:eastAsia="Times New Roman" w:hAnsi="Times New Roman"/>
          <w:sz w:val="20"/>
          <w:szCs w:val="20"/>
          <w:color w:val="1F1F1F"/>
        </w:rPr>
        <w:t>it</w:t>
      </w:r>
      <w:r>
        <w:rPr>
          <w:rFonts w:ascii="Times New Roman" w:cs="Times New Roman" w:eastAsia="Times New Roman" w:hAnsi="Times New Roman"/>
          <w:sz w:val="20"/>
          <w:szCs w:val="20"/>
          <w:color w:val="0D0D0D"/>
        </w:rPr>
        <w:t>io</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D0D0D"/>
        </w:rPr>
        <w:t xml:space="preserve"> to, o</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D0D0D"/>
        </w:rPr>
        <w:t xml:space="preserve"> in lieu of, 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ferrals pursu</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nt to subsect</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D0D0D"/>
        </w:rPr>
        <w:t xml:space="preserve">on (a) </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D0D0D"/>
        </w:rPr>
        <w:t>mm</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diatel</w:t>
      </w:r>
      <w:r>
        <w:rPr>
          <w:rFonts w:ascii="Times New Roman" w:cs="Times New Roman" w:eastAsia="Times New Roman" w:hAnsi="Times New Roman"/>
          <w:sz w:val="20"/>
          <w:szCs w:val="20"/>
          <w:color w:val="1F1F1F"/>
        </w:rPr>
        <w:t>y a</w:t>
      </w:r>
      <w:r>
        <w:rPr>
          <w:rFonts w:ascii="Times New Roman" w:cs="Times New Roman" w:eastAsia="Times New Roman" w:hAnsi="Times New Roman"/>
          <w:sz w:val="20"/>
          <w:szCs w:val="20"/>
          <w:color w:val="0D0D0D"/>
        </w:rPr>
        <w:t>bove, pr</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D0D0D"/>
        </w:rPr>
        <w:t>or to the beginning o</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D0D0D"/>
        </w:rPr>
        <w:t xml:space="preserve"> </w:t>
      </w:r>
      <w:r>
        <w:rPr>
          <w:rFonts w:ascii="Times New Roman" w:cs="Times New Roman" w:eastAsia="Times New Roman" w:hAnsi="Times New Roman"/>
          <w:sz w:val="20"/>
          <w:szCs w:val="20"/>
          <w:color w:val="1F1F1F"/>
        </w:rPr>
        <w:t>ea</w:t>
      </w:r>
      <w:r>
        <w:rPr>
          <w:rFonts w:ascii="Times New Roman" w:cs="Times New Roman" w:eastAsia="Times New Roman" w:hAnsi="Times New Roman"/>
          <w:sz w:val="20"/>
          <w:szCs w:val="20"/>
          <w:color w:val="0D0D0D"/>
        </w:rPr>
        <w:t>ch c</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l</w:t>
      </w:r>
      <w:r>
        <w:rPr>
          <w:rFonts w:ascii="Times New Roman" w:cs="Times New Roman" w:eastAsia="Times New Roman" w:hAnsi="Times New Roman"/>
          <w:sz w:val="20"/>
          <w:szCs w:val="20"/>
          <w:color w:val="1F1F1F"/>
        </w:rPr>
        <w:t>en</w:t>
      </w:r>
      <w:r>
        <w:rPr>
          <w:rFonts w:ascii="Times New Roman" w:cs="Times New Roman" w:eastAsia="Times New Roman" w:hAnsi="Times New Roman"/>
          <w:sz w:val="20"/>
          <w:szCs w:val="20"/>
          <w:color w:val="0D0D0D"/>
        </w:rPr>
        <w:t>dar ye</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r,</w:t>
      </w:r>
      <w:r>
        <w:rPr>
          <w:rFonts w:ascii="Times New Roman" w:cs="Times New Roman" w:eastAsia="Times New Roman" w:hAnsi="Times New Roman"/>
          <w:sz w:val="20"/>
          <w:szCs w:val="20"/>
          <w:color w:val="1F1F1F"/>
        </w:rPr>
        <w:t xml:space="preserve"> a</w:t>
      </w:r>
      <w:r>
        <w:rPr>
          <w:rFonts w:ascii="Times New Roman" w:cs="Times New Roman" w:eastAsia="Times New Roman" w:hAnsi="Times New Roman"/>
          <w:sz w:val="20"/>
          <w:szCs w:val="20"/>
          <w:color w:val="0D0D0D"/>
        </w:rPr>
        <w:t>n Eligibl</w:t>
      </w:r>
      <w:r>
        <w:rPr>
          <w:rFonts w:ascii="Times New Roman" w:cs="Times New Roman" w:eastAsia="Times New Roman" w:hAnsi="Times New Roman"/>
          <w:sz w:val="20"/>
          <w:szCs w:val="20"/>
          <w:color w:val="1F1F1F"/>
        </w:rPr>
        <w:t xml:space="preserve">e </w:t>
      </w:r>
      <w:r>
        <w:rPr>
          <w:rFonts w:ascii="Times New Roman" w:cs="Times New Roman" w:eastAsia="Times New Roman" w:hAnsi="Times New Roman"/>
          <w:sz w:val="20"/>
          <w:szCs w:val="20"/>
          <w:color w:val="0D0D0D"/>
        </w:rPr>
        <w:t>Empl</w:t>
      </w:r>
      <w:r>
        <w:rPr>
          <w:rFonts w:ascii="Times New Roman" w:cs="Times New Roman" w:eastAsia="Times New Roman" w:hAnsi="Times New Roman"/>
          <w:sz w:val="20"/>
          <w:szCs w:val="20"/>
          <w:color w:val="1F1F1F"/>
        </w:rPr>
        <w:t>oy</w:t>
      </w:r>
      <w:r>
        <w:rPr>
          <w:rFonts w:ascii="Times New Roman" w:cs="Times New Roman" w:eastAsia="Times New Roman" w:hAnsi="Times New Roman"/>
          <w:sz w:val="20"/>
          <w:szCs w:val="20"/>
          <w:color w:val="0D0D0D"/>
        </w:rPr>
        <w:t>e</w:t>
      </w:r>
      <w:r>
        <w:rPr>
          <w:rFonts w:ascii="Times New Roman" w:cs="Times New Roman" w:eastAsia="Times New Roman" w:hAnsi="Times New Roman"/>
          <w:sz w:val="20"/>
          <w:szCs w:val="20"/>
          <w:color w:val="1F1F1F"/>
        </w:rPr>
        <w:t xml:space="preserve">e </w:t>
      </w:r>
      <w:r>
        <w:rPr>
          <w:rFonts w:ascii="Times New Roman" w:cs="Times New Roman" w:eastAsia="Times New Roman" w:hAnsi="Times New Roman"/>
          <w:sz w:val="20"/>
          <w:szCs w:val="20"/>
          <w:color w:val="0D0D0D"/>
        </w:rPr>
        <w:t>m</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y</w:t>
      </w:r>
      <w:r>
        <w:rPr>
          <w:rFonts w:ascii="Times New Roman" w:cs="Times New Roman" w:eastAsia="Times New Roman" w:hAnsi="Times New Roman"/>
          <w:sz w:val="20"/>
          <w:szCs w:val="20"/>
          <w:color w:val="1F1F1F"/>
        </w:rPr>
        <w:t xml:space="preserve"> e</w:t>
      </w:r>
      <w:r>
        <w:rPr>
          <w:rFonts w:ascii="Times New Roman" w:cs="Times New Roman" w:eastAsia="Times New Roman" w:hAnsi="Times New Roman"/>
          <w:sz w:val="20"/>
          <w:szCs w:val="20"/>
          <w:color w:val="0D0D0D"/>
        </w:rPr>
        <w:t>lect to d</w:t>
      </w:r>
      <w:r>
        <w:rPr>
          <w:rFonts w:ascii="Times New Roman" w:cs="Times New Roman" w:eastAsia="Times New Roman" w:hAnsi="Times New Roman"/>
          <w:sz w:val="20"/>
          <w:szCs w:val="20"/>
          <w:color w:val="1F1F1F"/>
        </w:rPr>
        <w:t>efe</w:t>
      </w:r>
      <w:r>
        <w:rPr>
          <w:rFonts w:ascii="Times New Roman" w:cs="Times New Roman" w:eastAsia="Times New Roman" w:hAnsi="Times New Roman"/>
          <w:sz w:val="20"/>
          <w:szCs w:val="20"/>
          <w:color w:val="0D0D0D"/>
        </w:rPr>
        <w:t>r 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c</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ipt o</w:t>
      </w:r>
      <w:r>
        <w:rPr>
          <w:rFonts w:ascii="Times New Roman" w:cs="Times New Roman" w:eastAsia="Times New Roman" w:hAnsi="Times New Roman"/>
          <w:sz w:val="20"/>
          <w:szCs w:val="20"/>
          <w:color w:val="1F1F1F"/>
        </w:rPr>
        <w:t xml:space="preserve">f </w:t>
      </w:r>
      <w:r>
        <w:rPr>
          <w:rFonts w:ascii="Times New Roman" w:cs="Times New Roman" w:eastAsia="Times New Roman" w:hAnsi="Times New Roman"/>
          <w:sz w:val="20"/>
          <w:szCs w:val="20"/>
          <w:color w:val="0D0D0D"/>
        </w:rPr>
        <w:t>Sa</w:t>
      </w:r>
      <w:r>
        <w:rPr>
          <w:rFonts w:ascii="Times New Roman" w:cs="Times New Roman" w:eastAsia="Times New Roman" w:hAnsi="Times New Roman"/>
          <w:sz w:val="20"/>
          <w:szCs w:val="20"/>
          <w:color w:val="1F1F1F"/>
        </w:rPr>
        <w:t>l</w:t>
      </w:r>
      <w:r>
        <w:rPr>
          <w:rFonts w:ascii="Times New Roman" w:cs="Times New Roman" w:eastAsia="Times New Roman" w:hAnsi="Times New Roman"/>
          <w:sz w:val="20"/>
          <w:szCs w:val="20"/>
          <w:color w:val="0D0D0D"/>
        </w:rPr>
        <w:t>a</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D0D0D"/>
        </w:rPr>
        <w:t>y</w:t>
      </w:r>
      <w:r>
        <w:rPr>
          <w:rFonts w:ascii="Times New Roman" w:cs="Times New Roman" w:eastAsia="Times New Roman" w:hAnsi="Times New Roman"/>
          <w:sz w:val="20"/>
          <w:szCs w:val="20"/>
          <w:color w:val="1F1F1F"/>
        </w:rPr>
        <w:t xml:space="preserve"> tha</w:t>
      </w:r>
      <w:r>
        <w:rPr>
          <w:rFonts w:ascii="Times New Roman" w:cs="Times New Roman" w:eastAsia="Times New Roman" w:hAnsi="Times New Roman"/>
          <w:sz w:val="20"/>
          <w:szCs w:val="20"/>
          <w:color w:val="0D0D0D"/>
        </w:rPr>
        <w:t>t</w:t>
      </w:r>
      <w:r>
        <w:rPr>
          <w:rFonts w:ascii="Times New Roman" w:cs="Times New Roman" w:eastAsia="Times New Roman" w:hAnsi="Times New Roman"/>
          <w:sz w:val="20"/>
          <w:szCs w:val="20"/>
          <w:color w:val="1F1F1F"/>
        </w:rPr>
        <w:t xml:space="preserve"> he </w:t>
      </w:r>
      <w:r>
        <w:rPr>
          <w:rFonts w:ascii="Times New Roman" w:cs="Times New Roman" w:eastAsia="Times New Roman" w:hAnsi="Times New Roman"/>
          <w:sz w:val="20"/>
          <w:szCs w:val="20"/>
          <w:color w:val="0D0D0D"/>
        </w:rPr>
        <w:t>or she anticip</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s</w:t>
      </w:r>
      <w:r>
        <w:rPr>
          <w:rFonts w:ascii="Times New Roman" w:cs="Times New Roman" w:eastAsia="Times New Roman" w:hAnsi="Times New Roman"/>
          <w:sz w:val="20"/>
          <w:szCs w:val="20"/>
          <w:color w:val="1F1F1F"/>
        </w:rPr>
        <w:t xml:space="preserve"> ea</w:t>
      </w:r>
      <w:r>
        <w:rPr>
          <w:rFonts w:ascii="Times New Roman" w:cs="Times New Roman" w:eastAsia="Times New Roman" w:hAnsi="Times New Roman"/>
          <w:sz w:val="20"/>
          <w:szCs w:val="20"/>
          <w:color w:val="0D0D0D"/>
        </w:rPr>
        <w:t>rning</w:t>
      </w:r>
      <w:r>
        <w:rPr>
          <w:rFonts w:ascii="Times New Roman" w:cs="Times New Roman" w:eastAsia="Times New Roman" w:hAnsi="Times New Roman"/>
          <w:sz w:val="20"/>
          <w:szCs w:val="20"/>
          <w:color w:val="1F1F1F"/>
        </w:rPr>
        <w:t xml:space="preserve"> for serv</w:t>
      </w:r>
      <w:r>
        <w:rPr>
          <w:rFonts w:ascii="Times New Roman" w:cs="Times New Roman" w:eastAsia="Times New Roman" w:hAnsi="Times New Roman"/>
          <w:sz w:val="20"/>
          <w:szCs w:val="20"/>
          <w:color w:val="0D0D0D"/>
        </w:rPr>
        <w:t>ic</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s</w:t>
      </w:r>
      <w:r>
        <w:rPr>
          <w:rFonts w:ascii="Times New Roman" w:cs="Times New Roman" w:eastAsia="Times New Roman" w:hAnsi="Times New Roman"/>
          <w:sz w:val="20"/>
          <w:szCs w:val="20"/>
          <w:color w:val="1F1F1F"/>
        </w:rPr>
        <w:t xml:space="preserve"> r</w:t>
      </w:r>
      <w:r>
        <w:rPr>
          <w:rFonts w:ascii="Times New Roman" w:cs="Times New Roman" w:eastAsia="Times New Roman" w:hAnsi="Times New Roman"/>
          <w:sz w:val="20"/>
          <w:szCs w:val="20"/>
          <w:color w:val="0D0D0D"/>
        </w:rPr>
        <w:t>en</w:t>
      </w:r>
      <w:r>
        <w:rPr>
          <w:rFonts w:ascii="Times New Roman" w:cs="Times New Roman" w:eastAsia="Times New Roman" w:hAnsi="Times New Roman"/>
          <w:sz w:val="20"/>
          <w:szCs w:val="20"/>
          <w:color w:val="1F1F1F"/>
        </w:rPr>
        <w:t>d</w:t>
      </w:r>
      <w:r>
        <w:rPr>
          <w:rFonts w:ascii="Times New Roman" w:cs="Times New Roman" w:eastAsia="Times New Roman" w:hAnsi="Times New Roman"/>
          <w:sz w:val="20"/>
          <w:szCs w:val="20"/>
          <w:color w:val="0D0D0D"/>
        </w:rPr>
        <w:t>ere</w:t>
      </w:r>
      <w:r>
        <w:rPr>
          <w:rFonts w:ascii="Times New Roman" w:cs="Times New Roman" w:eastAsia="Times New Roman" w:hAnsi="Times New Roman"/>
          <w:sz w:val="20"/>
          <w:szCs w:val="20"/>
          <w:color w:val="1F1F1F"/>
        </w:rPr>
        <w:t xml:space="preserve">d </w:t>
      </w:r>
      <w:r>
        <w:rPr>
          <w:rFonts w:ascii="Times New Roman" w:cs="Times New Roman" w:eastAsia="Times New Roman" w:hAnsi="Times New Roman"/>
          <w:sz w:val="20"/>
          <w:szCs w:val="20"/>
          <w:color w:val="313131"/>
        </w:rPr>
        <w:t>i</w:t>
      </w:r>
      <w:r>
        <w:rPr>
          <w:rFonts w:ascii="Times New Roman" w:cs="Times New Roman" w:eastAsia="Times New Roman" w:hAnsi="Times New Roman"/>
          <w:sz w:val="20"/>
          <w:szCs w:val="20"/>
          <w:color w:val="1F1F1F"/>
        </w:rPr>
        <w:t xml:space="preserve">n </w:t>
      </w:r>
      <w:r>
        <w:rPr>
          <w:rFonts w:ascii="Times New Roman" w:cs="Times New Roman" w:eastAsia="Times New Roman" w:hAnsi="Times New Roman"/>
          <w:sz w:val="20"/>
          <w:szCs w:val="20"/>
          <w:color w:val="0D0D0D"/>
        </w:rPr>
        <w:t>such ca</w:t>
      </w:r>
      <w:r>
        <w:rPr>
          <w:rFonts w:ascii="Times New Roman" w:cs="Times New Roman" w:eastAsia="Times New Roman" w:hAnsi="Times New Roman"/>
          <w:sz w:val="20"/>
          <w:szCs w:val="20"/>
          <w:color w:val="1F1F1F"/>
        </w:rPr>
        <w:t>l</w:t>
      </w:r>
      <w:r>
        <w:rPr>
          <w:rFonts w:ascii="Times New Roman" w:cs="Times New Roman" w:eastAsia="Times New Roman" w:hAnsi="Times New Roman"/>
          <w:sz w:val="20"/>
          <w:szCs w:val="20"/>
          <w:color w:val="0D0D0D"/>
        </w:rPr>
        <w:t>enda</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D0D0D"/>
        </w:rPr>
        <w:t xml:space="preserve"> y</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ar in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 xml:space="preserve">n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mount eq</w:t>
      </w:r>
      <w:r>
        <w:rPr>
          <w:rFonts w:ascii="Times New Roman" w:cs="Times New Roman" w:eastAsia="Times New Roman" w:hAnsi="Times New Roman"/>
          <w:sz w:val="20"/>
          <w:szCs w:val="20"/>
          <w:color w:val="1F1F1F"/>
        </w:rPr>
        <w:t>ua</w:t>
      </w:r>
      <w:r>
        <w:rPr>
          <w:rFonts w:ascii="Times New Roman" w:cs="Times New Roman" w:eastAsia="Times New Roman" w:hAnsi="Times New Roman"/>
          <w:sz w:val="20"/>
          <w:szCs w:val="20"/>
          <w:color w:val="0D0D0D"/>
        </w:rPr>
        <w:t xml:space="preserve">l </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D0D0D"/>
        </w:rPr>
        <w:t>o th</w:t>
      </w:r>
      <w:r>
        <w:rPr>
          <w:rFonts w:ascii="Times New Roman" w:cs="Times New Roman" w:eastAsia="Times New Roman" w:hAnsi="Times New Roman"/>
          <w:sz w:val="20"/>
          <w:szCs w:val="20"/>
          <w:color w:val="1F1F1F"/>
        </w:rPr>
        <w:t>e am</w:t>
      </w:r>
      <w:r>
        <w:rPr>
          <w:rFonts w:ascii="Times New Roman" w:cs="Times New Roman" w:eastAsia="Times New Roman" w:hAnsi="Times New Roman"/>
          <w:sz w:val="20"/>
          <w:szCs w:val="20"/>
          <w:color w:val="0D0D0D"/>
        </w:rPr>
        <w:t xml:space="preserve">ount of any </w:t>
      </w:r>
      <w:r>
        <w:rPr>
          <w:rFonts w:ascii="Times New Roman" w:cs="Times New Roman" w:eastAsia="Times New Roman" w:hAnsi="Times New Roman"/>
          <w:sz w:val="20"/>
          <w:szCs w:val="20"/>
          <w:color w:val="1F1F1F"/>
        </w:rPr>
        <w:t>sa</w:t>
      </w:r>
      <w:r>
        <w:rPr>
          <w:rFonts w:ascii="Times New Roman" w:cs="Times New Roman" w:eastAsia="Times New Roman" w:hAnsi="Times New Roman"/>
          <w:sz w:val="20"/>
          <w:szCs w:val="20"/>
          <w:color w:val="0D0D0D"/>
        </w:rPr>
        <w:t>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ry de</w:t>
      </w:r>
      <w:r>
        <w:rPr>
          <w:rFonts w:ascii="Times New Roman" w:cs="Times New Roman" w:eastAsia="Times New Roman" w:hAnsi="Times New Roman"/>
          <w:sz w:val="20"/>
          <w:szCs w:val="20"/>
          <w:color w:val="1F1F1F"/>
        </w:rPr>
        <w:t>ferral</w:t>
      </w:r>
      <w:r>
        <w:rPr>
          <w:rFonts w:ascii="Times New Roman" w:cs="Times New Roman" w:eastAsia="Times New Roman" w:hAnsi="Times New Roman"/>
          <w:sz w:val="20"/>
          <w:szCs w:val="20"/>
          <w:color w:val="0D0D0D"/>
        </w:rPr>
        <w:t>s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nd 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l</w:t>
      </w:r>
      <w:r>
        <w:rPr>
          <w:rFonts w:ascii="Times New Roman" w:cs="Times New Roman" w:eastAsia="Times New Roman" w:hAnsi="Times New Roman"/>
          <w:sz w:val="20"/>
          <w:szCs w:val="20"/>
          <w:color w:val="1F1F1F"/>
        </w:rPr>
        <w:t>ate</w:t>
      </w:r>
      <w:r>
        <w:rPr>
          <w:rFonts w:ascii="Times New Roman" w:cs="Times New Roman" w:eastAsia="Times New Roman" w:hAnsi="Times New Roman"/>
          <w:sz w:val="20"/>
          <w:szCs w:val="20"/>
          <w:color w:val="0D0D0D"/>
        </w:rPr>
        <w:t xml:space="preserve">d </w:t>
      </w:r>
      <w:r>
        <w:rPr>
          <w:rFonts w:ascii="Times New Roman" w:cs="Times New Roman" w:eastAsia="Times New Roman" w:hAnsi="Times New Roman"/>
          <w:sz w:val="20"/>
          <w:szCs w:val="20"/>
          <w:color w:val="1F1F1F"/>
        </w:rPr>
        <w:t>earn</w:t>
      </w:r>
      <w:r>
        <w:rPr>
          <w:rFonts w:ascii="Times New Roman" w:cs="Times New Roman" w:eastAsia="Times New Roman" w:hAnsi="Times New Roman"/>
          <w:sz w:val="20"/>
          <w:szCs w:val="20"/>
          <w:color w:val="0D0D0D"/>
        </w:rPr>
        <w:t>in</w:t>
      </w:r>
      <w:r>
        <w:rPr>
          <w:rFonts w:ascii="Times New Roman" w:cs="Times New Roman" w:eastAsia="Times New Roman" w:hAnsi="Times New Roman"/>
          <w:sz w:val="20"/>
          <w:szCs w:val="20"/>
          <w:color w:val="1F1F1F"/>
        </w:rPr>
        <w:t>g</w:t>
      </w:r>
      <w:r>
        <w:rPr>
          <w:rFonts w:ascii="Times New Roman" w:cs="Times New Roman" w:eastAsia="Times New Roman" w:hAnsi="Times New Roman"/>
          <w:sz w:val="20"/>
          <w:szCs w:val="20"/>
          <w:color w:val="0D0D0D"/>
        </w:rPr>
        <w:t>s) r</w:t>
      </w:r>
      <w:r>
        <w:rPr>
          <w:rFonts w:ascii="Times New Roman" w:cs="Times New Roman" w:eastAsia="Times New Roman" w:hAnsi="Times New Roman"/>
          <w:sz w:val="20"/>
          <w:szCs w:val="20"/>
          <w:color w:val="1F1F1F"/>
        </w:rPr>
        <w:t>et</w:t>
      </w:r>
      <w:r>
        <w:rPr>
          <w:rFonts w:ascii="Times New Roman" w:cs="Times New Roman" w:eastAsia="Times New Roman" w:hAnsi="Times New Roman"/>
          <w:sz w:val="20"/>
          <w:szCs w:val="20"/>
          <w:color w:val="0D0D0D"/>
        </w:rPr>
        <w:t>urn</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d to him or her during s</w:t>
      </w:r>
      <w:r>
        <w:rPr>
          <w:rFonts w:ascii="Times New Roman" w:cs="Times New Roman" w:eastAsia="Times New Roman" w:hAnsi="Times New Roman"/>
          <w:sz w:val="20"/>
          <w:szCs w:val="20"/>
          <w:color w:val="1F1F1F"/>
        </w:rPr>
        <w:t>u</w:t>
      </w:r>
      <w:r>
        <w:rPr>
          <w:rFonts w:ascii="Times New Roman" w:cs="Times New Roman" w:eastAsia="Times New Roman" w:hAnsi="Times New Roman"/>
          <w:sz w:val="20"/>
          <w:szCs w:val="20"/>
          <w:color w:val="0D0D0D"/>
        </w:rPr>
        <w:t>ch y</w:t>
      </w:r>
      <w:r>
        <w:rPr>
          <w:rFonts w:ascii="Times New Roman" w:cs="Times New Roman" w:eastAsia="Times New Roman" w:hAnsi="Times New Roman"/>
          <w:sz w:val="20"/>
          <w:szCs w:val="20"/>
          <w:color w:val="1F1F1F"/>
        </w:rPr>
        <w:t>ea</w:t>
      </w:r>
      <w:r>
        <w:rPr>
          <w:rFonts w:ascii="Times New Roman" w:cs="Times New Roman" w:eastAsia="Times New Roman" w:hAnsi="Times New Roman"/>
          <w:sz w:val="20"/>
          <w:szCs w:val="20"/>
          <w:color w:val="0D0D0D"/>
        </w:rPr>
        <w:t xml:space="preserve">r </w:t>
      </w:r>
      <w:r>
        <w:rPr>
          <w:rFonts w:ascii="Times New Roman" w:cs="Times New Roman" w:eastAsia="Times New Roman" w:hAnsi="Times New Roman"/>
          <w:sz w:val="20"/>
          <w:szCs w:val="20"/>
          <w:color w:val="1F1F1F"/>
        </w:rPr>
        <w:t>fr</w:t>
      </w:r>
      <w:r>
        <w:rPr>
          <w:rFonts w:ascii="Times New Roman" w:cs="Times New Roman" w:eastAsia="Times New Roman" w:hAnsi="Times New Roman"/>
          <w:sz w:val="20"/>
          <w:szCs w:val="20"/>
          <w:color w:val="0D0D0D"/>
        </w:rPr>
        <w:t>om</w:t>
      </w:r>
      <w:r>
        <w:rPr>
          <w:rFonts w:ascii="Times New Roman" w:cs="Times New Roman" w:eastAsia="Times New Roman" w:hAnsi="Times New Roman"/>
          <w:sz w:val="20"/>
          <w:szCs w:val="20"/>
          <w:color w:val="1F1F1F"/>
        </w:rPr>
        <w:t xml:space="preserve"> t</w:t>
      </w:r>
      <w:r>
        <w:rPr>
          <w:rFonts w:ascii="Times New Roman" w:cs="Times New Roman" w:eastAsia="Times New Roman" w:hAnsi="Times New Roman"/>
          <w:sz w:val="20"/>
          <w:szCs w:val="20"/>
          <w:color w:val="0D0D0D"/>
        </w:rPr>
        <w:t>h</w:t>
      </w:r>
      <w:r>
        <w:rPr>
          <w:rFonts w:ascii="Times New Roman" w:cs="Times New Roman" w:eastAsia="Times New Roman" w:hAnsi="Times New Roman"/>
          <w:sz w:val="20"/>
          <w:szCs w:val="20"/>
          <w:color w:val="1F1F1F"/>
        </w:rPr>
        <w:t>e It</w:t>
      </w:r>
      <w:r>
        <w:rPr>
          <w:rFonts w:ascii="Times New Roman" w:cs="Times New Roman" w:eastAsia="Times New Roman" w:hAnsi="Times New Roman"/>
          <w:sz w:val="20"/>
          <w:szCs w:val="20"/>
          <w:color w:val="0D0D0D"/>
        </w:rPr>
        <w:t>ron</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0D0D0D"/>
        </w:rPr>
        <w:t>Inc. Incent</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D0D0D"/>
        </w:rPr>
        <w:t>ve S</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vings Pl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n due to suc</w:t>
      </w:r>
      <w:r>
        <w:rPr>
          <w:rFonts w:ascii="Times New Roman" w:cs="Times New Roman" w:eastAsia="Times New Roman" w:hAnsi="Times New Roman"/>
          <w:sz w:val="20"/>
          <w:szCs w:val="20"/>
          <w:color w:val="1F1F1F"/>
        </w:rPr>
        <w:t xml:space="preserve">h </w:t>
      </w:r>
      <w:r>
        <w:rPr>
          <w:rFonts w:ascii="Times New Roman" w:cs="Times New Roman" w:eastAsia="Times New Roman" w:hAnsi="Times New Roman"/>
          <w:sz w:val="20"/>
          <w:szCs w:val="20"/>
          <w:color w:val="0D0D0D"/>
        </w:rPr>
        <w:t>p</w:t>
      </w:r>
      <w:r>
        <w:rPr>
          <w:rFonts w:ascii="Times New Roman" w:cs="Times New Roman" w:eastAsia="Times New Roman" w:hAnsi="Times New Roman"/>
          <w:sz w:val="20"/>
          <w:szCs w:val="20"/>
          <w:color w:val="1F1F1F"/>
        </w:rPr>
        <w:t>la</w:t>
      </w:r>
      <w:r>
        <w:rPr>
          <w:rFonts w:ascii="Times New Roman" w:cs="Times New Roman" w:eastAsia="Times New Roman" w:hAnsi="Times New Roman"/>
          <w:sz w:val="20"/>
          <w:szCs w:val="20"/>
          <w:color w:val="0D0D0D"/>
        </w:rPr>
        <w:t>n's</w:t>
      </w:r>
      <w:r>
        <w:rPr>
          <w:rFonts w:ascii="Times New Roman" w:cs="Times New Roman" w:eastAsia="Times New Roman" w:hAnsi="Times New Roman"/>
          <w:sz w:val="20"/>
          <w:szCs w:val="20"/>
          <w:color w:val="1F1F1F"/>
        </w:rPr>
        <w:t xml:space="preserve"> fa</w:t>
      </w:r>
      <w:r>
        <w:rPr>
          <w:rFonts w:ascii="Times New Roman" w:cs="Times New Roman" w:eastAsia="Times New Roman" w:hAnsi="Times New Roman"/>
          <w:sz w:val="20"/>
          <w:szCs w:val="20"/>
          <w:color w:val="313131"/>
        </w:rPr>
        <w:t>i</w:t>
      </w:r>
      <w:r>
        <w:rPr>
          <w:rFonts w:ascii="Times New Roman" w:cs="Times New Roman" w:eastAsia="Times New Roman" w:hAnsi="Times New Roman"/>
          <w:sz w:val="20"/>
          <w:szCs w:val="20"/>
          <w:color w:val="1F1F1F"/>
        </w:rPr>
        <w:t>l</w:t>
      </w:r>
      <w:r>
        <w:rPr>
          <w:rFonts w:ascii="Times New Roman" w:cs="Times New Roman" w:eastAsia="Times New Roman" w:hAnsi="Times New Roman"/>
          <w:sz w:val="20"/>
          <w:szCs w:val="20"/>
          <w:color w:val="0D0D0D"/>
        </w:rPr>
        <w:t>u</w:t>
      </w:r>
      <w:r>
        <w:rPr>
          <w:rFonts w:ascii="Times New Roman" w:cs="Times New Roman" w:eastAsia="Times New Roman" w:hAnsi="Times New Roman"/>
          <w:sz w:val="20"/>
          <w:szCs w:val="20"/>
          <w:color w:val="1F1F1F"/>
        </w:rPr>
        <w:t>re t</w:t>
      </w:r>
      <w:r>
        <w:rPr>
          <w:rFonts w:ascii="Times New Roman" w:cs="Times New Roman" w:eastAsia="Times New Roman" w:hAnsi="Times New Roman"/>
          <w:sz w:val="20"/>
          <w:szCs w:val="20"/>
          <w:color w:val="0D0D0D"/>
        </w:rPr>
        <w:t>o s</w:t>
      </w:r>
      <w:r>
        <w:rPr>
          <w:rFonts w:ascii="Times New Roman" w:cs="Times New Roman" w:eastAsia="Times New Roman" w:hAnsi="Times New Roman"/>
          <w:sz w:val="20"/>
          <w:szCs w:val="20"/>
          <w:color w:val="1F1F1F"/>
        </w:rPr>
        <w:t>ati</w:t>
      </w:r>
      <w:r>
        <w:rPr>
          <w:rFonts w:ascii="Times New Roman" w:cs="Times New Roman" w:eastAsia="Times New Roman" w:hAnsi="Times New Roman"/>
          <w:sz w:val="20"/>
          <w:szCs w:val="20"/>
          <w:color w:val="0D0D0D"/>
        </w:rPr>
        <w:t>s</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D0D0D"/>
        </w:rPr>
        <w:t>y the</w:t>
      </w:r>
      <w:r>
        <w:rPr>
          <w:rFonts w:ascii="Times New Roman" w:cs="Times New Roman" w:eastAsia="Times New Roman" w:hAnsi="Times New Roman"/>
          <w:sz w:val="20"/>
          <w:szCs w:val="20"/>
          <w:color w:val="1F1F1F"/>
        </w:rPr>
        <w:t xml:space="preserve"> a</w:t>
      </w:r>
      <w:r>
        <w:rPr>
          <w:rFonts w:ascii="Times New Roman" w:cs="Times New Roman" w:eastAsia="Times New Roman" w:hAnsi="Times New Roman"/>
          <w:sz w:val="20"/>
          <w:szCs w:val="20"/>
          <w:color w:val="0D0D0D"/>
        </w:rPr>
        <w:t>ctu</w:t>
      </w:r>
      <w:r>
        <w:rPr>
          <w:rFonts w:ascii="Times New Roman" w:cs="Times New Roman" w:eastAsia="Times New Roman" w:hAnsi="Times New Roman"/>
          <w:sz w:val="20"/>
          <w:szCs w:val="20"/>
          <w:color w:val="1F1F1F"/>
        </w:rPr>
        <w:t xml:space="preserve">al </w:t>
      </w:r>
      <w:r>
        <w:rPr>
          <w:rFonts w:ascii="Times New Roman" w:cs="Times New Roman" w:eastAsia="Times New Roman" w:hAnsi="Times New Roman"/>
          <w:sz w:val="20"/>
          <w:szCs w:val="20"/>
          <w:color w:val="0D0D0D"/>
        </w:rPr>
        <w:t>d</w:t>
      </w:r>
      <w:r>
        <w:rPr>
          <w:rFonts w:ascii="Times New Roman" w:cs="Times New Roman" w:eastAsia="Times New Roman" w:hAnsi="Times New Roman"/>
          <w:sz w:val="20"/>
          <w:szCs w:val="20"/>
          <w:color w:val="1F1F1F"/>
        </w:rPr>
        <w:t>efe</w:t>
      </w:r>
      <w:r>
        <w:rPr>
          <w:rFonts w:ascii="Times New Roman" w:cs="Times New Roman" w:eastAsia="Times New Roman" w:hAnsi="Times New Roman"/>
          <w:sz w:val="20"/>
          <w:szCs w:val="20"/>
          <w:color w:val="0D0D0D"/>
        </w:rPr>
        <w:t>rr</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l p</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r</w:t>
      </w:r>
      <w:r>
        <w:rPr>
          <w:rFonts w:ascii="Times New Roman" w:cs="Times New Roman" w:eastAsia="Times New Roman" w:hAnsi="Times New Roman"/>
          <w:sz w:val="20"/>
          <w:szCs w:val="20"/>
          <w:color w:val="1F1F1F"/>
        </w:rPr>
        <w:t>ce</w:t>
      </w:r>
      <w:r>
        <w:rPr>
          <w:rFonts w:ascii="Times New Roman" w:cs="Times New Roman" w:eastAsia="Times New Roman" w:hAnsi="Times New Roman"/>
          <w:sz w:val="20"/>
          <w:szCs w:val="20"/>
          <w:color w:val="0D0D0D"/>
        </w:rPr>
        <w:t>n</w:t>
      </w:r>
      <w:r>
        <w:rPr>
          <w:rFonts w:ascii="Times New Roman" w:cs="Times New Roman" w:eastAsia="Times New Roman" w:hAnsi="Times New Roman"/>
          <w:sz w:val="20"/>
          <w:szCs w:val="20"/>
          <w:color w:val="1F1F1F"/>
        </w:rPr>
        <w:t>tage tes</w:t>
      </w:r>
      <w:r>
        <w:rPr>
          <w:rFonts w:ascii="Times New Roman" w:cs="Times New Roman" w:eastAsia="Times New Roman" w:hAnsi="Times New Roman"/>
          <w:sz w:val="20"/>
          <w:szCs w:val="20"/>
          <w:color w:val="0D0D0D"/>
        </w:rPr>
        <w:t>t un</w:t>
      </w:r>
      <w:r>
        <w:rPr>
          <w:rFonts w:ascii="Times New Roman" w:cs="Times New Roman" w:eastAsia="Times New Roman" w:hAnsi="Times New Roman"/>
          <w:sz w:val="20"/>
          <w:szCs w:val="20"/>
          <w:color w:val="1F1F1F"/>
        </w:rPr>
        <w:t>d</w:t>
      </w:r>
      <w:r>
        <w:rPr>
          <w:rFonts w:ascii="Times New Roman" w:cs="Times New Roman" w:eastAsia="Times New Roman" w:hAnsi="Times New Roman"/>
          <w:sz w:val="20"/>
          <w:szCs w:val="20"/>
          <w:color w:val="0D0D0D"/>
        </w:rPr>
        <w:t>er S</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c</w:t>
      </w:r>
      <w:r>
        <w:rPr>
          <w:rFonts w:ascii="Times New Roman" w:cs="Times New Roman" w:eastAsia="Times New Roman" w:hAnsi="Times New Roman"/>
          <w:sz w:val="20"/>
          <w:szCs w:val="20"/>
          <w:color w:val="1F1F1F"/>
        </w:rPr>
        <w:t>ti</w:t>
      </w:r>
      <w:r>
        <w:rPr>
          <w:rFonts w:ascii="Times New Roman" w:cs="Times New Roman" w:eastAsia="Times New Roman" w:hAnsi="Times New Roman"/>
          <w:sz w:val="20"/>
          <w:szCs w:val="20"/>
          <w:color w:val="0D0D0D"/>
        </w:rPr>
        <w:t>on</w:t>
      </w:r>
      <w:r>
        <w:rPr>
          <w:rFonts w:ascii="Times New Roman" w:cs="Times New Roman" w:eastAsia="Times New Roman" w:hAnsi="Times New Roman"/>
          <w:sz w:val="20"/>
          <w:szCs w:val="20"/>
          <w:color w:val="1F1F1F"/>
        </w:rPr>
        <w:t xml:space="preserve"> 4</w:t>
      </w:r>
      <w:r>
        <w:rPr>
          <w:rFonts w:ascii="Times New Roman" w:cs="Times New Roman" w:eastAsia="Times New Roman" w:hAnsi="Times New Roman"/>
          <w:sz w:val="20"/>
          <w:szCs w:val="20"/>
          <w:color w:val="0D0D0D"/>
        </w:rPr>
        <w:t>01 (k)(3)</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0D0D0D"/>
        </w:rPr>
        <w:t>of t</w:t>
      </w:r>
      <w:r>
        <w:rPr>
          <w:rFonts w:ascii="Times New Roman" w:cs="Times New Roman" w:eastAsia="Times New Roman" w:hAnsi="Times New Roman"/>
          <w:sz w:val="20"/>
          <w:szCs w:val="20"/>
          <w:color w:val="1F1F1F"/>
        </w:rPr>
        <w:t>h</w:t>
      </w:r>
      <w:r>
        <w:rPr>
          <w:rFonts w:ascii="Times New Roman" w:cs="Times New Roman" w:eastAsia="Times New Roman" w:hAnsi="Times New Roman"/>
          <w:sz w:val="20"/>
          <w:szCs w:val="20"/>
          <w:color w:val="0D0D0D"/>
        </w:rPr>
        <w:t>e Code</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Such </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l</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c</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D0D0D"/>
        </w:rPr>
        <w:t>ion sh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ll b</w:t>
      </w:r>
      <w:r>
        <w:rPr>
          <w:rFonts w:ascii="Times New Roman" w:cs="Times New Roman" w:eastAsia="Times New Roman" w:hAnsi="Times New Roman"/>
          <w:sz w:val="20"/>
          <w:szCs w:val="20"/>
          <w:color w:val="1F1F1F"/>
        </w:rPr>
        <w:t>e m</w:t>
      </w:r>
      <w:r>
        <w:rPr>
          <w:rFonts w:ascii="Times New Roman" w:cs="Times New Roman" w:eastAsia="Times New Roman" w:hAnsi="Times New Roman"/>
          <w:sz w:val="20"/>
          <w:szCs w:val="20"/>
          <w:color w:val="0D0D0D"/>
        </w:rPr>
        <w:t>ad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by filing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 xml:space="preserve"> De</w:t>
      </w:r>
      <w:r>
        <w:rPr>
          <w:rFonts w:ascii="Times New Roman" w:cs="Times New Roman" w:eastAsia="Times New Roman" w:hAnsi="Times New Roman"/>
          <w:sz w:val="20"/>
          <w:szCs w:val="20"/>
          <w:color w:val="1F1F1F"/>
        </w:rPr>
        <w:t>fe</w:t>
      </w:r>
      <w:r>
        <w:rPr>
          <w:rFonts w:ascii="Times New Roman" w:cs="Times New Roman" w:eastAsia="Times New Roman" w:hAnsi="Times New Roman"/>
          <w:sz w:val="20"/>
          <w:szCs w:val="20"/>
          <w:color w:val="0D0D0D"/>
        </w:rPr>
        <w:t>rra</w:t>
      </w:r>
      <w:r>
        <w:rPr>
          <w:rFonts w:ascii="Times New Roman" w:cs="Times New Roman" w:eastAsia="Times New Roman" w:hAnsi="Times New Roman"/>
          <w:sz w:val="20"/>
          <w:szCs w:val="20"/>
          <w:color w:val="1F1F1F"/>
        </w:rPr>
        <w:t>l</w:t>
      </w:r>
      <w:r>
        <w:rPr>
          <w:rFonts w:ascii="Times New Roman" w:cs="Times New Roman" w:eastAsia="Times New Roman" w:hAnsi="Times New Roman"/>
          <w:sz w:val="20"/>
          <w:szCs w:val="20"/>
          <w:color w:val="0D0D0D"/>
        </w:rPr>
        <w:t xml:space="preserve"> Agr</w:t>
      </w:r>
      <w:r>
        <w:rPr>
          <w:rFonts w:ascii="Times New Roman" w:cs="Times New Roman" w:eastAsia="Times New Roman" w:hAnsi="Times New Roman"/>
          <w:sz w:val="20"/>
          <w:szCs w:val="20"/>
          <w:color w:val="1F1F1F"/>
        </w:rPr>
        <w:t>ee</w:t>
      </w:r>
      <w:r>
        <w:rPr>
          <w:rFonts w:ascii="Times New Roman" w:cs="Times New Roman" w:eastAsia="Times New Roman" w:hAnsi="Times New Roman"/>
          <w:sz w:val="20"/>
          <w:szCs w:val="20"/>
          <w:color w:val="0D0D0D"/>
        </w:rPr>
        <w:t>m</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nt with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Comp</w:t>
      </w:r>
      <w:r>
        <w:rPr>
          <w:rFonts w:ascii="Times New Roman" w:cs="Times New Roman" w:eastAsia="Times New Roman" w:hAnsi="Times New Roman"/>
          <w:sz w:val="20"/>
          <w:szCs w:val="20"/>
          <w:color w:val="1F1F1F"/>
        </w:rPr>
        <w:t>an</w:t>
      </w:r>
      <w:r>
        <w:rPr>
          <w:rFonts w:ascii="Times New Roman" w:cs="Times New Roman" w:eastAsia="Times New Roman" w:hAnsi="Times New Roman"/>
          <w:sz w:val="20"/>
          <w:szCs w:val="20"/>
          <w:color w:val="0D0D0D"/>
        </w:rPr>
        <w:t xml:space="preserve">y in </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D0D0D"/>
        </w:rPr>
        <w:t>he m</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nn</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r and by the time sp</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ci</w:t>
      </w:r>
      <w:r>
        <w:rPr>
          <w:rFonts w:ascii="Times New Roman" w:cs="Times New Roman" w:eastAsia="Times New Roman" w:hAnsi="Times New Roman"/>
          <w:sz w:val="20"/>
          <w:szCs w:val="20"/>
          <w:color w:val="1F1F1F"/>
        </w:rPr>
        <w:t>fie</w:t>
      </w:r>
      <w:r>
        <w:rPr>
          <w:rFonts w:ascii="Times New Roman" w:cs="Times New Roman" w:eastAsia="Times New Roman" w:hAnsi="Times New Roman"/>
          <w:sz w:val="20"/>
          <w:szCs w:val="20"/>
          <w:color w:val="0D0D0D"/>
        </w:rPr>
        <w:t>d b</w:t>
      </w:r>
      <w:r>
        <w:rPr>
          <w:rFonts w:ascii="Times New Roman" w:cs="Times New Roman" w:eastAsia="Times New Roman" w:hAnsi="Times New Roman"/>
          <w:sz w:val="20"/>
          <w:szCs w:val="20"/>
          <w:color w:val="1F1F1F"/>
        </w:rPr>
        <w:t>y</w:t>
      </w:r>
      <w:r>
        <w:rPr>
          <w:rFonts w:ascii="Times New Roman" w:cs="Times New Roman" w:eastAsia="Times New Roman" w:hAnsi="Times New Roman"/>
          <w:sz w:val="20"/>
          <w:szCs w:val="20"/>
          <w:color w:val="0D0D0D"/>
        </w:rPr>
        <w:t xml:space="preserve"> the Adm</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D0D0D"/>
        </w:rPr>
        <w:t>nistrator</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prov</w:t>
      </w:r>
      <w:r>
        <w:rPr>
          <w:rFonts w:ascii="Times New Roman" w:cs="Times New Roman" w:eastAsia="Times New Roman" w:hAnsi="Times New Roman"/>
          <w:sz w:val="20"/>
          <w:szCs w:val="20"/>
          <w:color w:val="1F1F1F"/>
        </w:rPr>
        <w:t>id</w:t>
      </w:r>
      <w:r>
        <w:rPr>
          <w:rFonts w:ascii="Times New Roman" w:cs="Times New Roman" w:eastAsia="Times New Roman" w:hAnsi="Times New Roman"/>
          <w:sz w:val="20"/>
          <w:szCs w:val="20"/>
          <w:color w:val="0D0D0D"/>
        </w:rPr>
        <w:t>ed</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however</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th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t such D</w:t>
      </w:r>
      <w:r>
        <w:rPr>
          <w:rFonts w:ascii="Times New Roman" w:cs="Times New Roman" w:eastAsia="Times New Roman" w:hAnsi="Times New Roman"/>
          <w:sz w:val="20"/>
          <w:szCs w:val="20"/>
          <w:color w:val="1F1F1F"/>
        </w:rPr>
        <w:t>efe</w:t>
      </w:r>
      <w:r>
        <w:rPr>
          <w:rFonts w:ascii="Times New Roman" w:cs="Times New Roman" w:eastAsia="Times New Roman" w:hAnsi="Times New Roman"/>
          <w:sz w:val="20"/>
          <w:szCs w:val="20"/>
          <w:color w:val="0D0D0D"/>
        </w:rPr>
        <w:t>r</w:t>
      </w:r>
      <w:r>
        <w:rPr>
          <w:rFonts w:ascii="Times New Roman" w:cs="Times New Roman" w:eastAsia="Times New Roman" w:hAnsi="Times New Roman"/>
          <w:sz w:val="20"/>
          <w:szCs w:val="20"/>
          <w:color w:val="1F1F1F"/>
        </w:rPr>
        <w:t>ral A</w:t>
      </w:r>
      <w:r>
        <w:rPr>
          <w:rFonts w:ascii="Times New Roman" w:cs="Times New Roman" w:eastAsia="Times New Roman" w:hAnsi="Times New Roman"/>
          <w:sz w:val="20"/>
          <w:szCs w:val="20"/>
          <w:color w:val="0D0D0D"/>
        </w:rPr>
        <w:t>gre</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m</w:t>
      </w:r>
      <w:r>
        <w:rPr>
          <w:rFonts w:ascii="Times New Roman" w:cs="Times New Roman" w:eastAsia="Times New Roman" w:hAnsi="Times New Roman"/>
          <w:sz w:val="20"/>
          <w:szCs w:val="20"/>
          <w:color w:val="1F1F1F"/>
        </w:rPr>
        <w:t>ent</w:t>
      </w:r>
      <w:r>
        <w:rPr>
          <w:rFonts w:ascii="Times New Roman" w:cs="Times New Roman" w:eastAsia="Times New Roman" w:hAnsi="Times New Roman"/>
          <w:sz w:val="20"/>
          <w:szCs w:val="20"/>
          <w:color w:val="0D0D0D"/>
        </w:rPr>
        <w:t xml:space="preserve"> must be fi</w:t>
      </w:r>
      <w:r>
        <w:rPr>
          <w:rFonts w:ascii="Times New Roman" w:cs="Times New Roman" w:eastAsia="Times New Roman" w:hAnsi="Times New Roman"/>
          <w:sz w:val="20"/>
          <w:szCs w:val="20"/>
          <w:color w:val="1F1F1F"/>
        </w:rPr>
        <w:t>l</w:t>
      </w:r>
      <w:r>
        <w:rPr>
          <w:rFonts w:ascii="Times New Roman" w:cs="Times New Roman" w:eastAsia="Times New Roman" w:hAnsi="Times New Roman"/>
          <w:sz w:val="20"/>
          <w:szCs w:val="20"/>
          <w:color w:val="0D0D0D"/>
        </w:rPr>
        <w:t>ed w</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D0D0D"/>
        </w:rPr>
        <w:t xml:space="preserve">th </w:t>
      </w:r>
      <w:r>
        <w:rPr>
          <w:rFonts w:ascii="Times New Roman" w:cs="Times New Roman" w:eastAsia="Times New Roman" w:hAnsi="Times New Roman"/>
          <w:sz w:val="20"/>
          <w:szCs w:val="20"/>
          <w:color w:val="1F1F1F"/>
        </w:rPr>
        <w:t>the</w:t>
      </w:r>
      <w:r>
        <w:rPr>
          <w:rFonts w:ascii="Times New Roman" w:cs="Times New Roman" w:eastAsia="Times New Roman" w:hAnsi="Times New Roman"/>
          <w:sz w:val="20"/>
          <w:szCs w:val="20"/>
          <w:color w:val="0D0D0D"/>
        </w:rPr>
        <w:t xml:space="preserve"> Comp</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 xml:space="preserve">ny </w:t>
      </w:r>
      <w:r>
        <w:rPr>
          <w:rFonts w:ascii="Times New Roman" w:cs="Times New Roman" w:eastAsia="Times New Roman" w:hAnsi="Times New Roman"/>
          <w:sz w:val="20"/>
          <w:szCs w:val="20"/>
          <w:color w:val="1F1F1F"/>
        </w:rPr>
        <w:t>p</w:t>
      </w:r>
      <w:r>
        <w:rPr>
          <w:rFonts w:ascii="Times New Roman" w:cs="Times New Roman" w:eastAsia="Times New Roman" w:hAnsi="Times New Roman"/>
          <w:sz w:val="20"/>
          <w:szCs w:val="20"/>
          <w:color w:val="0D0D0D"/>
        </w:rPr>
        <w:t>r</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D0D0D"/>
        </w:rPr>
        <w:t>o</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D0D0D"/>
        </w:rPr>
        <w:t xml:space="preserve"> to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first </w:t>
      </w:r>
      <w:r>
        <w:rPr>
          <w:rFonts w:ascii="Times New Roman" w:cs="Times New Roman" w:eastAsia="Times New Roman" w:hAnsi="Times New Roman"/>
          <w:sz w:val="20"/>
          <w:szCs w:val="20"/>
          <w:color w:val="1F1F1F"/>
        </w:rPr>
        <w:t>da</w:t>
      </w:r>
      <w:r>
        <w:rPr>
          <w:rFonts w:ascii="Times New Roman" w:cs="Times New Roman" w:eastAsia="Times New Roman" w:hAnsi="Times New Roman"/>
          <w:sz w:val="20"/>
          <w:szCs w:val="20"/>
          <w:color w:val="0D0D0D"/>
        </w:rPr>
        <w:t>y o</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D0D0D"/>
        </w:rPr>
        <w:t xml:space="preserve"> the first c</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lendar ye</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 xml:space="preserve">r </w:t>
      </w:r>
      <w:r>
        <w:rPr>
          <w:rFonts w:ascii="Times New Roman" w:cs="Times New Roman" w:eastAsia="Times New Roman" w:hAnsi="Times New Roman"/>
          <w:sz w:val="20"/>
          <w:szCs w:val="20"/>
          <w:color w:val="1F1F1F"/>
        </w:rPr>
        <w:t>fo</w:t>
      </w:r>
      <w:r>
        <w:rPr>
          <w:rFonts w:ascii="Times New Roman" w:cs="Times New Roman" w:eastAsia="Times New Roman" w:hAnsi="Times New Roman"/>
          <w:sz w:val="20"/>
          <w:szCs w:val="20"/>
          <w:color w:val="0D0D0D"/>
        </w:rPr>
        <w:t xml:space="preserve">r which </w:t>
      </w:r>
      <w:r>
        <w:rPr>
          <w:rFonts w:ascii="Times New Roman" w:cs="Times New Roman" w:eastAsia="Times New Roman" w:hAnsi="Times New Roman"/>
          <w:sz w:val="20"/>
          <w:szCs w:val="20"/>
          <w:color w:val="1F1F1F"/>
        </w:rPr>
        <w:t>it</w:t>
      </w:r>
      <w:r>
        <w:rPr>
          <w:rFonts w:ascii="Times New Roman" w:cs="Times New Roman" w:eastAsia="Times New Roman" w:hAnsi="Times New Roman"/>
          <w:sz w:val="20"/>
          <w:szCs w:val="20"/>
          <w:color w:val="0D0D0D"/>
        </w:rPr>
        <w:t xml:space="preserve"> i</w:t>
      </w:r>
      <w:r>
        <w:rPr>
          <w:rFonts w:ascii="Times New Roman" w:cs="Times New Roman" w:eastAsia="Times New Roman" w:hAnsi="Times New Roman"/>
          <w:sz w:val="20"/>
          <w:szCs w:val="20"/>
          <w:color w:val="1F1F1F"/>
        </w:rPr>
        <w:t>s t</w:t>
      </w:r>
      <w:r>
        <w:rPr>
          <w:rFonts w:ascii="Times New Roman" w:cs="Times New Roman" w:eastAsia="Times New Roman" w:hAnsi="Times New Roman"/>
          <w:sz w:val="20"/>
          <w:szCs w:val="20"/>
          <w:color w:val="0D0D0D"/>
        </w:rPr>
        <w:t>o b</w:t>
      </w:r>
      <w:r>
        <w:rPr>
          <w:rFonts w:ascii="Times New Roman" w:cs="Times New Roman" w:eastAsia="Times New Roman" w:hAnsi="Times New Roman"/>
          <w:sz w:val="20"/>
          <w:szCs w:val="20"/>
          <w:color w:val="1F1F1F"/>
        </w:rPr>
        <w:t>e eff</w:t>
      </w:r>
      <w:r>
        <w:rPr>
          <w:rFonts w:ascii="Times New Roman" w:cs="Times New Roman" w:eastAsia="Times New Roman" w:hAnsi="Times New Roman"/>
          <w:sz w:val="20"/>
          <w:szCs w:val="20"/>
          <w:color w:val="0D0D0D"/>
        </w:rPr>
        <w:t>ec</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D0D0D"/>
        </w:rPr>
        <w:t>iv</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a</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D0D0D"/>
        </w:rPr>
        <w:t>d shall beco</w:t>
      </w:r>
      <w:r>
        <w:rPr>
          <w:rFonts w:ascii="Times New Roman" w:cs="Times New Roman" w:eastAsia="Times New Roman" w:hAnsi="Times New Roman"/>
          <w:sz w:val="20"/>
          <w:szCs w:val="20"/>
          <w:color w:val="1F1F1F"/>
        </w:rPr>
        <w:t>me</w:t>
      </w:r>
      <w:r>
        <w:rPr>
          <w:rFonts w:ascii="Times New Roman" w:cs="Times New Roman" w:eastAsia="Times New Roman" w:hAnsi="Times New Roman"/>
          <w:sz w:val="20"/>
          <w:szCs w:val="20"/>
          <w:color w:val="0D0D0D"/>
        </w:rPr>
        <w:t xml:space="preserve"> irr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voc</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bl</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with 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sp</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ct to a c</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l</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nd</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r ye</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r o</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D0D0D"/>
        </w:rPr>
        <w:t xml:space="preserve"> the 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s</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D0D0D"/>
        </w:rPr>
        <w:t xml:space="preserve"> day </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313131"/>
        </w:rPr>
        <w:t>f</w:t>
      </w:r>
      <w:r>
        <w:rPr>
          <w:rFonts w:ascii="Times New Roman" w:cs="Times New Roman" w:eastAsia="Times New Roman" w:hAnsi="Times New Roman"/>
          <w:sz w:val="20"/>
          <w:szCs w:val="20"/>
          <w:color w:val="0D0D0D"/>
        </w:rPr>
        <w:t xml:space="preserve"> </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D0D0D"/>
        </w:rPr>
        <w:t>he c</w:t>
      </w:r>
      <w:r>
        <w:rPr>
          <w:rFonts w:ascii="Times New Roman" w:cs="Times New Roman" w:eastAsia="Times New Roman" w:hAnsi="Times New Roman"/>
          <w:sz w:val="20"/>
          <w:szCs w:val="20"/>
          <w:color w:val="1F1F1F"/>
        </w:rPr>
        <w:t>ale</w:t>
      </w:r>
      <w:r>
        <w:rPr>
          <w:rFonts w:ascii="Times New Roman" w:cs="Times New Roman" w:eastAsia="Times New Roman" w:hAnsi="Times New Roman"/>
          <w:sz w:val="20"/>
          <w:szCs w:val="20"/>
          <w:color w:val="0D0D0D"/>
        </w:rPr>
        <w:t>nd</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r ye</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r imm</w:t>
      </w:r>
      <w:r>
        <w:rPr>
          <w:rFonts w:ascii="Times New Roman" w:cs="Times New Roman" w:eastAsia="Times New Roman" w:hAnsi="Times New Roman"/>
          <w:sz w:val="20"/>
          <w:szCs w:val="20"/>
          <w:color w:val="1F1F1F"/>
        </w:rPr>
        <w:t>ed</w:t>
      </w:r>
      <w:r>
        <w:rPr>
          <w:rFonts w:ascii="Times New Roman" w:cs="Times New Roman" w:eastAsia="Times New Roman" w:hAnsi="Times New Roman"/>
          <w:sz w:val="20"/>
          <w:szCs w:val="20"/>
          <w:color w:val="0D0D0D"/>
        </w:rPr>
        <w:t>i</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tely pr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ceding su</w:t>
      </w:r>
      <w:r>
        <w:rPr>
          <w:rFonts w:ascii="Times New Roman" w:cs="Times New Roman" w:eastAsia="Times New Roman" w:hAnsi="Times New Roman"/>
          <w:sz w:val="20"/>
          <w:szCs w:val="20"/>
          <w:color w:val="1F1F1F"/>
        </w:rPr>
        <w:t>c</w:t>
      </w:r>
      <w:r>
        <w:rPr>
          <w:rFonts w:ascii="Times New Roman" w:cs="Times New Roman" w:eastAsia="Times New Roman" w:hAnsi="Times New Roman"/>
          <w:sz w:val="20"/>
          <w:szCs w:val="20"/>
          <w:color w:val="0D0D0D"/>
        </w:rPr>
        <w:t>h c</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lend</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r year.</w:t>
      </w:r>
    </w:p>
    <w:p>
      <w:pPr>
        <w:spacing w:after="0" w:line="216" w:lineRule="exact"/>
        <w:rPr>
          <w:sz w:val="20"/>
          <w:szCs w:val="20"/>
          <w:color w:val="auto"/>
        </w:rPr>
      </w:pPr>
    </w:p>
    <w:p>
      <w:pPr>
        <w:jc w:val="both"/>
        <w:ind w:left="100" w:right="60" w:firstLine="657"/>
        <w:spacing w:after="0" w:line="270" w:lineRule="auto"/>
        <w:rPr>
          <w:sz w:val="20"/>
          <w:szCs w:val="20"/>
          <w:color w:val="auto"/>
        </w:rPr>
      </w:pPr>
      <w:r>
        <w:rPr>
          <w:rFonts w:ascii="Times New Roman" w:cs="Times New Roman" w:eastAsia="Times New Roman" w:hAnsi="Times New Roman"/>
          <w:sz w:val="22"/>
          <w:szCs w:val="22"/>
          <w:b w:val="1"/>
          <w:bCs w:val="1"/>
          <w:color w:val="0D0D0D"/>
        </w:rPr>
        <w:t xml:space="preserve">4.2 Bonus Deferrals. </w:t>
      </w:r>
      <w:r>
        <w:rPr>
          <w:rFonts w:ascii="Times New Roman" w:cs="Times New Roman" w:eastAsia="Times New Roman" w:hAnsi="Times New Roman"/>
          <w:sz w:val="19"/>
          <w:szCs w:val="19"/>
          <w:color w:val="0D0D0D"/>
        </w:rPr>
        <w:t>An</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1F1F1F"/>
        </w:rPr>
        <w:t>El</w:t>
      </w:r>
      <w:r>
        <w:rPr>
          <w:rFonts w:ascii="Times New Roman" w:cs="Times New Roman" w:eastAsia="Times New Roman" w:hAnsi="Times New Roman"/>
          <w:sz w:val="19"/>
          <w:szCs w:val="19"/>
          <w:color w:val="0D0D0D"/>
        </w:rPr>
        <w:t>igibl</w:t>
      </w:r>
      <w:r>
        <w:rPr>
          <w:rFonts w:ascii="Times New Roman" w:cs="Times New Roman" w:eastAsia="Times New Roman" w:hAnsi="Times New Roman"/>
          <w:sz w:val="19"/>
          <w:szCs w:val="19"/>
          <w:color w:val="1F1F1F"/>
        </w:rPr>
        <w:t>e E</w:t>
      </w:r>
      <w:r>
        <w:rPr>
          <w:rFonts w:ascii="Times New Roman" w:cs="Times New Roman" w:eastAsia="Times New Roman" w:hAnsi="Times New Roman"/>
          <w:sz w:val="19"/>
          <w:szCs w:val="19"/>
          <w:color w:val="0D0D0D"/>
        </w:rPr>
        <w:t>mploy</w:t>
      </w:r>
      <w:r>
        <w:rPr>
          <w:rFonts w:ascii="Times New Roman" w:cs="Times New Roman" w:eastAsia="Times New Roman" w:hAnsi="Times New Roman"/>
          <w:sz w:val="19"/>
          <w:szCs w:val="19"/>
          <w:color w:val="1F1F1F"/>
        </w:rPr>
        <w:t>ee</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0D0D0D"/>
        </w:rPr>
        <w:t>m</w:t>
      </w:r>
      <w:r>
        <w:rPr>
          <w:rFonts w:ascii="Times New Roman" w:cs="Times New Roman" w:eastAsia="Times New Roman" w:hAnsi="Times New Roman"/>
          <w:sz w:val="19"/>
          <w:szCs w:val="19"/>
          <w:color w:val="1F1F1F"/>
        </w:rPr>
        <w:t>a</w:t>
      </w:r>
      <w:r>
        <w:rPr>
          <w:rFonts w:ascii="Times New Roman" w:cs="Times New Roman" w:eastAsia="Times New Roman" w:hAnsi="Times New Roman"/>
          <w:sz w:val="19"/>
          <w:szCs w:val="19"/>
          <w:color w:val="0D0D0D"/>
        </w:rPr>
        <w:t>y</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1F1F1F"/>
        </w:rPr>
        <w:t>e</w:t>
      </w:r>
      <w:r>
        <w:rPr>
          <w:rFonts w:ascii="Times New Roman" w:cs="Times New Roman" w:eastAsia="Times New Roman" w:hAnsi="Times New Roman"/>
          <w:sz w:val="19"/>
          <w:szCs w:val="19"/>
          <w:color w:val="0D0D0D"/>
        </w:rPr>
        <w:t>l</w:t>
      </w:r>
      <w:r>
        <w:rPr>
          <w:rFonts w:ascii="Times New Roman" w:cs="Times New Roman" w:eastAsia="Times New Roman" w:hAnsi="Times New Roman"/>
          <w:sz w:val="19"/>
          <w:szCs w:val="19"/>
          <w:color w:val="1F1F1F"/>
        </w:rPr>
        <w:t>e</w:t>
      </w:r>
      <w:r>
        <w:rPr>
          <w:rFonts w:ascii="Times New Roman" w:cs="Times New Roman" w:eastAsia="Times New Roman" w:hAnsi="Times New Roman"/>
          <w:sz w:val="19"/>
          <w:szCs w:val="19"/>
          <w:color w:val="0D0D0D"/>
        </w:rPr>
        <w:t>ct to defer rece</w:t>
      </w:r>
      <w:r>
        <w:rPr>
          <w:rFonts w:ascii="Times New Roman" w:cs="Times New Roman" w:eastAsia="Times New Roman" w:hAnsi="Times New Roman"/>
          <w:sz w:val="19"/>
          <w:szCs w:val="19"/>
          <w:color w:val="1F1F1F"/>
        </w:rPr>
        <w:t>ip</w:t>
      </w:r>
      <w:r>
        <w:rPr>
          <w:rFonts w:ascii="Times New Roman" w:cs="Times New Roman" w:eastAsia="Times New Roman" w:hAnsi="Times New Roman"/>
          <w:sz w:val="19"/>
          <w:szCs w:val="19"/>
          <w:color w:val="0D0D0D"/>
        </w:rPr>
        <w:t>t of up to</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1F1F1F"/>
        </w:rPr>
        <w:t>fifty p</w:t>
      </w:r>
      <w:r>
        <w:rPr>
          <w:rFonts w:ascii="Times New Roman" w:cs="Times New Roman" w:eastAsia="Times New Roman" w:hAnsi="Times New Roman"/>
          <w:sz w:val="19"/>
          <w:szCs w:val="19"/>
          <w:color w:val="0D0D0D"/>
        </w:rPr>
        <w:t>erc</w:t>
      </w:r>
      <w:r>
        <w:rPr>
          <w:rFonts w:ascii="Times New Roman" w:cs="Times New Roman" w:eastAsia="Times New Roman" w:hAnsi="Times New Roman"/>
          <w:sz w:val="19"/>
          <w:szCs w:val="19"/>
          <w:color w:val="1F1F1F"/>
        </w:rPr>
        <w:t>e</w:t>
      </w:r>
      <w:r>
        <w:rPr>
          <w:rFonts w:ascii="Times New Roman" w:cs="Times New Roman" w:eastAsia="Times New Roman" w:hAnsi="Times New Roman"/>
          <w:sz w:val="19"/>
          <w:szCs w:val="19"/>
          <w:color w:val="0D0D0D"/>
        </w:rPr>
        <w:t>nt (50</w:t>
      </w:r>
      <w:r>
        <w:rPr>
          <w:rFonts w:ascii="Times New Roman" w:cs="Times New Roman" w:eastAsia="Times New Roman" w:hAnsi="Times New Roman"/>
          <w:sz w:val="19"/>
          <w:szCs w:val="19"/>
          <w:color w:val="1F1F1F"/>
        </w:rPr>
        <w:t>%</w:t>
      </w:r>
      <w:r>
        <w:rPr>
          <w:rFonts w:ascii="Times New Roman" w:cs="Times New Roman" w:eastAsia="Times New Roman" w:hAnsi="Times New Roman"/>
          <w:sz w:val="19"/>
          <w:szCs w:val="19"/>
          <w:color w:val="0D0D0D"/>
        </w:rPr>
        <w:t>) (or</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1F1F1F"/>
        </w:rPr>
        <w:t>s</w:t>
      </w:r>
      <w:r>
        <w:rPr>
          <w:rFonts w:ascii="Times New Roman" w:cs="Times New Roman" w:eastAsia="Times New Roman" w:hAnsi="Times New Roman"/>
          <w:sz w:val="19"/>
          <w:szCs w:val="19"/>
          <w:color w:val="0D0D0D"/>
        </w:rPr>
        <w:t>uch other percent</w:t>
      </w:r>
      <w:r>
        <w:rPr>
          <w:rFonts w:ascii="Times New Roman" w:cs="Times New Roman" w:eastAsia="Times New Roman" w:hAnsi="Times New Roman"/>
          <w:sz w:val="19"/>
          <w:szCs w:val="19"/>
          <w:color w:val="1F1F1F"/>
        </w:rPr>
        <w:t>a</w:t>
      </w:r>
      <w:r>
        <w:rPr>
          <w:rFonts w:ascii="Times New Roman" w:cs="Times New Roman" w:eastAsia="Times New Roman" w:hAnsi="Times New Roman"/>
          <w:sz w:val="19"/>
          <w:szCs w:val="19"/>
          <w:color w:val="0D0D0D"/>
        </w:rPr>
        <w:t>ge</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1F1F1F"/>
        </w:rPr>
        <w:t>a</w:t>
      </w:r>
      <w:r>
        <w:rPr>
          <w:rFonts w:ascii="Times New Roman" w:cs="Times New Roman" w:eastAsia="Times New Roman" w:hAnsi="Times New Roman"/>
          <w:sz w:val="19"/>
          <w:szCs w:val="19"/>
          <w:color w:val="0D0D0D"/>
        </w:rPr>
        <w:t>s</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1F1F1F"/>
        </w:rPr>
        <w:t>ma</w:t>
      </w:r>
      <w:r>
        <w:rPr>
          <w:rFonts w:ascii="Times New Roman" w:cs="Times New Roman" w:eastAsia="Times New Roman" w:hAnsi="Times New Roman"/>
          <w:sz w:val="19"/>
          <w:szCs w:val="19"/>
          <w:color w:val="0D0D0D"/>
        </w:rPr>
        <w:t>y b</w:t>
      </w:r>
      <w:r>
        <w:rPr>
          <w:rFonts w:ascii="Times New Roman" w:cs="Times New Roman" w:eastAsia="Times New Roman" w:hAnsi="Times New Roman"/>
          <w:sz w:val="19"/>
          <w:szCs w:val="19"/>
          <w:color w:val="1F1F1F"/>
        </w:rPr>
        <w:t xml:space="preserve">e </w:t>
      </w:r>
      <w:r>
        <w:rPr>
          <w:rFonts w:ascii="Times New Roman" w:cs="Times New Roman" w:eastAsia="Times New Roman" w:hAnsi="Times New Roman"/>
          <w:sz w:val="19"/>
          <w:szCs w:val="19"/>
          <w:color w:val="0D0D0D"/>
        </w:rPr>
        <w:t>d</w:t>
      </w:r>
      <w:r>
        <w:rPr>
          <w:rFonts w:ascii="Times New Roman" w:cs="Times New Roman" w:eastAsia="Times New Roman" w:hAnsi="Times New Roman"/>
          <w:sz w:val="19"/>
          <w:szCs w:val="19"/>
          <w:color w:val="1F1F1F"/>
        </w:rPr>
        <w:t>e</w:t>
      </w:r>
      <w:r>
        <w:rPr>
          <w:rFonts w:ascii="Times New Roman" w:cs="Times New Roman" w:eastAsia="Times New Roman" w:hAnsi="Times New Roman"/>
          <w:sz w:val="19"/>
          <w:szCs w:val="19"/>
          <w:color w:val="0D0D0D"/>
        </w:rPr>
        <w:t>t</w:t>
      </w:r>
      <w:r>
        <w:rPr>
          <w:rFonts w:ascii="Times New Roman" w:cs="Times New Roman" w:eastAsia="Times New Roman" w:hAnsi="Times New Roman"/>
          <w:sz w:val="19"/>
          <w:szCs w:val="19"/>
          <w:color w:val="1F1F1F"/>
        </w:rPr>
        <w:t>e</w:t>
      </w:r>
      <w:r>
        <w:rPr>
          <w:rFonts w:ascii="Times New Roman" w:cs="Times New Roman" w:eastAsia="Times New Roman" w:hAnsi="Times New Roman"/>
          <w:sz w:val="19"/>
          <w:szCs w:val="19"/>
          <w:color w:val="0D0D0D"/>
        </w:rPr>
        <w:t>rm</w:t>
      </w:r>
      <w:r>
        <w:rPr>
          <w:rFonts w:ascii="Times New Roman" w:cs="Times New Roman" w:eastAsia="Times New Roman" w:hAnsi="Times New Roman"/>
          <w:sz w:val="19"/>
          <w:szCs w:val="19"/>
          <w:color w:val="1F1F1F"/>
        </w:rPr>
        <w:t>ine</w:t>
      </w:r>
      <w:r>
        <w:rPr>
          <w:rFonts w:ascii="Times New Roman" w:cs="Times New Roman" w:eastAsia="Times New Roman" w:hAnsi="Times New Roman"/>
          <w:sz w:val="19"/>
          <w:szCs w:val="19"/>
          <w:color w:val="0D0D0D"/>
        </w:rPr>
        <w:t>d by the</w:t>
      </w:r>
      <w:r>
        <w:rPr>
          <w:rFonts w:ascii="Times New Roman" w:cs="Times New Roman" w:eastAsia="Times New Roman" w:hAnsi="Times New Roman"/>
          <w:sz w:val="19"/>
          <w:szCs w:val="19"/>
          <w:color w:val="1F1F1F"/>
        </w:rPr>
        <w:t xml:space="preserve"> Com</w:t>
      </w:r>
      <w:r>
        <w:rPr>
          <w:rFonts w:ascii="Times New Roman" w:cs="Times New Roman" w:eastAsia="Times New Roman" w:hAnsi="Times New Roman"/>
          <w:sz w:val="19"/>
          <w:szCs w:val="19"/>
          <w:color w:val="0D0D0D"/>
        </w:rPr>
        <w:t>p</w:t>
      </w:r>
      <w:r>
        <w:rPr>
          <w:rFonts w:ascii="Times New Roman" w:cs="Times New Roman" w:eastAsia="Times New Roman" w:hAnsi="Times New Roman"/>
          <w:sz w:val="19"/>
          <w:szCs w:val="19"/>
          <w:color w:val="1F1F1F"/>
        </w:rPr>
        <w:t>e</w:t>
      </w:r>
      <w:r>
        <w:rPr>
          <w:rFonts w:ascii="Times New Roman" w:cs="Times New Roman" w:eastAsia="Times New Roman" w:hAnsi="Times New Roman"/>
          <w:sz w:val="19"/>
          <w:szCs w:val="19"/>
          <w:color w:val="0D0D0D"/>
        </w:rPr>
        <w:t>ns</w:t>
      </w:r>
      <w:r>
        <w:rPr>
          <w:rFonts w:ascii="Times New Roman" w:cs="Times New Roman" w:eastAsia="Times New Roman" w:hAnsi="Times New Roman"/>
          <w:sz w:val="19"/>
          <w:szCs w:val="19"/>
          <w:color w:val="1F1F1F"/>
        </w:rPr>
        <w:t>a</w:t>
      </w:r>
      <w:r>
        <w:rPr>
          <w:rFonts w:ascii="Times New Roman" w:cs="Times New Roman" w:eastAsia="Times New Roman" w:hAnsi="Times New Roman"/>
          <w:sz w:val="19"/>
          <w:szCs w:val="19"/>
          <w:color w:val="0D0D0D"/>
        </w:rPr>
        <w:t>t</w:t>
      </w:r>
      <w:r>
        <w:rPr>
          <w:rFonts w:ascii="Times New Roman" w:cs="Times New Roman" w:eastAsia="Times New Roman" w:hAnsi="Times New Roman"/>
          <w:sz w:val="19"/>
          <w:szCs w:val="19"/>
          <w:color w:val="1F1F1F"/>
        </w:rPr>
        <w:t>i</w:t>
      </w:r>
      <w:r>
        <w:rPr>
          <w:rFonts w:ascii="Times New Roman" w:cs="Times New Roman" w:eastAsia="Times New Roman" w:hAnsi="Times New Roman"/>
          <w:sz w:val="19"/>
          <w:szCs w:val="19"/>
          <w:color w:val="0D0D0D"/>
        </w:rPr>
        <w:t>on Comm</w:t>
      </w:r>
      <w:r>
        <w:rPr>
          <w:rFonts w:ascii="Times New Roman" w:cs="Times New Roman" w:eastAsia="Times New Roman" w:hAnsi="Times New Roman"/>
          <w:sz w:val="19"/>
          <w:szCs w:val="19"/>
          <w:color w:val="1F1F1F"/>
        </w:rPr>
        <w:t>ittee</w:t>
      </w:r>
      <w:r>
        <w:rPr>
          <w:rFonts w:ascii="Times New Roman" w:cs="Times New Roman" w:eastAsia="Times New Roman" w:hAnsi="Times New Roman"/>
          <w:sz w:val="19"/>
          <w:szCs w:val="19"/>
          <w:color w:val="0D0D0D"/>
        </w:rPr>
        <w:t>)</w:t>
      </w:r>
      <w:r>
        <w:rPr>
          <w:rFonts w:ascii="Times New Roman" w:cs="Times New Roman" w:eastAsia="Times New Roman" w:hAnsi="Times New Roman"/>
          <w:sz w:val="19"/>
          <w:szCs w:val="19"/>
          <w:color w:val="1F1F1F"/>
        </w:rPr>
        <w:t xml:space="preserve"> of </w:t>
      </w:r>
      <w:r>
        <w:rPr>
          <w:rFonts w:ascii="Times New Roman" w:cs="Times New Roman" w:eastAsia="Times New Roman" w:hAnsi="Times New Roman"/>
          <w:sz w:val="19"/>
          <w:szCs w:val="19"/>
          <w:color w:val="0D0D0D"/>
        </w:rPr>
        <w:t>any B</w:t>
      </w:r>
      <w:r>
        <w:rPr>
          <w:rFonts w:ascii="Times New Roman" w:cs="Times New Roman" w:eastAsia="Times New Roman" w:hAnsi="Times New Roman"/>
          <w:sz w:val="19"/>
          <w:szCs w:val="19"/>
          <w:color w:val="1F1F1F"/>
        </w:rPr>
        <w:t>o</w:t>
      </w:r>
      <w:r>
        <w:rPr>
          <w:rFonts w:ascii="Times New Roman" w:cs="Times New Roman" w:eastAsia="Times New Roman" w:hAnsi="Times New Roman"/>
          <w:sz w:val="19"/>
          <w:szCs w:val="19"/>
          <w:color w:val="0D0D0D"/>
        </w:rPr>
        <w:t>nu</w:t>
      </w:r>
      <w:r>
        <w:rPr>
          <w:rFonts w:ascii="Times New Roman" w:cs="Times New Roman" w:eastAsia="Times New Roman" w:hAnsi="Times New Roman"/>
          <w:sz w:val="19"/>
          <w:szCs w:val="19"/>
          <w:color w:val="1F1F1F"/>
        </w:rPr>
        <w:t xml:space="preserve">s </w:t>
      </w:r>
      <w:r>
        <w:rPr>
          <w:rFonts w:ascii="Times New Roman" w:cs="Times New Roman" w:eastAsia="Times New Roman" w:hAnsi="Times New Roman"/>
          <w:sz w:val="19"/>
          <w:szCs w:val="19"/>
          <w:color w:val="0D0D0D"/>
        </w:rPr>
        <w:t>th</w:t>
      </w:r>
      <w:r>
        <w:rPr>
          <w:rFonts w:ascii="Times New Roman" w:cs="Times New Roman" w:eastAsia="Times New Roman" w:hAnsi="Times New Roman"/>
          <w:sz w:val="19"/>
          <w:szCs w:val="19"/>
          <w:color w:val="1F1F1F"/>
        </w:rPr>
        <w:t>a</w:t>
      </w:r>
      <w:r>
        <w:rPr>
          <w:rFonts w:ascii="Times New Roman" w:cs="Times New Roman" w:eastAsia="Times New Roman" w:hAnsi="Times New Roman"/>
          <w:sz w:val="19"/>
          <w:szCs w:val="19"/>
          <w:color w:val="0D0D0D"/>
        </w:rPr>
        <w:t>t he or she</w:t>
      </w:r>
      <w:r>
        <w:rPr>
          <w:rFonts w:ascii="Times New Roman" w:cs="Times New Roman" w:eastAsia="Times New Roman" w:hAnsi="Times New Roman"/>
          <w:sz w:val="19"/>
          <w:szCs w:val="19"/>
          <w:color w:val="1F1F1F"/>
        </w:rPr>
        <w:t xml:space="preserve"> a</w:t>
      </w:r>
      <w:r>
        <w:rPr>
          <w:rFonts w:ascii="Times New Roman" w:cs="Times New Roman" w:eastAsia="Times New Roman" w:hAnsi="Times New Roman"/>
          <w:sz w:val="19"/>
          <w:szCs w:val="19"/>
          <w:color w:val="0D0D0D"/>
        </w:rPr>
        <w:t>nticipates</w:t>
      </w:r>
      <w:r>
        <w:rPr>
          <w:rFonts w:ascii="Times New Roman" w:cs="Times New Roman" w:eastAsia="Times New Roman" w:hAnsi="Times New Roman"/>
          <w:sz w:val="19"/>
          <w:szCs w:val="19"/>
          <w:color w:val="1F1F1F"/>
        </w:rPr>
        <w:t xml:space="preserve"> re</w:t>
      </w:r>
      <w:r>
        <w:rPr>
          <w:rFonts w:ascii="Times New Roman" w:cs="Times New Roman" w:eastAsia="Times New Roman" w:hAnsi="Times New Roman"/>
          <w:sz w:val="19"/>
          <w:szCs w:val="19"/>
          <w:color w:val="0D0D0D"/>
        </w:rPr>
        <w:t>c</w:t>
      </w:r>
      <w:r>
        <w:rPr>
          <w:rFonts w:ascii="Times New Roman" w:cs="Times New Roman" w:eastAsia="Times New Roman" w:hAnsi="Times New Roman"/>
          <w:sz w:val="19"/>
          <w:szCs w:val="19"/>
          <w:color w:val="1F1F1F"/>
        </w:rPr>
        <w:t>e</w:t>
      </w:r>
      <w:r>
        <w:rPr>
          <w:rFonts w:ascii="Times New Roman" w:cs="Times New Roman" w:eastAsia="Times New Roman" w:hAnsi="Times New Roman"/>
          <w:sz w:val="19"/>
          <w:szCs w:val="19"/>
          <w:color w:val="0D0D0D"/>
        </w:rPr>
        <w:t>iv</w:t>
      </w:r>
      <w:r>
        <w:rPr>
          <w:rFonts w:ascii="Times New Roman" w:cs="Times New Roman" w:eastAsia="Times New Roman" w:hAnsi="Times New Roman"/>
          <w:sz w:val="19"/>
          <w:szCs w:val="19"/>
          <w:color w:val="1F1F1F"/>
        </w:rPr>
        <w:t>ing</w:t>
      </w:r>
      <w:r>
        <w:rPr>
          <w:rFonts w:ascii="Times New Roman" w:cs="Times New Roman" w:eastAsia="Times New Roman" w:hAnsi="Times New Roman"/>
          <w:sz w:val="19"/>
          <w:szCs w:val="19"/>
          <w:color w:val="0D0D0D"/>
        </w:rPr>
        <w:t>. Such e</w:t>
      </w:r>
      <w:r>
        <w:rPr>
          <w:rFonts w:ascii="Times New Roman" w:cs="Times New Roman" w:eastAsia="Times New Roman" w:hAnsi="Times New Roman"/>
          <w:sz w:val="19"/>
          <w:szCs w:val="19"/>
          <w:color w:val="1F1F1F"/>
        </w:rPr>
        <w:t>le</w:t>
      </w:r>
      <w:r>
        <w:rPr>
          <w:rFonts w:ascii="Times New Roman" w:cs="Times New Roman" w:eastAsia="Times New Roman" w:hAnsi="Times New Roman"/>
          <w:sz w:val="19"/>
          <w:szCs w:val="19"/>
          <w:color w:val="0D0D0D"/>
        </w:rPr>
        <w:t>ctio</w:t>
      </w:r>
      <w:r>
        <w:rPr>
          <w:rFonts w:ascii="Times New Roman" w:cs="Times New Roman" w:eastAsia="Times New Roman" w:hAnsi="Times New Roman"/>
          <w:sz w:val="19"/>
          <w:szCs w:val="19"/>
          <w:color w:val="1F1F1F"/>
        </w:rPr>
        <w:t xml:space="preserve">n </w:t>
      </w:r>
      <w:r>
        <w:rPr>
          <w:rFonts w:ascii="Times New Roman" w:cs="Times New Roman" w:eastAsia="Times New Roman" w:hAnsi="Times New Roman"/>
          <w:sz w:val="19"/>
          <w:szCs w:val="19"/>
          <w:color w:val="0D0D0D"/>
        </w:rPr>
        <w:t>sh</w:t>
      </w:r>
      <w:r>
        <w:rPr>
          <w:rFonts w:ascii="Times New Roman" w:cs="Times New Roman" w:eastAsia="Times New Roman" w:hAnsi="Times New Roman"/>
          <w:sz w:val="19"/>
          <w:szCs w:val="19"/>
          <w:color w:val="1F1F1F"/>
        </w:rPr>
        <w:t>a</w:t>
      </w:r>
      <w:r>
        <w:rPr>
          <w:rFonts w:ascii="Times New Roman" w:cs="Times New Roman" w:eastAsia="Times New Roman" w:hAnsi="Times New Roman"/>
          <w:sz w:val="19"/>
          <w:szCs w:val="19"/>
          <w:color w:val="0D0D0D"/>
        </w:rPr>
        <w:t>ll b</w:t>
      </w:r>
      <w:r>
        <w:rPr>
          <w:rFonts w:ascii="Times New Roman" w:cs="Times New Roman" w:eastAsia="Times New Roman" w:hAnsi="Times New Roman"/>
          <w:sz w:val="19"/>
          <w:szCs w:val="19"/>
          <w:color w:val="1F1F1F"/>
        </w:rPr>
        <w:t xml:space="preserve">e </w:t>
      </w:r>
      <w:r>
        <w:rPr>
          <w:rFonts w:ascii="Times New Roman" w:cs="Times New Roman" w:eastAsia="Times New Roman" w:hAnsi="Times New Roman"/>
          <w:sz w:val="19"/>
          <w:szCs w:val="19"/>
          <w:color w:val="0D0D0D"/>
        </w:rPr>
        <w:t>m</w:t>
      </w:r>
      <w:r>
        <w:rPr>
          <w:rFonts w:ascii="Times New Roman" w:cs="Times New Roman" w:eastAsia="Times New Roman" w:hAnsi="Times New Roman"/>
          <w:sz w:val="19"/>
          <w:szCs w:val="19"/>
          <w:color w:val="1F1F1F"/>
        </w:rPr>
        <w:t>a</w:t>
      </w:r>
      <w:r>
        <w:rPr>
          <w:rFonts w:ascii="Times New Roman" w:cs="Times New Roman" w:eastAsia="Times New Roman" w:hAnsi="Times New Roman"/>
          <w:sz w:val="19"/>
          <w:szCs w:val="19"/>
          <w:color w:val="0D0D0D"/>
        </w:rPr>
        <w:t>d</w:t>
      </w:r>
      <w:r>
        <w:rPr>
          <w:rFonts w:ascii="Times New Roman" w:cs="Times New Roman" w:eastAsia="Times New Roman" w:hAnsi="Times New Roman"/>
          <w:sz w:val="19"/>
          <w:szCs w:val="19"/>
          <w:color w:val="1F1F1F"/>
        </w:rPr>
        <w:t xml:space="preserve">e </w:t>
      </w:r>
      <w:r>
        <w:rPr>
          <w:rFonts w:ascii="Times New Roman" w:cs="Times New Roman" w:eastAsia="Times New Roman" w:hAnsi="Times New Roman"/>
          <w:sz w:val="19"/>
          <w:szCs w:val="19"/>
          <w:color w:val="0D0D0D"/>
        </w:rPr>
        <w:t>by</w:t>
      </w:r>
      <w:r>
        <w:rPr>
          <w:rFonts w:ascii="Times New Roman" w:cs="Times New Roman" w:eastAsia="Times New Roman" w:hAnsi="Times New Roman"/>
          <w:sz w:val="19"/>
          <w:szCs w:val="19"/>
          <w:color w:val="1F1F1F"/>
        </w:rPr>
        <w:t xml:space="preserve"> </w:t>
      </w:r>
      <w:r>
        <w:rPr>
          <w:rFonts w:ascii="Times New Roman" w:cs="Times New Roman" w:eastAsia="Times New Roman" w:hAnsi="Times New Roman"/>
          <w:sz w:val="19"/>
          <w:szCs w:val="19"/>
          <w:color w:val="0D0D0D"/>
        </w:rPr>
        <w:t>fili</w:t>
      </w:r>
      <w:r>
        <w:rPr>
          <w:rFonts w:ascii="Times New Roman" w:cs="Times New Roman" w:eastAsia="Times New Roman" w:hAnsi="Times New Roman"/>
          <w:sz w:val="19"/>
          <w:szCs w:val="19"/>
          <w:color w:val="1F1F1F"/>
        </w:rPr>
        <w:t>ng a</w:t>
      </w:r>
      <w:r>
        <w:rPr>
          <w:rFonts w:ascii="Times New Roman" w:cs="Times New Roman" w:eastAsia="Times New Roman" w:hAnsi="Times New Roman"/>
          <w:sz w:val="19"/>
          <w:szCs w:val="19"/>
          <w:color w:val="0D0D0D"/>
        </w:rPr>
        <w:t xml:space="preserve"> D</w:t>
      </w:r>
      <w:r>
        <w:rPr>
          <w:rFonts w:ascii="Times New Roman" w:cs="Times New Roman" w:eastAsia="Times New Roman" w:hAnsi="Times New Roman"/>
          <w:sz w:val="19"/>
          <w:szCs w:val="19"/>
          <w:color w:val="1F1F1F"/>
        </w:rPr>
        <w:t>efe</w:t>
      </w:r>
      <w:r>
        <w:rPr>
          <w:rFonts w:ascii="Times New Roman" w:cs="Times New Roman" w:eastAsia="Times New Roman" w:hAnsi="Times New Roman"/>
          <w:sz w:val="19"/>
          <w:szCs w:val="19"/>
          <w:color w:val="0D0D0D"/>
        </w:rPr>
        <w:t xml:space="preserve">rral </w:t>
      </w:r>
      <w:r>
        <w:rPr>
          <w:rFonts w:ascii="Times New Roman" w:cs="Times New Roman" w:eastAsia="Times New Roman" w:hAnsi="Times New Roman"/>
          <w:sz w:val="19"/>
          <w:szCs w:val="19"/>
          <w:color w:val="1F1F1F"/>
        </w:rPr>
        <w:t>Ag</w:t>
      </w:r>
      <w:r>
        <w:rPr>
          <w:rFonts w:ascii="Times New Roman" w:cs="Times New Roman" w:eastAsia="Times New Roman" w:hAnsi="Times New Roman"/>
          <w:sz w:val="19"/>
          <w:szCs w:val="19"/>
          <w:color w:val="0D0D0D"/>
        </w:rPr>
        <w:t>r</w:t>
      </w:r>
      <w:r>
        <w:rPr>
          <w:rFonts w:ascii="Times New Roman" w:cs="Times New Roman" w:eastAsia="Times New Roman" w:hAnsi="Times New Roman"/>
          <w:sz w:val="19"/>
          <w:szCs w:val="19"/>
          <w:color w:val="1F1F1F"/>
        </w:rPr>
        <w:t>ee</w:t>
      </w:r>
      <w:r>
        <w:rPr>
          <w:rFonts w:ascii="Times New Roman" w:cs="Times New Roman" w:eastAsia="Times New Roman" w:hAnsi="Times New Roman"/>
          <w:sz w:val="19"/>
          <w:szCs w:val="19"/>
          <w:color w:val="0D0D0D"/>
        </w:rPr>
        <w:t>m</w:t>
      </w:r>
      <w:r>
        <w:rPr>
          <w:rFonts w:ascii="Times New Roman" w:cs="Times New Roman" w:eastAsia="Times New Roman" w:hAnsi="Times New Roman"/>
          <w:sz w:val="19"/>
          <w:szCs w:val="19"/>
          <w:color w:val="1F1F1F"/>
        </w:rPr>
        <w:t>e</w:t>
      </w:r>
      <w:r>
        <w:rPr>
          <w:rFonts w:ascii="Times New Roman" w:cs="Times New Roman" w:eastAsia="Times New Roman" w:hAnsi="Times New Roman"/>
          <w:sz w:val="19"/>
          <w:szCs w:val="19"/>
          <w:color w:val="0D0D0D"/>
        </w:rPr>
        <w:t>nt with the Com</w:t>
      </w:r>
      <w:r>
        <w:rPr>
          <w:rFonts w:ascii="Times New Roman" w:cs="Times New Roman" w:eastAsia="Times New Roman" w:hAnsi="Times New Roman"/>
          <w:sz w:val="19"/>
          <w:szCs w:val="19"/>
          <w:color w:val="1F1F1F"/>
        </w:rPr>
        <w:t>pa</w:t>
      </w:r>
      <w:r>
        <w:rPr>
          <w:rFonts w:ascii="Times New Roman" w:cs="Times New Roman" w:eastAsia="Times New Roman" w:hAnsi="Times New Roman"/>
          <w:sz w:val="19"/>
          <w:szCs w:val="19"/>
          <w:color w:val="0D0D0D"/>
        </w:rPr>
        <w:t>ny in the manner and by the time specified by the Adm</w:t>
      </w:r>
      <w:r>
        <w:rPr>
          <w:rFonts w:ascii="Times New Roman" w:cs="Times New Roman" w:eastAsia="Times New Roman" w:hAnsi="Times New Roman"/>
          <w:sz w:val="19"/>
          <w:szCs w:val="19"/>
          <w:color w:val="1F1F1F"/>
        </w:rPr>
        <w:t>i</w:t>
      </w:r>
      <w:r>
        <w:rPr>
          <w:rFonts w:ascii="Times New Roman" w:cs="Times New Roman" w:eastAsia="Times New Roman" w:hAnsi="Times New Roman"/>
          <w:sz w:val="19"/>
          <w:szCs w:val="19"/>
          <w:color w:val="0D0D0D"/>
        </w:rPr>
        <w:t>nistrator; provid</w:t>
      </w:r>
      <w:r>
        <w:rPr>
          <w:rFonts w:ascii="Times New Roman" w:cs="Times New Roman" w:eastAsia="Times New Roman" w:hAnsi="Times New Roman"/>
          <w:sz w:val="19"/>
          <w:szCs w:val="19"/>
          <w:color w:val="1F1F1F"/>
        </w:rPr>
        <w:t>e</w:t>
      </w:r>
      <w:r>
        <w:rPr>
          <w:rFonts w:ascii="Times New Roman" w:cs="Times New Roman" w:eastAsia="Times New Roman" w:hAnsi="Times New Roman"/>
          <w:sz w:val="19"/>
          <w:szCs w:val="19"/>
          <w:color w:val="0D0D0D"/>
        </w:rPr>
        <w:t>d</w:t>
      </w:r>
      <w:r>
        <w:rPr>
          <w:rFonts w:ascii="Times New Roman" w:cs="Times New Roman" w:eastAsia="Times New Roman" w:hAnsi="Times New Roman"/>
          <w:sz w:val="19"/>
          <w:szCs w:val="19"/>
          <w:color w:val="1F1F1F"/>
        </w:rPr>
        <w:t>,</w:t>
      </w:r>
      <w:r>
        <w:rPr>
          <w:rFonts w:ascii="Times New Roman" w:cs="Times New Roman" w:eastAsia="Times New Roman" w:hAnsi="Times New Roman"/>
          <w:sz w:val="19"/>
          <w:szCs w:val="19"/>
          <w:color w:val="0D0D0D"/>
        </w:rPr>
        <w:t xml:space="preserve"> how</w:t>
      </w:r>
      <w:r>
        <w:rPr>
          <w:rFonts w:ascii="Times New Roman" w:cs="Times New Roman" w:eastAsia="Times New Roman" w:hAnsi="Times New Roman"/>
          <w:sz w:val="19"/>
          <w:szCs w:val="19"/>
          <w:color w:val="1F1F1F"/>
        </w:rPr>
        <w:t>e</w:t>
      </w:r>
      <w:r>
        <w:rPr>
          <w:rFonts w:ascii="Times New Roman" w:cs="Times New Roman" w:eastAsia="Times New Roman" w:hAnsi="Times New Roman"/>
          <w:sz w:val="19"/>
          <w:szCs w:val="19"/>
          <w:color w:val="0D0D0D"/>
        </w:rPr>
        <w:t>v</w:t>
      </w:r>
      <w:r>
        <w:rPr>
          <w:rFonts w:ascii="Times New Roman" w:cs="Times New Roman" w:eastAsia="Times New Roman" w:hAnsi="Times New Roman"/>
          <w:sz w:val="19"/>
          <w:szCs w:val="19"/>
          <w:color w:val="1F1F1F"/>
        </w:rPr>
        <w:t>er</w:t>
      </w:r>
      <w:r>
        <w:rPr>
          <w:rFonts w:ascii="Times New Roman" w:cs="Times New Roman" w:eastAsia="Times New Roman" w:hAnsi="Times New Roman"/>
          <w:sz w:val="19"/>
          <w:szCs w:val="19"/>
          <w:color w:val="0D0D0D"/>
        </w:rPr>
        <w:t xml:space="preserve">, that (a) </w:t>
      </w:r>
      <w:r>
        <w:rPr>
          <w:rFonts w:ascii="Times New Roman" w:cs="Times New Roman" w:eastAsia="Times New Roman" w:hAnsi="Times New Roman"/>
          <w:sz w:val="19"/>
          <w:szCs w:val="19"/>
          <w:color w:val="1F1F1F"/>
        </w:rPr>
        <w:t>if</w:t>
      </w:r>
      <w:r>
        <w:rPr>
          <w:rFonts w:ascii="Times New Roman" w:cs="Times New Roman" w:eastAsia="Times New Roman" w:hAnsi="Times New Roman"/>
          <w:sz w:val="19"/>
          <w:szCs w:val="19"/>
          <w:color w:val="0D0D0D"/>
        </w:rPr>
        <w:t xml:space="preserve"> such Bonus </w:t>
      </w:r>
      <w:r>
        <w:rPr>
          <w:rFonts w:ascii="Times New Roman" w:cs="Times New Roman" w:eastAsia="Times New Roman" w:hAnsi="Times New Roman"/>
          <w:sz w:val="19"/>
          <w:szCs w:val="19"/>
          <w:color w:val="1F1F1F"/>
        </w:rPr>
        <w:t>i</w:t>
      </w:r>
      <w:r>
        <w:rPr>
          <w:rFonts w:ascii="Times New Roman" w:cs="Times New Roman" w:eastAsia="Times New Roman" w:hAnsi="Times New Roman"/>
          <w:sz w:val="19"/>
          <w:szCs w:val="19"/>
          <w:color w:val="0D0D0D"/>
        </w:rPr>
        <w:t>s "performanc</w:t>
      </w:r>
      <w:r>
        <w:rPr>
          <w:rFonts w:ascii="Times New Roman" w:cs="Times New Roman" w:eastAsia="Times New Roman" w:hAnsi="Times New Roman"/>
          <w:sz w:val="19"/>
          <w:szCs w:val="19"/>
          <w:color w:val="1F1F1F"/>
        </w:rPr>
        <w:t>e</w:t>
      </w:r>
      <w:r>
        <w:rPr>
          <w:rFonts w:ascii="Times New Roman" w:cs="Times New Roman" w:eastAsia="Times New Roman" w:hAnsi="Times New Roman"/>
          <w:sz w:val="19"/>
          <w:szCs w:val="19"/>
          <w:color w:val="0D0D0D"/>
        </w:rPr>
        <w:t>-based comp</w:t>
      </w:r>
      <w:r>
        <w:rPr>
          <w:rFonts w:ascii="Times New Roman" w:cs="Times New Roman" w:eastAsia="Times New Roman" w:hAnsi="Times New Roman"/>
          <w:sz w:val="19"/>
          <w:szCs w:val="19"/>
          <w:color w:val="1F1F1F"/>
        </w:rPr>
        <w:t>e</w:t>
      </w:r>
      <w:r>
        <w:rPr>
          <w:rFonts w:ascii="Times New Roman" w:cs="Times New Roman" w:eastAsia="Times New Roman" w:hAnsi="Times New Roman"/>
          <w:sz w:val="19"/>
          <w:szCs w:val="19"/>
          <w:color w:val="0D0D0D"/>
        </w:rPr>
        <w:t>ns</w:t>
      </w:r>
      <w:r>
        <w:rPr>
          <w:rFonts w:ascii="Times New Roman" w:cs="Times New Roman" w:eastAsia="Times New Roman" w:hAnsi="Times New Roman"/>
          <w:sz w:val="19"/>
          <w:szCs w:val="19"/>
          <w:color w:val="1F1F1F"/>
        </w:rPr>
        <w:t>a</w:t>
      </w:r>
      <w:r>
        <w:rPr>
          <w:rFonts w:ascii="Times New Roman" w:cs="Times New Roman" w:eastAsia="Times New Roman" w:hAnsi="Times New Roman"/>
          <w:sz w:val="19"/>
          <w:szCs w:val="19"/>
          <w:color w:val="0D0D0D"/>
        </w:rPr>
        <w:t>tion," as defined in Treasury Regulation 1.409A-1(e)</w:t>
      </w:r>
      <w:r>
        <w:rPr>
          <w:rFonts w:ascii="Times New Roman" w:cs="Times New Roman" w:eastAsia="Times New Roman" w:hAnsi="Times New Roman"/>
          <w:sz w:val="19"/>
          <w:szCs w:val="19"/>
          <w:color w:val="1F1F1F"/>
        </w:rPr>
        <w:t>,</w:t>
      </w:r>
      <w:r>
        <w:rPr>
          <w:rFonts w:ascii="Times New Roman" w:cs="Times New Roman" w:eastAsia="Times New Roman" w:hAnsi="Times New Roman"/>
          <w:sz w:val="19"/>
          <w:szCs w:val="19"/>
          <w:color w:val="0D0D0D"/>
        </w:rPr>
        <w:t xml:space="preserve"> such De</w:t>
      </w:r>
      <w:r>
        <w:rPr>
          <w:rFonts w:ascii="Times New Roman" w:cs="Times New Roman" w:eastAsia="Times New Roman" w:hAnsi="Times New Roman"/>
          <w:sz w:val="19"/>
          <w:szCs w:val="19"/>
          <w:color w:val="1F1F1F"/>
        </w:rPr>
        <w:t>fe</w:t>
      </w:r>
      <w:r>
        <w:rPr>
          <w:rFonts w:ascii="Times New Roman" w:cs="Times New Roman" w:eastAsia="Times New Roman" w:hAnsi="Times New Roman"/>
          <w:sz w:val="19"/>
          <w:szCs w:val="19"/>
          <w:color w:val="0D0D0D"/>
        </w:rPr>
        <w:t>rral Agr</w:t>
      </w:r>
      <w:r>
        <w:rPr>
          <w:rFonts w:ascii="Times New Roman" w:cs="Times New Roman" w:eastAsia="Times New Roman" w:hAnsi="Times New Roman"/>
          <w:sz w:val="19"/>
          <w:szCs w:val="19"/>
          <w:color w:val="1F1F1F"/>
        </w:rPr>
        <w:t>ee</w:t>
      </w:r>
      <w:r>
        <w:rPr>
          <w:rFonts w:ascii="Times New Roman" w:cs="Times New Roman" w:eastAsia="Times New Roman" w:hAnsi="Times New Roman"/>
          <w:sz w:val="19"/>
          <w:szCs w:val="19"/>
          <w:color w:val="0D0D0D"/>
        </w:rPr>
        <w:t>m</w:t>
      </w:r>
      <w:r>
        <w:rPr>
          <w:rFonts w:ascii="Times New Roman" w:cs="Times New Roman" w:eastAsia="Times New Roman" w:hAnsi="Times New Roman"/>
          <w:sz w:val="19"/>
          <w:szCs w:val="19"/>
          <w:color w:val="1F1F1F"/>
        </w:rPr>
        <w:t>e</w:t>
      </w:r>
      <w:r>
        <w:rPr>
          <w:rFonts w:ascii="Times New Roman" w:cs="Times New Roman" w:eastAsia="Times New Roman" w:hAnsi="Times New Roman"/>
          <w:sz w:val="19"/>
          <w:szCs w:val="19"/>
          <w:color w:val="0D0D0D"/>
        </w:rPr>
        <w:t>nt mus</w:t>
      </w:r>
      <w:r>
        <w:rPr>
          <w:rFonts w:ascii="Times New Roman" w:cs="Times New Roman" w:eastAsia="Times New Roman" w:hAnsi="Times New Roman"/>
          <w:sz w:val="19"/>
          <w:szCs w:val="19"/>
          <w:color w:val="1F1F1F"/>
        </w:rPr>
        <w:t>t</w:t>
      </w:r>
      <w:r>
        <w:rPr>
          <w:rFonts w:ascii="Times New Roman" w:cs="Times New Roman" w:eastAsia="Times New Roman" w:hAnsi="Times New Roman"/>
          <w:sz w:val="19"/>
          <w:szCs w:val="19"/>
          <w:color w:val="0D0D0D"/>
        </w:rPr>
        <w:t xml:space="preserve"> be filed with the Company (and become irr</w:t>
      </w:r>
      <w:r>
        <w:rPr>
          <w:rFonts w:ascii="Times New Roman" w:cs="Times New Roman" w:eastAsia="Times New Roman" w:hAnsi="Times New Roman"/>
          <w:sz w:val="19"/>
          <w:szCs w:val="19"/>
          <w:color w:val="1F1F1F"/>
        </w:rPr>
        <w:t>e</w:t>
      </w:r>
      <w:r>
        <w:rPr>
          <w:rFonts w:ascii="Times New Roman" w:cs="Times New Roman" w:eastAsia="Times New Roman" w:hAnsi="Times New Roman"/>
          <w:sz w:val="19"/>
          <w:szCs w:val="19"/>
          <w:color w:val="0D0D0D"/>
        </w:rPr>
        <w:t>vocable) no later than June 30 of the c</w:t>
      </w:r>
      <w:r>
        <w:rPr>
          <w:rFonts w:ascii="Times New Roman" w:cs="Times New Roman" w:eastAsia="Times New Roman" w:hAnsi="Times New Roman"/>
          <w:sz w:val="19"/>
          <w:szCs w:val="19"/>
          <w:color w:val="1F1F1F"/>
        </w:rPr>
        <w:t>a</w:t>
      </w:r>
      <w:r>
        <w:rPr>
          <w:rFonts w:ascii="Times New Roman" w:cs="Times New Roman" w:eastAsia="Times New Roman" w:hAnsi="Times New Roman"/>
          <w:sz w:val="19"/>
          <w:szCs w:val="19"/>
          <w:color w:val="0D0D0D"/>
        </w:rPr>
        <w:t>lendar year in which the services to which th</w:t>
      </w:r>
      <w:r>
        <w:rPr>
          <w:rFonts w:ascii="Times New Roman" w:cs="Times New Roman" w:eastAsia="Times New Roman" w:hAnsi="Times New Roman"/>
          <w:sz w:val="19"/>
          <w:szCs w:val="19"/>
          <w:color w:val="1F1F1F"/>
        </w:rPr>
        <w:t>e</w:t>
      </w:r>
      <w:r>
        <w:rPr>
          <w:rFonts w:ascii="Times New Roman" w:cs="Times New Roman" w:eastAsia="Times New Roman" w:hAnsi="Times New Roman"/>
          <w:sz w:val="19"/>
          <w:szCs w:val="19"/>
          <w:color w:val="0D0D0D"/>
        </w:rPr>
        <w:t xml:space="preserve"> Bonus relates are performed, and (b) if such Bonus is not "performance-based compensation," such Deferral Agreement must be filed with the Company (and become irrevocable) no later than the end of the calendar year preceding the calendar year in which the services to which the Bonus relates are performed.</w:t>
      </w:r>
    </w:p>
    <w:p>
      <w:pPr>
        <w:spacing w:after="0" w:line="211" w:lineRule="exact"/>
        <w:rPr>
          <w:sz w:val="20"/>
          <w:szCs w:val="20"/>
          <w:color w:val="auto"/>
        </w:rPr>
      </w:pPr>
    </w:p>
    <w:p>
      <w:pPr>
        <w:jc w:val="both"/>
        <w:ind w:left="80" w:right="60" w:firstLine="648"/>
        <w:spacing w:after="0" w:line="270" w:lineRule="auto"/>
        <w:rPr>
          <w:sz w:val="20"/>
          <w:szCs w:val="20"/>
          <w:color w:val="auto"/>
        </w:rPr>
      </w:pPr>
      <w:r>
        <w:rPr>
          <w:rFonts w:ascii="Times New Roman" w:cs="Times New Roman" w:eastAsia="Times New Roman" w:hAnsi="Times New Roman"/>
          <w:sz w:val="22"/>
          <w:szCs w:val="22"/>
          <w:b w:val="1"/>
          <w:bCs w:val="1"/>
          <w:color w:val="0D0D0D"/>
        </w:rPr>
        <w:t xml:space="preserve">4.3 Director Fees Deferrals. </w:t>
      </w:r>
      <w:r>
        <w:rPr>
          <w:rFonts w:ascii="Times New Roman" w:cs="Times New Roman" w:eastAsia="Times New Roman" w:hAnsi="Times New Roman"/>
          <w:sz w:val="19"/>
          <w:szCs w:val="19"/>
          <w:color w:val="0D0D0D"/>
        </w:rPr>
        <w:t>Effective for Directors Fees earned on or after January 1, 2012, an Eligible Director may elect to</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0D0D0D"/>
        </w:rPr>
        <w:t>defer receipt of up to one hundred percent (100%) of any Director Fees that he or she anticipates receiving. Such election shall be made by filing a Deferral Agreement with the Company in the manner and by the time specified by the Administrator; provided, however, that such Deferral Agreement must be filed with the Company prior to the first day of the first calendar year for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070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7"/>
          <w:szCs w:val="17"/>
          <w:color w:val="151515"/>
        </w:rPr>
        <w:t>Page 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200"/>
          </w:cols>
          <w:pgMar w:left="340" w:top="1440" w:right="359" w:bottom="1440" w:gutter="0" w:footer="0" w:header="0"/>
        </w:sectPr>
      </w:pPr>
    </w:p>
    <w:bookmarkStart w:id="168" w:name="page169"/>
    <w:bookmarkEnd w:id="168"/>
    <w:p>
      <w:pPr>
        <w:spacing w:after="0" w:line="54" w:lineRule="exact"/>
        <w:rPr>
          <w:sz w:val="20"/>
          <w:szCs w:val="20"/>
          <w:color w:val="auto"/>
        </w:rPr>
      </w:pPr>
    </w:p>
    <w:p>
      <w:pPr>
        <w:jc w:val="both"/>
        <w:ind w:left="140" w:firstLine="4"/>
        <w:spacing w:after="0" w:line="271" w:lineRule="auto"/>
        <w:rPr>
          <w:sz w:val="20"/>
          <w:szCs w:val="20"/>
          <w:color w:val="auto"/>
        </w:rPr>
      </w:pPr>
      <w:r>
        <w:rPr>
          <w:rFonts w:ascii="Times New Roman" w:cs="Times New Roman" w:eastAsia="Times New Roman" w:hAnsi="Times New Roman"/>
          <w:sz w:val="20"/>
          <w:szCs w:val="20"/>
          <w:color w:val="171717"/>
        </w:rPr>
        <w:t>it is to be effective and shall become irrevocable with respect to a calendar year on the last day of the calendar year immediately preceding such calendar year ( or such earlier date as the Administrator may prescribe). Notwithstanding the foregoing, an Eligible Director who first becomes eligible to participate in the Plan during a calendar year may elect to defer Director Fees that have not yet been earned in that calendar year (as of the date his or her Deferral Agreement is filed with the Company) within thirty (30) days after being elected to the Board.</w:t>
      </w:r>
    </w:p>
    <w:p>
      <w:pPr>
        <w:spacing w:after="0" w:line="210" w:lineRule="exact"/>
        <w:rPr>
          <w:sz w:val="20"/>
          <w:szCs w:val="20"/>
          <w:color w:val="auto"/>
        </w:rPr>
      </w:pPr>
    </w:p>
    <w:p>
      <w:pPr>
        <w:jc w:val="both"/>
        <w:ind w:left="120" w:firstLine="652"/>
        <w:spacing w:after="0" w:line="277" w:lineRule="auto"/>
        <w:rPr>
          <w:sz w:val="20"/>
          <w:szCs w:val="20"/>
          <w:color w:val="auto"/>
        </w:rPr>
      </w:pPr>
      <w:r>
        <w:rPr>
          <w:rFonts w:ascii="Times New Roman" w:cs="Times New Roman" w:eastAsia="Times New Roman" w:hAnsi="Times New Roman"/>
          <w:sz w:val="19"/>
          <w:szCs w:val="19"/>
          <w:b w:val="1"/>
          <w:bCs w:val="1"/>
          <w:color w:val="171717"/>
        </w:rPr>
        <w:t xml:space="preserve">4.4 Restricted Stock Unit Deferrals. </w:t>
      </w:r>
      <w:r>
        <w:rPr>
          <w:rFonts w:ascii="Times New Roman" w:cs="Times New Roman" w:eastAsia="Times New Roman" w:hAnsi="Times New Roman"/>
          <w:sz w:val="19"/>
          <w:szCs w:val="19"/>
          <w:color w:val="171717"/>
        </w:rPr>
        <w:t>Effective for Restricted Stock Units granted and earned on or after January 1, 2012</w:t>
      </w:r>
      <w:r>
        <w:rPr>
          <w:rFonts w:ascii="Times New Roman" w:cs="Times New Roman" w:eastAsia="Times New Roman" w:hAnsi="Times New Roman"/>
          <w:sz w:val="19"/>
          <w:szCs w:val="19"/>
          <w:color w:val="3A3A3A"/>
        </w:rPr>
        <w:t>,</w:t>
      </w:r>
      <w:r>
        <w:rPr>
          <w:rFonts w:ascii="Times New Roman" w:cs="Times New Roman" w:eastAsia="Times New Roman" w:hAnsi="Times New Roman"/>
          <w:sz w:val="19"/>
          <w:szCs w:val="19"/>
          <w:b w:val="1"/>
          <w:bCs w:val="1"/>
          <w:color w:val="171717"/>
        </w:rPr>
        <w:t xml:space="preserve"> </w:t>
      </w:r>
      <w:r>
        <w:rPr>
          <w:rFonts w:ascii="Times New Roman" w:cs="Times New Roman" w:eastAsia="Times New Roman" w:hAnsi="Times New Roman"/>
          <w:sz w:val="19"/>
          <w:szCs w:val="19"/>
          <w:color w:val="171717"/>
        </w:rPr>
        <w:t>each</w:t>
      </w:r>
      <w:r>
        <w:rPr>
          <w:rFonts w:ascii="Times New Roman" w:cs="Times New Roman" w:eastAsia="Times New Roman" w:hAnsi="Times New Roman"/>
          <w:sz w:val="19"/>
          <w:szCs w:val="19"/>
          <w:b w:val="1"/>
          <w:bCs w:val="1"/>
          <w:color w:val="171717"/>
        </w:rPr>
        <w:t xml:space="preserve"> </w:t>
      </w:r>
      <w:r>
        <w:rPr>
          <w:rFonts w:ascii="Times New Roman" w:cs="Times New Roman" w:eastAsia="Times New Roman" w:hAnsi="Times New Roman"/>
          <w:sz w:val="19"/>
          <w:szCs w:val="19"/>
          <w:color w:val="171717"/>
        </w:rPr>
        <w:t xml:space="preserve">Eligible Employee may elect to defer receipt of up to fifty percent (50%) (or such other percentage as may be determined by the Compensation Committee) of any Restricted Stock Units that he or she anticipates receiving and each Eligible Director may elect to defer receipt of up to one hundred percent </w:t>
      </w:r>
      <w:r>
        <w:rPr>
          <w:rFonts w:ascii="Times New Roman" w:cs="Times New Roman" w:eastAsia="Times New Roman" w:hAnsi="Times New Roman"/>
          <w:sz w:val="20"/>
          <w:szCs w:val="20"/>
          <w:color w:val="171717"/>
        </w:rPr>
        <w:t>(1</w:t>
      </w:r>
      <w:r>
        <w:rPr>
          <w:rFonts w:ascii="Times New Roman" w:cs="Times New Roman" w:eastAsia="Times New Roman" w:hAnsi="Times New Roman"/>
          <w:sz w:val="19"/>
          <w:szCs w:val="19"/>
          <w:color w:val="171717"/>
        </w:rPr>
        <w:t>00%) of any Restricted Stock Units that he or she anticipates receiving. Such election shall be made by filing a Deferral Agreement with the Company in the manner and by the time specified by the Administrator; provided, however, that</w:t>
      </w:r>
    </w:p>
    <w:p>
      <w:pPr>
        <w:spacing w:after="0" w:line="1" w:lineRule="exact"/>
        <w:rPr>
          <w:sz w:val="20"/>
          <w:szCs w:val="20"/>
          <w:color w:val="auto"/>
        </w:rPr>
      </w:pPr>
    </w:p>
    <w:p>
      <w:pPr>
        <w:jc w:val="both"/>
        <w:ind w:left="120" w:firstLine="1"/>
        <w:spacing w:after="0" w:line="264" w:lineRule="auto"/>
        <w:tabs>
          <w:tab w:leader="none" w:pos="402" w:val="left"/>
        </w:tabs>
        <w:numPr>
          <w:ilvl w:val="0"/>
          <w:numId w:val="92"/>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if such Restricted Stock Units are "performance-based compensation</w:t>
      </w:r>
      <w:r>
        <w:rPr>
          <w:rFonts w:ascii="Times New Roman" w:cs="Times New Roman" w:eastAsia="Times New Roman" w:hAnsi="Times New Roman"/>
          <w:sz w:val="20"/>
          <w:szCs w:val="20"/>
          <w:color w:val="3A3A3A"/>
        </w:rPr>
        <w:t>,</w:t>
      </w:r>
      <w:r>
        <w:rPr>
          <w:rFonts w:ascii="Times New Roman" w:cs="Times New Roman" w:eastAsia="Times New Roman" w:hAnsi="Times New Roman"/>
          <w:sz w:val="20"/>
          <w:szCs w:val="20"/>
          <w:color w:val="171717"/>
        </w:rPr>
        <w:t>" as defined in Treasury Regulation l.409A-l(e)</w:t>
      </w:r>
      <w:r>
        <w:rPr>
          <w:rFonts w:ascii="Times New Roman" w:cs="Times New Roman" w:eastAsia="Times New Roman" w:hAnsi="Times New Roman"/>
          <w:sz w:val="20"/>
          <w:szCs w:val="20"/>
          <w:color w:val="3A3A3A"/>
        </w:rPr>
        <w:t>,</w:t>
      </w:r>
      <w:r>
        <w:rPr>
          <w:rFonts w:ascii="Times New Roman" w:cs="Times New Roman" w:eastAsia="Times New Roman" w:hAnsi="Times New Roman"/>
          <w:sz w:val="20"/>
          <w:szCs w:val="20"/>
          <w:color w:val="171717"/>
        </w:rPr>
        <w:t xml:space="preserve"> such Deferral Agreement must be filed with the Company (and become irrevocable) no later than six months prior to the end of the performance period in which the services to which the Restricted Stock Units relate are performed, and (b) if such Restricted Stock Units are not "performance-b</w:t>
      </w:r>
      <w:r>
        <w:rPr>
          <w:rFonts w:ascii="Times New Roman" w:cs="Times New Roman" w:eastAsia="Times New Roman" w:hAnsi="Times New Roman"/>
          <w:sz w:val="20"/>
          <w:szCs w:val="20"/>
          <w:color w:val="3A3A3A"/>
        </w:rPr>
        <w:t>a</w:t>
      </w:r>
      <w:r>
        <w:rPr>
          <w:rFonts w:ascii="Times New Roman" w:cs="Times New Roman" w:eastAsia="Times New Roman" w:hAnsi="Times New Roman"/>
          <w:sz w:val="20"/>
          <w:szCs w:val="20"/>
          <w:color w:val="171717"/>
        </w:rPr>
        <w:t>sed compensation," such Deferral Agreement must be filed with the Company (and become irrevocable) no later than the end of the calendar year preceding the calendar year in which the services to which the Restricted Stock Units relate are performed.</w:t>
      </w:r>
    </w:p>
    <w:p>
      <w:pPr>
        <w:spacing w:after="0" w:line="214" w:lineRule="exact"/>
        <w:rPr>
          <w:sz w:val="20"/>
          <w:szCs w:val="20"/>
          <w:color w:val="auto"/>
        </w:rPr>
      </w:pPr>
    </w:p>
    <w:p>
      <w:pPr>
        <w:jc w:val="both"/>
        <w:ind w:left="100" w:firstLine="652"/>
        <w:spacing w:after="0" w:line="279" w:lineRule="auto"/>
        <w:rPr>
          <w:sz w:val="20"/>
          <w:szCs w:val="20"/>
          <w:color w:val="auto"/>
        </w:rPr>
      </w:pPr>
      <w:r>
        <w:rPr>
          <w:rFonts w:ascii="Times New Roman" w:cs="Times New Roman" w:eastAsia="Times New Roman" w:hAnsi="Times New Roman"/>
          <w:sz w:val="19"/>
          <w:szCs w:val="19"/>
          <w:b w:val="1"/>
          <w:bCs w:val="1"/>
          <w:color w:val="171717"/>
        </w:rPr>
        <w:t xml:space="preserve">4.5 Changes in Deferral Elections. </w:t>
      </w:r>
      <w:r>
        <w:rPr>
          <w:rFonts w:ascii="Times New Roman" w:cs="Times New Roman" w:eastAsia="Times New Roman" w:hAnsi="Times New Roman"/>
          <w:sz w:val="19"/>
          <w:szCs w:val="19"/>
          <w:color w:val="171717"/>
        </w:rPr>
        <w:t>Prior to January 1, 2012 and subject to Section 8.3, a Participant's Deferral Agreement</w:t>
      </w:r>
      <w:r>
        <w:rPr>
          <w:rFonts w:ascii="Times New Roman" w:cs="Times New Roman" w:eastAsia="Times New Roman" w:hAnsi="Times New Roman"/>
          <w:sz w:val="19"/>
          <w:szCs w:val="19"/>
          <w:b w:val="1"/>
          <w:bCs w:val="1"/>
          <w:color w:val="171717"/>
        </w:rPr>
        <w:t xml:space="preserve"> </w:t>
      </w:r>
      <w:r>
        <w:rPr>
          <w:rFonts w:ascii="Times New Roman" w:cs="Times New Roman" w:eastAsia="Times New Roman" w:hAnsi="Times New Roman"/>
          <w:sz w:val="19"/>
          <w:szCs w:val="19"/>
          <w:color w:val="171717"/>
        </w:rPr>
        <w:t>remained in effect from calendar year to calendar year until terminated or modified by the Participant or until the Participant ceased to be an Eligible Employee. Effective January 1, 2012, each Participant must complete a Deferral Agreement for each calendar year, such that a Participant's Deferral Agreement shall remain in effect for one calendar year only and no modification or termination of such Deferral Agreement shall be effective until the first day of the subsequent calendar year or until the Participant ceases to be an Eligible Employee or Eligible Director. Effective January 1, 2012, a Participant must a</w:t>
      </w:r>
      <w:r>
        <w:rPr>
          <w:rFonts w:ascii="Times New Roman" w:cs="Times New Roman" w:eastAsia="Times New Roman" w:hAnsi="Times New Roman"/>
          <w:sz w:val="19"/>
          <w:szCs w:val="19"/>
          <w:color w:val="3A3A3A"/>
        </w:rPr>
        <w:t>f</w:t>
      </w:r>
      <w:r>
        <w:rPr>
          <w:rFonts w:ascii="Times New Roman" w:cs="Times New Roman" w:eastAsia="Times New Roman" w:hAnsi="Times New Roman"/>
          <w:sz w:val="19"/>
          <w:szCs w:val="19"/>
          <w:color w:val="171717"/>
        </w:rPr>
        <w:t>firmatively elect to participate in the Plan in each calendar year by filing a new Deferral Agreement with the Company in accordance with the provisions of Section 4.1, 4.2. 4.3 and/or 4.4 above, as applicable.</w:t>
      </w:r>
    </w:p>
    <w:p>
      <w:pPr>
        <w:spacing w:after="0" w:line="220" w:lineRule="exact"/>
        <w:rPr>
          <w:sz w:val="20"/>
          <w:szCs w:val="20"/>
          <w:color w:val="auto"/>
        </w:rPr>
      </w:pPr>
    </w:p>
    <w:p>
      <w:pPr>
        <w:jc w:val="both"/>
        <w:ind w:left="100" w:firstLine="648"/>
        <w:spacing w:after="0" w:line="277" w:lineRule="auto"/>
        <w:rPr>
          <w:sz w:val="20"/>
          <w:szCs w:val="20"/>
          <w:color w:val="auto"/>
        </w:rPr>
      </w:pPr>
      <w:r>
        <w:rPr>
          <w:rFonts w:ascii="Times New Roman" w:cs="Times New Roman" w:eastAsia="Times New Roman" w:hAnsi="Times New Roman"/>
          <w:sz w:val="20"/>
          <w:szCs w:val="20"/>
          <w:b w:val="1"/>
          <w:bCs w:val="1"/>
          <w:color w:val="171717"/>
        </w:rPr>
        <w:t xml:space="preserve">4.6 Form of Deferral Elections. </w:t>
      </w:r>
      <w:r>
        <w:rPr>
          <w:rFonts w:ascii="Times New Roman" w:cs="Times New Roman" w:eastAsia="Times New Roman" w:hAnsi="Times New Roman"/>
          <w:sz w:val="20"/>
          <w:szCs w:val="20"/>
          <w:color w:val="171717"/>
        </w:rPr>
        <w:t>With respect to deferrals made on or after January 1, 2012, a Participant's annual Deferral</w:t>
      </w:r>
      <w:r>
        <w:rPr>
          <w:rFonts w:ascii="Times New Roman" w:cs="Times New Roman" w:eastAsia="Times New Roman" w:hAnsi="Times New Roman"/>
          <w:sz w:val="20"/>
          <w:szCs w:val="20"/>
          <w:b w:val="1"/>
          <w:bCs w:val="1"/>
          <w:color w:val="171717"/>
        </w:rPr>
        <w:t xml:space="preserve"> </w:t>
      </w:r>
      <w:r>
        <w:rPr>
          <w:rFonts w:ascii="Times New Roman" w:cs="Times New Roman" w:eastAsia="Times New Roman" w:hAnsi="Times New Roman"/>
          <w:sz w:val="20"/>
          <w:szCs w:val="20"/>
          <w:color w:val="171717"/>
        </w:rPr>
        <w:t>Agreement shall specify the form(s) of payment and date(s) of distribution of the Participant's Account with respect to the amounts to be deferred pursuant to the applicable Deferral Agreement.</w:t>
      </w:r>
    </w:p>
    <w:p>
      <w:pPr>
        <w:spacing w:after="0" w:line="216" w:lineRule="exact"/>
        <w:rPr>
          <w:sz w:val="20"/>
          <w:szCs w:val="20"/>
          <w:color w:val="auto"/>
        </w:rPr>
      </w:pPr>
    </w:p>
    <w:p>
      <w:pPr>
        <w:jc w:val="both"/>
        <w:ind w:left="100" w:right="20" w:firstLine="648"/>
        <w:spacing w:after="0" w:line="277" w:lineRule="auto"/>
        <w:rPr>
          <w:sz w:val="20"/>
          <w:szCs w:val="20"/>
          <w:color w:val="auto"/>
        </w:rPr>
      </w:pPr>
      <w:r>
        <w:rPr>
          <w:rFonts w:ascii="Times New Roman" w:cs="Times New Roman" w:eastAsia="Times New Roman" w:hAnsi="Times New Roman"/>
          <w:sz w:val="20"/>
          <w:szCs w:val="20"/>
          <w:b w:val="1"/>
          <w:bCs w:val="1"/>
          <w:color w:val="171717"/>
        </w:rPr>
        <w:t xml:space="preserve">4.7 Accounting. </w:t>
      </w:r>
      <w:r>
        <w:rPr>
          <w:rFonts w:ascii="Times New Roman" w:cs="Times New Roman" w:eastAsia="Times New Roman" w:hAnsi="Times New Roman"/>
          <w:sz w:val="20"/>
          <w:szCs w:val="20"/>
          <w:color w:val="171717"/>
        </w:rPr>
        <w:t>The Company shall credit a Participant's deferrals pursuant to Section 4</w:t>
      </w:r>
      <w:r>
        <w:rPr>
          <w:rFonts w:ascii="Times New Roman" w:cs="Times New Roman" w:eastAsia="Times New Roman" w:hAnsi="Times New Roman"/>
          <w:sz w:val="20"/>
          <w:szCs w:val="20"/>
          <w:color w:val="3A3A3A"/>
        </w:rPr>
        <w:t>.</w:t>
      </w:r>
      <w:r>
        <w:rPr>
          <w:rFonts w:ascii="Times New Roman" w:cs="Times New Roman" w:eastAsia="Times New Roman" w:hAnsi="Times New Roman"/>
          <w:sz w:val="20"/>
          <w:szCs w:val="20"/>
          <w:color w:val="171717"/>
        </w:rPr>
        <w:t>1, 4</w:t>
      </w:r>
      <w:r>
        <w:rPr>
          <w:rFonts w:ascii="Times New Roman" w:cs="Times New Roman" w:eastAsia="Times New Roman" w:hAnsi="Times New Roman"/>
          <w:sz w:val="20"/>
          <w:szCs w:val="20"/>
          <w:color w:val="3A3A3A"/>
        </w:rPr>
        <w:t>.</w:t>
      </w:r>
      <w:r>
        <w:rPr>
          <w:rFonts w:ascii="Times New Roman" w:cs="Times New Roman" w:eastAsia="Times New Roman" w:hAnsi="Times New Roman"/>
          <w:sz w:val="20"/>
          <w:szCs w:val="20"/>
          <w:color w:val="171717"/>
        </w:rPr>
        <w:t>2. 4.3 and/or 4.4 above to the</w:t>
      </w:r>
      <w:r>
        <w:rPr>
          <w:rFonts w:ascii="Times New Roman" w:cs="Times New Roman" w:eastAsia="Times New Roman" w:hAnsi="Times New Roman"/>
          <w:sz w:val="20"/>
          <w:szCs w:val="20"/>
          <w:b w:val="1"/>
          <w:bCs w:val="1"/>
          <w:color w:val="171717"/>
        </w:rPr>
        <w:t xml:space="preserve"> </w:t>
      </w:r>
      <w:r>
        <w:rPr>
          <w:rFonts w:ascii="Times New Roman" w:cs="Times New Roman" w:eastAsia="Times New Roman" w:hAnsi="Times New Roman"/>
          <w:sz w:val="20"/>
          <w:szCs w:val="20"/>
          <w:color w:val="171717"/>
        </w:rPr>
        <w:t>Participant's Account on the date such amounts would have been paid to the Participant had they not been deferred by the Participant (or as soon as administratively practicable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0980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1064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7"/>
          <w:szCs w:val="17"/>
          <w:color w:val="151515"/>
        </w:rPr>
        <w:t>Page 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140"/>
          </w:cols>
          <w:pgMar w:left="340" w:top="1440" w:right="419" w:bottom="1440" w:gutter="0" w:footer="0" w:header="0"/>
        </w:sectPr>
      </w:pPr>
    </w:p>
    <w:bookmarkStart w:id="169" w:name="page170"/>
    <w:bookmarkEnd w:id="169"/>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D0D0D"/>
        </w:rPr>
        <w:t>ARTICLE V. MATCHING CONTRIBUTIONS</w:t>
      </w:r>
    </w:p>
    <w:p>
      <w:pPr>
        <w:spacing w:after="0" w:line="256" w:lineRule="exact"/>
        <w:rPr>
          <w:sz w:val="20"/>
          <w:szCs w:val="20"/>
          <w:color w:val="auto"/>
        </w:rPr>
      </w:pPr>
    </w:p>
    <w:p>
      <w:pPr>
        <w:jc w:val="both"/>
        <w:ind w:left="120" w:right="60" w:firstLine="652"/>
        <w:spacing w:after="0" w:line="266" w:lineRule="auto"/>
        <w:rPr>
          <w:sz w:val="20"/>
          <w:szCs w:val="20"/>
          <w:color w:val="auto"/>
        </w:rPr>
      </w:pPr>
      <w:r>
        <w:rPr>
          <w:rFonts w:ascii="Times New Roman" w:cs="Times New Roman" w:eastAsia="Times New Roman" w:hAnsi="Times New Roman"/>
          <w:sz w:val="20"/>
          <w:szCs w:val="20"/>
          <w:b w:val="1"/>
          <w:bCs w:val="1"/>
          <w:color w:val="0D0D0D"/>
        </w:rPr>
        <w:t xml:space="preserve">5.1 Amount of Matching Contributions. </w:t>
      </w:r>
      <w:r>
        <w:rPr>
          <w:rFonts w:ascii="Times New Roman" w:cs="Times New Roman" w:eastAsia="Times New Roman" w:hAnsi="Times New Roman"/>
          <w:sz w:val="20"/>
          <w:szCs w:val="20"/>
          <w:color w:val="0D0D0D"/>
        </w:rPr>
        <w:t>Prior to January 1, 2012, an Employee-Participant's Account shall be credited with</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0D0D0D"/>
        </w:rPr>
        <w:t xml:space="preserve">matching contributions in an amount equal to fifty percent (50%) of the first six percent (6%) of total Salary and Bonuses deferred under the Plan by such Participant during a payroll period. Effective January 1, 2012, an Employee-Participant's Account shall be credited with the matching contributions described above but only to the extent that such deferred Salary and Bonus exceeds an amount equal to the annual limit under Section 40l(a)(l7) of the Code earned by the </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 xml:space="preserve">mployee-Participant in the applicable calendar year. Matching contributions shall be credited to an </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mployee-Participant whose employment with the Comp</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ny t</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rmin</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t</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s b</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sed upon th</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 xml:space="preserve"> tot</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l S</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l</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ry and Bonus</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s d</w:t>
      </w:r>
      <w:r>
        <w:rPr>
          <w:rFonts w:ascii="Times New Roman" w:cs="Times New Roman" w:eastAsia="Times New Roman" w:hAnsi="Times New Roman"/>
          <w:sz w:val="20"/>
          <w:szCs w:val="20"/>
          <w:color w:val="1D1D1D"/>
        </w:rPr>
        <w:t>eferr</w:t>
      </w:r>
      <w:r>
        <w:rPr>
          <w:rFonts w:ascii="Times New Roman" w:cs="Times New Roman" w:eastAsia="Times New Roman" w:hAnsi="Times New Roman"/>
          <w:sz w:val="20"/>
          <w:szCs w:val="20"/>
          <w:color w:val="0D0D0D"/>
        </w:rPr>
        <w:t>ed under the Plan by such Pa</w:t>
      </w:r>
      <w:r>
        <w:rPr>
          <w:rFonts w:ascii="Times New Roman" w:cs="Times New Roman" w:eastAsia="Times New Roman" w:hAnsi="Times New Roman"/>
          <w:sz w:val="20"/>
          <w:szCs w:val="20"/>
          <w:color w:val="1D1D1D"/>
        </w:rPr>
        <w:t>r</w:t>
      </w:r>
      <w:r>
        <w:rPr>
          <w:rFonts w:ascii="Times New Roman" w:cs="Times New Roman" w:eastAsia="Times New Roman" w:hAnsi="Times New Roman"/>
          <w:sz w:val="20"/>
          <w:szCs w:val="20"/>
          <w:color w:val="0D0D0D"/>
        </w:rPr>
        <w:t>ticipant through his or her terminat</w:t>
      </w:r>
      <w:r>
        <w:rPr>
          <w:rFonts w:ascii="Times New Roman" w:cs="Times New Roman" w:eastAsia="Times New Roman" w:hAnsi="Times New Roman"/>
          <w:sz w:val="20"/>
          <w:szCs w:val="20"/>
          <w:color w:val="1D1D1D"/>
        </w:rPr>
        <w:t>i</w:t>
      </w:r>
      <w:r>
        <w:rPr>
          <w:rFonts w:ascii="Times New Roman" w:cs="Times New Roman" w:eastAsia="Times New Roman" w:hAnsi="Times New Roman"/>
          <w:sz w:val="20"/>
          <w:szCs w:val="20"/>
          <w:color w:val="0D0D0D"/>
        </w:rPr>
        <w:t>on date.</w:t>
      </w:r>
    </w:p>
    <w:p>
      <w:pPr>
        <w:spacing w:after="0" w:line="214" w:lineRule="exact"/>
        <w:rPr>
          <w:sz w:val="20"/>
          <w:szCs w:val="20"/>
          <w:color w:val="auto"/>
        </w:rPr>
      </w:pPr>
    </w:p>
    <w:p>
      <w:pPr>
        <w:jc w:val="both"/>
        <w:ind w:left="120" w:right="60" w:firstLine="648"/>
        <w:spacing w:after="0" w:line="301" w:lineRule="auto"/>
        <w:rPr>
          <w:sz w:val="20"/>
          <w:szCs w:val="20"/>
          <w:color w:val="auto"/>
        </w:rPr>
      </w:pPr>
      <w:r>
        <w:rPr>
          <w:rFonts w:ascii="Times New Roman" w:cs="Times New Roman" w:eastAsia="Times New Roman" w:hAnsi="Times New Roman"/>
          <w:sz w:val="20"/>
          <w:szCs w:val="20"/>
          <w:b w:val="1"/>
          <w:bCs w:val="1"/>
          <w:color w:val="0D0D0D"/>
        </w:rPr>
        <w:t>5.2 Account</w:t>
      </w:r>
      <w:r>
        <w:rPr>
          <w:rFonts w:ascii="Times New Roman" w:cs="Times New Roman" w:eastAsia="Times New Roman" w:hAnsi="Times New Roman"/>
          <w:sz w:val="20"/>
          <w:szCs w:val="20"/>
          <w:b w:val="1"/>
          <w:bCs w:val="1"/>
          <w:color w:val="1D1D1D"/>
        </w:rPr>
        <w:t>i</w:t>
      </w:r>
      <w:r>
        <w:rPr>
          <w:rFonts w:ascii="Times New Roman" w:cs="Times New Roman" w:eastAsia="Times New Roman" w:hAnsi="Times New Roman"/>
          <w:sz w:val="20"/>
          <w:szCs w:val="20"/>
          <w:b w:val="1"/>
          <w:bCs w:val="1"/>
          <w:color w:val="0D0D0D"/>
        </w:rPr>
        <w:t xml:space="preserve">ng. </w:t>
      </w:r>
      <w:r>
        <w:rPr>
          <w:rFonts w:ascii="Times New Roman" w:cs="Times New Roman" w:eastAsia="Times New Roman" w:hAnsi="Times New Roman"/>
          <w:sz w:val="20"/>
          <w:szCs w:val="20"/>
          <w:color w:val="1D1D1D"/>
        </w:rPr>
        <w:t>T</w:t>
      </w:r>
      <w:r>
        <w:rPr>
          <w:rFonts w:ascii="Times New Roman" w:cs="Times New Roman" w:eastAsia="Times New Roman" w:hAnsi="Times New Roman"/>
          <w:sz w:val="20"/>
          <w:szCs w:val="20"/>
          <w:color w:val="0D0D0D"/>
        </w:rPr>
        <w:t>he</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1D1D1D"/>
        </w:rPr>
        <w:t>Co</w:t>
      </w:r>
      <w:r>
        <w:rPr>
          <w:rFonts w:ascii="Times New Roman" w:cs="Times New Roman" w:eastAsia="Times New Roman" w:hAnsi="Times New Roman"/>
          <w:sz w:val="20"/>
          <w:szCs w:val="20"/>
          <w:color w:val="0D0D0D"/>
        </w:rPr>
        <w:t>mp</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ny sh</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ll c</w:t>
      </w:r>
      <w:r>
        <w:rPr>
          <w:rFonts w:ascii="Times New Roman" w:cs="Times New Roman" w:eastAsia="Times New Roman" w:hAnsi="Times New Roman"/>
          <w:sz w:val="20"/>
          <w:szCs w:val="20"/>
          <w:color w:val="1D1D1D"/>
        </w:rPr>
        <w:t>re</w:t>
      </w:r>
      <w:r>
        <w:rPr>
          <w:rFonts w:ascii="Times New Roman" w:cs="Times New Roman" w:eastAsia="Times New Roman" w:hAnsi="Times New Roman"/>
          <w:sz w:val="20"/>
          <w:szCs w:val="20"/>
          <w:color w:val="0D0D0D"/>
        </w:rPr>
        <w:t>d</w:t>
      </w:r>
      <w:r>
        <w:rPr>
          <w:rFonts w:ascii="Times New Roman" w:cs="Times New Roman" w:eastAsia="Times New Roman" w:hAnsi="Times New Roman"/>
          <w:sz w:val="20"/>
          <w:szCs w:val="20"/>
          <w:color w:val="1D1D1D"/>
        </w:rPr>
        <w:t>it i</w:t>
      </w:r>
      <w:r>
        <w:rPr>
          <w:rFonts w:ascii="Times New Roman" w:cs="Times New Roman" w:eastAsia="Times New Roman" w:hAnsi="Times New Roman"/>
          <w:sz w:val="20"/>
          <w:szCs w:val="20"/>
          <w:color w:val="0D0D0D"/>
        </w:rPr>
        <w:t>ts match</w:t>
      </w:r>
      <w:r>
        <w:rPr>
          <w:rFonts w:ascii="Times New Roman" w:cs="Times New Roman" w:eastAsia="Times New Roman" w:hAnsi="Times New Roman"/>
          <w:sz w:val="20"/>
          <w:szCs w:val="20"/>
          <w:color w:val="1D1D1D"/>
        </w:rPr>
        <w:t>i</w:t>
      </w:r>
      <w:r>
        <w:rPr>
          <w:rFonts w:ascii="Times New Roman" w:cs="Times New Roman" w:eastAsia="Times New Roman" w:hAnsi="Times New Roman"/>
          <w:sz w:val="20"/>
          <w:szCs w:val="20"/>
          <w:color w:val="0D0D0D"/>
        </w:rPr>
        <w:t>ng contribution for</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0D0D0D"/>
        </w:rPr>
        <w:t>p</w:t>
      </w:r>
      <w:r>
        <w:rPr>
          <w:rFonts w:ascii="Times New Roman" w:cs="Times New Roman" w:eastAsia="Times New Roman" w:hAnsi="Times New Roman"/>
          <w:sz w:val="20"/>
          <w:szCs w:val="20"/>
          <w:color w:val="1D1D1D"/>
        </w:rPr>
        <w:t>ayro</w:t>
      </w:r>
      <w:r>
        <w:rPr>
          <w:rFonts w:ascii="Times New Roman" w:cs="Times New Roman" w:eastAsia="Times New Roman" w:hAnsi="Times New Roman"/>
          <w:sz w:val="20"/>
          <w:szCs w:val="20"/>
          <w:color w:val="0D0D0D"/>
        </w:rPr>
        <w:t>ll</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1D1D1D"/>
        </w:rPr>
        <w:t>p</w:t>
      </w:r>
      <w:r>
        <w:rPr>
          <w:rFonts w:ascii="Times New Roman" w:cs="Times New Roman" w:eastAsia="Times New Roman" w:hAnsi="Times New Roman"/>
          <w:sz w:val="20"/>
          <w:szCs w:val="20"/>
          <w:color w:val="0D0D0D"/>
        </w:rPr>
        <w:t>eriod fo</w:t>
      </w:r>
      <w:r>
        <w:rPr>
          <w:rFonts w:ascii="Times New Roman" w:cs="Times New Roman" w:eastAsia="Times New Roman" w:hAnsi="Times New Roman"/>
          <w:sz w:val="20"/>
          <w:szCs w:val="20"/>
          <w:color w:val="1D1D1D"/>
        </w:rPr>
        <w:t>r a</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0D0D0D"/>
        </w:rPr>
        <w:t>Partic</w:t>
      </w:r>
      <w:r>
        <w:rPr>
          <w:rFonts w:ascii="Times New Roman" w:cs="Times New Roman" w:eastAsia="Times New Roman" w:hAnsi="Times New Roman"/>
          <w:sz w:val="20"/>
          <w:szCs w:val="20"/>
          <w:color w:val="1D1D1D"/>
        </w:rPr>
        <w:t>i</w:t>
      </w:r>
      <w:r>
        <w:rPr>
          <w:rFonts w:ascii="Times New Roman" w:cs="Times New Roman" w:eastAsia="Times New Roman" w:hAnsi="Times New Roman"/>
          <w:sz w:val="20"/>
          <w:szCs w:val="20"/>
          <w:color w:val="0D0D0D"/>
        </w:rPr>
        <w:t>pant t</w:t>
      </w:r>
      <w:r>
        <w:rPr>
          <w:rFonts w:ascii="Times New Roman" w:cs="Times New Roman" w:eastAsia="Times New Roman" w:hAnsi="Times New Roman"/>
          <w:sz w:val="20"/>
          <w:szCs w:val="20"/>
          <w:color w:val="1D1D1D"/>
        </w:rPr>
        <w:t>o</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0D0D0D"/>
        </w:rPr>
        <w:t>the</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1D1D1D"/>
        </w:rPr>
        <w:t>Par</w:t>
      </w:r>
      <w:r>
        <w:rPr>
          <w:rFonts w:ascii="Times New Roman" w:cs="Times New Roman" w:eastAsia="Times New Roman" w:hAnsi="Times New Roman"/>
          <w:sz w:val="20"/>
          <w:szCs w:val="20"/>
          <w:color w:val="0D0D0D"/>
        </w:rPr>
        <w:t>tic</w:t>
      </w:r>
      <w:r>
        <w:rPr>
          <w:rFonts w:ascii="Times New Roman" w:cs="Times New Roman" w:eastAsia="Times New Roman" w:hAnsi="Times New Roman"/>
          <w:sz w:val="20"/>
          <w:szCs w:val="20"/>
          <w:color w:val="1D1D1D"/>
        </w:rPr>
        <w:t>ipa</w:t>
      </w:r>
      <w:r>
        <w:rPr>
          <w:rFonts w:ascii="Times New Roman" w:cs="Times New Roman" w:eastAsia="Times New Roman" w:hAnsi="Times New Roman"/>
          <w:sz w:val="20"/>
          <w:szCs w:val="20"/>
          <w:color w:val="0D0D0D"/>
        </w:rPr>
        <w:t>nt's</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0D0D0D"/>
        </w:rPr>
        <w:t>Acc</w:t>
      </w:r>
      <w:r>
        <w:rPr>
          <w:rFonts w:ascii="Times New Roman" w:cs="Times New Roman" w:eastAsia="Times New Roman" w:hAnsi="Times New Roman"/>
          <w:sz w:val="20"/>
          <w:szCs w:val="20"/>
          <w:color w:val="1D1D1D"/>
        </w:rPr>
        <w:t>o</w:t>
      </w:r>
      <w:r>
        <w:rPr>
          <w:rFonts w:ascii="Times New Roman" w:cs="Times New Roman" w:eastAsia="Times New Roman" w:hAnsi="Times New Roman"/>
          <w:sz w:val="20"/>
          <w:szCs w:val="20"/>
          <w:color w:val="0D0D0D"/>
        </w:rPr>
        <w:t xml:space="preserve">unt </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t th</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 xml:space="preserve"> s</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m</w:t>
      </w:r>
      <w:r>
        <w:rPr>
          <w:rFonts w:ascii="Times New Roman" w:cs="Times New Roman" w:eastAsia="Times New Roman" w:hAnsi="Times New Roman"/>
          <w:sz w:val="20"/>
          <w:szCs w:val="20"/>
          <w:color w:val="1D1D1D"/>
        </w:rPr>
        <w:t>e t</w:t>
      </w:r>
      <w:r>
        <w:rPr>
          <w:rFonts w:ascii="Times New Roman" w:cs="Times New Roman" w:eastAsia="Times New Roman" w:hAnsi="Times New Roman"/>
          <w:sz w:val="20"/>
          <w:szCs w:val="20"/>
          <w:color w:val="0D0D0D"/>
        </w:rPr>
        <w:t>im</w:t>
      </w:r>
      <w:r>
        <w:rPr>
          <w:rFonts w:ascii="Times New Roman" w:cs="Times New Roman" w:eastAsia="Times New Roman" w:hAnsi="Times New Roman"/>
          <w:sz w:val="20"/>
          <w:szCs w:val="20"/>
          <w:color w:val="1D1D1D"/>
        </w:rPr>
        <w:t>e as i</w:t>
      </w:r>
      <w:r>
        <w:rPr>
          <w:rFonts w:ascii="Times New Roman" w:cs="Times New Roman" w:eastAsia="Times New Roman" w:hAnsi="Times New Roman"/>
          <w:sz w:val="20"/>
          <w:szCs w:val="20"/>
          <w:color w:val="0D0D0D"/>
        </w:rPr>
        <w:t>t c</w:t>
      </w:r>
      <w:r>
        <w:rPr>
          <w:rFonts w:ascii="Times New Roman" w:cs="Times New Roman" w:eastAsia="Times New Roman" w:hAnsi="Times New Roman"/>
          <w:sz w:val="20"/>
          <w:szCs w:val="20"/>
          <w:color w:val="1D1D1D"/>
        </w:rPr>
        <w:t>re</w:t>
      </w:r>
      <w:r>
        <w:rPr>
          <w:rFonts w:ascii="Times New Roman" w:cs="Times New Roman" w:eastAsia="Times New Roman" w:hAnsi="Times New Roman"/>
          <w:sz w:val="20"/>
          <w:szCs w:val="20"/>
          <w:color w:val="0D0D0D"/>
        </w:rPr>
        <w:t>dits t</w:t>
      </w:r>
      <w:r>
        <w:rPr>
          <w:rFonts w:ascii="Times New Roman" w:cs="Times New Roman" w:eastAsia="Times New Roman" w:hAnsi="Times New Roman"/>
          <w:sz w:val="20"/>
          <w:szCs w:val="20"/>
          <w:color w:val="1D1D1D"/>
        </w:rPr>
        <w:t>he</w:t>
      </w:r>
      <w:r>
        <w:rPr>
          <w:rFonts w:ascii="Times New Roman" w:cs="Times New Roman" w:eastAsia="Times New Roman" w:hAnsi="Times New Roman"/>
          <w:sz w:val="20"/>
          <w:szCs w:val="20"/>
          <w:color w:val="0D0D0D"/>
        </w:rPr>
        <w:t xml:space="preserve"> d</w:t>
      </w:r>
      <w:r>
        <w:rPr>
          <w:rFonts w:ascii="Times New Roman" w:cs="Times New Roman" w:eastAsia="Times New Roman" w:hAnsi="Times New Roman"/>
          <w:sz w:val="20"/>
          <w:szCs w:val="20"/>
          <w:color w:val="1D1D1D"/>
        </w:rPr>
        <w:t>efe</w:t>
      </w:r>
      <w:r>
        <w:rPr>
          <w:rFonts w:ascii="Times New Roman" w:cs="Times New Roman" w:eastAsia="Times New Roman" w:hAnsi="Times New Roman"/>
          <w:sz w:val="20"/>
          <w:szCs w:val="20"/>
          <w:color w:val="0D0D0D"/>
        </w:rPr>
        <w:t>rr</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l</w:t>
      </w:r>
      <w:r>
        <w:rPr>
          <w:rFonts w:ascii="Times New Roman" w:cs="Times New Roman" w:eastAsia="Times New Roman" w:hAnsi="Times New Roman"/>
          <w:sz w:val="20"/>
          <w:szCs w:val="20"/>
          <w:color w:val="1D1D1D"/>
        </w:rPr>
        <w:t>s to</w:t>
      </w:r>
      <w:r>
        <w:rPr>
          <w:rFonts w:ascii="Times New Roman" w:cs="Times New Roman" w:eastAsia="Times New Roman" w:hAnsi="Times New Roman"/>
          <w:sz w:val="20"/>
          <w:szCs w:val="20"/>
          <w:color w:val="0D0D0D"/>
        </w:rPr>
        <w:t xml:space="preserve"> wh</w:t>
      </w:r>
      <w:r>
        <w:rPr>
          <w:rFonts w:ascii="Times New Roman" w:cs="Times New Roman" w:eastAsia="Times New Roman" w:hAnsi="Times New Roman"/>
          <w:sz w:val="20"/>
          <w:szCs w:val="20"/>
          <w:color w:val="1D1D1D"/>
        </w:rPr>
        <w:t>i</w:t>
      </w:r>
      <w:r>
        <w:rPr>
          <w:rFonts w:ascii="Times New Roman" w:cs="Times New Roman" w:eastAsia="Times New Roman" w:hAnsi="Times New Roman"/>
          <w:sz w:val="20"/>
          <w:szCs w:val="20"/>
          <w:color w:val="0D0D0D"/>
        </w:rPr>
        <w:t>c</w:t>
      </w:r>
      <w:r>
        <w:rPr>
          <w:rFonts w:ascii="Times New Roman" w:cs="Times New Roman" w:eastAsia="Times New Roman" w:hAnsi="Times New Roman"/>
          <w:sz w:val="20"/>
          <w:szCs w:val="20"/>
          <w:color w:val="1D1D1D"/>
        </w:rPr>
        <w:t>h s</w:t>
      </w:r>
      <w:r>
        <w:rPr>
          <w:rFonts w:ascii="Times New Roman" w:cs="Times New Roman" w:eastAsia="Times New Roman" w:hAnsi="Times New Roman"/>
          <w:sz w:val="20"/>
          <w:szCs w:val="20"/>
          <w:color w:val="0D0D0D"/>
        </w:rPr>
        <w:t>u</w:t>
      </w:r>
      <w:r>
        <w:rPr>
          <w:rFonts w:ascii="Times New Roman" w:cs="Times New Roman" w:eastAsia="Times New Roman" w:hAnsi="Times New Roman"/>
          <w:sz w:val="20"/>
          <w:szCs w:val="20"/>
          <w:color w:val="1D1D1D"/>
        </w:rPr>
        <w:t>c</w:t>
      </w:r>
      <w:r>
        <w:rPr>
          <w:rFonts w:ascii="Times New Roman" w:cs="Times New Roman" w:eastAsia="Times New Roman" w:hAnsi="Times New Roman"/>
          <w:sz w:val="20"/>
          <w:szCs w:val="20"/>
          <w:color w:val="0D0D0D"/>
        </w:rPr>
        <w:t>h con</w:t>
      </w:r>
      <w:r>
        <w:rPr>
          <w:rFonts w:ascii="Times New Roman" w:cs="Times New Roman" w:eastAsia="Times New Roman" w:hAnsi="Times New Roman"/>
          <w:sz w:val="20"/>
          <w:szCs w:val="20"/>
          <w:color w:val="1D1D1D"/>
        </w:rPr>
        <w:t>tr</w:t>
      </w:r>
      <w:r>
        <w:rPr>
          <w:rFonts w:ascii="Times New Roman" w:cs="Times New Roman" w:eastAsia="Times New Roman" w:hAnsi="Times New Roman"/>
          <w:sz w:val="20"/>
          <w:szCs w:val="20"/>
          <w:color w:val="0D0D0D"/>
        </w:rPr>
        <w:t>ib</w:t>
      </w:r>
      <w:r>
        <w:rPr>
          <w:rFonts w:ascii="Times New Roman" w:cs="Times New Roman" w:eastAsia="Times New Roman" w:hAnsi="Times New Roman"/>
          <w:sz w:val="20"/>
          <w:szCs w:val="20"/>
          <w:color w:val="1D1D1D"/>
        </w:rPr>
        <w:t>ut</w:t>
      </w:r>
      <w:r>
        <w:rPr>
          <w:rFonts w:ascii="Times New Roman" w:cs="Times New Roman" w:eastAsia="Times New Roman" w:hAnsi="Times New Roman"/>
          <w:sz w:val="20"/>
          <w:szCs w:val="20"/>
          <w:color w:val="0D0D0D"/>
        </w:rPr>
        <w:t>i</w:t>
      </w:r>
      <w:r>
        <w:rPr>
          <w:rFonts w:ascii="Times New Roman" w:cs="Times New Roman" w:eastAsia="Times New Roman" w:hAnsi="Times New Roman"/>
          <w:sz w:val="20"/>
          <w:szCs w:val="20"/>
          <w:color w:val="1D1D1D"/>
        </w:rPr>
        <w:t>o</w:t>
      </w:r>
      <w:r>
        <w:rPr>
          <w:rFonts w:ascii="Times New Roman" w:cs="Times New Roman" w:eastAsia="Times New Roman" w:hAnsi="Times New Roman"/>
          <w:sz w:val="20"/>
          <w:szCs w:val="20"/>
          <w:color w:val="0D0D0D"/>
        </w:rPr>
        <w:t>ns r</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lat</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 xml:space="preserve"> t</w:t>
      </w:r>
      <w:r>
        <w:rPr>
          <w:rFonts w:ascii="Times New Roman" w:cs="Times New Roman" w:eastAsia="Times New Roman" w:hAnsi="Times New Roman"/>
          <w:sz w:val="20"/>
          <w:szCs w:val="20"/>
          <w:color w:val="1D1D1D"/>
        </w:rPr>
        <w:t>o</w:t>
      </w:r>
      <w:r>
        <w:rPr>
          <w:rFonts w:ascii="Times New Roman" w:cs="Times New Roman" w:eastAsia="Times New Roman" w:hAnsi="Times New Roman"/>
          <w:sz w:val="20"/>
          <w:szCs w:val="20"/>
          <w:color w:val="0D0D0D"/>
        </w:rPr>
        <w:t xml:space="preserve"> such </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ccou</w:t>
      </w:r>
      <w:r>
        <w:rPr>
          <w:rFonts w:ascii="Times New Roman" w:cs="Times New Roman" w:eastAsia="Times New Roman" w:hAnsi="Times New Roman"/>
          <w:sz w:val="20"/>
          <w:szCs w:val="20"/>
          <w:color w:val="1D1D1D"/>
        </w:rPr>
        <w:t>n</w:t>
      </w:r>
      <w:r>
        <w:rPr>
          <w:rFonts w:ascii="Times New Roman" w:cs="Times New Roman" w:eastAsia="Times New Roman" w:hAnsi="Times New Roman"/>
          <w:sz w:val="20"/>
          <w:szCs w:val="20"/>
          <w:color w:val="0D0D0D"/>
        </w:rPr>
        <w:t>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D0D0D"/>
        </w:rPr>
        <w:t>ARTICLE VI. ACCOUNTS</w:t>
      </w:r>
    </w:p>
    <w:p>
      <w:pPr>
        <w:spacing w:after="0" w:line="243" w:lineRule="exact"/>
        <w:rPr>
          <w:sz w:val="20"/>
          <w:szCs w:val="20"/>
          <w:color w:val="auto"/>
        </w:rPr>
      </w:pPr>
    </w:p>
    <w:p>
      <w:pPr>
        <w:jc w:val="both"/>
        <w:ind w:left="100" w:right="80" w:firstLine="648"/>
        <w:spacing w:after="0" w:line="269" w:lineRule="auto"/>
        <w:rPr>
          <w:sz w:val="20"/>
          <w:szCs w:val="20"/>
          <w:color w:val="auto"/>
        </w:rPr>
      </w:pPr>
      <w:r>
        <w:rPr>
          <w:rFonts w:ascii="Times New Roman" w:cs="Times New Roman" w:eastAsia="Times New Roman" w:hAnsi="Times New Roman"/>
          <w:sz w:val="20"/>
          <w:szCs w:val="20"/>
          <w:b w:val="1"/>
          <w:bCs w:val="1"/>
          <w:color w:val="0D0D0D"/>
        </w:rPr>
        <w:t xml:space="preserve">6.1 Establishment and Nature of Participant Accounts. </w:t>
      </w:r>
      <w:r>
        <w:rPr>
          <w:rFonts w:ascii="Times New Roman" w:cs="Times New Roman" w:eastAsia="Times New Roman" w:hAnsi="Times New Roman"/>
          <w:sz w:val="20"/>
          <w:szCs w:val="20"/>
          <w:color w:val="0D0D0D"/>
        </w:rPr>
        <w:t>Th</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0D0D0D"/>
        </w:rPr>
        <w:t>Comp</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ny</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1D1D1D"/>
        </w:rPr>
        <w:t>s</w:t>
      </w:r>
      <w:r>
        <w:rPr>
          <w:rFonts w:ascii="Times New Roman" w:cs="Times New Roman" w:eastAsia="Times New Roman" w:hAnsi="Times New Roman"/>
          <w:sz w:val="20"/>
          <w:szCs w:val="20"/>
          <w:color w:val="0D0D0D"/>
        </w:rPr>
        <w:t>h</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ll es</w:t>
      </w:r>
      <w:r>
        <w:rPr>
          <w:rFonts w:ascii="Times New Roman" w:cs="Times New Roman" w:eastAsia="Times New Roman" w:hAnsi="Times New Roman"/>
          <w:sz w:val="20"/>
          <w:szCs w:val="20"/>
          <w:color w:val="1D1D1D"/>
        </w:rPr>
        <w:t>ta</w:t>
      </w:r>
      <w:r>
        <w:rPr>
          <w:rFonts w:ascii="Times New Roman" w:cs="Times New Roman" w:eastAsia="Times New Roman" w:hAnsi="Times New Roman"/>
          <w:sz w:val="20"/>
          <w:szCs w:val="20"/>
          <w:color w:val="0D0D0D"/>
        </w:rPr>
        <w:t>bli</w:t>
      </w:r>
      <w:r>
        <w:rPr>
          <w:rFonts w:ascii="Times New Roman" w:cs="Times New Roman" w:eastAsia="Times New Roman" w:hAnsi="Times New Roman"/>
          <w:sz w:val="20"/>
          <w:szCs w:val="20"/>
          <w:color w:val="1D1D1D"/>
        </w:rPr>
        <w:t>s</w:t>
      </w:r>
      <w:r>
        <w:rPr>
          <w:rFonts w:ascii="Times New Roman" w:cs="Times New Roman" w:eastAsia="Times New Roman" w:hAnsi="Times New Roman"/>
          <w:sz w:val="20"/>
          <w:szCs w:val="20"/>
          <w:color w:val="0D0D0D"/>
        </w:rPr>
        <w:t>h</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nd m</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int</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i</w:t>
      </w:r>
      <w:r>
        <w:rPr>
          <w:rFonts w:ascii="Times New Roman" w:cs="Times New Roman" w:eastAsia="Times New Roman" w:hAnsi="Times New Roman"/>
          <w:sz w:val="20"/>
          <w:szCs w:val="20"/>
          <w:color w:val="1D1D1D"/>
        </w:rPr>
        <w:t>n</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0D0D0D"/>
        </w:rPr>
        <w:t>in th</w:t>
      </w:r>
      <w:r>
        <w:rPr>
          <w:rFonts w:ascii="Times New Roman" w:cs="Times New Roman" w:eastAsia="Times New Roman" w:hAnsi="Times New Roman"/>
          <w:sz w:val="20"/>
          <w:szCs w:val="20"/>
          <w:color w:val="1D1D1D"/>
        </w:rPr>
        <w:t>e na</w:t>
      </w:r>
      <w:r>
        <w:rPr>
          <w:rFonts w:ascii="Times New Roman" w:cs="Times New Roman" w:eastAsia="Times New Roman" w:hAnsi="Times New Roman"/>
          <w:sz w:val="20"/>
          <w:szCs w:val="20"/>
          <w:color w:val="0D0D0D"/>
        </w:rPr>
        <w:t>m</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0D0D0D"/>
        </w:rPr>
        <w:t>o</w:t>
      </w:r>
      <w:r>
        <w:rPr>
          <w:rFonts w:ascii="Times New Roman" w:cs="Times New Roman" w:eastAsia="Times New Roman" w:hAnsi="Times New Roman"/>
          <w:sz w:val="20"/>
          <w:szCs w:val="20"/>
          <w:color w:val="1D1D1D"/>
        </w:rPr>
        <w:t>f eac</w:t>
      </w:r>
      <w:r>
        <w:rPr>
          <w:rFonts w:ascii="Times New Roman" w:cs="Times New Roman" w:eastAsia="Times New Roman" w:hAnsi="Times New Roman"/>
          <w:sz w:val="20"/>
          <w:szCs w:val="20"/>
          <w:color w:val="0D0D0D"/>
        </w:rPr>
        <w:t>h</w:t>
      </w:r>
      <w:r>
        <w:rPr>
          <w:rFonts w:ascii="Times New Roman" w:cs="Times New Roman" w:eastAsia="Times New Roman" w:hAnsi="Times New Roman"/>
          <w:sz w:val="20"/>
          <w:szCs w:val="20"/>
          <w:b w:val="1"/>
          <w:bCs w:val="1"/>
          <w:color w:val="0D0D0D"/>
        </w:rPr>
        <w:t xml:space="preserve"> </w:t>
      </w:r>
      <w:r>
        <w:rPr>
          <w:rFonts w:ascii="Times New Roman" w:cs="Times New Roman" w:eastAsia="Times New Roman" w:hAnsi="Times New Roman"/>
          <w:sz w:val="20"/>
          <w:szCs w:val="20"/>
          <w:color w:val="0D0D0D"/>
        </w:rPr>
        <w:t>P</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rtic</w:t>
      </w:r>
      <w:r>
        <w:rPr>
          <w:rFonts w:ascii="Times New Roman" w:cs="Times New Roman" w:eastAsia="Times New Roman" w:hAnsi="Times New Roman"/>
          <w:sz w:val="20"/>
          <w:szCs w:val="20"/>
          <w:color w:val="1D1D1D"/>
        </w:rPr>
        <w:t>i</w:t>
      </w:r>
      <w:r>
        <w:rPr>
          <w:rFonts w:ascii="Times New Roman" w:cs="Times New Roman" w:eastAsia="Times New Roman" w:hAnsi="Times New Roman"/>
          <w:sz w:val="20"/>
          <w:szCs w:val="20"/>
          <w:color w:val="0D0D0D"/>
        </w:rPr>
        <w:t>p</w:t>
      </w:r>
      <w:r>
        <w:rPr>
          <w:rFonts w:ascii="Times New Roman" w:cs="Times New Roman" w:eastAsia="Times New Roman" w:hAnsi="Times New Roman"/>
          <w:sz w:val="20"/>
          <w:szCs w:val="20"/>
          <w:color w:val="1D1D1D"/>
        </w:rPr>
        <w:t>ant an A</w:t>
      </w:r>
      <w:r>
        <w:rPr>
          <w:rFonts w:ascii="Times New Roman" w:cs="Times New Roman" w:eastAsia="Times New Roman" w:hAnsi="Times New Roman"/>
          <w:sz w:val="20"/>
          <w:szCs w:val="20"/>
          <w:color w:val="0D0D0D"/>
        </w:rPr>
        <w:t>ccount t</w:t>
      </w:r>
      <w:r>
        <w:rPr>
          <w:rFonts w:ascii="Times New Roman" w:cs="Times New Roman" w:eastAsia="Times New Roman" w:hAnsi="Times New Roman"/>
          <w:sz w:val="20"/>
          <w:szCs w:val="20"/>
          <w:color w:val="1D1D1D"/>
        </w:rPr>
        <w:t>o refl</w:t>
      </w:r>
      <w:r>
        <w:rPr>
          <w:rFonts w:ascii="Times New Roman" w:cs="Times New Roman" w:eastAsia="Times New Roman" w:hAnsi="Times New Roman"/>
          <w:sz w:val="20"/>
          <w:szCs w:val="20"/>
          <w:color w:val="0D0D0D"/>
        </w:rPr>
        <w:t xml:space="preserve">ect the </w:t>
      </w:r>
      <w:r>
        <w:rPr>
          <w:rFonts w:ascii="Times New Roman" w:cs="Times New Roman" w:eastAsia="Times New Roman" w:hAnsi="Times New Roman"/>
          <w:sz w:val="20"/>
          <w:szCs w:val="20"/>
          <w:color w:val="1D1D1D"/>
        </w:rPr>
        <w:t>Pa</w:t>
      </w:r>
      <w:r>
        <w:rPr>
          <w:rFonts w:ascii="Times New Roman" w:cs="Times New Roman" w:eastAsia="Times New Roman" w:hAnsi="Times New Roman"/>
          <w:sz w:val="20"/>
          <w:szCs w:val="20"/>
          <w:color w:val="0D0D0D"/>
        </w:rPr>
        <w:t>rtici</w:t>
      </w:r>
      <w:r>
        <w:rPr>
          <w:rFonts w:ascii="Times New Roman" w:cs="Times New Roman" w:eastAsia="Times New Roman" w:hAnsi="Times New Roman"/>
          <w:sz w:val="20"/>
          <w:szCs w:val="20"/>
          <w:color w:val="1D1D1D"/>
        </w:rPr>
        <w:t>p</w:t>
      </w:r>
      <w:r>
        <w:rPr>
          <w:rFonts w:ascii="Times New Roman" w:cs="Times New Roman" w:eastAsia="Times New Roman" w:hAnsi="Times New Roman"/>
          <w:sz w:val="20"/>
          <w:szCs w:val="20"/>
          <w:color w:val="0D0D0D"/>
        </w:rPr>
        <w:t>ant</w:t>
      </w:r>
      <w:r>
        <w:rPr>
          <w:rFonts w:ascii="Times New Roman" w:cs="Times New Roman" w:eastAsia="Times New Roman" w:hAnsi="Times New Roman"/>
          <w:sz w:val="20"/>
          <w:szCs w:val="20"/>
          <w:color w:val="1D1D1D"/>
        </w:rPr>
        <w:t>'</w:t>
      </w:r>
      <w:r>
        <w:rPr>
          <w:rFonts w:ascii="Times New Roman" w:cs="Times New Roman" w:eastAsia="Times New Roman" w:hAnsi="Times New Roman"/>
          <w:sz w:val="20"/>
          <w:szCs w:val="20"/>
          <w:color w:val="0D0D0D"/>
        </w:rPr>
        <w:t>s intere</w:t>
      </w:r>
      <w:r>
        <w:rPr>
          <w:rFonts w:ascii="Times New Roman" w:cs="Times New Roman" w:eastAsia="Times New Roman" w:hAnsi="Times New Roman"/>
          <w:sz w:val="20"/>
          <w:szCs w:val="20"/>
          <w:color w:val="1D1D1D"/>
        </w:rPr>
        <w:t>s</w:t>
      </w:r>
      <w:r>
        <w:rPr>
          <w:rFonts w:ascii="Times New Roman" w:cs="Times New Roman" w:eastAsia="Times New Roman" w:hAnsi="Times New Roman"/>
          <w:sz w:val="20"/>
          <w:szCs w:val="20"/>
          <w:color w:val="0D0D0D"/>
        </w:rPr>
        <w:t>t under the Pl</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n</w:t>
      </w:r>
      <w:r>
        <w:rPr>
          <w:rFonts w:ascii="Times New Roman" w:cs="Times New Roman" w:eastAsia="Times New Roman" w:hAnsi="Times New Roman"/>
          <w:sz w:val="20"/>
          <w:szCs w:val="20"/>
          <w:color w:val="525252"/>
        </w:rPr>
        <w:t>.</w:t>
      </w:r>
      <w:r>
        <w:rPr>
          <w:rFonts w:ascii="Times New Roman" w:cs="Times New Roman" w:eastAsia="Times New Roman" w:hAnsi="Times New Roman"/>
          <w:sz w:val="20"/>
          <w:szCs w:val="20"/>
          <w:color w:val="0D0D0D"/>
        </w:rPr>
        <w:t xml:space="preserve"> The m</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inten</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nce o</w:t>
      </w:r>
      <w:r>
        <w:rPr>
          <w:rFonts w:ascii="Times New Roman" w:cs="Times New Roman" w:eastAsia="Times New Roman" w:hAnsi="Times New Roman"/>
          <w:sz w:val="20"/>
          <w:szCs w:val="20"/>
          <w:color w:val="1D1D1D"/>
        </w:rPr>
        <w:t>f s</w:t>
      </w:r>
      <w:r>
        <w:rPr>
          <w:rFonts w:ascii="Times New Roman" w:cs="Times New Roman" w:eastAsia="Times New Roman" w:hAnsi="Times New Roman"/>
          <w:sz w:val="20"/>
          <w:szCs w:val="20"/>
          <w:color w:val="0D0D0D"/>
        </w:rPr>
        <w:t>u</w:t>
      </w:r>
      <w:r>
        <w:rPr>
          <w:rFonts w:ascii="Times New Roman" w:cs="Times New Roman" w:eastAsia="Times New Roman" w:hAnsi="Times New Roman"/>
          <w:sz w:val="20"/>
          <w:szCs w:val="20"/>
          <w:color w:val="1D1D1D"/>
        </w:rPr>
        <w:t>c</w:t>
      </w:r>
      <w:r>
        <w:rPr>
          <w:rFonts w:ascii="Times New Roman" w:cs="Times New Roman" w:eastAsia="Times New Roman" w:hAnsi="Times New Roman"/>
          <w:sz w:val="20"/>
          <w:szCs w:val="20"/>
          <w:color w:val="0D0D0D"/>
        </w:rPr>
        <w:t xml:space="preserve">h </w:t>
      </w:r>
      <w:r>
        <w:rPr>
          <w:rFonts w:ascii="Times New Roman" w:cs="Times New Roman" w:eastAsia="Times New Roman" w:hAnsi="Times New Roman"/>
          <w:sz w:val="20"/>
          <w:szCs w:val="20"/>
          <w:color w:val="1D1D1D"/>
        </w:rPr>
        <w:t>Acc</w:t>
      </w:r>
      <w:r>
        <w:rPr>
          <w:rFonts w:ascii="Times New Roman" w:cs="Times New Roman" w:eastAsia="Times New Roman" w:hAnsi="Times New Roman"/>
          <w:sz w:val="20"/>
          <w:szCs w:val="20"/>
          <w:color w:val="0D0D0D"/>
        </w:rPr>
        <w:t>ounts i</w:t>
      </w:r>
      <w:r>
        <w:rPr>
          <w:rFonts w:ascii="Times New Roman" w:cs="Times New Roman" w:eastAsia="Times New Roman" w:hAnsi="Times New Roman"/>
          <w:sz w:val="20"/>
          <w:szCs w:val="20"/>
          <w:color w:val="1D1D1D"/>
        </w:rPr>
        <w:t>s for</w:t>
      </w:r>
      <w:r>
        <w:rPr>
          <w:rFonts w:ascii="Times New Roman" w:cs="Times New Roman" w:eastAsia="Times New Roman" w:hAnsi="Times New Roman"/>
          <w:sz w:val="20"/>
          <w:szCs w:val="20"/>
          <w:color w:val="0D0D0D"/>
        </w:rPr>
        <w:t xml:space="preserve"> r</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 xml:space="preserve">cord </w:t>
      </w:r>
      <w:r>
        <w:rPr>
          <w:rFonts w:ascii="Times New Roman" w:cs="Times New Roman" w:eastAsia="Times New Roman" w:hAnsi="Times New Roman"/>
          <w:sz w:val="20"/>
          <w:szCs w:val="20"/>
          <w:color w:val="1D1D1D"/>
        </w:rPr>
        <w:t>keeping</w:t>
      </w:r>
      <w:r>
        <w:rPr>
          <w:rFonts w:ascii="Times New Roman" w:cs="Times New Roman" w:eastAsia="Times New Roman" w:hAnsi="Times New Roman"/>
          <w:sz w:val="20"/>
          <w:szCs w:val="20"/>
          <w:color w:val="0D0D0D"/>
        </w:rPr>
        <w:t xml:space="preserve"> </w:t>
      </w:r>
      <w:r>
        <w:rPr>
          <w:rFonts w:ascii="Times New Roman" w:cs="Times New Roman" w:eastAsia="Times New Roman" w:hAnsi="Times New Roman"/>
          <w:sz w:val="20"/>
          <w:szCs w:val="20"/>
          <w:color w:val="1D1D1D"/>
        </w:rPr>
        <w:t>p</w:t>
      </w:r>
      <w:r>
        <w:rPr>
          <w:rFonts w:ascii="Times New Roman" w:cs="Times New Roman" w:eastAsia="Times New Roman" w:hAnsi="Times New Roman"/>
          <w:sz w:val="20"/>
          <w:szCs w:val="20"/>
          <w:color w:val="0D0D0D"/>
        </w:rPr>
        <w:t>ur</w:t>
      </w:r>
      <w:r>
        <w:rPr>
          <w:rFonts w:ascii="Times New Roman" w:cs="Times New Roman" w:eastAsia="Times New Roman" w:hAnsi="Times New Roman"/>
          <w:sz w:val="20"/>
          <w:szCs w:val="20"/>
          <w:color w:val="1D1D1D"/>
        </w:rPr>
        <w:t>p</w:t>
      </w:r>
      <w:r>
        <w:rPr>
          <w:rFonts w:ascii="Times New Roman" w:cs="Times New Roman" w:eastAsia="Times New Roman" w:hAnsi="Times New Roman"/>
          <w:sz w:val="20"/>
          <w:szCs w:val="20"/>
          <w:color w:val="0D0D0D"/>
        </w:rPr>
        <w:t>os</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s o</w:t>
      </w:r>
      <w:r>
        <w:rPr>
          <w:rFonts w:ascii="Times New Roman" w:cs="Times New Roman" w:eastAsia="Times New Roman" w:hAnsi="Times New Roman"/>
          <w:sz w:val="20"/>
          <w:szCs w:val="20"/>
          <w:color w:val="1D1D1D"/>
        </w:rPr>
        <w:t>n</w:t>
      </w:r>
      <w:r>
        <w:rPr>
          <w:rFonts w:ascii="Times New Roman" w:cs="Times New Roman" w:eastAsia="Times New Roman" w:hAnsi="Times New Roman"/>
          <w:sz w:val="20"/>
          <w:szCs w:val="20"/>
          <w:color w:val="0D0D0D"/>
        </w:rPr>
        <w:t>ly. N</w:t>
      </w:r>
      <w:r>
        <w:rPr>
          <w:rFonts w:ascii="Times New Roman" w:cs="Times New Roman" w:eastAsia="Times New Roman" w:hAnsi="Times New Roman"/>
          <w:sz w:val="20"/>
          <w:szCs w:val="20"/>
          <w:color w:val="1D1D1D"/>
        </w:rPr>
        <w:t>o fun</w:t>
      </w:r>
      <w:r>
        <w:rPr>
          <w:rFonts w:ascii="Times New Roman" w:cs="Times New Roman" w:eastAsia="Times New Roman" w:hAnsi="Times New Roman"/>
          <w:sz w:val="20"/>
          <w:szCs w:val="20"/>
          <w:color w:val="0D0D0D"/>
        </w:rPr>
        <w:t>ds o</w:t>
      </w:r>
      <w:r>
        <w:rPr>
          <w:rFonts w:ascii="Times New Roman" w:cs="Times New Roman" w:eastAsia="Times New Roman" w:hAnsi="Times New Roman"/>
          <w:sz w:val="20"/>
          <w:szCs w:val="20"/>
          <w:color w:val="1D1D1D"/>
        </w:rPr>
        <w:t>r o</w:t>
      </w:r>
      <w:r>
        <w:rPr>
          <w:rFonts w:ascii="Times New Roman" w:cs="Times New Roman" w:eastAsia="Times New Roman" w:hAnsi="Times New Roman"/>
          <w:sz w:val="20"/>
          <w:szCs w:val="20"/>
          <w:color w:val="0D0D0D"/>
        </w:rPr>
        <w:t>t</w:t>
      </w:r>
      <w:r>
        <w:rPr>
          <w:rFonts w:ascii="Times New Roman" w:cs="Times New Roman" w:eastAsia="Times New Roman" w:hAnsi="Times New Roman"/>
          <w:sz w:val="20"/>
          <w:szCs w:val="20"/>
          <w:color w:val="1D1D1D"/>
        </w:rPr>
        <w:t>he</w:t>
      </w:r>
      <w:r>
        <w:rPr>
          <w:rFonts w:ascii="Times New Roman" w:cs="Times New Roman" w:eastAsia="Times New Roman" w:hAnsi="Times New Roman"/>
          <w:sz w:val="20"/>
          <w:szCs w:val="20"/>
          <w:color w:val="0D0D0D"/>
        </w:rPr>
        <w:t>r</w:t>
      </w:r>
      <w:r>
        <w:rPr>
          <w:rFonts w:ascii="Times New Roman" w:cs="Times New Roman" w:eastAsia="Times New Roman" w:hAnsi="Times New Roman"/>
          <w:sz w:val="20"/>
          <w:szCs w:val="20"/>
          <w:color w:val="1D1D1D"/>
        </w:rPr>
        <w:t xml:space="preserve"> a</w:t>
      </w:r>
      <w:r>
        <w:rPr>
          <w:rFonts w:ascii="Times New Roman" w:cs="Times New Roman" w:eastAsia="Times New Roman" w:hAnsi="Times New Roman"/>
          <w:sz w:val="20"/>
          <w:szCs w:val="20"/>
          <w:color w:val="0D0D0D"/>
        </w:rPr>
        <w:t>ss</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ts o</w:t>
      </w:r>
      <w:r>
        <w:rPr>
          <w:rFonts w:ascii="Times New Roman" w:cs="Times New Roman" w:eastAsia="Times New Roman" w:hAnsi="Times New Roman"/>
          <w:sz w:val="20"/>
          <w:szCs w:val="20"/>
          <w:color w:val="1D1D1D"/>
        </w:rPr>
        <w:t xml:space="preserve">f </w:t>
      </w:r>
      <w:r>
        <w:rPr>
          <w:rFonts w:ascii="Times New Roman" w:cs="Times New Roman" w:eastAsia="Times New Roman" w:hAnsi="Times New Roman"/>
          <w:sz w:val="20"/>
          <w:szCs w:val="20"/>
          <w:color w:val="0D0D0D"/>
        </w:rPr>
        <w:t>the Comp</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ny</w:t>
      </w:r>
      <w:r>
        <w:rPr>
          <w:rFonts w:ascii="Times New Roman" w:cs="Times New Roman" w:eastAsia="Times New Roman" w:hAnsi="Times New Roman"/>
          <w:sz w:val="20"/>
          <w:szCs w:val="20"/>
          <w:color w:val="1D1D1D"/>
        </w:rPr>
        <w:t xml:space="preserve"> s</w:t>
      </w:r>
      <w:r>
        <w:rPr>
          <w:rFonts w:ascii="Times New Roman" w:cs="Times New Roman" w:eastAsia="Times New Roman" w:hAnsi="Times New Roman"/>
          <w:sz w:val="20"/>
          <w:szCs w:val="20"/>
          <w:color w:val="0D0D0D"/>
        </w:rPr>
        <w:t>h</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ll be s</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gre</w:t>
      </w:r>
      <w:r>
        <w:rPr>
          <w:rFonts w:ascii="Times New Roman" w:cs="Times New Roman" w:eastAsia="Times New Roman" w:hAnsi="Times New Roman"/>
          <w:sz w:val="20"/>
          <w:szCs w:val="20"/>
          <w:color w:val="1D1D1D"/>
        </w:rPr>
        <w:t>ga</w:t>
      </w:r>
      <w:r>
        <w:rPr>
          <w:rFonts w:ascii="Times New Roman" w:cs="Times New Roman" w:eastAsia="Times New Roman" w:hAnsi="Times New Roman"/>
          <w:sz w:val="20"/>
          <w:szCs w:val="20"/>
          <w:color w:val="0D0D0D"/>
        </w:rPr>
        <w:t>t</w:t>
      </w:r>
      <w:r>
        <w:rPr>
          <w:rFonts w:ascii="Times New Roman" w:cs="Times New Roman" w:eastAsia="Times New Roman" w:hAnsi="Times New Roman"/>
          <w:sz w:val="20"/>
          <w:szCs w:val="20"/>
          <w:color w:val="1D1D1D"/>
        </w:rPr>
        <w:t>ed o</w:t>
      </w:r>
      <w:r>
        <w:rPr>
          <w:rFonts w:ascii="Times New Roman" w:cs="Times New Roman" w:eastAsia="Times New Roman" w:hAnsi="Times New Roman"/>
          <w:sz w:val="20"/>
          <w:szCs w:val="20"/>
          <w:color w:val="0D0D0D"/>
        </w:rPr>
        <w:t>r</w:t>
      </w:r>
      <w:r>
        <w:rPr>
          <w:rFonts w:ascii="Times New Roman" w:cs="Times New Roman" w:eastAsia="Times New Roman" w:hAnsi="Times New Roman"/>
          <w:sz w:val="20"/>
          <w:szCs w:val="20"/>
          <w:color w:val="1D1D1D"/>
        </w:rPr>
        <w:t xml:space="preserve"> </w:t>
      </w:r>
      <w:r>
        <w:rPr>
          <w:rFonts w:ascii="Times New Roman" w:cs="Times New Roman" w:eastAsia="Times New Roman" w:hAnsi="Times New Roman"/>
          <w:sz w:val="20"/>
          <w:szCs w:val="20"/>
          <w:color w:val="333333"/>
        </w:rPr>
        <w:t>a</w:t>
      </w:r>
      <w:r>
        <w:rPr>
          <w:rFonts w:ascii="Times New Roman" w:cs="Times New Roman" w:eastAsia="Times New Roman" w:hAnsi="Times New Roman"/>
          <w:sz w:val="20"/>
          <w:szCs w:val="20"/>
          <w:color w:val="0D0D0D"/>
        </w:rPr>
        <w:t>t</w:t>
      </w:r>
      <w:r>
        <w:rPr>
          <w:rFonts w:ascii="Times New Roman" w:cs="Times New Roman" w:eastAsia="Times New Roman" w:hAnsi="Times New Roman"/>
          <w:sz w:val="20"/>
          <w:szCs w:val="20"/>
          <w:color w:val="1D1D1D"/>
        </w:rPr>
        <w:t>t</w:t>
      </w:r>
      <w:r>
        <w:rPr>
          <w:rFonts w:ascii="Times New Roman" w:cs="Times New Roman" w:eastAsia="Times New Roman" w:hAnsi="Times New Roman"/>
          <w:sz w:val="20"/>
          <w:szCs w:val="20"/>
          <w:color w:val="0D0D0D"/>
        </w:rPr>
        <w:t>r</w:t>
      </w:r>
      <w:r>
        <w:rPr>
          <w:rFonts w:ascii="Times New Roman" w:cs="Times New Roman" w:eastAsia="Times New Roman" w:hAnsi="Times New Roman"/>
          <w:sz w:val="20"/>
          <w:szCs w:val="20"/>
          <w:color w:val="1D1D1D"/>
        </w:rPr>
        <w:t>i</w:t>
      </w:r>
      <w:r>
        <w:rPr>
          <w:rFonts w:ascii="Times New Roman" w:cs="Times New Roman" w:eastAsia="Times New Roman" w:hAnsi="Times New Roman"/>
          <w:sz w:val="20"/>
          <w:szCs w:val="20"/>
          <w:color w:val="0D0D0D"/>
        </w:rPr>
        <w:t>bu</w:t>
      </w:r>
      <w:r>
        <w:rPr>
          <w:rFonts w:ascii="Times New Roman" w:cs="Times New Roman" w:eastAsia="Times New Roman" w:hAnsi="Times New Roman"/>
          <w:sz w:val="20"/>
          <w:szCs w:val="20"/>
          <w:color w:val="1D1D1D"/>
        </w:rPr>
        <w:t>ta</w:t>
      </w:r>
      <w:r>
        <w:rPr>
          <w:rFonts w:ascii="Times New Roman" w:cs="Times New Roman" w:eastAsia="Times New Roman" w:hAnsi="Times New Roman"/>
          <w:sz w:val="20"/>
          <w:szCs w:val="20"/>
          <w:color w:val="0D0D0D"/>
        </w:rPr>
        <w:t>bl</w:t>
      </w:r>
      <w:r>
        <w:rPr>
          <w:rFonts w:ascii="Times New Roman" w:cs="Times New Roman" w:eastAsia="Times New Roman" w:hAnsi="Times New Roman"/>
          <w:sz w:val="20"/>
          <w:szCs w:val="20"/>
          <w:color w:val="1D1D1D"/>
        </w:rPr>
        <w:t xml:space="preserve">e </w:t>
      </w:r>
      <w:r>
        <w:rPr>
          <w:rFonts w:ascii="Times New Roman" w:cs="Times New Roman" w:eastAsia="Times New Roman" w:hAnsi="Times New Roman"/>
          <w:sz w:val="20"/>
          <w:szCs w:val="20"/>
          <w:color w:val="0D0D0D"/>
        </w:rPr>
        <w:t>t</w:t>
      </w:r>
      <w:r>
        <w:rPr>
          <w:rFonts w:ascii="Times New Roman" w:cs="Times New Roman" w:eastAsia="Times New Roman" w:hAnsi="Times New Roman"/>
          <w:sz w:val="20"/>
          <w:szCs w:val="20"/>
          <w:color w:val="1D1D1D"/>
        </w:rPr>
        <w:t>o t</w:t>
      </w:r>
      <w:r>
        <w:rPr>
          <w:rFonts w:ascii="Times New Roman" w:cs="Times New Roman" w:eastAsia="Times New Roman" w:hAnsi="Times New Roman"/>
          <w:sz w:val="20"/>
          <w:szCs w:val="20"/>
          <w:color w:val="0D0D0D"/>
        </w:rPr>
        <w:t>h</w:t>
      </w:r>
      <w:r>
        <w:rPr>
          <w:rFonts w:ascii="Times New Roman" w:cs="Times New Roman" w:eastAsia="Times New Roman" w:hAnsi="Times New Roman"/>
          <w:sz w:val="20"/>
          <w:szCs w:val="20"/>
          <w:color w:val="1D1D1D"/>
        </w:rPr>
        <w:t>e a</w:t>
      </w:r>
      <w:r>
        <w:rPr>
          <w:rFonts w:ascii="Times New Roman" w:cs="Times New Roman" w:eastAsia="Times New Roman" w:hAnsi="Times New Roman"/>
          <w:sz w:val="20"/>
          <w:szCs w:val="20"/>
          <w:color w:val="0D0D0D"/>
        </w:rPr>
        <w:t>m</w:t>
      </w:r>
      <w:r>
        <w:rPr>
          <w:rFonts w:ascii="Times New Roman" w:cs="Times New Roman" w:eastAsia="Times New Roman" w:hAnsi="Times New Roman"/>
          <w:sz w:val="20"/>
          <w:szCs w:val="20"/>
          <w:color w:val="1D1D1D"/>
        </w:rPr>
        <w:t>o</w:t>
      </w:r>
      <w:r>
        <w:rPr>
          <w:rFonts w:ascii="Times New Roman" w:cs="Times New Roman" w:eastAsia="Times New Roman" w:hAnsi="Times New Roman"/>
          <w:sz w:val="20"/>
          <w:szCs w:val="20"/>
          <w:color w:val="0D0D0D"/>
        </w:rPr>
        <w:t>un</w:t>
      </w:r>
      <w:r>
        <w:rPr>
          <w:rFonts w:ascii="Times New Roman" w:cs="Times New Roman" w:eastAsia="Times New Roman" w:hAnsi="Times New Roman"/>
          <w:sz w:val="20"/>
          <w:szCs w:val="20"/>
          <w:color w:val="1D1D1D"/>
        </w:rPr>
        <w:t>ts t</w:t>
      </w:r>
      <w:r>
        <w:rPr>
          <w:rFonts w:ascii="Times New Roman" w:cs="Times New Roman" w:eastAsia="Times New Roman" w:hAnsi="Times New Roman"/>
          <w:sz w:val="20"/>
          <w:szCs w:val="20"/>
          <w:color w:val="0D0D0D"/>
        </w:rPr>
        <w:t>h</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t m</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y</w:t>
      </w:r>
      <w:r>
        <w:rPr>
          <w:rFonts w:ascii="Times New Roman" w:cs="Times New Roman" w:eastAsia="Times New Roman" w:hAnsi="Times New Roman"/>
          <w:sz w:val="20"/>
          <w:szCs w:val="20"/>
          <w:color w:val="1D1D1D"/>
        </w:rPr>
        <w:t xml:space="preserve"> b</w:t>
      </w:r>
      <w:r>
        <w:rPr>
          <w:rFonts w:ascii="Times New Roman" w:cs="Times New Roman" w:eastAsia="Times New Roman" w:hAnsi="Times New Roman"/>
          <w:sz w:val="20"/>
          <w:szCs w:val="20"/>
          <w:color w:val="0D0D0D"/>
        </w:rPr>
        <w:t>e</w:t>
      </w:r>
      <w:r>
        <w:rPr>
          <w:rFonts w:ascii="Times New Roman" w:cs="Times New Roman" w:eastAsia="Times New Roman" w:hAnsi="Times New Roman"/>
          <w:sz w:val="20"/>
          <w:szCs w:val="20"/>
          <w:color w:val="1D1D1D"/>
        </w:rPr>
        <w:t xml:space="preserve"> c</w:t>
      </w:r>
      <w:r>
        <w:rPr>
          <w:rFonts w:ascii="Times New Roman" w:cs="Times New Roman" w:eastAsia="Times New Roman" w:hAnsi="Times New Roman"/>
          <w:sz w:val="20"/>
          <w:szCs w:val="20"/>
          <w:color w:val="0D0D0D"/>
        </w:rPr>
        <w:t>redi</w:t>
      </w:r>
      <w:r>
        <w:rPr>
          <w:rFonts w:ascii="Times New Roman" w:cs="Times New Roman" w:eastAsia="Times New Roman" w:hAnsi="Times New Roman"/>
          <w:sz w:val="20"/>
          <w:szCs w:val="20"/>
          <w:color w:val="1D1D1D"/>
        </w:rPr>
        <w:t>t</w:t>
      </w:r>
      <w:r>
        <w:rPr>
          <w:rFonts w:ascii="Times New Roman" w:cs="Times New Roman" w:eastAsia="Times New Roman" w:hAnsi="Times New Roman"/>
          <w:sz w:val="20"/>
          <w:szCs w:val="20"/>
          <w:color w:val="0D0D0D"/>
        </w:rPr>
        <w:t>e</w:t>
      </w:r>
      <w:r>
        <w:rPr>
          <w:rFonts w:ascii="Times New Roman" w:cs="Times New Roman" w:eastAsia="Times New Roman" w:hAnsi="Times New Roman"/>
          <w:sz w:val="20"/>
          <w:szCs w:val="20"/>
          <w:color w:val="1D1D1D"/>
        </w:rPr>
        <w:t xml:space="preserve">d </w:t>
      </w:r>
      <w:r>
        <w:rPr>
          <w:rFonts w:ascii="Times New Roman" w:cs="Times New Roman" w:eastAsia="Times New Roman" w:hAnsi="Times New Roman"/>
          <w:sz w:val="20"/>
          <w:szCs w:val="20"/>
          <w:color w:val="0D0D0D"/>
        </w:rPr>
        <w:t>t</w:t>
      </w:r>
      <w:r>
        <w:rPr>
          <w:rFonts w:ascii="Times New Roman" w:cs="Times New Roman" w:eastAsia="Times New Roman" w:hAnsi="Times New Roman"/>
          <w:sz w:val="20"/>
          <w:szCs w:val="20"/>
          <w:color w:val="1D1D1D"/>
        </w:rPr>
        <w:t xml:space="preserve">o a </w:t>
      </w:r>
      <w:r>
        <w:rPr>
          <w:rFonts w:ascii="Times New Roman" w:cs="Times New Roman" w:eastAsia="Times New Roman" w:hAnsi="Times New Roman"/>
          <w:sz w:val="20"/>
          <w:szCs w:val="20"/>
          <w:color w:val="0D0D0D"/>
        </w:rPr>
        <w:t>Partici</w:t>
      </w:r>
      <w:r>
        <w:rPr>
          <w:rFonts w:ascii="Times New Roman" w:cs="Times New Roman" w:eastAsia="Times New Roman" w:hAnsi="Times New Roman"/>
          <w:sz w:val="20"/>
          <w:szCs w:val="20"/>
          <w:color w:val="1D1D1D"/>
        </w:rPr>
        <w:t>pa</w:t>
      </w:r>
      <w:r>
        <w:rPr>
          <w:rFonts w:ascii="Times New Roman" w:cs="Times New Roman" w:eastAsia="Times New Roman" w:hAnsi="Times New Roman"/>
          <w:sz w:val="20"/>
          <w:szCs w:val="20"/>
          <w:color w:val="0D0D0D"/>
        </w:rPr>
        <w:t>nt'</w:t>
      </w:r>
      <w:r>
        <w:rPr>
          <w:rFonts w:ascii="Times New Roman" w:cs="Times New Roman" w:eastAsia="Times New Roman" w:hAnsi="Times New Roman"/>
          <w:sz w:val="20"/>
          <w:szCs w:val="20"/>
          <w:color w:val="1D1D1D"/>
        </w:rPr>
        <w:t>s</w:t>
      </w:r>
      <w:r>
        <w:rPr>
          <w:rFonts w:ascii="Times New Roman" w:cs="Times New Roman" w:eastAsia="Times New Roman" w:hAnsi="Times New Roman"/>
          <w:sz w:val="20"/>
          <w:szCs w:val="20"/>
          <w:color w:val="0D0D0D"/>
        </w:rPr>
        <w:t xml:space="preserve"> A</w:t>
      </w:r>
      <w:r>
        <w:rPr>
          <w:rFonts w:ascii="Times New Roman" w:cs="Times New Roman" w:eastAsia="Times New Roman" w:hAnsi="Times New Roman"/>
          <w:sz w:val="20"/>
          <w:szCs w:val="20"/>
          <w:color w:val="1D1D1D"/>
        </w:rPr>
        <w:t>c</w:t>
      </w:r>
      <w:r>
        <w:rPr>
          <w:rFonts w:ascii="Times New Roman" w:cs="Times New Roman" w:eastAsia="Times New Roman" w:hAnsi="Times New Roman"/>
          <w:sz w:val="20"/>
          <w:szCs w:val="20"/>
          <w:color w:val="0D0D0D"/>
        </w:rPr>
        <w:t>count</w:t>
      </w:r>
      <w:r>
        <w:rPr>
          <w:rFonts w:ascii="Times New Roman" w:cs="Times New Roman" w:eastAsia="Times New Roman" w:hAnsi="Times New Roman"/>
          <w:sz w:val="20"/>
          <w:szCs w:val="20"/>
          <w:color w:val="1D1D1D"/>
        </w:rPr>
        <w:t>s</w:t>
      </w:r>
      <w:r>
        <w:rPr>
          <w:rFonts w:ascii="Times New Roman" w:cs="Times New Roman" w:eastAsia="Times New Roman" w:hAnsi="Times New Roman"/>
          <w:sz w:val="20"/>
          <w:szCs w:val="20"/>
          <w:color w:val="0D0D0D"/>
        </w:rPr>
        <w:t xml:space="preserve"> fr</w:t>
      </w:r>
      <w:r>
        <w:rPr>
          <w:rFonts w:ascii="Times New Roman" w:cs="Times New Roman" w:eastAsia="Times New Roman" w:hAnsi="Times New Roman"/>
          <w:sz w:val="20"/>
          <w:szCs w:val="20"/>
          <w:color w:val="1D1D1D"/>
        </w:rPr>
        <w:t>o</w:t>
      </w:r>
      <w:r>
        <w:rPr>
          <w:rFonts w:ascii="Times New Roman" w:cs="Times New Roman" w:eastAsia="Times New Roman" w:hAnsi="Times New Roman"/>
          <w:sz w:val="20"/>
          <w:szCs w:val="20"/>
          <w:color w:val="0D0D0D"/>
        </w:rPr>
        <w:t>m tim</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 xml:space="preserve"> t</w:t>
      </w:r>
      <w:r>
        <w:rPr>
          <w:rFonts w:ascii="Times New Roman" w:cs="Times New Roman" w:eastAsia="Times New Roman" w:hAnsi="Times New Roman"/>
          <w:sz w:val="20"/>
          <w:szCs w:val="20"/>
          <w:color w:val="1D1D1D"/>
        </w:rPr>
        <w:t>o</w:t>
      </w:r>
      <w:r>
        <w:rPr>
          <w:rFonts w:ascii="Times New Roman" w:cs="Times New Roman" w:eastAsia="Times New Roman" w:hAnsi="Times New Roman"/>
          <w:sz w:val="20"/>
          <w:szCs w:val="20"/>
          <w:color w:val="0D0D0D"/>
        </w:rPr>
        <w:t xml:space="preserve"> time</w:t>
      </w:r>
      <w:r>
        <w:rPr>
          <w:rFonts w:ascii="Times New Roman" w:cs="Times New Roman" w:eastAsia="Times New Roman" w:hAnsi="Times New Roman"/>
          <w:sz w:val="20"/>
          <w:szCs w:val="20"/>
          <w:color w:val="1D1D1D"/>
        </w:rPr>
        <w:t>, b</w:t>
      </w:r>
      <w:r>
        <w:rPr>
          <w:rFonts w:ascii="Times New Roman" w:cs="Times New Roman" w:eastAsia="Times New Roman" w:hAnsi="Times New Roman"/>
          <w:sz w:val="20"/>
          <w:szCs w:val="20"/>
          <w:color w:val="0D0D0D"/>
        </w:rPr>
        <w:t>ut rath</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r b</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n</w:t>
      </w:r>
      <w:r>
        <w:rPr>
          <w:rFonts w:ascii="Times New Roman" w:cs="Times New Roman" w:eastAsia="Times New Roman" w:hAnsi="Times New Roman"/>
          <w:sz w:val="20"/>
          <w:szCs w:val="20"/>
          <w:color w:val="1D1D1D"/>
        </w:rPr>
        <w:t>efit</w:t>
      </w:r>
      <w:r>
        <w:rPr>
          <w:rFonts w:ascii="Times New Roman" w:cs="Times New Roman" w:eastAsia="Times New Roman" w:hAnsi="Times New Roman"/>
          <w:sz w:val="20"/>
          <w:szCs w:val="20"/>
          <w:color w:val="0D0D0D"/>
        </w:rPr>
        <w:t xml:space="preserve"> p</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y</w:t>
      </w:r>
      <w:r>
        <w:rPr>
          <w:rFonts w:ascii="Times New Roman" w:cs="Times New Roman" w:eastAsia="Times New Roman" w:hAnsi="Times New Roman"/>
          <w:sz w:val="20"/>
          <w:szCs w:val="20"/>
          <w:color w:val="1D1D1D"/>
        </w:rPr>
        <w:t>me</w:t>
      </w:r>
      <w:r>
        <w:rPr>
          <w:rFonts w:ascii="Times New Roman" w:cs="Times New Roman" w:eastAsia="Times New Roman" w:hAnsi="Times New Roman"/>
          <w:sz w:val="20"/>
          <w:szCs w:val="20"/>
          <w:color w:val="0D0D0D"/>
        </w:rPr>
        <w:t>nts und</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r th</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 xml:space="preserve"> Plan </w:t>
      </w:r>
      <w:r>
        <w:rPr>
          <w:rFonts w:ascii="Times New Roman" w:cs="Times New Roman" w:eastAsia="Times New Roman" w:hAnsi="Times New Roman"/>
          <w:sz w:val="20"/>
          <w:szCs w:val="20"/>
          <w:color w:val="1D1D1D"/>
        </w:rPr>
        <w:t>s</w:t>
      </w:r>
      <w:r>
        <w:rPr>
          <w:rFonts w:ascii="Times New Roman" w:cs="Times New Roman" w:eastAsia="Times New Roman" w:hAnsi="Times New Roman"/>
          <w:sz w:val="20"/>
          <w:szCs w:val="20"/>
          <w:color w:val="0D0D0D"/>
        </w:rPr>
        <w:t>h</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ll b</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 xml:space="preserve"> m</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d</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 xml:space="preserve"> fr</w:t>
      </w:r>
      <w:r>
        <w:rPr>
          <w:rFonts w:ascii="Times New Roman" w:cs="Times New Roman" w:eastAsia="Times New Roman" w:hAnsi="Times New Roman"/>
          <w:sz w:val="20"/>
          <w:szCs w:val="20"/>
          <w:color w:val="1D1D1D"/>
        </w:rPr>
        <w:t>o</w:t>
      </w:r>
      <w:r>
        <w:rPr>
          <w:rFonts w:ascii="Times New Roman" w:cs="Times New Roman" w:eastAsia="Times New Roman" w:hAnsi="Times New Roman"/>
          <w:sz w:val="20"/>
          <w:szCs w:val="20"/>
          <w:color w:val="0D0D0D"/>
        </w:rPr>
        <w:t>m th</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 xml:space="preserve"> g</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n</w:t>
      </w:r>
      <w:r>
        <w:rPr>
          <w:rFonts w:ascii="Times New Roman" w:cs="Times New Roman" w:eastAsia="Times New Roman" w:hAnsi="Times New Roman"/>
          <w:sz w:val="20"/>
          <w:szCs w:val="20"/>
          <w:color w:val="1D1D1D"/>
        </w:rPr>
        <w:t>era</w:t>
      </w:r>
      <w:r>
        <w:rPr>
          <w:rFonts w:ascii="Times New Roman" w:cs="Times New Roman" w:eastAsia="Times New Roman" w:hAnsi="Times New Roman"/>
          <w:sz w:val="20"/>
          <w:szCs w:val="20"/>
          <w:color w:val="0D0D0D"/>
        </w:rPr>
        <w:t xml:space="preserve">l </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sse</w:t>
      </w:r>
      <w:r>
        <w:rPr>
          <w:rFonts w:ascii="Times New Roman" w:cs="Times New Roman" w:eastAsia="Times New Roman" w:hAnsi="Times New Roman"/>
          <w:sz w:val="20"/>
          <w:szCs w:val="20"/>
          <w:color w:val="1D1D1D"/>
        </w:rPr>
        <w:t>ts</w:t>
      </w:r>
      <w:r>
        <w:rPr>
          <w:rFonts w:ascii="Times New Roman" w:cs="Times New Roman" w:eastAsia="Times New Roman" w:hAnsi="Times New Roman"/>
          <w:sz w:val="20"/>
          <w:szCs w:val="20"/>
          <w:color w:val="0D0D0D"/>
        </w:rPr>
        <w:t xml:space="preserve"> o</w:t>
      </w:r>
      <w:r>
        <w:rPr>
          <w:rFonts w:ascii="Times New Roman" w:cs="Times New Roman" w:eastAsia="Times New Roman" w:hAnsi="Times New Roman"/>
          <w:sz w:val="20"/>
          <w:szCs w:val="20"/>
          <w:color w:val="1D1D1D"/>
        </w:rPr>
        <w:t>f t</w:t>
      </w:r>
      <w:r>
        <w:rPr>
          <w:rFonts w:ascii="Times New Roman" w:cs="Times New Roman" w:eastAsia="Times New Roman" w:hAnsi="Times New Roman"/>
          <w:sz w:val="20"/>
          <w:szCs w:val="20"/>
          <w:color w:val="0D0D0D"/>
        </w:rPr>
        <w:t>he C</w:t>
      </w:r>
      <w:r>
        <w:rPr>
          <w:rFonts w:ascii="Times New Roman" w:cs="Times New Roman" w:eastAsia="Times New Roman" w:hAnsi="Times New Roman"/>
          <w:sz w:val="20"/>
          <w:szCs w:val="20"/>
          <w:color w:val="1D1D1D"/>
        </w:rPr>
        <w:t>o</w:t>
      </w:r>
      <w:r>
        <w:rPr>
          <w:rFonts w:ascii="Times New Roman" w:cs="Times New Roman" w:eastAsia="Times New Roman" w:hAnsi="Times New Roman"/>
          <w:sz w:val="20"/>
          <w:szCs w:val="20"/>
          <w:color w:val="0D0D0D"/>
        </w:rPr>
        <w:t>mp</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 xml:space="preserve">ny </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t th</w:t>
      </w:r>
      <w:r>
        <w:rPr>
          <w:rFonts w:ascii="Times New Roman" w:cs="Times New Roman" w:eastAsia="Times New Roman" w:hAnsi="Times New Roman"/>
          <w:sz w:val="20"/>
          <w:szCs w:val="20"/>
          <w:color w:val="1D1D1D"/>
        </w:rPr>
        <w:t xml:space="preserve">e </w:t>
      </w:r>
      <w:r>
        <w:rPr>
          <w:rFonts w:ascii="Times New Roman" w:cs="Times New Roman" w:eastAsia="Times New Roman" w:hAnsi="Times New Roman"/>
          <w:sz w:val="20"/>
          <w:szCs w:val="20"/>
          <w:color w:val="0D0D0D"/>
        </w:rPr>
        <w:t>tim</w:t>
      </w:r>
      <w:r>
        <w:rPr>
          <w:rFonts w:ascii="Times New Roman" w:cs="Times New Roman" w:eastAsia="Times New Roman" w:hAnsi="Times New Roman"/>
          <w:sz w:val="20"/>
          <w:szCs w:val="20"/>
          <w:color w:val="1D1D1D"/>
        </w:rPr>
        <w:t>e a</w:t>
      </w:r>
      <w:r>
        <w:rPr>
          <w:rFonts w:ascii="Times New Roman" w:cs="Times New Roman" w:eastAsia="Times New Roman" w:hAnsi="Times New Roman"/>
          <w:sz w:val="20"/>
          <w:szCs w:val="20"/>
          <w:color w:val="0D0D0D"/>
        </w:rPr>
        <w:t>ny</w:t>
      </w:r>
      <w:r>
        <w:rPr>
          <w:rFonts w:ascii="Times New Roman" w:cs="Times New Roman" w:eastAsia="Times New Roman" w:hAnsi="Times New Roman"/>
          <w:sz w:val="20"/>
          <w:szCs w:val="20"/>
          <w:color w:val="1D1D1D"/>
        </w:rPr>
        <w:t xml:space="preserve"> s</w:t>
      </w:r>
      <w:r>
        <w:rPr>
          <w:rFonts w:ascii="Times New Roman" w:cs="Times New Roman" w:eastAsia="Times New Roman" w:hAnsi="Times New Roman"/>
          <w:sz w:val="20"/>
          <w:szCs w:val="20"/>
          <w:color w:val="0D0D0D"/>
        </w:rPr>
        <w:t>uch</w:t>
      </w:r>
      <w:r>
        <w:rPr>
          <w:rFonts w:ascii="Times New Roman" w:cs="Times New Roman" w:eastAsia="Times New Roman" w:hAnsi="Times New Roman"/>
          <w:sz w:val="20"/>
          <w:szCs w:val="20"/>
          <w:color w:val="1D1D1D"/>
        </w:rPr>
        <w:t xml:space="preserve"> pay</w:t>
      </w:r>
      <w:r>
        <w:rPr>
          <w:rFonts w:ascii="Times New Roman" w:cs="Times New Roman" w:eastAsia="Times New Roman" w:hAnsi="Times New Roman"/>
          <w:sz w:val="20"/>
          <w:szCs w:val="20"/>
          <w:color w:val="0D0D0D"/>
        </w:rPr>
        <w:t>ments becom</w:t>
      </w:r>
      <w:r>
        <w:rPr>
          <w:rFonts w:ascii="Times New Roman" w:cs="Times New Roman" w:eastAsia="Times New Roman" w:hAnsi="Times New Roman"/>
          <w:sz w:val="20"/>
          <w:szCs w:val="20"/>
          <w:color w:val="1D1D1D"/>
        </w:rPr>
        <w:t>e due a</w:t>
      </w:r>
      <w:r>
        <w:rPr>
          <w:rFonts w:ascii="Times New Roman" w:cs="Times New Roman" w:eastAsia="Times New Roman" w:hAnsi="Times New Roman"/>
          <w:sz w:val="20"/>
          <w:szCs w:val="20"/>
          <w:color w:val="0D0D0D"/>
        </w:rPr>
        <w:t>nd p</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y</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bl</w:t>
      </w:r>
      <w:r>
        <w:rPr>
          <w:rFonts w:ascii="Times New Roman" w:cs="Times New Roman" w:eastAsia="Times New Roman" w:hAnsi="Times New Roman"/>
          <w:sz w:val="20"/>
          <w:szCs w:val="20"/>
          <w:color w:val="1D1D1D"/>
        </w:rPr>
        <w:t>e.</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0D0D0D"/>
        </w:rPr>
        <w:t>6.2 Account Earnings.</w:t>
      </w:r>
    </w:p>
    <w:p>
      <w:pPr>
        <w:spacing w:after="0" w:line="247" w:lineRule="exact"/>
        <w:rPr>
          <w:sz w:val="20"/>
          <w:szCs w:val="20"/>
          <w:color w:val="auto"/>
        </w:rPr>
      </w:pPr>
    </w:p>
    <w:p>
      <w:pPr>
        <w:jc w:val="both"/>
        <w:ind w:left="100" w:right="80" w:firstLine="1944"/>
        <w:spacing w:after="0" w:line="268" w:lineRule="auto"/>
        <w:rPr>
          <w:sz w:val="20"/>
          <w:szCs w:val="20"/>
          <w:color w:val="auto"/>
        </w:rPr>
      </w:pPr>
      <w:r>
        <w:rPr>
          <w:rFonts w:ascii="Times New Roman" w:cs="Times New Roman" w:eastAsia="Times New Roman" w:hAnsi="Times New Roman"/>
          <w:sz w:val="20"/>
          <w:szCs w:val="20"/>
          <w:color w:val="0D0D0D"/>
        </w:rPr>
        <w:t>(</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 xml:space="preserve">) </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lloc</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tion of G</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 xml:space="preserve">ins and </w:t>
      </w:r>
      <w:r>
        <w:rPr>
          <w:rFonts w:ascii="Times New Roman" w:cs="Times New Roman" w:eastAsia="Times New Roman" w:hAnsi="Times New Roman"/>
          <w:sz w:val="20"/>
          <w:szCs w:val="20"/>
          <w:color w:val="1D1D1D"/>
        </w:rPr>
        <w:t>L</w:t>
      </w:r>
      <w:r>
        <w:rPr>
          <w:rFonts w:ascii="Times New Roman" w:cs="Times New Roman" w:eastAsia="Times New Roman" w:hAnsi="Times New Roman"/>
          <w:sz w:val="20"/>
          <w:szCs w:val="20"/>
          <w:color w:val="0D0D0D"/>
        </w:rPr>
        <w:t>oss</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s. Par</w:t>
      </w:r>
      <w:r>
        <w:rPr>
          <w:rFonts w:ascii="Times New Roman" w:cs="Times New Roman" w:eastAsia="Times New Roman" w:hAnsi="Times New Roman"/>
          <w:sz w:val="20"/>
          <w:szCs w:val="20"/>
          <w:color w:val="1D1D1D"/>
        </w:rPr>
        <w:t>t</w:t>
      </w:r>
      <w:r>
        <w:rPr>
          <w:rFonts w:ascii="Times New Roman" w:cs="Times New Roman" w:eastAsia="Times New Roman" w:hAnsi="Times New Roman"/>
          <w:sz w:val="20"/>
          <w:szCs w:val="20"/>
          <w:color w:val="0D0D0D"/>
        </w:rPr>
        <w:t>icip</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 xml:space="preserve">nt </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cco</w:t>
      </w:r>
      <w:r>
        <w:rPr>
          <w:rFonts w:ascii="Times New Roman" w:cs="Times New Roman" w:eastAsia="Times New Roman" w:hAnsi="Times New Roman"/>
          <w:sz w:val="20"/>
          <w:szCs w:val="20"/>
          <w:color w:val="1D1D1D"/>
        </w:rPr>
        <w:t>u</w:t>
      </w:r>
      <w:r>
        <w:rPr>
          <w:rFonts w:ascii="Times New Roman" w:cs="Times New Roman" w:eastAsia="Times New Roman" w:hAnsi="Times New Roman"/>
          <w:sz w:val="20"/>
          <w:szCs w:val="20"/>
          <w:color w:val="0D0D0D"/>
        </w:rPr>
        <w:t>nts (exce</w:t>
      </w:r>
      <w:r>
        <w:rPr>
          <w:rFonts w:ascii="Times New Roman" w:cs="Times New Roman" w:eastAsia="Times New Roman" w:hAnsi="Times New Roman"/>
          <w:sz w:val="20"/>
          <w:szCs w:val="20"/>
          <w:color w:val="1D1D1D"/>
        </w:rPr>
        <w:t>p</w:t>
      </w:r>
      <w:r>
        <w:rPr>
          <w:rFonts w:ascii="Times New Roman" w:cs="Times New Roman" w:eastAsia="Times New Roman" w:hAnsi="Times New Roman"/>
          <w:sz w:val="20"/>
          <w:szCs w:val="20"/>
          <w:color w:val="0D0D0D"/>
        </w:rPr>
        <w:t>t th</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 xml:space="preserve">t </w:t>
      </w:r>
      <w:r>
        <w:rPr>
          <w:rFonts w:ascii="Times New Roman" w:cs="Times New Roman" w:eastAsia="Times New Roman" w:hAnsi="Times New Roman"/>
          <w:sz w:val="20"/>
          <w:szCs w:val="20"/>
          <w:color w:val="1D1D1D"/>
        </w:rPr>
        <w:t>p</w:t>
      </w:r>
      <w:r>
        <w:rPr>
          <w:rFonts w:ascii="Times New Roman" w:cs="Times New Roman" w:eastAsia="Times New Roman" w:hAnsi="Times New Roman"/>
          <w:sz w:val="20"/>
          <w:szCs w:val="20"/>
          <w:color w:val="0D0D0D"/>
        </w:rPr>
        <w:t>o</w:t>
      </w:r>
      <w:r>
        <w:rPr>
          <w:rFonts w:ascii="Times New Roman" w:cs="Times New Roman" w:eastAsia="Times New Roman" w:hAnsi="Times New Roman"/>
          <w:sz w:val="20"/>
          <w:szCs w:val="20"/>
          <w:color w:val="1D1D1D"/>
        </w:rPr>
        <w:t>r</w:t>
      </w:r>
      <w:r>
        <w:rPr>
          <w:rFonts w:ascii="Times New Roman" w:cs="Times New Roman" w:eastAsia="Times New Roman" w:hAnsi="Times New Roman"/>
          <w:sz w:val="20"/>
          <w:szCs w:val="20"/>
          <w:color w:val="0D0D0D"/>
        </w:rPr>
        <w:t>tion o</w:t>
      </w:r>
      <w:r>
        <w:rPr>
          <w:rFonts w:ascii="Times New Roman" w:cs="Times New Roman" w:eastAsia="Times New Roman" w:hAnsi="Times New Roman"/>
          <w:sz w:val="20"/>
          <w:szCs w:val="20"/>
          <w:color w:val="1D1D1D"/>
        </w:rPr>
        <w:t>f</w:t>
      </w:r>
      <w:r>
        <w:rPr>
          <w:rFonts w:ascii="Times New Roman" w:cs="Times New Roman" w:eastAsia="Times New Roman" w:hAnsi="Times New Roman"/>
          <w:sz w:val="20"/>
          <w:szCs w:val="20"/>
          <w:color w:val="0D0D0D"/>
        </w:rPr>
        <w:t xml:space="preserve"> the Account consisting o</w:t>
      </w:r>
      <w:r>
        <w:rPr>
          <w:rFonts w:ascii="Times New Roman" w:cs="Times New Roman" w:eastAsia="Times New Roman" w:hAnsi="Times New Roman"/>
          <w:sz w:val="20"/>
          <w:szCs w:val="20"/>
          <w:color w:val="1D1D1D"/>
        </w:rPr>
        <w:t>f</w:t>
      </w:r>
      <w:r>
        <w:rPr>
          <w:rFonts w:ascii="Times New Roman" w:cs="Times New Roman" w:eastAsia="Times New Roman" w:hAnsi="Times New Roman"/>
          <w:sz w:val="20"/>
          <w:szCs w:val="20"/>
          <w:color w:val="0D0D0D"/>
        </w:rPr>
        <w:t xml:space="preserve"> de</w:t>
      </w:r>
      <w:r>
        <w:rPr>
          <w:rFonts w:ascii="Times New Roman" w:cs="Times New Roman" w:eastAsia="Times New Roman" w:hAnsi="Times New Roman"/>
          <w:sz w:val="20"/>
          <w:szCs w:val="20"/>
          <w:color w:val="1D1D1D"/>
        </w:rPr>
        <w:t>fe</w:t>
      </w:r>
      <w:r>
        <w:rPr>
          <w:rFonts w:ascii="Times New Roman" w:cs="Times New Roman" w:eastAsia="Times New Roman" w:hAnsi="Times New Roman"/>
          <w:sz w:val="20"/>
          <w:szCs w:val="20"/>
          <w:color w:val="0D0D0D"/>
        </w:rPr>
        <w:t>rred Restricted Stock Un</w:t>
      </w:r>
      <w:r>
        <w:rPr>
          <w:rFonts w:ascii="Times New Roman" w:cs="Times New Roman" w:eastAsia="Times New Roman" w:hAnsi="Times New Roman"/>
          <w:sz w:val="20"/>
          <w:szCs w:val="20"/>
          <w:color w:val="1D1D1D"/>
        </w:rPr>
        <w:t>i</w:t>
      </w:r>
      <w:r>
        <w:rPr>
          <w:rFonts w:ascii="Times New Roman" w:cs="Times New Roman" w:eastAsia="Times New Roman" w:hAnsi="Times New Roman"/>
          <w:sz w:val="20"/>
          <w:szCs w:val="20"/>
          <w:color w:val="0D0D0D"/>
        </w:rPr>
        <w:t xml:space="preserve">ts) </w:t>
      </w:r>
      <w:r>
        <w:rPr>
          <w:rFonts w:ascii="Times New Roman" w:cs="Times New Roman" w:eastAsia="Times New Roman" w:hAnsi="Times New Roman"/>
          <w:sz w:val="20"/>
          <w:szCs w:val="20"/>
          <w:color w:val="1D1D1D"/>
        </w:rPr>
        <w:t>s</w:t>
      </w:r>
      <w:r>
        <w:rPr>
          <w:rFonts w:ascii="Times New Roman" w:cs="Times New Roman" w:eastAsia="Times New Roman" w:hAnsi="Times New Roman"/>
          <w:sz w:val="20"/>
          <w:szCs w:val="20"/>
          <w:color w:val="0D0D0D"/>
        </w:rPr>
        <w:t>hall be ad</w:t>
      </w:r>
      <w:r>
        <w:rPr>
          <w:rFonts w:ascii="Times New Roman" w:cs="Times New Roman" w:eastAsia="Times New Roman" w:hAnsi="Times New Roman"/>
          <w:sz w:val="20"/>
          <w:szCs w:val="20"/>
          <w:color w:val="1D1D1D"/>
        </w:rPr>
        <w:t>j</w:t>
      </w:r>
      <w:r>
        <w:rPr>
          <w:rFonts w:ascii="Times New Roman" w:cs="Times New Roman" w:eastAsia="Times New Roman" w:hAnsi="Times New Roman"/>
          <w:sz w:val="20"/>
          <w:szCs w:val="20"/>
          <w:color w:val="0D0D0D"/>
        </w:rPr>
        <w:t>ust</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 xml:space="preserve">d on </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 xml:space="preserve"> da</w:t>
      </w:r>
      <w:r>
        <w:rPr>
          <w:rFonts w:ascii="Times New Roman" w:cs="Times New Roman" w:eastAsia="Times New Roman" w:hAnsi="Times New Roman"/>
          <w:sz w:val="20"/>
          <w:szCs w:val="20"/>
          <w:color w:val="1D1D1D"/>
        </w:rPr>
        <w:t>i</w:t>
      </w:r>
      <w:r>
        <w:rPr>
          <w:rFonts w:ascii="Times New Roman" w:cs="Times New Roman" w:eastAsia="Times New Roman" w:hAnsi="Times New Roman"/>
          <w:sz w:val="20"/>
          <w:szCs w:val="20"/>
          <w:color w:val="0D0D0D"/>
        </w:rPr>
        <w:t>ly b</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sis (</w:t>
      </w:r>
      <w:r>
        <w:rPr>
          <w:rFonts w:ascii="Times New Roman" w:cs="Times New Roman" w:eastAsia="Times New Roman" w:hAnsi="Times New Roman"/>
          <w:sz w:val="20"/>
          <w:szCs w:val="20"/>
          <w:color w:val="1D1D1D"/>
        </w:rPr>
        <w:t>through</w:t>
      </w:r>
      <w:r>
        <w:rPr>
          <w:rFonts w:ascii="Times New Roman" w:cs="Times New Roman" w:eastAsia="Times New Roman" w:hAnsi="Times New Roman"/>
          <w:sz w:val="20"/>
          <w:szCs w:val="20"/>
          <w:color w:val="0D0D0D"/>
        </w:rPr>
        <w:t xml:space="preserve"> th</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 xml:space="preserve"> date i</w:t>
      </w:r>
      <w:r>
        <w:rPr>
          <w:rFonts w:ascii="Times New Roman" w:cs="Times New Roman" w:eastAsia="Times New Roman" w:hAnsi="Times New Roman"/>
          <w:sz w:val="20"/>
          <w:szCs w:val="20"/>
          <w:color w:val="1D1D1D"/>
        </w:rPr>
        <w:t>m</w:t>
      </w:r>
      <w:r>
        <w:rPr>
          <w:rFonts w:ascii="Times New Roman" w:cs="Times New Roman" w:eastAsia="Times New Roman" w:hAnsi="Times New Roman"/>
          <w:sz w:val="20"/>
          <w:szCs w:val="20"/>
          <w:color w:val="0D0D0D"/>
        </w:rPr>
        <w:t>m</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d</w:t>
      </w:r>
      <w:r>
        <w:rPr>
          <w:rFonts w:ascii="Times New Roman" w:cs="Times New Roman" w:eastAsia="Times New Roman" w:hAnsi="Times New Roman"/>
          <w:sz w:val="20"/>
          <w:szCs w:val="20"/>
          <w:color w:val="1D1D1D"/>
        </w:rPr>
        <w:t>i</w:t>
      </w:r>
      <w:r>
        <w:rPr>
          <w:rFonts w:ascii="Times New Roman" w:cs="Times New Roman" w:eastAsia="Times New Roman" w:hAnsi="Times New Roman"/>
          <w:sz w:val="20"/>
          <w:szCs w:val="20"/>
          <w:color w:val="0D0D0D"/>
        </w:rPr>
        <w:t>at</w:t>
      </w:r>
      <w:r>
        <w:rPr>
          <w:rFonts w:ascii="Times New Roman" w:cs="Times New Roman" w:eastAsia="Times New Roman" w:hAnsi="Times New Roman"/>
          <w:sz w:val="20"/>
          <w:szCs w:val="20"/>
          <w:color w:val="1D1D1D"/>
        </w:rPr>
        <w:t>el</w:t>
      </w:r>
      <w:r>
        <w:rPr>
          <w:rFonts w:ascii="Times New Roman" w:cs="Times New Roman" w:eastAsia="Times New Roman" w:hAnsi="Times New Roman"/>
          <w:sz w:val="20"/>
          <w:szCs w:val="20"/>
          <w:color w:val="0D0D0D"/>
        </w:rPr>
        <w:t>y prec</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d</w:t>
      </w:r>
      <w:r>
        <w:rPr>
          <w:rFonts w:ascii="Times New Roman" w:cs="Times New Roman" w:eastAsia="Times New Roman" w:hAnsi="Times New Roman"/>
          <w:sz w:val="20"/>
          <w:szCs w:val="20"/>
          <w:color w:val="1D1D1D"/>
        </w:rPr>
        <w:t>i</w:t>
      </w:r>
      <w:r>
        <w:rPr>
          <w:rFonts w:ascii="Times New Roman" w:cs="Times New Roman" w:eastAsia="Times New Roman" w:hAnsi="Times New Roman"/>
          <w:sz w:val="20"/>
          <w:szCs w:val="20"/>
          <w:color w:val="0D0D0D"/>
        </w:rPr>
        <w:t>ng t</w:t>
      </w:r>
      <w:r>
        <w:rPr>
          <w:rFonts w:ascii="Times New Roman" w:cs="Times New Roman" w:eastAsia="Times New Roman" w:hAnsi="Times New Roman"/>
          <w:sz w:val="20"/>
          <w:szCs w:val="20"/>
          <w:color w:val="1D1D1D"/>
        </w:rPr>
        <w:t>he</w:t>
      </w:r>
      <w:r>
        <w:rPr>
          <w:rFonts w:ascii="Times New Roman" w:cs="Times New Roman" w:eastAsia="Times New Roman" w:hAnsi="Times New Roman"/>
          <w:sz w:val="20"/>
          <w:szCs w:val="20"/>
          <w:color w:val="0D0D0D"/>
        </w:rPr>
        <w:t xml:space="preserve"> date o</w:t>
      </w:r>
      <w:r>
        <w:rPr>
          <w:rFonts w:ascii="Times New Roman" w:cs="Times New Roman" w:eastAsia="Times New Roman" w:hAnsi="Times New Roman"/>
          <w:sz w:val="20"/>
          <w:szCs w:val="20"/>
          <w:color w:val="1D1D1D"/>
        </w:rPr>
        <w:t>n</w:t>
      </w:r>
      <w:r>
        <w:rPr>
          <w:rFonts w:ascii="Times New Roman" w:cs="Times New Roman" w:eastAsia="Times New Roman" w:hAnsi="Times New Roman"/>
          <w:sz w:val="20"/>
          <w:szCs w:val="20"/>
          <w:color w:val="0D0D0D"/>
        </w:rPr>
        <w:t xml:space="preserve"> whic</w:t>
      </w:r>
      <w:r>
        <w:rPr>
          <w:rFonts w:ascii="Times New Roman" w:cs="Times New Roman" w:eastAsia="Times New Roman" w:hAnsi="Times New Roman"/>
          <w:sz w:val="20"/>
          <w:szCs w:val="20"/>
          <w:color w:val="1D1D1D"/>
        </w:rPr>
        <w:t>h</w:t>
      </w:r>
      <w:r>
        <w:rPr>
          <w:rFonts w:ascii="Times New Roman" w:cs="Times New Roman" w:eastAsia="Times New Roman" w:hAnsi="Times New Roman"/>
          <w:sz w:val="20"/>
          <w:szCs w:val="20"/>
          <w:color w:val="0D0D0D"/>
        </w:rPr>
        <w:t xml:space="preserve"> the l</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st p</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ym</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 xml:space="preserve">nt to the </w:t>
      </w:r>
      <w:r>
        <w:rPr>
          <w:rFonts w:ascii="Times New Roman" w:cs="Times New Roman" w:eastAsia="Times New Roman" w:hAnsi="Times New Roman"/>
          <w:sz w:val="20"/>
          <w:szCs w:val="20"/>
          <w:color w:val="1D1D1D"/>
        </w:rPr>
        <w:t>P</w:t>
      </w:r>
      <w:r>
        <w:rPr>
          <w:rFonts w:ascii="Times New Roman" w:cs="Times New Roman" w:eastAsia="Times New Roman" w:hAnsi="Times New Roman"/>
          <w:sz w:val="20"/>
          <w:szCs w:val="20"/>
          <w:color w:val="0D0D0D"/>
        </w:rPr>
        <w:t>a</w:t>
      </w:r>
      <w:r>
        <w:rPr>
          <w:rFonts w:ascii="Times New Roman" w:cs="Times New Roman" w:eastAsia="Times New Roman" w:hAnsi="Times New Roman"/>
          <w:sz w:val="20"/>
          <w:szCs w:val="20"/>
          <w:color w:val="1D1D1D"/>
        </w:rPr>
        <w:t>r</w:t>
      </w:r>
      <w:r>
        <w:rPr>
          <w:rFonts w:ascii="Times New Roman" w:cs="Times New Roman" w:eastAsia="Times New Roman" w:hAnsi="Times New Roman"/>
          <w:sz w:val="20"/>
          <w:szCs w:val="20"/>
          <w:color w:val="0D0D0D"/>
        </w:rPr>
        <w:t>ticip</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nt or Benefici</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ry, as ap</w:t>
      </w:r>
      <w:r>
        <w:rPr>
          <w:rFonts w:ascii="Times New Roman" w:cs="Times New Roman" w:eastAsia="Times New Roman" w:hAnsi="Times New Roman"/>
          <w:sz w:val="20"/>
          <w:szCs w:val="20"/>
          <w:color w:val="1D1D1D"/>
        </w:rPr>
        <w:t>p</w:t>
      </w:r>
      <w:r>
        <w:rPr>
          <w:rFonts w:ascii="Times New Roman" w:cs="Times New Roman" w:eastAsia="Times New Roman" w:hAnsi="Times New Roman"/>
          <w:sz w:val="20"/>
          <w:szCs w:val="20"/>
          <w:color w:val="0D0D0D"/>
        </w:rPr>
        <w:t>licable, is p</w:t>
      </w:r>
      <w:r>
        <w:rPr>
          <w:rFonts w:ascii="Times New Roman" w:cs="Times New Roman" w:eastAsia="Times New Roman" w:hAnsi="Times New Roman"/>
          <w:sz w:val="20"/>
          <w:szCs w:val="20"/>
          <w:color w:val="1D1D1D"/>
        </w:rPr>
        <w:t>ro</w:t>
      </w:r>
      <w:r>
        <w:rPr>
          <w:rFonts w:ascii="Times New Roman" w:cs="Times New Roman" w:eastAsia="Times New Roman" w:hAnsi="Times New Roman"/>
          <w:sz w:val="20"/>
          <w:szCs w:val="20"/>
          <w:color w:val="0D0D0D"/>
        </w:rPr>
        <w:t>cessed)</w:t>
      </w:r>
      <w:r>
        <w:rPr>
          <w:rFonts w:ascii="Times New Roman" w:cs="Times New Roman" w:eastAsia="Times New Roman" w:hAnsi="Times New Roman"/>
          <w:sz w:val="20"/>
          <w:szCs w:val="20"/>
          <w:color w:val="1D1D1D"/>
        </w:rPr>
        <w:t>,</w:t>
      </w:r>
      <w:r>
        <w:rPr>
          <w:rFonts w:ascii="Times New Roman" w:cs="Times New Roman" w:eastAsia="Times New Roman" w:hAnsi="Times New Roman"/>
          <w:sz w:val="20"/>
          <w:szCs w:val="20"/>
          <w:color w:val="0D0D0D"/>
        </w:rPr>
        <w:t xml:space="preserve"> according to the performance o</w:t>
      </w:r>
      <w:r>
        <w:rPr>
          <w:rFonts w:ascii="Times New Roman" w:cs="Times New Roman" w:eastAsia="Times New Roman" w:hAnsi="Times New Roman"/>
          <w:sz w:val="20"/>
          <w:szCs w:val="20"/>
          <w:color w:val="1D1D1D"/>
        </w:rPr>
        <w:t>f</w:t>
      </w:r>
      <w:r>
        <w:rPr>
          <w:rFonts w:ascii="Times New Roman" w:cs="Times New Roman" w:eastAsia="Times New Roman" w:hAnsi="Times New Roman"/>
          <w:sz w:val="20"/>
          <w:szCs w:val="20"/>
          <w:color w:val="0D0D0D"/>
        </w:rPr>
        <w:t xml:space="preserve"> the Measurem</w:t>
      </w:r>
      <w:r>
        <w:rPr>
          <w:rFonts w:ascii="Times New Roman" w:cs="Times New Roman" w:eastAsia="Times New Roman" w:hAnsi="Times New Roman"/>
          <w:sz w:val="20"/>
          <w:szCs w:val="20"/>
          <w:color w:val="1D1D1D"/>
        </w:rPr>
        <w:t>en</w:t>
      </w:r>
      <w:r>
        <w:rPr>
          <w:rFonts w:ascii="Times New Roman" w:cs="Times New Roman" w:eastAsia="Times New Roman" w:hAnsi="Times New Roman"/>
          <w:sz w:val="20"/>
          <w:szCs w:val="20"/>
          <w:color w:val="0D0D0D"/>
        </w:rPr>
        <w:t xml:space="preserve">t </w:t>
      </w:r>
      <w:r>
        <w:rPr>
          <w:rFonts w:ascii="Times New Roman" w:cs="Times New Roman" w:eastAsia="Times New Roman" w:hAnsi="Times New Roman"/>
          <w:sz w:val="20"/>
          <w:szCs w:val="20"/>
          <w:color w:val="1D1D1D"/>
        </w:rPr>
        <w:t>F</w:t>
      </w:r>
      <w:r>
        <w:rPr>
          <w:rFonts w:ascii="Times New Roman" w:cs="Times New Roman" w:eastAsia="Times New Roman" w:hAnsi="Times New Roman"/>
          <w:sz w:val="20"/>
          <w:szCs w:val="20"/>
          <w:color w:val="0D0D0D"/>
        </w:rPr>
        <w:t>und(s) s</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l</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cted by the Participa</w:t>
      </w:r>
      <w:r>
        <w:rPr>
          <w:rFonts w:ascii="Times New Roman" w:cs="Times New Roman" w:eastAsia="Times New Roman" w:hAnsi="Times New Roman"/>
          <w:sz w:val="20"/>
          <w:szCs w:val="20"/>
          <w:color w:val="1D1D1D"/>
        </w:rPr>
        <w:t>n</w:t>
      </w:r>
      <w:r>
        <w:rPr>
          <w:rFonts w:ascii="Times New Roman" w:cs="Times New Roman" w:eastAsia="Times New Roman" w:hAnsi="Times New Roman"/>
          <w:sz w:val="20"/>
          <w:szCs w:val="20"/>
          <w:color w:val="0D0D0D"/>
        </w:rPr>
        <w:t>t pur</w:t>
      </w:r>
      <w:r>
        <w:rPr>
          <w:rFonts w:ascii="Times New Roman" w:cs="Times New Roman" w:eastAsia="Times New Roman" w:hAnsi="Times New Roman"/>
          <w:sz w:val="20"/>
          <w:szCs w:val="20"/>
          <w:color w:val="1D1D1D"/>
        </w:rPr>
        <w:t>s</w:t>
      </w:r>
      <w:r>
        <w:rPr>
          <w:rFonts w:ascii="Times New Roman" w:cs="Times New Roman" w:eastAsia="Times New Roman" w:hAnsi="Times New Roman"/>
          <w:sz w:val="20"/>
          <w:szCs w:val="20"/>
          <w:color w:val="0D0D0D"/>
        </w:rPr>
        <w:t>u</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nt to S</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ctio</w:t>
      </w:r>
      <w:r>
        <w:rPr>
          <w:rFonts w:ascii="Times New Roman" w:cs="Times New Roman" w:eastAsia="Times New Roman" w:hAnsi="Times New Roman"/>
          <w:sz w:val="20"/>
          <w:szCs w:val="20"/>
          <w:color w:val="1D1D1D"/>
        </w:rPr>
        <w:t>n</w:t>
      </w:r>
      <w:r>
        <w:rPr>
          <w:rFonts w:ascii="Times New Roman" w:cs="Times New Roman" w:eastAsia="Times New Roman" w:hAnsi="Times New Roman"/>
          <w:sz w:val="20"/>
          <w:szCs w:val="20"/>
          <w:color w:val="0D0D0D"/>
        </w:rPr>
        <w:t xml:space="preserve"> 6.2(6). Such credits </w:t>
      </w:r>
      <w:r>
        <w:rPr>
          <w:rFonts w:ascii="Times New Roman" w:cs="Times New Roman" w:eastAsia="Times New Roman" w:hAnsi="Times New Roman"/>
          <w:sz w:val="20"/>
          <w:szCs w:val="20"/>
          <w:color w:val="1D1D1D"/>
        </w:rPr>
        <w:t>a</w:t>
      </w:r>
      <w:r>
        <w:rPr>
          <w:rFonts w:ascii="Times New Roman" w:cs="Times New Roman" w:eastAsia="Times New Roman" w:hAnsi="Times New Roman"/>
          <w:sz w:val="20"/>
          <w:szCs w:val="20"/>
          <w:color w:val="0D0D0D"/>
        </w:rPr>
        <w:t xml:space="preserve">nd debits to a Participant's Account on a particular day shall be taken into account for </w:t>
      </w:r>
      <w:r>
        <w:rPr>
          <w:rFonts w:ascii="Times New Roman" w:cs="Times New Roman" w:eastAsia="Times New Roman" w:hAnsi="Times New Roman"/>
          <w:sz w:val="20"/>
          <w:szCs w:val="20"/>
          <w:color w:val="1D1D1D"/>
        </w:rPr>
        <w:t>p</w:t>
      </w:r>
      <w:r>
        <w:rPr>
          <w:rFonts w:ascii="Times New Roman" w:cs="Times New Roman" w:eastAsia="Times New Roman" w:hAnsi="Times New Roman"/>
          <w:sz w:val="20"/>
          <w:szCs w:val="20"/>
          <w:color w:val="0D0D0D"/>
        </w:rPr>
        <w:t>urpos</w:t>
      </w:r>
      <w:r>
        <w:rPr>
          <w:rFonts w:ascii="Times New Roman" w:cs="Times New Roman" w:eastAsia="Times New Roman" w:hAnsi="Times New Roman"/>
          <w:sz w:val="20"/>
          <w:szCs w:val="20"/>
          <w:color w:val="1D1D1D"/>
        </w:rPr>
        <w:t>e</w:t>
      </w:r>
      <w:r>
        <w:rPr>
          <w:rFonts w:ascii="Times New Roman" w:cs="Times New Roman" w:eastAsia="Times New Roman" w:hAnsi="Times New Roman"/>
          <w:sz w:val="20"/>
          <w:szCs w:val="20"/>
          <w:color w:val="0D0D0D"/>
        </w:rPr>
        <w:t>s o</w:t>
      </w:r>
      <w:r>
        <w:rPr>
          <w:rFonts w:ascii="Times New Roman" w:cs="Times New Roman" w:eastAsia="Times New Roman" w:hAnsi="Times New Roman"/>
          <w:sz w:val="20"/>
          <w:szCs w:val="20"/>
          <w:color w:val="1D1D1D"/>
        </w:rPr>
        <w:t>f</w:t>
      </w:r>
      <w:r>
        <w:rPr>
          <w:rFonts w:ascii="Times New Roman" w:cs="Times New Roman" w:eastAsia="Times New Roman" w:hAnsi="Times New Roman"/>
          <w:sz w:val="20"/>
          <w:szCs w:val="20"/>
          <w:color w:val="0D0D0D"/>
        </w:rPr>
        <w:t xml:space="preserve"> calculating earnings or losse</w:t>
      </w:r>
      <w:r>
        <w:rPr>
          <w:rFonts w:ascii="Times New Roman" w:cs="Times New Roman" w:eastAsia="Times New Roman" w:hAnsi="Times New Roman"/>
          <w:sz w:val="20"/>
          <w:szCs w:val="20"/>
          <w:color w:val="1D1D1D"/>
        </w:rPr>
        <w:t>s</w:t>
      </w:r>
      <w:r>
        <w:rPr>
          <w:rFonts w:ascii="Times New Roman" w:cs="Times New Roman" w:eastAsia="Times New Roman" w:hAnsi="Times New Roman"/>
          <w:sz w:val="20"/>
          <w:szCs w:val="20"/>
          <w:color w:val="0D0D0D"/>
        </w:rPr>
        <w:t xml:space="preserve"> in a manner determined by the Administrator.</w:t>
      </w:r>
    </w:p>
    <w:p>
      <w:pPr>
        <w:spacing w:after="0" w:line="214" w:lineRule="exact"/>
        <w:rPr>
          <w:sz w:val="20"/>
          <w:szCs w:val="20"/>
          <w:color w:val="auto"/>
        </w:rPr>
      </w:pPr>
    </w:p>
    <w:p>
      <w:pPr>
        <w:jc w:val="both"/>
        <w:ind w:left="80" w:right="80" w:firstLine="1951"/>
        <w:spacing w:after="0" w:line="267" w:lineRule="auto"/>
        <w:tabs>
          <w:tab w:leader="none" w:pos="2304" w:val="left"/>
        </w:tabs>
        <w:numPr>
          <w:ilvl w:val="0"/>
          <w:numId w:val="93"/>
        </w:numPr>
        <w:rPr>
          <w:rFonts w:ascii="Times New Roman" w:cs="Times New Roman" w:eastAsia="Times New Roman" w:hAnsi="Times New Roman"/>
          <w:sz w:val="20"/>
          <w:szCs w:val="20"/>
          <w:color w:val="0D0D0D"/>
        </w:rPr>
      </w:pPr>
      <w:r>
        <w:rPr>
          <w:rFonts w:ascii="Times New Roman" w:cs="Times New Roman" w:eastAsia="Times New Roman" w:hAnsi="Times New Roman"/>
          <w:sz w:val="20"/>
          <w:szCs w:val="20"/>
          <w:color w:val="0D0D0D"/>
        </w:rPr>
        <w:t>Allocation to Measurement Funds. A Participant may allocate and reallocate his or her Account ( except that portion of the Account consisting of deferred Restricted Stock Units) among the various Measurement Funds designated by the Administrator from time to time. All such allocations and reallocations must be made in accordance with, and subject to, such rules and procedures as the Administrator may establish. To the extent a Participant fails to allocate his or her Account to a Measurement Fund as described above, such Participant will be deemed to have selected the Measurement Fund designated by the Administrator as the default Measurement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070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7"/>
          <w:szCs w:val="17"/>
          <w:color w:val="151515"/>
        </w:rPr>
        <w:t>Page 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200"/>
          </w:cols>
          <w:pgMar w:left="340" w:top="1440" w:right="359" w:bottom="1440" w:gutter="0" w:footer="0" w:header="0"/>
        </w:sectPr>
      </w:pPr>
    </w:p>
    <w:bookmarkStart w:id="170" w:name="page171"/>
    <w:bookmarkEnd w:id="170"/>
    <w:p>
      <w:pPr>
        <w:spacing w:after="0" w:line="54" w:lineRule="exact"/>
        <w:rPr>
          <w:sz w:val="20"/>
          <w:szCs w:val="20"/>
          <w:color w:val="auto"/>
        </w:rPr>
      </w:pPr>
    </w:p>
    <w:p>
      <w:pPr>
        <w:jc w:val="both"/>
        <w:ind w:left="140" w:right="40" w:firstLine="1947"/>
        <w:spacing w:after="0" w:line="263" w:lineRule="auto"/>
        <w:tabs>
          <w:tab w:leader="none" w:pos="2365" w:val="left"/>
        </w:tabs>
        <w:numPr>
          <w:ilvl w:val="0"/>
          <w:numId w:val="94"/>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No Actual Investment. Notwithstanding any provision in the Plan to the contrary, the Measurement Funds are to be used for measurement purposes only. Neither the Participant's selection of a Measurement Fund nor the crediting or debiting of amounts to the Participant's Account in accordance with that selection shall be considered or construed as an actual investment of the Participant's Account in any Measurement Fund or as requiring the Company or the Administrator to invest any assets in any Measurement Fund or in any other particular investment. In the event that the Company or the Administrator, in its own discretion</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 xml:space="preserve"> decides to invest funds in any or all of the investments on which the Measurement Funds are based, no Participant (or Beneficiary) shall have any rights in or to such inv</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stments. Without limiting the foregoing,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 Participant's Account balance shall at all times be a boo</w:t>
      </w:r>
      <w:r>
        <w:rPr>
          <w:rFonts w:ascii="Times New Roman" w:cs="Times New Roman" w:eastAsia="Times New Roman" w:hAnsi="Times New Roman"/>
          <w:sz w:val="20"/>
          <w:szCs w:val="20"/>
          <w:color w:val="1F1F1F"/>
        </w:rPr>
        <w:t>k</w:t>
      </w:r>
      <w:r>
        <w:rPr>
          <w:rFonts w:ascii="Times New Roman" w:cs="Times New Roman" w:eastAsia="Times New Roman" w:hAnsi="Times New Roman"/>
          <w:sz w:val="20"/>
          <w:szCs w:val="20"/>
          <w:color w:val="0E0E0E"/>
        </w:rPr>
        <w:t>k</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eping ent</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y only and shall not rep</w:t>
      </w:r>
      <w:r>
        <w:rPr>
          <w:rFonts w:ascii="Times New Roman" w:cs="Times New Roman" w:eastAsia="Times New Roman" w:hAnsi="Times New Roman"/>
          <w:sz w:val="20"/>
          <w:szCs w:val="20"/>
          <w:color w:val="1F1F1F"/>
        </w:rPr>
        <w:t>re</w:t>
      </w:r>
      <w:r>
        <w:rPr>
          <w:rFonts w:ascii="Times New Roman" w:cs="Times New Roman" w:eastAsia="Times New Roman" w:hAnsi="Times New Roman"/>
          <w:sz w:val="20"/>
          <w:szCs w:val="20"/>
          <w:color w:val="0E0E0E"/>
        </w:rPr>
        <w:t>se</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t a</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y i</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vestme</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t made on his or her b</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hal</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E0E0E"/>
        </w:rPr>
        <w:t xml:space="preserve"> by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Comp</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ny or the Administrator; the Participant sh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ll at all tim</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s remain an unsecur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d c</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editor o</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E0E0E"/>
        </w:rPr>
        <w:t xml:space="preserve">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Co</w:t>
      </w:r>
      <w:r>
        <w:rPr>
          <w:rFonts w:ascii="Times New Roman" w:cs="Times New Roman" w:eastAsia="Times New Roman" w:hAnsi="Times New Roman"/>
          <w:sz w:val="20"/>
          <w:szCs w:val="20"/>
          <w:color w:val="1F1F1F"/>
        </w:rPr>
        <w:t>m</w:t>
      </w:r>
      <w:r>
        <w:rPr>
          <w:rFonts w:ascii="Times New Roman" w:cs="Times New Roman" w:eastAsia="Times New Roman" w:hAnsi="Times New Roman"/>
          <w:sz w:val="20"/>
          <w:szCs w:val="20"/>
          <w:color w:val="0E0E0E"/>
        </w:rPr>
        <w:t>pany. T</w:t>
      </w:r>
      <w:r>
        <w:rPr>
          <w:rFonts w:ascii="Times New Roman" w:cs="Times New Roman" w:eastAsia="Times New Roman" w:hAnsi="Times New Roman"/>
          <w:sz w:val="20"/>
          <w:szCs w:val="20"/>
          <w:color w:val="1F1F1F"/>
        </w:rPr>
        <w:t>h</w:t>
      </w:r>
      <w:r>
        <w:rPr>
          <w:rFonts w:ascii="Times New Roman" w:cs="Times New Roman" w:eastAsia="Times New Roman" w:hAnsi="Times New Roman"/>
          <w:sz w:val="20"/>
          <w:szCs w:val="20"/>
          <w:color w:val="0E0E0E"/>
        </w:rPr>
        <w:t>e Adm</w:t>
      </w:r>
      <w:r>
        <w:rPr>
          <w:rFonts w:ascii="Times New Roman" w:cs="Times New Roman" w:eastAsia="Times New Roman" w:hAnsi="Times New Roman"/>
          <w:sz w:val="20"/>
          <w:szCs w:val="20"/>
          <w:color w:val="1F1F1F"/>
        </w:rPr>
        <w:t>in</w:t>
      </w:r>
      <w:r>
        <w:rPr>
          <w:rFonts w:ascii="Times New Roman" w:cs="Times New Roman" w:eastAsia="Times New Roman" w:hAnsi="Times New Roman"/>
          <w:sz w:val="20"/>
          <w:szCs w:val="20"/>
          <w:color w:val="0E0E0E"/>
        </w:rPr>
        <w:t>ist</w:t>
      </w:r>
      <w:r>
        <w:rPr>
          <w:rFonts w:ascii="Times New Roman" w:cs="Times New Roman" w:eastAsia="Times New Roman" w:hAnsi="Times New Roman"/>
          <w:sz w:val="20"/>
          <w:szCs w:val="20"/>
          <w:color w:val="1F1F1F"/>
        </w:rPr>
        <w:t>ra</w:t>
      </w:r>
      <w:r>
        <w:rPr>
          <w:rFonts w:ascii="Times New Roman" w:cs="Times New Roman" w:eastAsia="Times New Roman" w:hAnsi="Times New Roman"/>
          <w:sz w:val="20"/>
          <w:szCs w:val="20"/>
          <w:color w:val="0E0E0E"/>
        </w:rPr>
        <w:t>tor is und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r no oblig</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tion to o</w:t>
      </w:r>
      <w:r>
        <w:rPr>
          <w:rFonts w:ascii="Times New Roman" w:cs="Times New Roman" w:eastAsia="Times New Roman" w:hAnsi="Times New Roman"/>
          <w:sz w:val="20"/>
          <w:szCs w:val="20"/>
          <w:color w:val="1F1F1F"/>
        </w:rPr>
        <w:t>ffe</w:t>
      </w:r>
      <w:r>
        <w:rPr>
          <w:rFonts w:ascii="Times New Roman" w:cs="Times New Roman" w:eastAsia="Times New Roman" w:hAnsi="Times New Roman"/>
          <w:sz w:val="20"/>
          <w:szCs w:val="20"/>
          <w:color w:val="0E0E0E"/>
        </w:rPr>
        <w:t>r any p</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r</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icul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r in</w:t>
      </w:r>
      <w:r>
        <w:rPr>
          <w:rFonts w:ascii="Times New Roman" w:cs="Times New Roman" w:eastAsia="Times New Roman" w:hAnsi="Times New Roman"/>
          <w:sz w:val="20"/>
          <w:szCs w:val="20"/>
          <w:color w:val="1F1F1F"/>
        </w:rPr>
        <w:t>ve</w:t>
      </w:r>
      <w:r>
        <w:rPr>
          <w:rFonts w:ascii="Times New Roman" w:cs="Times New Roman" w:eastAsia="Times New Roman" w:hAnsi="Times New Roman"/>
          <w:sz w:val="20"/>
          <w:szCs w:val="20"/>
          <w:color w:val="0E0E0E"/>
        </w:rPr>
        <w:t>stm</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nt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s a Me</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surement Fund and m</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y discontinue, substitute, modify or add Me</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su</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 xml:space="preserve">ement </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E0E0E"/>
        </w:rPr>
        <w:t xml:space="preserve">unds at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ny ti</w:t>
      </w:r>
      <w:r>
        <w:rPr>
          <w:rFonts w:ascii="Times New Roman" w:cs="Times New Roman" w:eastAsia="Times New Roman" w:hAnsi="Times New Roman"/>
          <w:sz w:val="20"/>
          <w:szCs w:val="20"/>
          <w:color w:val="1F1F1F"/>
        </w:rPr>
        <w:t>me</w:t>
      </w:r>
      <w:r>
        <w:rPr>
          <w:rFonts w:ascii="Times New Roman" w:cs="Times New Roman" w:eastAsia="Times New Roman" w:hAnsi="Times New Roman"/>
          <w:sz w:val="20"/>
          <w:szCs w:val="20"/>
          <w:color w:val="0E0E0E"/>
        </w:rPr>
        <w:t>.</w:t>
      </w:r>
    </w:p>
    <w:p>
      <w:pPr>
        <w:spacing w:after="0" w:line="216" w:lineRule="exact"/>
        <w:rPr>
          <w:sz w:val="20"/>
          <w:szCs w:val="20"/>
          <w:color w:val="auto"/>
        </w:rPr>
      </w:pPr>
    </w:p>
    <w:p>
      <w:pPr>
        <w:jc w:val="both"/>
        <w:ind w:left="120" w:right="80" w:firstLine="648"/>
        <w:spacing w:after="0" w:line="264" w:lineRule="auto"/>
        <w:rPr>
          <w:sz w:val="20"/>
          <w:szCs w:val="20"/>
          <w:color w:val="auto"/>
        </w:rPr>
      </w:pPr>
      <w:r>
        <w:rPr>
          <w:rFonts w:ascii="Times New Roman" w:cs="Times New Roman" w:eastAsia="Times New Roman" w:hAnsi="Times New Roman"/>
          <w:sz w:val="20"/>
          <w:szCs w:val="20"/>
          <w:b w:val="1"/>
          <w:bCs w:val="1"/>
          <w:color w:val="0E0E0E"/>
        </w:rPr>
        <w:t xml:space="preserve">6.3 </w:t>
      </w:r>
      <w:r>
        <w:rPr>
          <w:rFonts w:ascii="Times New Roman" w:cs="Times New Roman" w:eastAsia="Times New Roman" w:hAnsi="Times New Roman"/>
          <w:sz w:val="20"/>
          <w:szCs w:val="20"/>
          <w:color w:val="0E0E0E"/>
        </w:rPr>
        <w:t>Divid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nd</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qui</w:t>
      </w:r>
      <w:r>
        <w:rPr>
          <w:rFonts w:ascii="Times New Roman" w:cs="Times New Roman" w:eastAsia="Times New Roman" w:hAnsi="Times New Roman"/>
          <w:sz w:val="20"/>
          <w:szCs w:val="20"/>
          <w:color w:val="1F1F1F"/>
        </w:rPr>
        <w:t>va</w:t>
      </w:r>
      <w:r>
        <w:rPr>
          <w:rFonts w:ascii="Times New Roman" w:cs="Times New Roman" w:eastAsia="Times New Roman" w:hAnsi="Times New Roman"/>
          <w:sz w:val="20"/>
          <w:szCs w:val="20"/>
          <w:color w:val="0E0E0E"/>
        </w:rPr>
        <w:t>l</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nts</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ll b</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cr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di</w:t>
      </w:r>
      <w:r>
        <w:rPr>
          <w:rFonts w:ascii="Times New Roman" w:cs="Times New Roman" w:eastAsia="Times New Roman" w:hAnsi="Times New Roman"/>
          <w:sz w:val="20"/>
          <w:szCs w:val="20"/>
          <w:color w:val="1F1F1F"/>
        </w:rPr>
        <w:t>te</w:t>
      </w:r>
      <w:r>
        <w:rPr>
          <w:rFonts w:ascii="Times New Roman" w:cs="Times New Roman" w:eastAsia="Times New Roman" w:hAnsi="Times New Roman"/>
          <w:sz w:val="20"/>
          <w:szCs w:val="20"/>
          <w:color w:val="0E0E0E"/>
        </w:rPr>
        <w:t>d in 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sp</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ct o</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d</w:t>
      </w:r>
      <w:r>
        <w:rPr>
          <w:rFonts w:ascii="Times New Roman" w:cs="Times New Roman" w:eastAsia="Times New Roman" w:hAnsi="Times New Roman"/>
          <w:sz w:val="20"/>
          <w:szCs w:val="20"/>
          <w:color w:val="1F1F1F"/>
        </w:rPr>
        <w:t>eferre</w:t>
      </w:r>
      <w:r>
        <w:rPr>
          <w:rFonts w:ascii="Times New Roman" w:cs="Times New Roman" w:eastAsia="Times New Roman" w:hAnsi="Times New Roman"/>
          <w:sz w:val="20"/>
          <w:szCs w:val="20"/>
          <w:color w:val="0E0E0E"/>
        </w:rPr>
        <w:t>d Restrict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d Stoc</w:t>
      </w:r>
      <w:r>
        <w:rPr>
          <w:rFonts w:ascii="Times New Roman" w:cs="Times New Roman" w:eastAsia="Times New Roman" w:hAnsi="Times New Roman"/>
          <w:sz w:val="20"/>
          <w:szCs w:val="20"/>
          <w:color w:val="1F1F1F"/>
        </w:rPr>
        <w:t>k</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Uni</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s. Such d</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vi</w:t>
      </w:r>
      <w:r>
        <w:rPr>
          <w:rFonts w:ascii="Times New Roman" w:cs="Times New Roman" w:eastAsia="Times New Roman" w:hAnsi="Times New Roman"/>
          <w:sz w:val="20"/>
          <w:szCs w:val="20"/>
          <w:color w:val="1F1F1F"/>
        </w:rPr>
        <w:t>d</w:t>
      </w:r>
      <w:r>
        <w:rPr>
          <w:rFonts w:ascii="Times New Roman" w:cs="Times New Roman" w:eastAsia="Times New Roman" w:hAnsi="Times New Roman"/>
          <w:sz w:val="20"/>
          <w:szCs w:val="20"/>
          <w:color w:val="0E0E0E"/>
        </w:rPr>
        <w:t>en</w:t>
      </w:r>
      <w:r>
        <w:rPr>
          <w:rFonts w:ascii="Times New Roman" w:cs="Times New Roman" w:eastAsia="Times New Roman" w:hAnsi="Times New Roman"/>
          <w:sz w:val="20"/>
          <w:szCs w:val="20"/>
          <w:color w:val="1F1F1F"/>
        </w:rPr>
        <w:t>d</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equiva</w:t>
      </w:r>
      <w:r>
        <w:rPr>
          <w:rFonts w:ascii="Times New Roman" w:cs="Times New Roman" w:eastAsia="Times New Roman" w:hAnsi="Times New Roman"/>
          <w:sz w:val="20"/>
          <w:szCs w:val="20"/>
          <w:color w:val="1F1F1F"/>
        </w:rPr>
        <w:t>l</w:t>
      </w:r>
      <w:r>
        <w:rPr>
          <w:rFonts w:ascii="Times New Roman" w:cs="Times New Roman" w:eastAsia="Times New Roman" w:hAnsi="Times New Roman"/>
          <w:sz w:val="20"/>
          <w:szCs w:val="20"/>
          <w:color w:val="0E0E0E"/>
        </w:rPr>
        <w:t>ents sh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ll be</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 xml:space="preserve">converted into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ddition</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l deferred commo</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 xml:space="preserve"> sto</w:t>
      </w:r>
      <w:r>
        <w:rPr>
          <w:rFonts w:ascii="Times New Roman" w:cs="Times New Roman" w:eastAsia="Times New Roman" w:hAnsi="Times New Roman"/>
          <w:sz w:val="20"/>
          <w:szCs w:val="20"/>
          <w:color w:val="1F1F1F"/>
        </w:rPr>
        <w:t>c</w:t>
      </w:r>
      <w:r>
        <w:rPr>
          <w:rFonts w:ascii="Times New Roman" w:cs="Times New Roman" w:eastAsia="Times New Roman" w:hAnsi="Times New Roman"/>
          <w:sz w:val="20"/>
          <w:szCs w:val="20"/>
          <w:color w:val="0E0E0E"/>
        </w:rPr>
        <w:t>k equi</w:t>
      </w:r>
      <w:r>
        <w:rPr>
          <w:rFonts w:ascii="Times New Roman" w:cs="Times New Roman" w:eastAsia="Times New Roman" w:hAnsi="Times New Roman"/>
          <w:sz w:val="20"/>
          <w:szCs w:val="20"/>
          <w:color w:val="1F1F1F"/>
        </w:rPr>
        <w:t>va</w:t>
      </w:r>
      <w:r>
        <w:rPr>
          <w:rFonts w:ascii="Times New Roman" w:cs="Times New Roman" w:eastAsia="Times New Roman" w:hAnsi="Times New Roman"/>
          <w:sz w:val="20"/>
          <w:szCs w:val="20"/>
          <w:color w:val="0E0E0E"/>
        </w:rPr>
        <w:t>lents covere</w:t>
      </w:r>
      <w:r>
        <w:rPr>
          <w:rFonts w:ascii="Times New Roman" w:cs="Times New Roman" w:eastAsia="Times New Roman" w:hAnsi="Times New Roman"/>
          <w:sz w:val="20"/>
          <w:szCs w:val="20"/>
          <w:color w:val="1F1F1F"/>
        </w:rPr>
        <w:t>d</w:t>
      </w:r>
      <w:r>
        <w:rPr>
          <w:rFonts w:ascii="Times New Roman" w:cs="Times New Roman" w:eastAsia="Times New Roman" w:hAnsi="Times New Roman"/>
          <w:sz w:val="20"/>
          <w:szCs w:val="20"/>
          <w:color w:val="0E0E0E"/>
        </w:rPr>
        <w:t xml:space="preserve"> by </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he d</w:t>
      </w:r>
      <w:r>
        <w:rPr>
          <w:rFonts w:ascii="Times New Roman" w:cs="Times New Roman" w:eastAsia="Times New Roman" w:hAnsi="Times New Roman"/>
          <w:sz w:val="20"/>
          <w:szCs w:val="20"/>
          <w:color w:val="1F1F1F"/>
        </w:rPr>
        <w:t>eferre</w:t>
      </w:r>
      <w:r>
        <w:rPr>
          <w:rFonts w:ascii="Times New Roman" w:cs="Times New Roman" w:eastAsia="Times New Roman" w:hAnsi="Times New Roman"/>
          <w:sz w:val="20"/>
          <w:szCs w:val="20"/>
          <w:color w:val="0E0E0E"/>
        </w:rPr>
        <w:t xml:space="preserve">d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w</w:t>
      </w:r>
      <w:r>
        <w:rPr>
          <w:rFonts w:ascii="Times New Roman" w:cs="Times New Roman" w:eastAsia="Times New Roman" w:hAnsi="Times New Roman"/>
          <w:sz w:val="20"/>
          <w:szCs w:val="20"/>
          <w:color w:val="1F1F1F"/>
        </w:rPr>
        <w:t>ard</w:t>
      </w:r>
      <w:r>
        <w:rPr>
          <w:rFonts w:ascii="Times New Roman" w:cs="Times New Roman" w:eastAsia="Times New Roman" w:hAnsi="Times New Roman"/>
          <w:sz w:val="20"/>
          <w:szCs w:val="20"/>
          <w:color w:val="0E0E0E"/>
        </w:rPr>
        <w:t xml:space="preserve">s by </w:t>
      </w:r>
      <w:r>
        <w:rPr>
          <w:rFonts w:ascii="Times New Roman" w:cs="Times New Roman" w:eastAsia="Times New Roman" w:hAnsi="Times New Roman"/>
          <w:sz w:val="20"/>
          <w:szCs w:val="20"/>
          <w:color w:val="1F1F1F"/>
        </w:rPr>
        <w:t>d</w:t>
      </w:r>
      <w:r>
        <w:rPr>
          <w:rFonts w:ascii="Times New Roman" w:cs="Times New Roman" w:eastAsia="Times New Roman" w:hAnsi="Times New Roman"/>
          <w:sz w:val="20"/>
          <w:szCs w:val="20"/>
          <w:color w:val="313131"/>
        </w:rPr>
        <w:t>i</w:t>
      </w:r>
      <w:r>
        <w:rPr>
          <w:rFonts w:ascii="Times New Roman" w:cs="Times New Roman" w:eastAsia="Times New Roman" w:hAnsi="Times New Roman"/>
          <w:sz w:val="20"/>
          <w:szCs w:val="20"/>
          <w:color w:val="1F1F1F"/>
        </w:rPr>
        <w:t>vi</w:t>
      </w:r>
      <w:r>
        <w:rPr>
          <w:rFonts w:ascii="Times New Roman" w:cs="Times New Roman" w:eastAsia="Times New Roman" w:hAnsi="Times New Roman"/>
          <w:sz w:val="20"/>
          <w:szCs w:val="20"/>
          <w:color w:val="0E0E0E"/>
        </w:rPr>
        <w:t xml:space="preserve">ding </w:t>
      </w:r>
      <w:r>
        <w:rPr>
          <w:rFonts w:ascii="Arial" w:cs="Arial" w:eastAsia="Arial" w:hAnsi="Arial"/>
          <w:sz w:val="20"/>
          <w:szCs w:val="20"/>
          <w:color w:val="1F1F1F"/>
        </w:rPr>
        <w:t>(1</w:t>
      </w:r>
      <w:r>
        <w:rPr>
          <w:rFonts w:ascii="Arial" w:cs="Arial" w:eastAsia="Arial" w:hAnsi="Arial"/>
          <w:sz w:val="20"/>
          <w:szCs w:val="20"/>
          <w:color w:val="0E0E0E"/>
        </w:rPr>
        <w:t>)</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F1F1F"/>
        </w:rPr>
        <w:t>the</w:t>
      </w:r>
      <w:r>
        <w:rPr>
          <w:rFonts w:ascii="Times New Roman" w:cs="Times New Roman" w:eastAsia="Times New Roman" w:hAnsi="Times New Roman"/>
          <w:sz w:val="20"/>
          <w:szCs w:val="20"/>
          <w:color w:val="0E0E0E"/>
        </w:rPr>
        <w:t xml:space="preserve"> aggr</w:t>
      </w:r>
      <w:r>
        <w:rPr>
          <w:rFonts w:ascii="Times New Roman" w:cs="Times New Roman" w:eastAsia="Times New Roman" w:hAnsi="Times New Roman"/>
          <w:sz w:val="20"/>
          <w:szCs w:val="20"/>
          <w:color w:val="1F1F1F"/>
        </w:rPr>
        <w:t>eg</w:t>
      </w:r>
      <w:r>
        <w:rPr>
          <w:rFonts w:ascii="Times New Roman" w:cs="Times New Roman" w:eastAsia="Times New Roman" w:hAnsi="Times New Roman"/>
          <w:sz w:val="20"/>
          <w:szCs w:val="20"/>
          <w:color w:val="0E0E0E"/>
        </w:rPr>
        <w:t>a</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 xml:space="preserve">e </w:t>
      </w:r>
      <w:r>
        <w:rPr>
          <w:rFonts w:ascii="Times New Roman" w:cs="Times New Roman" w:eastAsia="Times New Roman" w:hAnsi="Times New Roman"/>
          <w:sz w:val="20"/>
          <w:szCs w:val="20"/>
          <w:color w:val="1F1F1F"/>
        </w:rPr>
        <w:t>am</w:t>
      </w:r>
      <w:r>
        <w:rPr>
          <w:rFonts w:ascii="Times New Roman" w:cs="Times New Roman" w:eastAsia="Times New Roman" w:hAnsi="Times New Roman"/>
          <w:sz w:val="20"/>
          <w:szCs w:val="20"/>
          <w:color w:val="0E0E0E"/>
        </w:rPr>
        <w:t>o</w:t>
      </w:r>
      <w:r>
        <w:rPr>
          <w:rFonts w:ascii="Times New Roman" w:cs="Times New Roman" w:eastAsia="Times New Roman" w:hAnsi="Times New Roman"/>
          <w:sz w:val="20"/>
          <w:szCs w:val="20"/>
          <w:color w:val="1F1F1F"/>
        </w:rPr>
        <w:t>u</w:t>
      </w:r>
      <w:r>
        <w:rPr>
          <w:rFonts w:ascii="Times New Roman" w:cs="Times New Roman" w:eastAsia="Times New Roman" w:hAnsi="Times New Roman"/>
          <w:sz w:val="20"/>
          <w:szCs w:val="20"/>
          <w:color w:val="0E0E0E"/>
        </w:rPr>
        <w:t>nt or v</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l</w:t>
      </w:r>
      <w:r>
        <w:rPr>
          <w:rFonts w:ascii="Times New Roman" w:cs="Times New Roman" w:eastAsia="Times New Roman" w:hAnsi="Times New Roman"/>
          <w:sz w:val="20"/>
          <w:szCs w:val="20"/>
          <w:color w:val="1F1F1F"/>
        </w:rPr>
        <w:t>ue</w:t>
      </w:r>
      <w:r>
        <w:rPr>
          <w:rFonts w:ascii="Times New Roman" w:cs="Times New Roman" w:eastAsia="Times New Roman" w:hAnsi="Times New Roman"/>
          <w:sz w:val="20"/>
          <w:szCs w:val="20"/>
          <w:color w:val="0E0E0E"/>
        </w:rPr>
        <w:t xml:space="preserve"> o</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E0E0E"/>
        </w:rPr>
        <w:t xml:space="preserve">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div</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nds p</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id w</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th re</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pect to th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t number </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E0E0E"/>
        </w:rPr>
        <w:t>f stock e</w:t>
      </w:r>
      <w:r>
        <w:rPr>
          <w:rFonts w:ascii="Times New Roman" w:cs="Times New Roman" w:eastAsia="Times New Roman" w:hAnsi="Times New Roman"/>
          <w:sz w:val="20"/>
          <w:szCs w:val="20"/>
          <w:color w:val="1F1F1F"/>
        </w:rPr>
        <w:t>qu</w:t>
      </w:r>
      <w:r>
        <w:rPr>
          <w:rFonts w:ascii="Times New Roman" w:cs="Times New Roman" w:eastAsia="Times New Roman" w:hAnsi="Times New Roman"/>
          <w:sz w:val="20"/>
          <w:szCs w:val="20"/>
          <w:color w:val="0E0E0E"/>
        </w:rPr>
        <w:t>iv</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lent</w:t>
      </w:r>
      <w:r>
        <w:rPr>
          <w:rFonts w:ascii="Times New Roman" w:cs="Times New Roman" w:eastAsia="Times New Roman" w:hAnsi="Times New Roman"/>
          <w:sz w:val="20"/>
          <w:szCs w:val="20"/>
          <w:color w:val="1F1F1F"/>
        </w:rPr>
        <w:t>s c</w:t>
      </w:r>
      <w:r>
        <w:rPr>
          <w:rFonts w:ascii="Times New Roman" w:cs="Times New Roman" w:eastAsia="Times New Roman" w:hAnsi="Times New Roman"/>
          <w:sz w:val="20"/>
          <w:szCs w:val="20"/>
          <w:color w:val="0E0E0E"/>
        </w:rPr>
        <w:t>overed by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de</w:t>
      </w:r>
      <w:r>
        <w:rPr>
          <w:rFonts w:ascii="Times New Roman" w:cs="Times New Roman" w:eastAsia="Times New Roman" w:hAnsi="Times New Roman"/>
          <w:sz w:val="20"/>
          <w:szCs w:val="20"/>
          <w:color w:val="1F1F1F"/>
        </w:rPr>
        <w:t>ferre</w:t>
      </w:r>
      <w:r>
        <w:rPr>
          <w:rFonts w:ascii="Times New Roman" w:cs="Times New Roman" w:eastAsia="Times New Roman" w:hAnsi="Times New Roman"/>
          <w:sz w:val="20"/>
          <w:szCs w:val="20"/>
          <w:color w:val="0E0E0E"/>
        </w:rPr>
        <w:t xml:space="preserve">d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w</w:t>
      </w:r>
      <w:r>
        <w:rPr>
          <w:rFonts w:ascii="Times New Roman" w:cs="Times New Roman" w:eastAsia="Times New Roman" w:hAnsi="Times New Roman"/>
          <w:sz w:val="20"/>
          <w:szCs w:val="20"/>
          <w:color w:val="1F1F1F"/>
        </w:rPr>
        <w:t>ar</w:t>
      </w:r>
      <w:r>
        <w:rPr>
          <w:rFonts w:ascii="Times New Roman" w:cs="Times New Roman" w:eastAsia="Times New Roman" w:hAnsi="Times New Roman"/>
          <w:sz w:val="20"/>
          <w:szCs w:val="20"/>
          <w:color w:val="0E0E0E"/>
        </w:rPr>
        <w:t xml:space="preserve">d by (2) </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h</w:t>
      </w:r>
      <w:r>
        <w:rPr>
          <w:rFonts w:ascii="Times New Roman" w:cs="Times New Roman" w:eastAsia="Times New Roman" w:hAnsi="Times New Roman"/>
          <w:sz w:val="20"/>
          <w:szCs w:val="20"/>
          <w:color w:val="1F1F1F"/>
        </w:rPr>
        <w:t>e Fair</w:t>
      </w:r>
      <w:r>
        <w:rPr>
          <w:rFonts w:ascii="Times New Roman" w:cs="Times New Roman" w:eastAsia="Times New Roman" w:hAnsi="Times New Roman"/>
          <w:sz w:val="20"/>
          <w:szCs w:val="20"/>
          <w:color w:val="0E0E0E"/>
        </w:rPr>
        <w:t xml:space="preserve"> M</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r</w:t>
      </w:r>
      <w:r>
        <w:rPr>
          <w:rFonts w:ascii="Times New Roman" w:cs="Times New Roman" w:eastAsia="Times New Roman" w:hAnsi="Times New Roman"/>
          <w:sz w:val="20"/>
          <w:szCs w:val="20"/>
          <w:color w:val="1F1F1F"/>
        </w:rPr>
        <w:t>ke</w:t>
      </w:r>
      <w:r>
        <w:rPr>
          <w:rFonts w:ascii="Times New Roman" w:cs="Times New Roman" w:eastAsia="Times New Roman" w:hAnsi="Times New Roman"/>
          <w:sz w:val="20"/>
          <w:szCs w:val="20"/>
          <w:color w:val="0E0E0E"/>
        </w:rPr>
        <w:t>t V</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lu</w:t>
      </w:r>
      <w:r>
        <w:rPr>
          <w:rFonts w:ascii="Times New Roman" w:cs="Times New Roman" w:eastAsia="Times New Roman" w:hAnsi="Times New Roman"/>
          <w:sz w:val="20"/>
          <w:szCs w:val="20"/>
          <w:color w:val="1F1F1F"/>
        </w:rPr>
        <w:t>e</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E0E0E"/>
        </w:rPr>
        <w:t>(</w:t>
      </w:r>
      <w:r>
        <w:rPr>
          <w:rFonts w:ascii="Times New Roman" w:cs="Times New Roman" w:eastAsia="Times New Roman" w:hAnsi="Times New Roman"/>
          <w:sz w:val="20"/>
          <w:szCs w:val="20"/>
          <w:color w:val="1F1F1F"/>
        </w:rPr>
        <w:t>as</w:t>
      </w:r>
      <w:r>
        <w:rPr>
          <w:rFonts w:ascii="Times New Roman" w:cs="Times New Roman" w:eastAsia="Times New Roman" w:hAnsi="Times New Roman"/>
          <w:sz w:val="20"/>
          <w:szCs w:val="20"/>
          <w:color w:val="0E0E0E"/>
        </w:rPr>
        <w:t xml:space="preserve"> d</w:t>
      </w:r>
      <w:r>
        <w:rPr>
          <w:rFonts w:ascii="Times New Roman" w:cs="Times New Roman" w:eastAsia="Times New Roman" w:hAnsi="Times New Roman"/>
          <w:sz w:val="20"/>
          <w:szCs w:val="20"/>
          <w:color w:val="1F1F1F"/>
        </w:rPr>
        <w:t>efined i</w:t>
      </w:r>
      <w:r>
        <w:rPr>
          <w:rFonts w:ascii="Times New Roman" w:cs="Times New Roman" w:eastAsia="Times New Roman" w:hAnsi="Times New Roman"/>
          <w:sz w:val="20"/>
          <w:szCs w:val="20"/>
          <w:color w:val="0E0E0E"/>
        </w:rPr>
        <w:t xml:space="preserve">n </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C</w:t>
      </w:r>
      <w:r>
        <w:rPr>
          <w:rFonts w:ascii="Times New Roman" w:cs="Times New Roman" w:eastAsia="Times New Roman" w:hAnsi="Times New Roman"/>
          <w:sz w:val="20"/>
          <w:szCs w:val="20"/>
          <w:color w:val="1F1F1F"/>
        </w:rPr>
        <w:t>om</w:t>
      </w:r>
      <w:r>
        <w:rPr>
          <w:rFonts w:ascii="Times New Roman" w:cs="Times New Roman" w:eastAsia="Times New Roman" w:hAnsi="Times New Roman"/>
          <w:sz w:val="20"/>
          <w:szCs w:val="20"/>
          <w:color w:val="0E0E0E"/>
        </w:rPr>
        <w:t>p</w:t>
      </w:r>
      <w:r>
        <w:rPr>
          <w:rFonts w:ascii="Times New Roman" w:cs="Times New Roman" w:eastAsia="Times New Roman" w:hAnsi="Times New Roman"/>
          <w:sz w:val="20"/>
          <w:szCs w:val="20"/>
          <w:color w:val="1F1F1F"/>
        </w:rPr>
        <w:t>an</w:t>
      </w:r>
      <w:r>
        <w:rPr>
          <w:rFonts w:ascii="Times New Roman" w:cs="Times New Roman" w:eastAsia="Times New Roman" w:hAnsi="Times New Roman"/>
          <w:sz w:val="20"/>
          <w:szCs w:val="20"/>
          <w:color w:val="0E0E0E"/>
        </w:rPr>
        <w:t>y</w:t>
      </w:r>
      <w:r>
        <w:rPr>
          <w:rFonts w:ascii="Times New Roman" w:cs="Times New Roman" w:eastAsia="Times New Roman" w:hAnsi="Times New Roman"/>
          <w:sz w:val="20"/>
          <w:szCs w:val="20"/>
          <w:color w:val="1F1F1F"/>
        </w:rPr>
        <w:t>'s</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E0E0E"/>
        </w:rPr>
        <w:t>2010 S</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ock I</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c</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i</w:t>
      </w:r>
      <w:r>
        <w:rPr>
          <w:rFonts w:ascii="Times New Roman" w:cs="Times New Roman" w:eastAsia="Times New Roman" w:hAnsi="Times New Roman"/>
          <w:sz w:val="20"/>
          <w:szCs w:val="20"/>
          <w:color w:val="1F1F1F"/>
        </w:rPr>
        <w:t>ve Pla</w:t>
      </w:r>
      <w:r>
        <w:rPr>
          <w:rFonts w:ascii="Times New Roman" w:cs="Times New Roman" w:eastAsia="Times New Roman" w:hAnsi="Times New Roman"/>
          <w:sz w:val="20"/>
          <w:szCs w:val="20"/>
          <w:color w:val="0E0E0E"/>
        </w:rPr>
        <w:t>n) p</w:t>
      </w:r>
      <w:r>
        <w:rPr>
          <w:rFonts w:ascii="Times New Roman" w:cs="Times New Roman" w:eastAsia="Times New Roman" w:hAnsi="Times New Roman"/>
          <w:sz w:val="20"/>
          <w:szCs w:val="20"/>
          <w:color w:val="1F1F1F"/>
        </w:rPr>
        <w:t>er</w:t>
      </w:r>
      <w:r>
        <w:rPr>
          <w:rFonts w:ascii="Times New Roman" w:cs="Times New Roman" w:eastAsia="Times New Roman" w:hAnsi="Times New Roman"/>
          <w:sz w:val="20"/>
          <w:szCs w:val="20"/>
          <w:color w:val="0E0E0E"/>
        </w:rPr>
        <w:t xml:space="preserve"> sh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re o</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E0E0E"/>
        </w:rPr>
        <w:t xml:space="preserve"> Comp</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ny common stock on the p</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yment d</w:t>
      </w:r>
      <w:r>
        <w:rPr>
          <w:rFonts w:ascii="Times New Roman" w:cs="Times New Roman" w:eastAsia="Times New Roman" w:hAnsi="Times New Roman"/>
          <w:sz w:val="20"/>
          <w:szCs w:val="20"/>
          <w:color w:val="1F1F1F"/>
        </w:rPr>
        <w:t>at</w:t>
      </w:r>
      <w:r>
        <w:rPr>
          <w:rFonts w:ascii="Times New Roman" w:cs="Times New Roman" w:eastAsia="Times New Roman" w:hAnsi="Times New Roman"/>
          <w:sz w:val="20"/>
          <w:szCs w:val="20"/>
          <w:color w:val="0E0E0E"/>
        </w:rPr>
        <w:t xml:space="preserve">e </w:t>
      </w:r>
      <w:r>
        <w:rPr>
          <w:rFonts w:ascii="Times New Roman" w:cs="Times New Roman" w:eastAsia="Times New Roman" w:hAnsi="Times New Roman"/>
          <w:sz w:val="20"/>
          <w:szCs w:val="20"/>
          <w:color w:val="1F1F1F"/>
        </w:rPr>
        <w:t>fo</w:t>
      </w:r>
      <w:r>
        <w:rPr>
          <w:rFonts w:ascii="Times New Roman" w:cs="Times New Roman" w:eastAsia="Times New Roman" w:hAnsi="Times New Roman"/>
          <w:sz w:val="20"/>
          <w:szCs w:val="20"/>
          <w:color w:val="0E0E0E"/>
        </w:rPr>
        <w:t>r</w:t>
      </w:r>
    </w:p>
    <w:p>
      <w:pPr>
        <w:spacing w:after="0" w:line="6" w:lineRule="exact"/>
        <w:rPr>
          <w:sz w:val="20"/>
          <w:szCs w:val="20"/>
          <w:color w:val="auto"/>
        </w:rPr>
      </w:pPr>
    </w:p>
    <w:p>
      <w:pPr>
        <w:jc w:val="both"/>
        <w:ind w:left="120" w:right="80" w:firstLine="9"/>
        <w:spacing w:after="0" w:line="281" w:lineRule="auto"/>
        <w:rPr>
          <w:sz w:val="20"/>
          <w:szCs w:val="20"/>
          <w:color w:val="auto"/>
        </w:rPr>
      </w:pPr>
      <w:r>
        <w:rPr>
          <w:rFonts w:ascii="Times New Roman" w:cs="Times New Roman" w:eastAsia="Times New Roman" w:hAnsi="Times New Roman"/>
          <w:sz w:val="20"/>
          <w:szCs w:val="20"/>
          <w:color w:val="0E0E0E"/>
        </w:rPr>
        <w:t>su</w:t>
      </w:r>
      <w:r>
        <w:rPr>
          <w:rFonts w:ascii="Times New Roman" w:cs="Times New Roman" w:eastAsia="Times New Roman" w:hAnsi="Times New Roman"/>
          <w:sz w:val="20"/>
          <w:szCs w:val="20"/>
          <w:color w:val="1F1F1F"/>
        </w:rPr>
        <w:t>c</w:t>
      </w:r>
      <w:r>
        <w:rPr>
          <w:rFonts w:ascii="Times New Roman" w:cs="Times New Roman" w:eastAsia="Times New Roman" w:hAnsi="Times New Roman"/>
          <w:sz w:val="20"/>
          <w:szCs w:val="20"/>
          <w:color w:val="0E0E0E"/>
        </w:rPr>
        <w:t>h divid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nd.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ny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dd</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tio</w:t>
      </w:r>
      <w:r>
        <w:rPr>
          <w:rFonts w:ascii="Times New Roman" w:cs="Times New Roman" w:eastAsia="Times New Roman" w:hAnsi="Times New Roman"/>
          <w:sz w:val="20"/>
          <w:szCs w:val="20"/>
          <w:color w:val="1F1F1F"/>
        </w:rPr>
        <w:t>nal</w:t>
      </w:r>
      <w:r>
        <w:rPr>
          <w:rFonts w:ascii="Times New Roman" w:cs="Times New Roman" w:eastAsia="Times New Roman" w:hAnsi="Times New Roman"/>
          <w:sz w:val="20"/>
          <w:szCs w:val="20"/>
          <w:color w:val="0E0E0E"/>
        </w:rPr>
        <w:t xml:space="preserve"> stock equiv</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lents covered by t</w:t>
      </w:r>
      <w:r>
        <w:rPr>
          <w:rFonts w:ascii="Times New Roman" w:cs="Times New Roman" w:eastAsia="Times New Roman" w:hAnsi="Times New Roman"/>
          <w:sz w:val="20"/>
          <w:szCs w:val="20"/>
          <w:color w:val="1F1F1F"/>
        </w:rPr>
        <w:t>h</w:t>
      </w:r>
      <w:r>
        <w:rPr>
          <w:rFonts w:ascii="Times New Roman" w:cs="Times New Roman" w:eastAsia="Times New Roman" w:hAnsi="Times New Roman"/>
          <w:sz w:val="20"/>
          <w:szCs w:val="20"/>
          <w:color w:val="0E0E0E"/>
        </w:rPr>
        <w:t xml:space="preserve">e </w:t>
      </w:r>
      <w:r>
        <w:rPr>
          <w:rFonts w:ascii="Times New Roman" w:cs="Times New Roman" w:eastAsia="Times New Roman" w:hAnsi="Times New Roman"/>
          <w:sz w:val="20"/>
          <w:szCs w:val="20"/>
          <w:color w:val="1F1F1F"/>
        </w:rPr>
        <w:t>d</w:t>
      </w:r>
      <w:r>
        <w:rPr>
          <w:rFonts w:ascii="Times New Roman" w:cs="Times New Roman" w:eastAsia="Times New Roman" w:hAnsi="Times New Roman"/>
          <w:sz w:val="20"/>
          <w:szCs w:val="20"/>
          <w:color w:val="0E0E0E"/>
        </w:rPr>
        <w:t>eferred Restr</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cted S</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ock Units credited by re</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s</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E0E0E"/>
        </w:rPr>
        <w:t>n of such d</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vid</w:t>
      </w:r>
      <w:r>
        <w:rPr>
          <w:rFonts w:ascii="Times New Roman" w:cs="Times New Roman" w:eastAsia="Times New Roman" w:hAnsi="Times New Roman"/>
          <w:sz w:val="20"/>
          <w:szCs w:val="20"/>
          <w:color w:val="1F1F1F"/>
        </w:rPr>
        <w:t>en</w:t>
      </w:r>
      <w:r>
        <w:rPr>
          <w:rFonts w:ascii="Times New Roman" w:cs="Times New Roman" w:eastAsia="Times New Roman" w:hAnsi="Times New Roman"/>
          <w:sz w:val="20"/>
          <w:szCs w:val="20"/>
          <w:color w:val="0E0E0E"/>
        </w:rPr>
        <w:t xml:space="preserve">d </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quiv</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313131"/>
        </w:rPr>
        <w:t>l</w:t>
      </w:r>
      <w:r>
        <w:rPr>
          <w:rFonts w:ascii="Times New Roman" w:cs="Times New Roman" w:eastAsia="Times New Roman" w:hAnsi="Times New Roman"/>
          <w:sz w:val="20"/>
          <w:szCs w:val="20"/>
          <w:color w:val="1F1F1F"/>
        </w:rPr>
        <w:t>ent</w:t>
      </w:r>
      <w:r>
        <w:rPr>
          <w:rFonts w:ascii="Times New Roman" w:cs="Times New Roman" w:eastAsia="Times New Roman" w:hAnsi="Times New Roman"/>
          <w:sz w:val="20"/>
          <w:szCs w:val="20"/>
          <w:color w:val="0E0E0E"/>
        </w:rPr>
        <w:t>s shall be d</w:t>
      </w:r>
      <w:r>
        <w:rPr>
          <w:rFonts w:ascii="Times New Roman" w:cs="Times New Roman" w:eastAsia="Times New Roman" w:hAnsi="Times New Roman"/>
          <w:sz w:val="20"/>
          <w:szCs w:val="20"/>
          <w:color w:val="1F1F1F"/>
        </w:rPr>
        <w:t>efe</w:t>
      </w:r>
      <w:r>
        <w:rPr>
          <w:rFonts w:ascii="Times New Roman" w:cs="Times New Roman" w:eastAsia="Times New Roman" w:hAnsi="Times New Roman"/>
          <w:sz w:val="20"/>
          <w:szCs w:val="20"/>
          <w:color w:val="0E0E0E"/>
        </w:rPr>
        <w:t>rred</w:t>
      </w:r>
      <w:r>
        <w:rPr>
          <w:rFonts w:ascii="Times New Roman" w:cs="Times New Roman" w:eastAsia="Times New Roman" w:hAnsi="Times New Roman"/>
          <w:sz w:val="20"/>
          <w:szCs w:val="20"/>
          <w:color w:val="1F1F1F"/>
        </w:rPr>
        <w:t xml:space="preserve"> a</w:t>
      </w:r>
      <w:r>
        <w:rPr>
          <w:rFonts w:ascii="Times New Roman" w:cs="Times New Roman" w:eastAsia="Times New Roman" w:hAnsi="Times New Roman"/>
          <w:sz w:val="20"/>
          <w:szCs w:val="20"/>
          <w:color w:val="0E0E0E"/>
        </w:rPr>
        <w:t>nd subj</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ct to all the terms</w:t>
      </w:r>
      <w:r>
        <w:rPr>
          <w:rFonts w:ascii="Times New Roman" w:cs="Times New Roman" w:eastAsia="Times New Roman" w:hAnsi="Times New Roman"/>
          <w:sz w:val="20"/>
          <w:szCs w:val="20"/>
          <w:color w:val="1F1F1F"/>
        </w:rPr>
        <w:t xml:space="preserve"> a</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 xml:space="preserve">d </w:t>
      </w:r>
      <w:r>
        <w:rPr>
          <w:rFonts w:ascii="Times New Roman" w:cs="Times New Roman" w:eastAsia="Times New Roman" w:hAnsi="Times New Roman"/>
          <w:sz w:val="20"/>
          <w:szCs w:val="20"/>
          <w:color w:val="0E0E0E"/>
        </w:rPr>
        <w:t>condi</w:t>
      </w:r>
      <w:r>
        <w:rPr>
          <w:rFonts w:ascii="Times New Roman" w:cs="Times New Roman" w:eastAsia="Times New Roman" w:hAnsi="Times New Roman"/>
          <w:sz w:val="20"/>
          <w:szCs w:val="20"/>
          <w:color w:val="1F1F1F"/>
        </w:rPr>
        <w:t>ti</w:t>
      </w:r>
      <w:r>
        <w:rPr>
          <w:rFonts w:ascii="Times New Roman" w:cs="Times New Roman" w:eastAsia="Times New Roman" w:hAnsi="Times New Roman"/>
          <w:sz w:val="20"/>
          <w:szCs w:val="20"/>
          <w:color w:val="0E0E0E"/>
        </w:rPr>
        <w:t>ons o</w:t>
      </w:r>
      <w:r>
        <w:rPr>
          <w:rFonts w:ascii="Times New Roman" w:cs="Times New Roman" w:eastAsia="Times New Roman" w:hAnsi="Times New Roman"/>
          <w:sz w:val="20"/>
          <w:szCs w:val="20"/>
          <w:color w:val="1F1F1F"/>
        </w:rPr>
        <w:t xml:space="preserve">f </w:t>
      </w:r>
      <w:r>
        <w:rPr>
          <w:rFonts w:ascii="Times New Roman" w:cs="Times New Roman" w:eastAsia="Times New Roman" w:hAnsi="Times New Roman"/>
          <w:sz w:val="20"/>
          <w:szCs w:val="20"/>
          <w:color w:val="0E0E0E"/>
        </w:rPr>
        <w:t>this P</w:t>
      </w:r>
      <w:r>
        <w:rPr>
          <w:rFonts w:ascii="Times New Roman" w:cs="Times New Roman" w:eastAsia="Times New Roman" w:hAnsi="Times New Roman"/>
          <w:sz w:val="20"/>
          <w:szCs w:val="20"/>
          <w:color w:val="313131"/>
        </w:rPr>
        <w:t>l</w:t>
      </w:r>
      <w:r>
        <w:rPr>
          <w:rFonts w:ascii="Times New Roman" w:cs="Times New Roman" w:eastAsia="Times New Roman" w:hAnsi="Times New Roman"/>
          <w:sz w:val="20"/>
          <w:szCs w:val="20"/>
          <w:color w:val="0E0E0E"/>
        </w:rPr>
        <w:t>an.</w:t>
      </w:r>
    </w:p>
    <w:p>
      <w:pPr>
        <w:spacing w:after="0" w:line="198" w:lineRule="exact"/>
        <w:rPr>
          <w:sz w:val="20"/>
          <w:szCs w:val="20"/>
          <w:color w:val="auto"/>
        </w:rPr>
      </w:pPr>
    </w:p>
    <w:p>
      <w:pPr>
        <w:jc w:val="both"/>
        <w:ind w:left="100" w:right="80" w:firstLine="665"/>
        <w:spacing w:after="0" w:line="263" w:lineRule="auto"/>
        <w:rPr>
          <w:sz w:val="20"/>
          <w:szCs w:val="20"/>
          <w:color w:val="auto"/>
        </w:rPr>
      </w:pPr>
      <w:r>
        <w:rPr>
          <w:rFonts w:ascii="Times New Roman" w:cs="Times New Roman" w:eastAsia="Times New Roman" w:hAnsi="Times New Roman"/>
          <w:sz w:val="20"/>
          <w:szCs w:val="20"/>
          <w:b w:val="1"/>
          <w:bCs w:val="1"/>
          <w:color w:val="0E0E0E"/>
        </w:rPr>
        <w:t xml:space="preserve">6.4 </w:t>
      </w:r>
      <w:r>
        <w:rPr>
          <w:rFonts w:ascii="Times New Roman" w:cs="Times New Roman" w:eastAsia="Times New Roman" w:hAnsi="Times New Roman"/>
          <w:sz w:val="20"/>
          <w:szCs w:val="20"/>
          <w:color w:val="0E0E0E"/>
        </w:rPr>
        <w:t>In the eve</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t o</w:t>
      </w:r>
      <w:r>
        <w:rPr>
          <w:rFonts w:ascii="Times New Roman" w:cs="Times New Roman" w:eastAsia="Times New Roman" w:hAnsi="Times New Roman"/>
          <w:sz w:val="20"/>
          <w:szCs w:val="20"/>
          <w:color w:val="313131"/>
        </w:rPr>
        <w:t>f</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ny</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tock</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1F1F1F"/>
        </w:rPr>
        <w:t>d</w:t>
      </w:r>
      <w:r>
        <w:rPr>
          <w:rFonts w:ascii="Times New Roman" w:cs="Times New Roman" w:eastAsia="Times New Roman" w:hAnsi="Times New Roman"/>
          <w:sz w:val="20"/>
          <w:szCs w:val="20"/>
          <w:color w:val="0E0E0E"/>
        </w:rPr>
        <w:t>ivid</w:t>
      </w:r>
      <w:r>
        <w:rPr>
          <w:rFonts w:ascii="Times New Roman" w:cs="Times New Roman" w:eastAsia="Times New Roman" w:hAnsi="Times New Roman"/>
          <w:sz w:val="20"/>
          <w:szCs w:val="20"/>
          <w:color w:val="1F1F1F"/>
        </w:rPr>
        <w:t>en</w:t>
      </w:r>
      <w:r>
        <w:rPr>
          <w:rFonts w:ascii="Times New Roman" w:cs="Times New Roman" w:eastAsia="Times New Roman" w:hAnsi="Times New Roman"/>
          <w:sz w:val="20"/>
          <w:szCs w:val="20"/>
          <w:color w:val="0E0E0E"/>
        </w:rPr>
        <w:t>d</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sto</w:t>
      </w:r>
      <w:r>
        <w:rPr>
          <w:rFonts w:ascii="Times New Roman" w:cs="Times New Roman" w:eastAsia="Times New Roman" w:hAnsi="Times New Roman"/>
          <w:sz w:val="20"/>
          <w:szCs w:val="20"/>
          <w:color w:val="1F1F1F"/>
        </w:rPr>
        <w:t>ck</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sp</w:t>
      </w:r>
      <w:r>
        <w:rPr>
          <w:rFonts w:ascii="Times New Roman" w:cs="Times New Roman" w:eastAsia="Times New Roman" w:hAnsi="Times New Roman"/>
          <w:sz w:val="20"/>
          <w:szCs w:val="20"/>
          <w:color w:val="1F1F1F"/>
        </w:rPr>
        <w:t>li</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 re</w:t>
      </w:r>
      <w:r>
        <w:rPr>
          <w:rFonts w:ascii="Times New Roman" w:cs="Times New Roman" w:eastAsia="Times New Roman" w:hAnsi="Times New Roman"/>
          <w:sz w:val="20"/>
          <w:szCs w:val="20"/>
          <w:color w:val="0E0E0E"/>
        </w:rPr>
        <w:t>v</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rs</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st</w:t>
      </w:r>
      <w:r>
        <w:rPr>
          <w:rFonts w:ascii="Times New Roman" w:cs="Times New Roman" w:eastAsia="Times New Roman" w:hAnsi="Times New Roman"/>
          <w:sz w:val="20"/>
          <w:szCs w:val="20"/>
          <w:color w:val="1F1F1F"/>
        </w:rPr>
        <w:t>ock</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spl</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 re</w:t>
      </w:r>
      <w:r>
        <w:rPr>
          <w:rFonts w:ascii="Times New Roman" w:cs="Times New Roman" w:eastAsia="Times New Roman" w:hAnsi="Times New Roman"/>
          <w:sz w:val="20"/>
          <w:szCs w:val="20"/>
          <w:color w:val="0E0E0E"/>
        </w:rPr>
        <w:t>c</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p</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li</w:t>
      </w:r>
      <w:r>
        <w:rPr>
          <w:rFonts w:ascii="Times New Roman" w:cs="Times New Roman" w:eastAsia="Times New Roman" w:hAnsi="Times New Roman"/>
          <w:sz w:val="20"/>
          <w:szCs w:val="20"/>
          <w:color w:val="1F1F1F"/>
        </w:rPr>
        <w:t>za</w:t>
      </w:r>
      <w:r>
        <w:rPr>
          <w:rFonts w:ascii="Times New Roman" w:cs="Times New Roman" w:eastAsia="Times New Roman" w:hAnsi="Times New Roman"/>
          <w:sz w:val="20"/>
          <w:szCs w:val="20"/>
          <w:color w:val="0E0E0E"/>
        </w:rPr>
        <w:t>ti</w:t>
      </w:r>
      <w:r>
        <w:rPr>
          <w:rFonts w:ascii="Times New Roman" w:cs="Times New Roman" w:eastAsia="Times New Roman" w:hAnsi="Times New Roman"/>
          <w:sz w:val="20"/>
          <w:szCs w:val="20"/>
          <w:color w:val="1F1F1F"/>
        </w:rPr>
        <w:t>on</w:t>
      </w:r>
      <w:r>
        <w:rPr>
          <w:rFonts w:ascii="Times New Roman" w:cs="Times New Roman" w:eastAsia="Times New Roman" w:hAnsi="Times New Roman"/>
          <w:sz w:val="20"/>
          <w:szCs w:val="20"/>
          <w:color w:val="0E0E0E"/>
        </w:rPr>
        <w:t>, m</w:t>
      </w:r>
      <w:r>
        <w:rPr>
          <w:rFonts w:ascii="Times New Roman" w:cs="Times New Roman" w:eastAsia="Times New Roman" w:hAnsi="Times New Roman"/>
          <w:sz w:val="20"/>
          <w:szCs w:val="20"/>
          <w:color w:val="1F1F1F"/>
        </w:rPr>
        <w:t>erger,</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c</w:t>
      </w:r>
      <w:r>
        <w:rPr>
          <w:rFonts w:ascii="Times New Roman" w:cs="Times New Roman" w:eastAsia="Times New Roman" w:hAnsi="Times New Roman"/>
          <w:sz w:val="20"/>
          <w:szCs w:val="20"/>
          <w:color w:val="1F1F1F"/>
        </w:rPr>
        <w:t>om</w:t>
      </w:r>
      <w:r>
        <w:rPr>
          <w:rFonts w:ascii="Times New Roman" w:cs="Times New Roman" w:eastAsia="Times New Roman" w:hAnsi="Times New Roman"/>
          <w:sz w:val="20"/>
          <w:szCs w:val="20"/>
          <w:color w:val="0E0E0E"/>
        </w:rPr>
        <w:t>b</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tio</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e</w:t>
      </w:r>
      <w:r>
        <w:rPr>
          <w:rFonts w:ascii="Times New Roman" w:cs="Times New Roman" w:eastAsia="Times New Roman" w:hAnsi="Times New Roman"/>
          <w:sz w:val="20"/>
          <w:szCs w:val="20"/>
          <w:color w:val="1F1F1F"/>
        </w:rPr>
        <w:t>x</w:t>
      </w:r>
      <w:r>
        <w:rPr>
          <w:rFonts w:ascii="Times New Roman" w:cs="Times New Roman" w:eastAsia="Times New Roman" w:hAnsi="Times New Roman"/>
          <w:sz w:val="20"/>
          <w:szCs w:val="20"/>
          <w:color w:val="0E0E0E"/>
        </w:rPr>
        <w:t>ch</w:t>
      </w:r>
      <w:r>
        <w:rPr>
          <w:rFonts w:ascii="Times New Roman" w:cs="Times New Roman" w:eastAsia="Times New Roman" w:hAnsi="Times New Roman"/>
          <w:sz w:val="20"/>
          <w:szCs w:val="20"/>
          <w:color w:val="1F1F1F"/>
        </w:rPr>
        <w:t>ange</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o</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sh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res</w:t>
      </w:r>
      <w:r>
        <w:rPr>
          <w:rFonts w:ascii="Times New Roman" w:cs="Times New Roman" w:eastAsia="Times New Roman" w:hAnsi="Times New Roman"/>
          <w:sz w:val="20"/>
          <w:szCs w:val="20"/>
          <w:color w:val="313131"/>
        </w:rPr>
        <w:t>,</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recl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ssi</w:t>
      </w:r>
      <w:r>
        <w:rPr>
          <w:rFonts w:ascii="Times New Roman" w:cs="Times New Roman" w:eastAsia="Times New Roman" w:hAnsi="Times New Roman"/>
          <w:sz w:val="20"/>
          <w:szCs w:val="20"/>
          <w:color w:val="1F1F1F"/>
        </w:rPr>
        <w:t>fi</w:t>
      </w:r>
      <w:r>
        <w:rPr>
          <w:rFonts w:ascii="Times New Roman" w:cs="Times New Roman" w:eastAsia="Times New Roman" w:hAnsi="Times New Roman"/>
          <w:sz w:val="20"/>
          <w:szCs w:val="20"/>
          <w:color w:val="0E0E0E"/>
        </w:rPr>
        <w:t>c</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tion or simil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r ch</w:t>
      </w:r>
      <w:r>
        <w:rPr>
          <w:rFonts w:ascii="Times New Roman" w:cs="Times New Roman" w:eastAsia="Times New Roman" w:hAnsi="Times New Roman"/>
          <w:sz w:val="20"/>
          <w:szCs w:val="20"/>
          <w:color w:val="1F1F1F"/>
        </w:rPr>
        <w:t>an</w:t>
      </w:r>
      <w:r>
        <w:rPr>
          <w:rFonts w:ascii="Times New Roman" w:cs="Times New Roman" w:eastAsia="Times New Roman" w:hAnsi="Times New Roman"/>
          <w:sz w:val="20"/>
          <w:szCs w:val="20"/>
          <w:color w:val="0E0E0E"/>
        </w:rPr>
        <w:t>g</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i</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 xml:space="preserve">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c</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p</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 xml:space="preserve">tal structure </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E0E0E"/>
        </w:rPr>
        <w:t>f the C</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E0E0E"/>
        </w:rPr>
        <w:t>mp</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ny</w:t>
      </w:r>
      <w:r>
        <w:rPr>
          <w:rFonts w:ascii="Times New Roman" w:cs="Times New Roman" w:eastAsia="Times New Roman" w:hAnsi="Times New Roman"/>
          <w:sz w:val="20"/>
          <w:szCs w:val="20"/>
          <w:color w:val="1F1F1F"/>
        </w:rPr>
        <w:t>, a</w:t>
      </w:r>
      <w:r>
        <w:rPr>
          <w:rFonts w:ascii="Times New Roman" w:cs="Times New Roman" w:eastAsia="Times New Roman" w:hAnsi="Times New Roman"/>
          <w:sz w:val="20"/>
          <w:szCs w:val="20"/>
          <w:color w:val="0E0E0E"/>
        </w:rPr>
        <w:t>pprop</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iat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adjustments </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hall b</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mad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in the number and cl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ss of </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re</w:t>
      </w:r>
      <w:r>
        <w:rPr>
          <w:rFonts w:ascii="Times New Roman" w:cs="Times New Roman" w:eastAsia="Times New Roman" w:hAnsi="Times New Roman"/>
          <w:sz w:val="20"/>
          <w:szCs w:val="20"/>
          <w:color w:val="1F1F1F"/>
        </w:rPr>
        <w:t xml:space="preserve"> e</w:t>
      </w:r>
      <w:r>
        <w:rPr>
          <w:rFonts w:ascii="Times New Roman" w:cs="Times New Roman" w:eastAsia="Times New Roman" w:hAnsi="Times New Roman"/>
          <w:sz w:val="20"/>
          <w:szCs w:val="20"/>
          <w:color w:val="0E0E0E"/>
        </w:rPr>
        <w:t>quiv</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l</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nts subj</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w:t>
      </w:r>
      <w:r>
        <w:rPr>
          <w:rFonts w:ascii="Times New Roman" w:cs="Times New Roman" w:eastAsia="Times New Roman" w:hAnsi="Times New Roman"/>
          <w:sz w:val="20"/>
          <w:szCs w:val="20"/>
          <w:color w:val="1F1F1F"/>
        </w:rPr>
        <w:t xml:space="preserve">t </w:t>
      </w:r>
      <w:r>
        <w:rPr>
          <w:rFonts w:ascii="Times New Roman" w:cs="Times New Roman" w:eastAsia="Times New Roman" w:hAnsi="Times New Roman"/>
          <w:sz w:val="20"/>
          <w:szCs w:val="20"/>
          <w:color w:val="0E0E0E"/>
        </w:rPr>
        <w:t>to t</w:t>
      </w:r>
      <w:r>
        <w:rPr>
          <w:rFonts w:ascii="Times New Roman" w:cs="Times New Roman" w:eastAsia="Times New Roman" w:hAnsi="Times New Roman"/>
          <w:sz w:val="20"/>
          <w:szCs w:val="20"/>
          <w:color w:val="1F1F1F"/>
        </w:rPr>
        <w:t xml:space="preserve">he </w:t>
      </w:r>
      <w:r>
        <w:rPr>
          <w:rFonts w:ascii="Times New Roman" w:cs="Times New Roman" w:eastAsia="Times New Roman" w:hAnsi="Times New Roman"/>
          <w:sz w:val="20"/>
          <w:szCs w:val="20"/>
          <w:color w:val="0E0E0E"/>
        </w:rPr>
        <w:t>d</w:t>
      </w:r>
      <w:r>
        <w:rPr>
          <w:rFonts w:ascii="Times New Roman" w:cs="Times New Roman" w:eastAsia="Times New Roman" w:hAnsi="Times New Roman"/>
          <w:sz w:val="20"/>
          <w:szCs w:val="20"/>
          <w:color w:val="1F1F1F"/>
        </w:rPr>
        <w:t>eferre</w:t>
      </w:r>
      <w:r>
        <w:rPr>
          <w:rFonts w:ascii="Times New Roman" w:cs="Times New Roman" w:eastAsia="Times New Roman" w:hAnsi="Times New Roman"/>
          <w:sz w:val="20"/>
          <w:szCs w:val="20"/>
          <w:color w:val="0E0E0E"/>
        </w:rPr>
        <w:t>d R</w:t>
      </w:r>
      <w:r>
        <w:rPr>
          <w:rFonts w:ascii="Times New Roman" w:cs="Times New Roman" w:eastAsia="Times New Roman" w:hAnsi="Times New Roman"/>
          <w:sz w:val="20"/>
          <w:szCs w:val="20"/>
          <w:color w:val="1F1F1F"/>
        </w:rPr>
        <w:t>es</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ri</w:t>
      </w:r>
      <w:r>
        <w:rPr>
          <w:rFonts w:ascii="Times New Roman" w:cs="Times New Roman" w:eastAsia="Times New Roman" w:hAnsi="Times New Roman"/>
          <w:sz w:val="20"/>
          <w:szCs w:val="20"/>
          <w:color w:val="0E0E0E"/>
        </w:rPr>
        <w:t>ct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d Stock U</w:t>
      </w:r>
      <w:r>
        <w:rPr>
          <w:rFonts w:ascii="Times New Roman" w:cs="Times New Roman" w:eastAsia="Times New Roman" w:hAnsi="Times New Roman"/>
          <w:sz w:val="20"/>
          <w:szCs w:val="20"/>
          <w:color w:val="1F1F1F"/>
        </w:rPr>
        <w:t>ni</w:t>
      </w:r>
      <w:r>
        <w:rPr>
          <w:rFonts w:ascii="Times New Roman" w:cs="Times New Roman" w:eastAsia="Times New Roman" w:hAnsi="Times New Roman"/>
          <w:sz w:val="20"/>
          <w:szCs w:val="20"/>
          <w:color w:val="0E0E0E"/>
        </w:rPr>
        <w:t>t awards.</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1"/>
          <w:szCs w:val="21"/>
          <w:color w:val="1F1F1F"/>
        </w:rPr>
        <w:t>If</w:t>
      </w:r>
      <w:r>
        <w:rPr>
          <w:rFonts w:ascii="Times New Roman" w:cs="Times New Roman" w:eastAsia="Times New Roman" w:hAnsi="Times New Roman"/>
          <w:sz w:val="20"/>
          <w:szCs w:val="20"/>
          <w:color w:val="1F1F1F"/>
        </w:rPr>
        <w:t xml:space="preserve"> a </w:t>
      </w:r>
      <w:r>
        <w:rPr>
          <w:rFonts w:ascii="Times New Roman" w:cs="Times New Roman" w:eastAsia="Times New Roman" w:hAnsi="Times New Roman"/>
          <w:sz w:val="20"/>
          <w:szCs w:val="20"/>
          <w:color w:val="0E0E0E"/>
        </w:rPr>
        <w:t>m</w:t>
      </w:r>
      <w:r>
        <w:rPr>
          <w:rFonts w:ascii="Times New Roman" w:cs="Times New Roman" w:eastAsia="Times New Roman" w:hAnsi="Times New Roman"/>
          <w:sz w:val="20"/>
          <w:szCs w:val="20"/>
          <w:color w:val="1F1F1F"/>
        </w:rPr>
        <w:t>aj</w:t>
      </w:r>
      <w:r>
        <w:rPr>
          <w:rFonts w:ascii="Times New Roman" w:cs="Times New Roman" w:eastAsia="Times New Roman" w:hAnsi="Times New Roman"/>
          <w:sz w:val="20"/>
          <w:szCs w:val="20"/>
          <w:color w:val="0E0E0E"/>
        </w:rPr>
        <w:t>ority o</w:t>
      </w:r>
      <w:r>
        <w:rPr>
          <w:rFonts w:ascii="Times New Roman" w:cs="Times New Roman" w:eastAsia="Times New Roman" w:hAnsi="Times New Roman"/>
          <w:sz w:val="20"/>
          <w:szCs w:val="20"/>
          <w:color w:val="1F1F1F"/>
        </w:rPr>
        <w:t xml:space="preserve">f </w:t>
      </w:r>
      <w:r>
        <w:rPr>
          <w:rFonts w:ascii="Times New Roman" w:cs="Times New Roman" w:eastAsia="Times New Roman" w:hAnsi="Times New Roman"/>
          <w:sz w:val="20"/>
          <w:szCs w:val="20"/>
          <w:color w:val="0E0E0E"/>
        </w:rPr>
        <w:t>th</w:t>
      </w:r>
      <w:r>
        <w:rPr>
          <w:rFonts w:ascii="Times New Roman" w:cs="Times New Roman" w:eastAsia="Times New Roman" w:hAnsi="Times New Roman"/>
          <w:sz w:val="20"/>
          <w:szCs w:val="20"/>
          <w:color w:val="1F1F1F"/>
        </w:rPr>
        <w:t xml:space="preserve">e </w:t>
      </w:r>
      <w:r>
        <w:rPr>
          <w:rFonts w:ascii="Times New Roman" w:cs="Times New Roman" w:eastAsia="Times New Roman" w:hAnsi="Times New Roman"/>
          <w:sz w:val="20"/>
          <w:szCs w:val="20"/>
          <w:color w:val="0E0E0E"/>
        </w:rPr>
        <w:t>sh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s which are o</w:t>
      </w:r>
      <w:r>
        <w:rPr>
          <w:rFonts w:ascii="Times New Roman" w:cs="Times New Roman" w:eastAsia="Times New Roman" w:hAnsi="Times New Roman"/>
          <w:sz w:val="20"/>
          <w:szCs w:val="20"/>
          <w:color w:val="1F1F1F"/>
        </w:rPr>
        <w:t xml:space="preserve">f </w:t>
      </w:r>
      <w:r>
        <w:rPr>
          <w:rFonts w:ascii="Times New Roman" w:cs="Times New Roman" w:eastAsia="Times New Roman" w:hAnsi="Times New Roman"/>
          <w:sz w:val="20"/>
          <w:szCs w:val="20"/>
          <w:color w:val="0E0E0E"/>
        </w:rPr>
        <w:t>the</w:t>
      </w:r>
      <w:r>
        <w:rPr>
          <w:rFonts w:ascii="Times New Roman" w:cs="Times New Roman" w:eastAsia="Times New Roman" w:hAnsi="Times New Roman"/>
          <w:sz w:val="20"/>
          <w:szCs w:val="20"/>
          <w:color w:val="1F1F1F"/>
        </w:rPr>
        <w:t xml:space="preserve"> sa</w:t>
      </w:r>
      <w:r>
        <w:rPr>
          <w:rFonts w:ascii="Times New Roman" w:cs="Times New Roman" w:eastAsia="Times New Roman" w:hAnsi="Times New Roman"/>
          <w:sz w:val="20"/>
          <w:szCs w:val="20"/>
          <w:color w:val="0E0E0E"/>
        </w:rPr>
        <w:t>me cl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ss as the shares</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0E0E0E"/>
        </w:rPr>
        <w:t>the underlie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sh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r</w:t>
      </w:r>
      <w:r>
        <w:rPr>
          <w:rFonts w:ascii="Times New Roman" w:cs="Times New Roman" w:eastAsia="Times New Roman" w:hAnsi="Times New Roman"/>
          <w:sz w:val="20"/>
          <w:szCs w:val="20"/>
          <w:color w:val="1F1F1F"/>
        </w:rPr>
        <w:t>e e</w:t>
      </w:r>
      <w:r>
        <w:rPr>
          <w:rFonts w:ascii="Times New Roman" w:cs="Times New Roman" w:eastAsia="Times New Roman" w:hAnsi="Times New Roman"/>
          <w:sz w:val="20"/>
          <w:szCs w:val="20"/>
          <w:color w:val="0E0E0E"/>
        </w:rPr>
        <w:t>quival</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nts subj</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ct to deferred Restricted Stock Un</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t awa</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 xml:space="preserve">ds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re </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xcha</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g</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d </w:t>
      </w:r>
      <w:r>
        <w:rPr>
          <w:rFonts w:ascii="Times New Roman" w:cs="Times New Roman" w:eastAsia="Times New Roman" w:hAnsi="Times New Roman"/>
          <w:sz w:val="20"/>
          <w:szCs w:val="20"/>
          <w:color w:val="1F1F1F"/>
        </w:rPr>
        <w:t>for</w:t>
      </w:r>
      <w:r>
        <w:rPr>
          <w:rFonts w:ascii="Times New Roman" w:cs="Times New Roman" w:eastAsia="Times New Roman" w:hAnsi="Times New Roman"/>
          <w:sz w:val="20"/>
          <w:szCs w:val="20"/>
          <w:color w:val="0E0E0E"/>
        </w:rPr>
        <w:t>, converted into, or othe</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wise b</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come shar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s o</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E0E0E"/>
        </w:rPr>
        <w:t xml:space="preserve"> anot</w:t>
      </w:r>
      <w:r>
        <w:rPr>
          <w:rFonts w:ascii="Times New Roman" w:cs="Times New Roman" w:eastAsia="Times New Roman" w:hAnsi="Times New Roman"/>
          <w:sz w:val="20"/>
          <w:szCs w:val="20"/>
          <w:color w:val="1F1F1F"/>
        </w:rPr>
        <w:t>h</w:t>
      </w:r>
      <w:r>
        <w:rPr>
          <w:rFonts w:ascii="Times New Roman" w:cs="Times New Roman" w:eastAsia="Times New Roman" w:hAnsi="Times New Roman"/>
          <w:sz w:val="20"/>
          <w:szCs w:val="20"/>
          <w:color w:val="0E0E0E"/>
        </w:rPr>
        <w:t>er corporatio</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 xml:space="preserve"> (the "New Shares</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 the Compensation Committee may unilaterally amend the deferred awa</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ds to provid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that shares that underlie the share equiva</w:t>
      </w:r>
      <w:r>
        <w:rPr>
          <w:rFonts w:ascii="Times New Roman" w:cs="Times New Roman" w:eastAsia="Times New Roman" w:hAnsi="Times New Roman"/>
          <w:sz w:val="20"/>
          <w:szCs w:val="20"/>
          <w:color w:val="1F1F1F"/>
        </w:rPr>
        <w:t>l</w:t>
      </w:r>
      <w:r>
        <w:rPr>
          <w:rFonts w:ascii="Times New Roman" w:cs="Times New Roman" w:eastAsia="Times New Roman" w:hAnsi="Times New Roman"/>
          <w:sz w:val="20"/>
          <w:szCs w:val="20"/>
          <w:color w:val="0E0E0E"/>
        </w:rPr>
        <w:t>ents subject to such deferred awards are New Shares. In the event of any such amendment, the number of share equivalents subject to deferred awards shall be adjusted in a fair and equitable manner as determined by the Compensation Committee, in its discretion. Notwithstanding the foregoing, any fractional share equivalents resulting from an adjustment pursuant to this Section 6.4 shall be rounded down to the nearest whole share equivalent. The adjustments determined by the Compensation Committee pursuant to this Section 6.4 shall be final, binding and conclusive.</w:t>
      </w:r>
    </w:p>
    <w:p>
      <w:pPr>
        <w:spacing w:after="0" w:line="221" w:lineRule="exact"/>
        <w:rPr>
          <w:sz w:val="20"/>
          <w:szCs w:val="20"/>
          <w:color w:val="auto"/>
        </w:rPr>
      </w:pPr>
    </w:p>
    <w:p>
      <w:pPr>
        <w:ind w:left="100" w:right="100" w:firstLine="648"/>
        <w:spacing w:after="0" w:line="287" w:lineRule="auto"/>
        <w:rPr>
          <w:sz w:val="20"/>
          <w:szCs w:val="20"/>
          <w:color w:val="auto"/>
        </w:rPr>
      </w:pPr>
      <w:r>
        <w:rPr>
          <w:rFonts w:ascii="Times New Roman" w:cs="Times New Roman" w:eastAsia="Times New Roman" w:hAnsi="Times New Roman"/>
          <w:sz w:val="20"/>
          <w:szCs w:val="20"/>
          <w:b w:val="1"/>
          <w:bCs w:val="1"/>
          <w:color w:val="0E0E0E"/>
        </w:rPr>
        <w:t xml:space="preserve">6.5 Account Statements. </w:t>
      </w:r>
      <w:r>
        <w:rPr>
          <w:rFonts w:ascii="Times New Roman" w:cs="Times New Roman" w:eastAsia="Times New Roman" w:hAnsi="Times New Roman"/>
          <w:sz w:val="20"/>
          <w:szCs w:val="20"/>
          <w:color w:val="0E0E0E"/>
        </w:rPr>
        <w:t>After the close of each calendar year, or more frequently as the Administrator, in its sole discretion,</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determines, the Company shall furnish each Participant with a statement of the value of his or her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070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7"/>
          <w:szCs w:val="17"/>
          <w:color w:val="151515"/>
        </w:rPr>
        <w:t>Page 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200"/>
          </w:cols>
          <w:pgMar w:left="340" w:top="1440" w:right="359" w:bottom="1440" w:gutter="0" w:footer="0" w:header="0"/>
        </w:sectPr>
      </w:pPr>
    </w:p>
    <w:bookmarkStart w:id="171" w:name="page172"/>
    <w:bookmarkEnd w:id="171"/>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70707"/>
        </w:rPr>
        <w:t>ARTICLE VII. VESTING</w:t>
      </w:r>
    </w:p>
    <w:p>
      <w:pPr>
        <w:spacing w:after="0" w:line="260" w:lineRule="exact"/>
        <w:rPr>
          <w:sz w:val="20"/>
          <w:szCs w:val="20"/>
          <w:color w:val="auto"/>
        </w:rPr>
      </w:pPr>
    </w:p>
    <w:p>
      <w:pPr>
        <w:jc w:val="both"/>
        <w:ind w:left="160" w:right="100" w:firstLine="1287"/>
        <w:spacing w:after="0" w:line="268" w:lineRule="auto"/>
        <w:rPr>
          <w:sz w:val="20"/>
          <w:szCs w:val="20"/>
          <w:color w:val="auto"/>
        </w:rPr>
      </w:pPr>
      <w:r>
        <w:rPr>
          <w:rFonts w:ascii="Times New Roman" w:cs="Times New Roman" w:eastAsia="Times New Roman" w:hAnsi="Times New Roman"/>
          <w:sz w:val="20"/>
          <w:szCs w:val="20"/>
          <w:color w:val="070707"/>
        </w:rPr>
        <w:t xml:space="preserve">Except as provided below, a Participant shall be fully vested in his or her Account at all times, subject only to the Participant's status as a general unsecured creditor of the Company in the event of its insolvency or bankruptcy. </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ffective with r</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spect to match</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ng contribut</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 xml:space="preserve">ons made on or </w:t>
      </w:r>
      <w:r>
        <w:rPr>
          <w:rFonts w:ascii="Times New Roman" w:cs="Times New Roman" w:eastAsia="Times New Roman" w:hAnsi="Times New Roman"/>
          <w:sz w:val="20"/>
          <w:szCs w:val="20"/>
          <w:color w:val="171717"/>
        </w:rPr>
        <w:t>aft</w:t>
      </w:r>
      <w:r>
        <w:rPr>
          <w:rFonts w:ascii="Times New Roman" w:cs="Times New Roman" w:eastAsia="Times New Roman" w:hAnsi="Times New Roman"/>
          <w:sz w:val="20"/>
          <w:szCs w:val="20"/>
          <w:color w:val="070707"/>
        </w:rPr>
        <w:t xml:space="preserve">er January 1, 2012 and </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n acco</w:t>
      </w:r>
      <w:r>
        <w:rPr>
          <w:rFonts w:ascii="Times New Roman" w:cs="Times New Roman" w:eastAsia="Times New Roman" w:hAnsi="Times New Roman"/>
          <w:sz w:val="20"/>
          <w:szCs w:val="20"/>
          <w:color w:val="171717"/>
        </w:rPr>
        <w:t>r</w:t>
      </w:r>
      <w:r>
        <w:rPr>
          <w:rFonts w:ascii="Times New Roman" w:cs="Times New Roman" w:eastAsia="Times New Roman" w:hAnsi="Times New Roman"/>
          <w:sz w:val="20"/>
          <w:szCs w:val="20"/>
          <w:color w:val="070707"/>
        </w:rPr>
        <w:t>dance with S</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ction 5.1 above, an </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mployee-Pa</w:t>
      </w:r>
      <w:r>
        <w:rPr>
          <w:rFonts w:ascii="Times New Roman" w:cs="Times New Roman" w:eastAsia="Times New Roman" w:hAnsi="Times New Roman"/>
          <w:sz w:val="20"/>
          <w:szCs w:val="20"/>
          <w:color w:val="171717"/>
        </w:rPr>
        <w:t>r</w:t>
      </w:r>
      <w:r>
        <w:rPr>
          <w:rFonts w:ascii="Times New Roman" w:cs="Times New Roman" w:eastAsia="Times New Roman" w:hAnsi="Times New Roman"/>
          <w:sz w:val="20"/>
          <w:szCs w:val="20"/>
          <w:color w:val="070707"/>
        </w:rPr>
        <w:t>tic</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p</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 xml:space="preserve"> sha</w:t>
      </w:r>
      <w:r>
        <w:rPr>
          <w:rFonts w:ascii="Times New Roman" w:cs="Times New Roman" w:eastAsia="Times New Roman" w:hAnsi="Times New Roman"/>
          <w:sz w:val="20"/>
          <w:szCs w:val="20"/>
          <w:color w:val="171717"/>
        </w:rPr>
        <w:t>ll</w:t>
      </w:r>
      <w:r>
        <w:rPr>
          <w:rFonts w:ascii="Times New Roman" w:cs="Times New Roman" w:eastAsia="Times New Roman" w:hAnsi="Times New Roman"/>
          <w:sz w:val="20"/>
          <w:szCs w:val="20"/>
          <w:color w:val="070707"/>
        </w:rPr>
        <w:t xml:space="preserve"> ve</w:t>
      </w:r>
      <w:r>
        <w:rPr>
          <w:rFonts w:ascii="Times New Roman" w:cs="Times New Roman" w:eastAsia="Times New Roman" w:hAnsi="Times New Roman"/>
          <w:sz w:val="20"/>
          <w:szCs w:val="20"/>
          <w:color w:val="171717"/>
        </w:rPr>
        <w:t>s</w:t>
      </w:r>
      <w:r>
        <w:rPr>
          <w:rFonts w:ascii="Times New Roman" w:cs="Times New Roman" w:eastAsia="Times New Roman" w:hAnsi="Times New Roman"/>
          <w:sz w:val="20"/>
          <w:szCs w:val="20"/>
          <w:color w:val="070707"/>
        </w:rPr>
        <w:t>t in such m</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tching contribut</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 xml:space="preserve">ons in </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ccord</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nc</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 with </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 following schedul</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Years of Service</w:t>
            </w:r>
          </w:p>
        </w:tc>
        <w:tc>
          <w:tcPr>
            <w:tcW w:w="5720" w:type="dxa"/>
            <w:vAlign w:val="bottom"/>
            <w:tcBorders>
              <w:top w:val="single" w:sz="8" w:color="auto"/>
              <w:bottom w:val="single" w:sz="8" w:color="auto"/>
              <w:right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Percent Vested</w:t>
            </w:r>
          </w:p>
        </w:tc>
      </w:tr>
      <w:tr>
        <w:trPr>
          <w:trHeight w:val="223"/>
        </w:trPr>
        <w:tc>
          <w:tcPr>
            <w:tcW w:w="5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Less than one</w:t>
            </w:r>
          </w:p>
        </w:tc>
        <w:tc>
          <w:tcPr>
            <w:tcW w:w="5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23"/>
        </w:trPr>
        <w:tc>
          <w:tcPr>
            <w:tcW w:w="5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At least one and less than two</w:t>
            </w:r>
          </w:p>
        </w:tc>
        <w:tc>
          <w:tcPr>
            <w:tcW w:w="5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5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At least two and less than three</w:t>
            </w:r>
          </w:p>
        </w:tc>
        <w:tc>
          <w:tcPr>
            <w:tcW w:w="5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5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At least three</w:t>
            </w:r>
          </w:p>
        </w:tc>
        <w:tc>
          <w:tcPr>
            <w:tcW w:w="5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70707"/>
        </w:rPr>
        <w:t>ART</w:t>
      </w:r>
      <w:r>
        <w:rPr>
          <w:rFonts w:ascii="Times New Roman" w:cs="Times New Roman" w:eastAsia="Times New Roman" w:hAnsi="Times New Roman"/>
          <w:sz w:val="20"/>
          <w:szCs w:val="20"/>
          <w:b w:val="1"/>
          <w:bCs w:val="1"/>
          <w:color w:val="171717"/>
        </w:rPr>
        <w:t>I</w:t>
      </w:r>
      <w:r>
        <w:rPr>
          <w:rFonts w:ascii="Times New Roman" w:cs="Times New Roman" w:eastAsia="Times New Roman" w:hAnsi="Times New Roman"/>
          <w:sz w:val="20"/>
          <w:szCs w:val="20"/>
          <w:b w:val="1"/>
          <w:bCs w:val="1"/>
          <w:color w:val="070707"/>
        </w:rPr>
        <w:t xml:space="preserve">CLE </w:t>
      </w:r>
      <w:r>
        <w:rPr>
          <w:rFonts w:ascii="Times New Roman" w:cs="Times New Roman" w:eastAsia="Times New Roman" w:hAnsi="Times New Roman"/>
          <w:sz w:val="20"/>
          <w:szCs w:val="20"/>
          <w:b w:val="1"/>
          <w:bCs w:val="1"/>
          <w:color w:val="171717"/>
        </w:rPr>
        <w:t>V</w:t>
      </w:r>
      <w:r>
        <w:rPr>
          <w:rFonts w:ascii="Times New Roman" w:cs="Times New Roman" w:eastAsia="Times New Roman" w:hAnsi="Times New Roman"/>
          <w:sz w:val="20"/>
          <w:szCs w:val="20"/>
          <w:b w:val="1"/>
          <w:bCs w:val="1"/>
          <w:color w:val="070707"/>
        </w:rPr>
        <w:t>III. DI</w:t>
      </w:r>
      <w:r>
        <w:rPr>
          <w:rFonts w:ascii="Times New Roman" w:cs="Times New Roman" w:eastAsia="Times New Roman" w:hAnsi="Times New Roman"/>
          <w:sz w:val="20"/>
          <w:szCs w:val="20"/>
          <w:b w:val="1"/>
          <w:bCs w:val="1"/>
          <w:color w:val="171717"/>
        </w:rPr>
        <w:t>S</w:t>
      </w:r>
      <w:r>
        <w:rPr>
          <w:rFonts w:ascii="Times New Roman" w:cs="Times New Roman" w:eastAsia="Times New Roman" w:hAnsi="Times New Roman"/>
          <w:sz w:val="20"/>
          <w:szCs w:val="20"/>
          <w:b w:val="1"/>
          <w:bCs w:val="1"/>
          <w:color w:val="070707"/>
        </w:rPr>
        <w:t>TRIB</w:t>
      </w:r>
      <w:r>
        <w:rPr>
          <w:rFonts w:ascii="Times New Roman" w:cs="Times New Roman" w:eastAsia="Times New Roman" w:hAnsi="Times New Roman"/>
          <w:sz w:val="20"/>
          <w:szCs w:val="20"/>
          <w:b w:val="1"/>
          <w:bCs w:val="1"/>
          <w:color w:val="171717"/>
        </w:rPr>
        <w:t>U</w:t>
      </w:r>
      <w:r>
        <w:rPr>
          <w:rFonts w:ascii="Times New Roman" w:cs="Times New Roman" w:eastAsia="Times New Roman" w:hAnsi="Times New Roman"/>
          <w:sz w:val="20"/>
          <w:szCs w:val="20"/>
          <w:b w:val="1"/>
          <w:bCs w:val="1"/>
          <w:color w:val="070707"/>
        </w:rPr>
        <w:t>TIONS</w:t>
      </w:r>
    </w:p>
    <w:p>
      <w:pPr>
        <w:spacing w:after="0" w:line="2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color w:val="171717"/>
        </w:rPr>
        <w:t>8</w:t>
      </w:r>
      <w:r>
        <w:rPr>
          <w:rFonts w:ascii="Times New Roman" w:cs="Times New Roman" w:eastAsia="Times New Roman" w:hAnsi="Times New Roman"/>
          <w:sz w:val="20"/>
          <w:szCs w:val="20"/>
          <w:b w:val="1"/>
          <w:bCs w:val="1"/>
          <w:color w:val="070707"/>
        </w:rPr>
        <w:t>.1 Tim</w:t>
      </w:r>
      <w:r>
        <w:rPr>
          <w:rFonts w:ascii="Times New Roman" w:cs="Times New Roman" w:eastAsia="Times New Roman" w:hAnsi="Times New Roman"/>
          <w:sz w:val="20"/>
          <w:szCs w:val="20"/>
          <w:b w:val="1"/>
          <w:bCs w:val="1"/>
          <w:color w:val="171717"/>
        </w:rPr>
        <w:t>ing o</w:t>
      </w:r>
      <w:r>
        <w:rPr>
          <w:rFonts w:ascii="Times New Roman" w:cs="Times New Roman" w:eastAsia="Times New Roman" w:hAnsi="Times New Roman"/>
          <w:sz w:val="20"/>
          <w:szCs w:val="20"/>
          <w:b w:val="1"/>
          <w:bCs w:val="1"/>
          <w:color w:val="070707"/>
        </w:rPr>
        <w:t>f Di</w:t>
      </w:r>
      <w:r>
        <w:rPr>
          <w:rFonts w:ascii="Times New Roman" w:cs="Times New Roman" w:eastAsia="Times New Roman" w:hAnsi="Times New Roman"/>
          <w:sz w:val="20"/>
          <w:szCs w:val="20"/>
          <w:b w:val="1"/>
          <w:bCs w:val="1"/>
          <w:color w:val="171717"/>
        </w:rPr>
        <w:t>s</w:t>
      </w:r>
      <w:r>
        <w:rPr>
          <w:rFonts w:ascii="Times New Roman" w:cs="Times New Roman" w:eastAsia="Times New Roman" w:hAnsi="Times New Roman"/>
          <w:sz w:val="20"/>
          <w:szCs w:val="20"/>
          <w:b w:val="1"/>
          <w:bCs w:val="1"/>
          <w:color w:val="070707"/>
        </w:rPr>
        <w:t>tr</w:t>
      </w:r>
      <w:r>
        <w:rPr>
          <w:rFonts w:ascii="Times New Roman" w:cs="Times New Roman" w:eastAsia="Times New Roman" w:hAnsi="Times New Roman"/>
          <w:sz w:val="20"/>
          <w:szCs w:val="20"/>
          <w:b w:val="1"/>
          <w:bCs w:val="1"/>
          <w:color w:val="171717"/>
        </w:rPr>
        <w:t>i</w:t>
      </w:r>
      <w:r>
        <w:rPr>
          <w:rFonts w:ascii="Times New Roman" w:cs="Times New Roman" w:eastAsia="Times New Roman" w:hAnsi="Times New Roman"/>
          <w:sz w:val="20"/>
          <w:szCs w:val="20"/>
          <w:b w:val="1"/>
          <w:bCs w:val="1"/>
          <w:color w:val="070707"/>
        </w:rPr>
        <w:t>buti</w:t>
      </w:r>
      <w:r>
        <w:rPr>
          <w:rFonts w:ascii="Times New Roman" w:cs="Times New Roman" w:eastAsia="Times New Roman" w:hAnsi="Times New Roman"/>
          <w:sz w:val="20"/>
          <w:szCs w:val="20"/>
          <w:b w:val="1"/>
          <w:bCs w:val="1"/>
          <w:color w:val="171717"/>
        </w:rPr>
        <w:t>o</w:t>
      </w:r>
      <w:r>
        <w:rPr>
          <w:rFonts w:ascii="Times New Roman" w:cs="Times New Roman" w:eastAsia="Times New Roman" w:hAnsi="Times New Roman"/>
          <w:sz w:val="20"/>
          <w:szCs w:val="20"/>
          <w:b w:val="1"/>
          <w:bCs w:val="1"/>
          <w:color w:val="070707"/>
        </w:rPr>
        <w:t>n</w:t>
      </w:r>
      <w:r>
        <w:rPr>
          <w:rFonts w:ascii="Times New Roman" w:cs="Times New Roman" w:eastAsia="Times New Roman" w:hAnsi="Times New Roman"/>
          <w:sz w:val="20"/>
          <w:szCs w:val="20"/>
          <w:b w:val="1"/>
          <w:bCs w:val="1"/>
          <w:color w:val="171717"/>
        </w:rPr>
        <w:t>.</w:t>
      </w:r>
    </w:p>
    <w:p>
      <w:pPr>
        <w:spacing w:after="0" w:line="260" w:lineRule="exact"/>
        <w:rPr>
          <w:sz w:val="20"/>
          <w:szCs w:val="20"/>
          <w:color w:val="auto"/>
        </w:rPr>
      </w:pPr>
    </w:p>
    <w:p>
      <w:pPr>
        <w:jc w:val="both"/>
        <w:ind w:left="140" w:right="120" w:firstLine="637"/>
        <w:spacing w:after="0" w:line="275" w:lineRule="auto"/>
        <w:tabs>
          <w:tab w:leader="none" w:pos="1066" w:val="left"/>
        </w:tabs>
        <w:numPr>
          <w:ilvl w:val="0"/>
          <w:numId w:val="95"/>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 xml:space="preserve">With respect to </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eferra</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s made on or before December 31, 2011, w</w:t>
      </w:r>
      <w:r>
        <w:rPr>
          <w:rFonts w:ascii="Times New Roman" w:cs="Times New Roman" w:eastAsia="Times New Roman" w:hAnsi="Times New Roman"/>
          <w:sz w:val="20"/>
          <w:szCs w:val="20"/>
          <w:color w:val="070707"/>
        </w:rPr>
        <w:t>it</w:t>
      </w:r>
      <w:r>
        <w:rPr>
          <w:rFonts w:ascii="Times New Roman" w:cs="Times New Roman" w:eastAsia="Times New Roman" w:hAnsi="Times New Roman"/>
          <w:sz w:val="20"/>
          <w:szCs w:val="20"/>
          <w:color w:val="171717"/>
        </w:rPr>
        <w:t>h respect to all deferrals made by Director</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71717"/>
        </w:rPr>
        <w:t>Part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cipants, and except as prov</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ded ot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 xml:space="preserve">wise in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 xml:space="preserve">his Article </w:t>
      </w:r>
      <w:r>
        <w:rPr>
          <w:rFonts w:ascii="Times New Roman" w:cs="Times New Roman" w:eastAsia="Times New Roman" w:hAnsi="Times New Roman"/>
          <w:sz w:val="20"/>
          <w:szCs w:val="20"/>
          <w:color w:val="070707"/>
        </w:rPr>
        <w:t>VIII</w:t>
      </w:r>
      <w:r>
        <w:rPr>
          <w:rFonts w:ascii="Times New Roman" w:cs="Times New Roman" w:eastAsia="Times New Roman" w:hAnsi="Times New Roman"/>
          <w:sz w:val="20"/>
          <w:szCs w:val="20"/>
          <w:color w:val="171717"/>
        </w:rPr>
        <w:t xml:space="preserve">, a </w:t>
      </w:r>
      <w:r>
        <w:rPr>
          <w:rFonts w:ascii="Times New Roman" w:cs="Times New Roman" w:eastAsia="Times New Roman" w:hAnsi="Times New Roman"/>
          <w:sz w:val="20"/>
          <w:szCs w:val="20"/>
          <w:color w:val="070707"/>
        </w:rPr>
        <w:t>P</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c</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pan</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 xml:space="preserve">'s </w:t>
      </w:r>
      <w:r>
        <w:rPr>
          <w:rFonts w:ascii="Times New Roman" w:cs="Times New Roman" w:eastAsia="Times New Roman" w:hAnsi="Times New Roman"/>
          <w:sz w:val="20"/>
          <w:szCs w:val="20"/>
          <w:color w:val="070707"/>
        </w:rPr>
        <w:t>A</w:t>
      </w:r>
      <w:r>
        <w:rPr>
          <w:rFonts w:ascii="Times New Roman" w:cs="Times New Roman" w:eastAsia="Times New Roman" w:hAnsi="Times New Roman"/>
          <w:sz w:val="20"/>
          <w:szCs w:val="20"/>
          <w:color w:val="171717"/>
        </w:rPr>
        <w:t>ccou</w:t>
      </w:r>
      <w:r>
        <w:rPr>
          <w:rFonts w:ascii="Times New Roman" w:cs="Times New Roman" w:eastAsia="Times New Roman" w:hAnsi="Times New Roman"/>
          <w:sz w:val="20"/>
          <w:szCs w:val="20"/>
          <w:color w:val="070707"/>
        </w:rPr>
        <w:t>nt</w:t>
      </w:r>
      <w:r>
        <w:rPr>
          <w:rFonts w:ascii="Times New Roman" w:cs="Times New Roman" w:eastAsia="Times New Roman" w:hAnsi="Times New Roman"/>
          <w:sz w:val="20"/>
          <w:szCs w:val="20"/>
          <w:color w:val="171717"/>
        </w:rPr>
        <w:t xml:space="preserve"> shall be dis</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r</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b</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ted or comm</w:t>
      </w:r>
      <w:r>
        <w:rPr>
          <w:rFonts w:ascii="Times New Roman" w:cs="Times New Roman" w:eastAsia="Times New Roman" w:hAnsi="Times New Roman"/>
          <w:sz w:val="20"/>
          <w:szCs w:val="20"/>
          <w:color w:val="070707"/>
        </w:rPr>
        <w:t>e</w:t>
      </w:r>
      <w:r>
        <w:rPr>
          <w:rFonts w:ascii="Times New Roman" w:cs="Times New Roman" w:eastAsia="Times New Roman" w:hAnsi="Times New Roman"/>
          <w:sz w:val="20"/>
          <w:szCs w:val="20"/>
          <w:color w:val="171717"/>
        </w:rPr>
        <w:t xml:space="preserve">nce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o be d</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stributed to the Participan</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 xml:space="preserve"> within ninety (90) days after the Participant's Terminat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on</w:t>
      </w:r>
      <w:r>
        <w:rPr>
          <w:rFonts w:ascii="Times New Roman" w:cs="Times New Roman" w:eastAsia="Times New Roman" w:hAnsi="Times New Roman"/>
          <w:sz w:val="20"/>
          <w:szCs w:val="20"/>
          <w:color w:val="070707"/>
        </w:rPr>
        <w:t>.</w:t>
      </w:r>
    </w:p>
    <w:p>
      <w:pPr>
        <w:spacing w:after="0" w:line="19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171717"/>
        </w:rPr>
        <w:t>(</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71717"/>
        </w:rPr>
        <w:t>) With re</w:t>
      </w:r>
      <w:r>
        <w:rPr>
          <w:rFonts w:ascii="Times New Roman" w:cs="Times New Roman" w:eastAsia="Times New Roman" w:hAnsi="Times New Roman"/>
          <w:sz w:val="20"/>
          <w:szCs w:val="20"/>
          <w:color w:val="070707"/>
        </w:rPr>
        <w:t>s</w:t>
      </w:r>
      <w:r>
        <w:rPr>
          <w:rFonts w:ascii="Times New Roman" w:cs="Times New Roman" w:eastAsia="Times New Roman" w:hAnsi="Times New Roman"/>
          <w:sz w:val="20"/>
          <w:szCs w:val="20"/>
          <w:color w:val="171717"/>
        </w:rPr>
        <w:t xml:space="preserve">pect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o de</w:t>
      </w:r>
      <w:r>
        <w:rPr>
          <w:rFonts w:ascii="Times New Roman" w:cs="Times New Roman" w:eastAsia="Times New Roman" w:hAnsi="Times New Roman"/>
          <w:sz w:val="20"/>
          <w:szCs w:val="20"/>
          <w:color w:val="070707"/>
        </w:rPr>
        <w:t>fer</w:t>
      </w:r>
      <w:r>
        <w:rPr>
          <w:rFonts w:ascii="Times New Roman" w:cs="Times New Roman" w:eastAsia="Times New Roman" w:hAnsi="Times New Roman"/>
          <w:sz w:val="20"/>
          <w:szCs w:val="20"/>
          <w:color w:val="171717"/>
        </w:rPr>
        <w:t>rals made on o</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 xml:space="preserve"> aft</w:t>
      </w:r>
      <w:r>
        <w:rPr>
          <w:rFonts w:ascii="Times New Roman" w:cs="Times New Roman" w:eastAsia="Times New Roman" w:hAnsi="Times New Roman"/>
          <w:sz w:val="20"/>
          <w:szCs w:val="20"/>
          <w:color w:val="070707"/>
        </w:rPr>
        <w:t>e</w:t>
      </w:r>
      <w:r>
        <w:rPr>
          <w:rFonts w:ascii="Times New Roman" w:cs="Times New Roman" w:eastAsia="Times New Roman" w:hAnsi="Times New Roman"/>
          <w:sz w:val="20"/>
          <w:szCs w:val="20"/>
          <w:color w:val="171717"/>
        </w:rPr>
        <w:t xml:space="preserve">r </w:t>
      </w:r>
      <w:r>
        <w:rPr>
          <w:rFonts w:ascii="Times New Roman" w:cs="Times New Roman" w:eastAsia="Times New Roman" w:hAnsi="Times New Roman"/>
          <w:sz w:val="20"/>
          <w:szCs w:val="20"/>
          <w:color w:val="070707"/>
        </w:rPr>
        <w:t>J</w:t>
      </w:r>
      <w:r>
        <w:rPr>
          <w:rFonts w:ascii="Times New Roman" w:cs="Times New Roman" w:eastAsia="Times New Roman" w:hAnsi="Times New Roman"/>
          <w:sz w:val="20"/>
          <w:szCs w:val="20"/>
          <w:color w:val="171717"/>
        </w:rPr>
        <w:t>anuary 1, 201</w:t>
      </w:r>
      <w:r>
        <w:rPr>
          <w:rFonts w:ascii="Times New Roman" w:cs="Times New Roman" w:eastAsia="Times New Roman" w:hAnsi="Times New Roman"/>
          <w:sz w:val="20"/>
          <w:szCs w:val="20"/>
          <w:color w:val="070707"/>
        </w:rPr>
        <w:t>2</w:t>
      </w:r>
      <w:r>
        <w:rPr>
          <w:rFonts w:ascii="Times New Roman" w:cs="Times New Roman" w:eastAsia="Times New Roman" w:hAnsi="Times New Roman"/>
          <w:sz w:val="20"/>
          <w:szCs w:val="20"/>
          <w:color w:val="171717"/>
        </w:rPr>
        <w:t xml:space="preserve"> and </w:t>
      </w:r>
      <w:r>
        <w:rPr>
          <w:rFonts w:ascii="Times New Roman" w:cs="Times New Roman" w:eastAsia="Times New Roman" w:hAnsi="Times New Roman"/>
          <w:sz w:val="20"/>
          <w:szCs w:val="20"/>
          <w:color w:val="070707"/>
        </w:rPr>
        <w:t>e</w:t>
      </w:r>
      <w:r>
        <w:rPr>
          <w:rFonts w:ascii="Times New Roman" w:cs="Times New Roman" w:eastAsia="Times New Roman" w:hAnsi="Times New Roman"/>
          <w:sz w:val="20"/>
          <w:szCs w:val="20"/>
          <w:color w:val="171717"/>
        </w:rPr>
        <w:t>xcept as prov</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ded o</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herwis</w:t>
      </w:r>
      <w:r>
        <w:rPr>
          <w:rFonts w:ascii="Times New Roman" w:cs="Times New Roman" w:eastAsia="Times New Roman" w:hAnsi="Times New Roman"/>
          <w:sz w:val="20"/>
          <w:szCs w:val="20"/>
          <w:color w:val="070707"/>
        </w:rPr>
        <w:t>e in t</w:t>
      </w:r>
      <w:r>
        <w:rPr>
          <w:rFonts w:ascii="Times New Roman" w:cs="Times New Roman" w:eastAsia="Times New Roman" w:hAnsi="Times New Roman"/>
          <w:sz w:val="20"/>
          <w:szCs w:val="20"/>
          <w:color w:val="171717"/>
        </w:rPr>
        <w:t>hi</w:t>
      </w:r>
      <w:r>
        <w:rPr>
          <w:rFonts w:ascii="Times New Roman" w:cs="Times New Roman" w:eastAsia="Times New Roman" w:hAnsi="Times New Roman"/>
          <w:sz w:val="20"/>
          <w:szCs w:val="20"/>
          <w:color w:val="070707"/>
        </w:rPr>
        <w:t>s A</w:t>
      </w:r>
      <w:r>
        <w:rPr>
          <w:rFonts w:ascii="Times New Roman" w:cs="Times New Roman" w:eastAsia="Times New Roman" w:hAnsi="Times New Roman"/>
          <w:sz w:val="20"/>
          <w:szCs w:val="20"/>
          <w:color w:val="171717"/>
        </w:rPr>
        <w:t>rticle VIII, an Emp</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oyee-</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171717"/>
        </w:rPr>
        <w:t>Part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c</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pant's veste</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 xml:space="preserve"> Account sha</w:t>
      </w:r>
      <w:r>
        <w:rPr>
          <w:rFonts w:ascii="Times New Roman" w:cs="Times New Roman" w:eastAsia="Times New Roman" w:hAnsi="Times New Roman"/>
          <w:sz w:val="20"/>
          <w:szCs w:val="20"/>
          <w:color w:val="070707"/>
        </w:rPr>
        <w:t>ll b</w:t>
      </w:r>
      <w:r>
        <w:rPr>
          <w:rFonts w:ascii="Times New Roman" w:cs="Times New Roman" w:eastAsia="Times New Roman" w:hAnsi="Times New Roman"/>
          <w:sz w:val="20"/>
          <w:szCs w:val="20"/>
          <w:color w:val="171717"/>
        </w:rPr>
        <w:t>e d</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stributed or commence to be dis</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ribu</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ed to the Partici</w:t>
      </w:r>
      <w:r>
        <w:rPr>
          <w:rFonts w:ascii="Times New Roman" w:cs="Times New Roman" w:eastAsia="Times New Roman" w:hAnsi="Times New Roman"/>
          <w:sz w:val="20"/>
          <w:szCs w:val="20"/>
          <w:color w:val="070707"/>
        </w:rPr>
        <w:t>p</w:t>
      </w:r>
      <w:r>
        <w:rPr>
          <w:rFonts w:ascii="Times New Roman" w:cs="Times New Roman" w:eastAsia="Times New Roman" w:hAnsi="Times New Roman"/>
          <w:sz w:val="20"/>
          <w:szCs w:val="20"/>
          <w:color w:val="171717"/>
        </w:rPr>
        <w:t>ant as follows:</w:t>
      </w:r>
    </w:p>
    <w:p>
      <w:pPr>
        <w:spacing w:after="0" w:line="254" w:lineRule="exact"/>
        <w:rPr>
          <w:sz w:val="20"/>
          <w:szCs w:val="20"/>
          <w:color w:val="auto"/>
        </w:rPr>
      </w:pPr>
    </w:p>
    <w:p>
      <w:pPr>
        <w:ind w:left="120" w:right="120" w:firstLine="2593"/>
        <w:spacing w:after="0" w:line="283" w:lineRule="auto"/>
        <w:tabs>
          <w:tab w:leader="none" w:pos="2962" w:val="left"/>
        </w:tabs>
        <w:numPr>
          <w:ilvl w:val="0"/>
          <w:numId w:val="96"/>
        </w:numPr>
        <w:rPr>
          <w:rFonts w:ascii="Times New Roman" w:cs="Times New Roman" w:eastAsia="Times New Roman" w:hAnsi="Times New Roman"/>
          <w:sz w:val="20"/>
          <w:szCs w:val="20"/>
          <w:color w:val="070707"/>
        </w:rPr>
      </w:pPr>
      <w:r>
        <w:rPr>
          <w:rFonts w:ascii="Times New Roman" w:cs="Times New Roman" w:eastAsia="Times New Roman" w:hAnsi="Times New Roman"/>
          <w:sz w:val="20"/>
          <w:szCs w:val="20"/>
          <w:color w:val="171717"/>
        </w:rPr>
        <w:t>An Em</w:t>
      </w:r>
      <w:r>
        <w:rPr>
          <w:rFonts w:ascii="Times New Roman" w:cs="Times New Roman" w:eastAsia="Times New Roman" w:hAnsi="Times New Roman"/>
          <w:sz w:val="20"/>
          <w:szCs w:val="20"/>
          <w:color w:val="070707"/>
        </w:rPr>
        <w:t>p</w:t>
      </w:r>
      <w:r>
        <w:rPr>
          <w:rFonts w:ascii="Times New Roman" w:cs="Times New Roman" w:eastAsia="Times New Roman" w:hAnsi="Times New Roman"/>
          <w:sz w:val="20"/>
          <w:szCs w:val="20"/>
          <w:color w:val="171717"/>
        </w:rPr>
        <w:t>loyee</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71717"/>
        </w:rPr>
        <w:t>Participant</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71717"/>
        </w:rPr>
        <w:t>s vested Acco</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nt sha</w:t>
      </w:r>
      <w:r>
        <w:rPr>
          <w:rFonts w:ascii="Times New Roman" w:cs="Times New Roman" w:eastAsia="Times New Roman" w:hAnsi="Times New Roman"/>
          <w:sz w:val="20"/>
          <w:szCs w:val="20"/>
          <w:color w:val="070707"/>
        </w:rPr>
        <w:t>ll b</w:t>
      </w:r>
      <w:r>
        <w:rPr>
          <w:rFonts w:ascii="Times New Roman" w:cs="Times New Roman" w:eastAsia="Times New Roman" w:hAnsi="Times New Roman"/>
          <w:sz w:val="20"/>
          <w:szCs w:val="20"/>
          <w:color w:val="171717"/>
        </w:rPr>
        <w:t>e distr</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bute</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 xml:space="preserve"> or commence to be dis</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rib</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te</w:t>
      </w:r>
      <w:r>
        <w:rPr>
          <w:rFonts w:ascii="Times New Roman" w:cs="Times New Roman" w:eastAsia="Times New Roman" w:hAnsi="Times New Roman"/>
          <w:sz w:val="20"/>
          <w:szCs w:val="20"/>
          <w:color w:val="070707"/>
        </w:rPr>
        <w:t>d i</w:t>
      </w:r>
      <w:r>
        <w:rPr>
          <w:rFonts w:ascii="Times New Roman" w:cs="Times New Roman" w:eastAsia="Times New Roman" w:hAnsi="Times New Roman"/>
          <w:sz w:val="20"/>
          <w:szCs w:val="20"/>
          <w:color w:val="171717"/>
        </w:rPr>
        <w:t xml:space="preserve">n </w:t>
      </w:r>
      <w:r>
        <w:rPr>
          <w:rFonts w:ascii="Times New Roman" w:cs="Times New Roman" w:eastAsia="Times New Roman" w:hAnsi="Times New Roman"/>
          <w:sz w:val="20"/>
          <w:szCs w:val="20"/>
          <w:color w:val="070707"/>
        </w:rPr>
        <w:t>th</w:t>
      </w:r>
      <w:r>
        <w:rPr>
          <w:rFonts w:ascii="Times New Roman" w:cs="Times New Roman" w:eastAsia="Times New Roman" w:hAnsi="Times New Roman"/>
          <w:sz w:val="20"/>
          <w:szCs w:val="20"/>
          <w:color w:val="171717"/>
        </w:rPr>
        <w:t>e seve</w:t>
      </w:r>
      <w:r>
        <w:rPr>
          <w:rFonts w:ascii="Times New Roman" w:cs="Times New Roman" w:eastAsia="Times New Roman" w:hAnsi="Times New Roman"/>
          <w:sz w:val="20"/>
          <w:szCs w:val="20"/>
          <w:color w:val="070707"/>
        </w:rPr>
        <w:t>nth m</w:t>
      </w:r>
      <w:r>
        <w:rPr>
          <w:rFonts w:ascii="Times New Roman" w:cs="Times New Roman" w:eastAsia="Times New Roman" w:hAnsi="Times New Roman"/>
          <w:sz w:val="20"/>
          <w:szCs w:val="20"/>
          <w:color w:val="171717"/>
        </w:rPr>
        <w:t>o</w:t>
      </w:r>
      <w:r>
        <w:rPr>
          <w:rFonts w:ascii="Times New Roman" w:cs="Times New Roman" w:eastAsia="Times New Roman" w:hAnsi="Times New Roman"/>
          <w:sz w:val="20"/>
          <w:szCs w:val="20"/>
          <w:color w:val="070707"/>
        </w:rPr>
        <w:t>nth</w:t>
      </w:r>
      <w:r>
        <w:rPr>
          <w:rFonts w:ascii="Times New Roman" w:cs="Times New Roman" w:eastAsia="Times New Roman" w:hAnsi="Times New Roman"/>
          <w:sz w:val="20"/>
          <w:szCs w:val="20"/>
          <w:color w:val="171717"/>
        </w:rPr>
        <w:t xml:space="preserve"> aft</w:t>
      </w:r>
      <w:r>
        <w:rPr>
          <w:rFonts w:ascii="Times New Roman" w:cs="Times New Roman" w:eastAsia="Times New Roman" w:hAnsi="Times New Roman"/>
          <w:sz w:val="20"/>
          <w:szCs w:val="20"/>
          <w:color w:val="070707"/>
        </w:rPr>
        <w:t>e</w:t>
      </w:r>
      <w:r>
        <w:rPr>
          <w:rFonts w:ascii="Times New Roman" w:cs="Times New Roman" w:eastAsia="Times New Roman" w:hAnsi="Times New Roman"/>
          <w:sz w:val="20"/>
          <w:szCs w:val="20"/>
          <w:color w:val="171717"/>
        </w:rPr>
        <w:t>r the Par</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icipan</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's Terminat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on</w:t>
      </w:r>
      <w:r>
        <w:rPr>
          <w:rFonts w:ascii="Times New Roman" w:cs="Times New Roman" w:eastAsia="Times New Roman" w:hAnsi="Times New Roman"/>
          <w:sz w:val="20"/>
          <w:szCs w:val="20"/>
          <w:color w:val="070707"/>
        </w:rPr>
        <w:t>.</w:t>
      </w:r>
    </w:p>
    <w:p>
      <w:pPr>
        <w:spacing w:after="0" w:line="213" w:lineRule="exact"/>
        <w:rPr>
          <w:rFonts w:ascii="Times New Roman" w:cs="Times New Roman" w:eastAsia="Times New Roman" w:hAnsi="Times New Roman"/>
          <w:sz w:val="20"/>
          <w:szCs w:val="20"/>
          <w:color w:val="070707"/>
        </w:rPr>
      </w:pPr>
    </w:p>
    <w:p>
      <w:pPr>
        <w:jc w:val="both"/>
        <w:ind w:left="100" w:right="120" w:firstLine="2609"/>
        <w:spacing w:after="0" w:line="265" w:lineRule="auto"/>
        <w:tabs>
          <w:tab w:leader="none" w:pos="2992" w:val="left"/>
        </w:tabs>
        <w:numPr>
          <w:ilvl w:val="0"/>
          <w:numId w:val="96"/>
        </w:numPr>
        <w:rPr>
          <w:rFonts w:ascii="Times New Roman" w:cs="Times New Roman" w:eastAsia="Times New Roman" w:hAnsi="Times New Roman"/>
          <w:sz w:val="20"/>
          <w:szCs w:val="20"/>
          <w:color w:val="070707"/>
        </w:rPr>
      </w:pP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o</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w</w:t>
      </w:r>
      <w:r>
        <w:rPr>
          <w:rFonts w:ascii="Times New Roman" w:cs="Times New Roman" w:eastAsia="Times New Roman" w:hAnsi="Times New Roman"/>
          <w:sz w:val="20"/>
          <w:szCs w:val="20"/>
          <w:color w:val="070707"/>
        </w:rPr>
        <w:t>ith</w:t>
      </w:r>
      <w:r>
        <w:rPr>
          <w:rFonts w:ascii="Times New Roman" w:cs="Times New Roman" w:eastAsia="Times New Roman" w:hAnsi="Times New Roman"/>
          <w:sz w:val="20"/>
          <w:szCs w:val="20"/>
          <w:color w:val="171717"/>
        </w:rPr>
        <w:t>s</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an</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ing s</w:t>
      </w:r>
      <w:r>
        <w:rPr>
          <w:rFonts w:ascii="Times New Roman" w:cs="Times New Roman" w:eastAsia="Times New Roman" w:hAnsi="Times New Roman"/>
          <w:sz w:val="20"/>
          <w:szCs w:val="20"/>
          <w:color w:val="070707"/>
        </w:rPr>
        <w:t>ubp</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 xml:space="preserve"> (b)(i) </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71717"/>
        </w:rPr>
        <w:t>o</w:t>
      </w:r>
      <w:r>
        <w:rPr>
          <w:rFonts w:ascii="Times New Roman" w:cs="Times New Roman" w:eastAsia="Times New Roman" w:hAnsi="Times New Roman"/>
          <w:sz w:val="20"/>
          <w:szCs w:val="20"/>
          <w:color w:val="070707"/>
        </w:rPr>
        <w:t>v</w:t>
      </w:r>
      <w:r>
        <w:rPr>
          <w:rFonts w:ascii="Times New Roman" w:cs="Times New Roman" w:eastAsia="Times New Roman" w:hAnsi="Times New Roman"/>
          <w:sz w:val="20"/>
          <w:szCs w:val="20"/>
          <w:color w:val="171717"/>
        </w:rPr>
        <w:t>e, ea</w:t>
      </w:r>
      <w:r>
        <w:rPr>
          <w:rFonts w:ascii="Times New Roman" w:cs="Times New Roman" w:eastAsia="Times New Roman" w:hAnsi="Times New Roman"/>
          <w:sz w:val="20"/>
          <w:szCs w:val="20"/>
          <w:color w:val="070707"/>
        </w:rPr>
        <w:t xml:space="preserve">ch </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mpl</w:t>
      </w:r>
      <w:r>
        <w:rPr>
          <w:rFonts w:ascii="Times New Roman" w:cs="Times New Roman" w:eastAsia="Times New Roman" w:hAnsi="Times New Roman"/>
          <w:sz w:val="20"/>
          <w:szCs w:val="20"/>
          <w:color w:val="171717"/>
        </w:rPr>
        <w:t>o</w:t>
      </w:r>
      <w:r>
        <w:rPr>
          <w:rFonts w:ascii="Times New Roman" w:cs="Times New Roman" w:eastAsia="Times New Roman" w:hAnsi="Times New Roman"/>
          <w:sz w:val="20"/>
          <w:szCs w:val="20"/>
          <w:color w:val="070707"/>
        </w:rPr>
        <w:t>ye</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-P</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rti</w:t>
      </w:r>
      <w:r>
        <w:rPr>
          <w:rFonts w:ascii="Times New Roman" w:cs="Times New Roman" w:eastAsia="Times New Roman" w:hAnsi="Times New Roman"/>
          <w:sz w:val="20"/>
          <w:szCs w:val="20"/>
          <w:color w:val="171717"/>
        </w:rPr>
        <w:t>c</w:t>
      </w:r>
      <w:r>
        <w:rPr>
          <w:rFonts w:ascii="Times New Roman" w:cs="Times New Roman" w:eastAsia="Times New Roman" w:hAnsi="Times New Roman"/>
          <w:sz w:val="20"/>
          <w:szCs w:val="20"/>
          <w:color w:val="070707"/>
        </w:rPr>
        <w:t xml:space="preserve">ipant </w:t>
      </w:r>
      <w:r>
        <w:rPr>
          <w:rFonts w:ascii="Times New Roman" w:cs="Times New Roman" w:eastAsia="Times New Roman" w:hAnsi="Times New Roman"/>
          <w:sz w:val="20"/>
          <w:szCs w:val="20"/>
          <w:color w:val="171717"/>
        </w:rPr>
        <w:t>m</w:t>
      </w:r>
      <w:r>
        <w:rPr>
          <w:rFonts w:ascii="Times New Roman" w:cs="Times New Roman" w:eastAsia="Times New Roman" w:hAnsi="Times New Roman"/>
          <w:sz w:val="20"/>
          <w:szCs w:val="20"/>
          <w:color w:val="070707"/>
        </w:rPr>
        <w:t xml:space="preserve">ay </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c</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 xml:space="preserve"> to r</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c</w:t>
      </w:r>
      <w:r>
        <w:rPr>
          <w:rFonts w:ascii="Times New Roman" w:cs="Times New Roman" w:eastAsia="Times New Roman" w:hAnsi="Times New Roman"/>
          <w:sz w:val="20"/>
          <w:szCs w:val="20"/>
          <w:color w:val="171717"/>
        </w:rPr>
        <w:t>ei</w:t>
      </w:r>
      <w:r>
        <w:rPr>
          <w:rFonts w:ascii="Times New Roman" w:cs="Times New Roman" w:eastAsia="Times New Roman" w:hAnsi="Times New Roman"/>
          <w:sz w:val="20"/>
          <w:szCs w:val="20"/>
          <w:color w:val="070707"/>
        </w:rPr>
        <w:t xml:space="preserve">ve </w:t>
      </w:r>
      <w:r>
        <w:rPr>
          <w:rFonts w:ascii="Times New Roman" w:cs="Times New Roman" w:eastAsia="Times New Roman" w:hAnsi="Times New Roman"/>
          <w:sz w:val="20"/>
          <w:szCs w:val="20"/>
          <w:color w:val="171717"/>
        </w:rPr>
        <w:t>one or</w:t>
      </w:r>
      <w:r>
        <w:rPr>
          <w:rFonts w:ascii="Times New Roman" w:cs="Times New Roman" w:eastAsia="Times New Roman" w:hAnsi="Times New Roman"/>
          <w:sz w:val="20"/>
          <w:szCs w:val="20"/>
          <w:color w:val="070707"/>
        </w:rPr>
        <w:t xml:space="preserve"> mor</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 in-serv</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ce d</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s</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bution</w:t>
      </w:r>
      <w:r>
        <w:rPr>
          <w:rFonts w:ascii="Times New Roman" w:cs="Times New Roman" w:eastAsia="Times New Roman" w:hAnsi="Times New Roman"/>
          <w:sz w:val="20"/>
          <w:szCs w:val="20"/>
          <w:color w:val="171717"/>
        </w:rPr>
        <w:t>s of</w:t>
      </w:r>
      <w:r>
        <w:rPr>
          <w:rFonts w:ascii="Times New Roman" w:cs="Times New Roman" w:eastAsia="Times New Roman" w:hAnsi="Times New Roman"/>
          <w:sz w:val="20"/>
          <w:szCs w:val="20"/>
          <w:color w:val="070707"/>
        </w:rPr>
        <w:t xml:space="preserve"> hi</w:t>
      </w:r>
      <w:r>
        <w:rPr>
          <w:rFonts w:ascii="Times New Roman" w:cs="Times New Roman" w:eastAsia="Times New Roman" w:hAnsi="Times New Roman"/>
          <w:sz w:val="20"/>
          <w:szCs w:val="20"/>
          <w:color w:val="171717"/>
        </w:rPr>
        <w:t>s</w:t>
      </w:r>
      <w:r>
        <w:rPr>
          <w:rFonts w:ascii="Times New Roman" w:cs="Times New Roman" w:eastAsia="Times New Roman" w:hAnsi="Times New Roman"/>
          <w:sz w:val="20"/>
          <w:szCs w:val="20"/>
          <w:color w:val="070707"/>
        </w:rPr>
        <w:t xml:space="preserve"> or </w:t>
      </w:r>
      <w:r>
        <w:rPr>
          <w:rFonts w:ascii="Times New Roman" w:cs="Times New Roman" w:eastAsia="Times New Roman" w:hAnsi="Times New Roman"/>
          <w:sz w:val="20"/>
          <w:szCs w:val="20"/>
          <w:color w:val="171717"/>
        </w:rPr>
        <w:t>he</w:t>
      </w:r>
      <w:r>
        <w:rPr>
          <w:rFonts w:ascii="Times New Roman" w:cs="Times New Roman" w:eastAsia="Times New Roman" w:hAnsi="Times New Roman"/>
          <w:sz w:val="20"/>
          <w:szCs w:val="20"/>
          <w:color w:val="070707"/>
        </w:rPr>
        <w:t>r v</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s</w:t>
      </w:r>
      <w:r>
        <w:rPr>
          <w:rFonts w:ascii="Times New Roman" w:cs="Times New Roman" w:eastAsia="Times New Roman" w:hAnsi="Times New Roman"/>
          <w:sz w:val="20"/>
          <w:szCs w:val="20"/>
          <w:color w:val="171717"/>
        </w:rPr>
        <w:t>te</w:t>
      </w:r>
      <w:r>
        <w:rPr>
          <w:rFonts w:ascii="Times New Roman" w:cs="Times New Roman" w:eastAsia="Times New Roman" w:hAnsi="Times New Roman"/>
          <w:sz w:val="20"/>
          <w:szCs w:val="20"/>
          <w:color w:val="070707"/>
        </w:rPr>
        <w:t xml:space="preserve">d </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cco</w:t>
      </w:r>
      <w:r>
        <w:rPr>
          <w:rFonts w:ascii="Times New Roman" w:cs="Times New Roman" w:eastAsia="Times New Roman" w:hAnsi="Times New Roman"/>
          <w:sz w:val="20"/>
          <w:szCs w:val="20"/>
          <w:color w:val="171717"/>
        </w:rPr>
        <w:t>u</w:t>
      </w:r>
      <w:r>
        <w:rPr>
          <w:rFonts w:ascii="Times New Roman" w:cs="Times New Roman" w:eastAsia="Times New Roman" w:hAnsi="Times New Roman"/>
          <w:sz w:val="20"/>
          <w:szCs w:val="20"/>
          <w:color w:val="070707"/>
        </w:rPr>
        <w:t>nt in th</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 form speci</w:t>
      </w:r>
      <w:r>
        <w:rPr>
          <w:rFonts w:ascii="Times New Roman" w:cs="Times New Roman" w:eastAsia="Times New Roman" w:hAnsi="Times New Roman"/>
          <w:sz w:val="20"/>
          <w:szCs w:val="20"/>
          <w:color w:val="171717"/>
        </w:rPr>
        <w:t>fi</w:t>
      </w:r>
      <w:r>
        <w:rPr>
          <w:rFonts w:ascii="Times New Roman" w:cs="Times New Roman" w:eastAsia="Times New Roman" w:hAnsi="Times New Roman"/>
          <w:sz w:val="20"/>
          <w:szCs w:val="20"/>
          <w:color w:val="070707"/>
        </w:rPr>
        <w:t>ed in the Pa</w:t>
      </w:r>
      <w:r>
        <w:rPr>
          <w:rFonts w:ascii="Times New Roman" w:cs="Times New Roman" w:eastAsia="Times New Roman" w:hAnsi="Times New Roman"/>
          <w:sz w:val="20"/>
          <w:szCs w:val="20"/>
          <w:color w:val="171717"/>
        </w:rPr>
        <w:t>rti</w:t>
      </w:r>
      <w:r>
        <w:rPr>
          <w:rFonts w:ascii="Times New Roman" w:cs="Times New Roman" w:eastAsia="Times New Roman" w:hAnsi="Times New Roman"/>
          <w:sz w:val="20"/>
          <w:szCs w:val="20"/>
          <w:color w:val="070707"/>
        </w:rPr>
        <w:t>cipa</w:t>
      </w:r>
      <w:r>
        <w:rPr>
          <w:rFonts w:ascii="Times New Roman" w:cs="Times New Roman" w:eastAsia="Times New Roman" w:hAnsi="Times New Roman"/>
          <w:sz w:val="20"/>
          <w:szCs w:val="20"/>
          <w:color w:val="171717"/>
        </w:rPr>
        <w:t>nt</w:t>
      </w:r>
      <w:r>
        <w:rPr>
          <w:rFonts w:ascii="Times New Roman" w:cs="Times New Roman" w:eastAsia="Times New Roman" w:hAnsi="Times New Roman"/>
          <w:sz w:val="20"/>
          <w:szCs w:val="20"/>
          <w:color w:val="070707"/>
        </w:rPr>
        <w:t>'s D</w:t>
      </w:r>
      <w:r>
        <w:rPr>
          <w:rFonts w:ascii="Times New Roman" w:cs="Times New Roman" w:eastAsia="Times New Roman" w:hAnsi="Times New Roman"/>
          <w:sz w:val="20"/>
          <w:szCs w:val="20"/>
          <w:color w:val="171717"/>
        </w:rPr>
        <w:t>eferr</w:t>
      </w:r>
      <w:r>
        <w:rPr>
          <w:rFonts w:ascii="Times New Roman" w:cs="Times New Roman" w:eastAsia="Times New Roman" w:hAnsi="Times New Roman"/>
          <w:sz w:val="20"/>
          <w:szCs w:val="20"/>
          <w:color w:val="070707"/>
        </w:rPr>
        <w:t>a</w:t>
      </w:r>
      <w:r>
        <w:rPr>
          <w:rFonts w:ascii="Times New Roman" w:cs="Times New Roman" w:eastAsia="Times New Roman" w:hAnsi="Times New Roman"/>
          <w:sz w:val="20"/>
          <w:szCs w:val="20"/>
          <w:color w:val="171717"/>
        </w:rPr>
        <w:t>l</w:t>
      </w:r>
      <w:r>
        <w:rPr>
          <w:rFonts w:ascii="Times New Roman" w:cs="Times New Roman" w:eastAsia="Times New Roman" w:hAnsi="Times New Roman"/>
          <w:sz w:val="20"/>
          <w:szCs w:val="20"/>
          <w:color w:val="070707"/>
        </w:rPr>
        <w:t xml:space="preserve"> A</w:t>
      </w:r>
      <w:r>
        <w:rPr>
          <w:rFonts w:ascii="Times New Roman" w:cs="Times New Roman" w:eastAsia="Times New Roman" w:hAnsi="Times New Roman"/>
          <w:sz w:val="20"/>
          <w:szCs w:val="20"/>
          <w:color w:val="171717"/>
        </w:rPr>
        <w:t>g</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ee</w:t>
      </w:r>
      <w:r>
        <w:rPr>
          <w:rFonts w:ascii="Times New Roman" w:cs="Times New Roman" w:eastAsia="Times New Roman" w:hAnsi="Times New Roman"/>
          <w:sz w:val="20"/>
          <w:szCs w:val="20"/>
          <w:color w:val="070707"/>
        </w:rPr>
        <w:t>ment, which may be a lump sum paym</w:t>
      </w:r>
      <w:r>
        <w:rPr>
          <w:rFonts w:ascii="Times New Roman" w:cs="Times New Roman" w:eastAsia="Times New Roman" w:hAnsi="Times New Roman"/>
          <w:sz w:val="20"/>
          <w:szCs w:val="20"/>
          <w:color w:val="171717"/>
        </w:rPr>
        <w:t>en</w:t>
      </w:r>
      <w:r>
        <w:rPr>
          <w:rFonts w:ascii="Times New Roman" w:cs="Times New Roman" w:eastAsia="Times New Roman" w:hAnsi="Times New Roman"/>
          <w:sz w:val="20"/>
          <w:szCs w:val="20"/>
          <w:color w:val="070707"/>
        </w:rPr>
        <w:t>t and/or annual installments o</w:t>
      </w:r>
      <w:r>
        <w:rPr>
          <w:rFonts w:ascii="Times New Roman" w:cs="Times New Roman" w:eastAsia="Times New Roman" w:hAnsi="Times New Roman"/>
          <w:sz w:val="20"/>
          <w:szCs w:val="20"/>
          <w:color w:val="171717"/>
        </w:rPr>
        <w:t>f</w:t>
      </w:r>
      <w:r>
        <w:rPr>
          <w:rFonts w:ascii="Times New Roman" w:cs="Times New Roman" w:eastAsia="Times New Roman" w:hAnsi="Times New Roman"/>
          <w:sz w:val="20"/>
          <w:szCs w:val="20"/>
          <w:color w:val="070707"/>
        </w:rPr>
        <w:t xml:space="preserve"> substa</w:t>
      </w:r>
      <w:r>
        <w:rPr>
          <w:rFonts w:ascii="Times New Roman" w:cs="Times New Roman" w:eastAsia="Times New Roman" w:hAnsi="Times New Roman"/>
          <w:sz w:val="20"/>
          <w:szCs w:val="20"/>
          <w:color w:val="171717"/>
        </w:rPr>
        <w:t>n</w:t>
      </w:r>
      <w:r>
        <w:rPr>
          <w:rFonts w:ascii="Times New Roman" w:cs="Times New Roman" w:eastAsia="Times New Roman" w:hAnsi="Times New Roman"/>
          <w:sz w:val="20"/>
          <w:szCs w:val="20"/>
          <w:color w:val="070707"/>
        </w:rPr>
        <w:t xml:space="preserve">tial </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qual amounts pay</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ble ov</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r a pe</w:t>
      </w:r>
      <w:r>
        <w:rPr>
          <w:rFonts w:ascii="Times New Roman" w:cs="Times New Roman" w:eastAsia="Times New Roman" w:hAnsi="Times New Roman"/>
          <w:sz w:val="20"/>
          <w:szCs w:val="20"/>
          <w:color w:val="171717"/>
        </w:rPr>
        <w:t>ri</w:t>
      </w:r>
      <w:r>
        <w:rPr>
          <w:rFonts w:ascii="Times New Roman" w:cs="Times New Roman" w:eastAsia="Times New Roman" w:hAnsi="Times New Roman"/>
          <w:sz w:val="20"/>
          <w:szCs w:val="20"/>
          <w:color w:val="070707"/>
        </w:rPr>
        <w:t xml:space="preserve">od of years certain not to exceed </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en. Any such in-service distribution may be scheduled for any month and year prior to the Participant's Te</w:t>
      </w:r>
      <w:r>
        <w:rPr>
          <w:rFonts w:ascii="Times New Roman" w:cs="Times New Roman" w:eastAsia="Times New Roman" w:hAnsi="Times New Roman"/>
          <w:sz w:val="20"/>
          <w:szCs w:val="20"/>
          <w:color w:val="171717"/>
        </w:rPr>
        <w:t>r</w:t>
      </w:r>
      <w:r>
        <w:rPr>
          <w:rFonts w:ascii="Times New Roman" w:cs="Times New Roman" w:eastAsia="Times New Roman" w:hAnsi="Times New Roman"/>
          <w:sz w:val="20"/>
          <w:szCs w:val="20"/>
          <w:color w:val="070707"/>
        </w:rPr>
        <w:t>mination and must be scheduled at least two years from the year in which the deferred amount is earned</w:t>
      </w:r>
      <w:r>
        <w:rPr>
          <w:rFonts w:ascii="Times New Roman" w:cs="Times New Roman" w:eastAsia="Times New Roman" w:hAnsi="Times New Roman"/>
          <w:sz w:val="20"/>
          <w:szCs w:val="20"/>
          <w:color w:val="171717"/>
        </w:rPr>
        <w:t>.</w:t>
      </w:r>
      <w:r>
        <w:rPr>
          <w:rFonts w:ascii="Times New Roman" w:cs="Times New Roman" w:eastAsia="Times New Roman" w:hAnsi="Times New Roman"/>
          <w:sz w:val="20"/>
          <w:szCs w:val="20"/>
          <w:color w:val="070707"/>
        </w:rPr>
        <w:t xml:space="preserve"> Any in-service distribution will commence on the first day of the month following the month designated by the Participant as the distribution month. Notwithstanding the foregoing, in-service distributions shall be made only prior to the Participant's Termination. To the extent that a Participant Terminates, a distribution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1072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7"/>
          <w:szCs w:val="17"/>
          <w:color w:val="151515"/>
        </w:rPr>
        <w:t>Page 9</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260"/>
          </w:cols>
          <w:pgMar w:left="320" w:top="1440" w:right="319" w:bottom="1440" w:gutter="0" w:footer="0" w:header="0"/>
        </w:sectPr>
      </w:pPr>
    </w:p>
    <w:bookmarkStart w:id="172" w:name="page173"/>
    <w:bookmarkEnd w:id="172"/>
    <w:p>
      <w:pPr>
        <w:spacing w:after="0" w:line="54" w:lineRule="exact"/>
        <w:rPr>
          <w:sz w:val="20"/>
          <w:szCs w:val="20"/>
          <w:color w:val="auto"/>
        </w:rPr>
      </w:pPr>
    </w:p>
    <w:p>
      <w:pPr>
        <w:jc w:val="both"/>
        <w:ind w:left="120" w:firstLine="4"/>
        <w:spacing w:after="0" w:line="275" w:lineRule="auto"/>
        <w:rPr>
          <w:sz w:val="20"/>
          <w:szCs w:val="20"/>
          <w:color w:val="auto"/>
        </w:rPr>
      </w:pPr>
      <w:r>
        <w:rPr>
          <w:rFonts w:ascii="Times New Roman" w:cs="Times New Roman" w:eastAsia="Times New Roman" w:hAnsi="Times New Roman"/>
          <w:sz w:val="20"/>
          <w:szCs w:val="20"/>
          <w:color w:val="171717"/>
        </w:rPr>
        <w:t>Participant's vested Account shall be made in accordance with Section 8.1(b)(i); provided, however, that if an in-service distribution is an installment distribution and if it is in pay status, then such in-service distribution installments shall be paid in accordance with the Participant's in-service distribution election and not in accordance with Section 8.l(b)(i).</w:t>
      </w:r>
    </w:p>
    <w:p>
      <w:pPr>
        <w:spacing w:after="0" w:line="208" w:lineRule="exact"/>
        <w:rPr>
          <w:sz w:val="20"/>
          <w:szCs w:val="20"/>
          <w:color w:val="auto"/>
        </w:rPr>
      </w:pPr>
    </w:p>
    <w:p>
      <w:pPr>
        <w:jc w:val="both"/>
        <w:ind w:left="120" w:firstLine="2593"/>
        <w:spacing w:after="0" w:line="271" w:lineRule="auto"/>
        <w:tabs>
          <w:tab w:leader="none" w:pos="3081" w:val="left"/>
        </w:tabs>
        <w:numPr>
          <w:ilvl w:val="0"/>
          <w:numId w:val="97"/>
        </w:numPr>
        <w:rPr>
          <w:rFonts w:ascii="Times New Roman" w:cs="Times New Roman" w:eastAsia="Times New Roman" w:hAnsi="Times New Roman"/>
          <w:sz w:val="20"/>
          <w:szCs w:val="20"/>
          <w:b w:val="1"/>
          <w:bCs w:val="1"/>
          <w:color w:val="171717"/>
        </w:rPr>
      </w:pPr>
      <w:r>
        <w:rPr>
          <w:rFonts w:ascii="Times New Roman" w:cs="Times New Roman" w:eastAsia="Times New Roman" w:hAnsi="Times New Roman"/>
          <w:sz w:val="20"/>
          <w:szCs w:val="20"/>
          <w:color w:val="171717"/>
        </w:rPr>
        <w:t>An Employee-Participant who el</w:t>
      </w:r>
      <w:r>
        <w:rPr>
          <w:rFonts w:ascii="Times New Roman" w:cs="Times New Roman" w:eastAsia="Times New Roman" w:hAnsi="Times New Roman"/>
          <w:sz w:val="20"/>
          <w:szCs w:val="20"/>
          <w:color w:val="383838"/>
        </w:rPr>
        <w:t>e</w:t>
      </w:r>
      <w:r>
        <w:rPr>
          <w:rFonts w:ascii="Times New Roman" w:cs="Times New Roman" w:eastAsia="Times New Roman" w:hAnsi="Times New Roman"/>
          <w:sz w:val="20"/>
          <w:szCs w:val="20"/>
          <w:color w:val="171717"/>
        </w:rPr>
        <w:t>cts an in-service distribution may make a re-deferral election with respect to the in-service distribution election if the following conditions are met: (1) the re-deferral election is in writing and does not take effect until twelve months after the date the re-deferral election is made, (2) the new in-service distribution date is at least five years after the scheduled distribution date in effect on the date the re-deferral election is made, and (3) the re-deferral election is made not less than twelve months prior to the scheduled distribution date in effect on the date the re-deferral election is made.</w:t>
      </w:r>
    </w:p>
    <w:p>
      <w:pPr>
        <w:spacing w:after="0" w:line="210" w:lineRule="exact"/>
        <w:rPr>
          <w:sz w:val="20"/>
          <w:szCs w:val="20"/>
          <w:color w:val="auto"/>
        </w:rPr>
      </w:pPr>
    </w:p>
    <w:p>
      <w:pPr>
        <w:jc w:val="both"/>
        <w:ind w:left="100" w:right="20" w:firstLine="665"/>
        <w:spacing w:after="0" w:line="262" w:lineRule="auto"/>
        <w:rPr>
          <w:sz w:val="20"/>
          <w:szCs w:val="20"/>
          <w:color w:val="auto"/>
        </w:rPr>
      </w:pPr>
      <w:r>
        <w:rPr>
          <w:rFonts w:ascii="Times New Roman" w:cs="Times New Roman" w:eastAsia="Times New Roman" w:hAnsi="Times New Roman"/>
          <w:sz w:val="20"/>
          <w:szCs w:val="20"/>
          <w:b w:val="1"/>
          <w:bCs w:val="1"/>
          <w:color w:val="171717"/>
        </w:rPr>
        <w:t xml:space="preserve">8.2 Form of Distribution. </w:t>
      </w:r>
      <w:r>
        <w:rPr>
          <w:rFonts w:ascii="Times New Roman" w:cs="Times New Roman" w:eastAsia="Times New Roman" w:hAnsi="Times New Roman"/>
          <w:sz w:val="20"/>
          <w:szCs w:val="20"/>
          <w:color w:val="171717"/>
        </w:rPr>
        <w:t>Except as provided otherwise in this Article VIII, a Participant's vested Account shall be distributed to</w:t>
      </w:r>
      <w:r>
        <w:rPr>
          <w:rFonts w:ascii="Times New Roman" w:cs="Times New Roman" w:eastAsia="Times New Roman" w:hAnsi="Times New Roman"/>
          <w:sz w:val="20"/>
          <w:szCs w:val="20"/>
          <w:b w:val="1"/>
          <w:bCs w:val="1"/>
          <w:color w:val="171717"/>
        </w:rPr>
        <w:t xml:space="preserve"> </w:t>
      </w:r>
      <w:r>
        <w:rPr>
          <w:rFonts w:ascii="Times New Roman" w:cs="Times New Roman" w:eastAsia="Times New Roman" w:hAnsi="Times New Roman"/>
          <w:sz w:val="20"/>
          <w:szCs w:val="20"/>
          <w:color w:val="171717"/>
        </w:rPr>
        <w:t xml:space="preserve">the Participant in either a lump sum or in approximately equal annual installments over a period not to exceed ten ( 10) years. Said form shall be irrevocably elected by the Participant on the Participant's applicable Deferral Agreement; provided, however, that the Participant may, with the consent of the Administrator, change the distribution form, provided such change does not result in the acceleration of payments within the meaning of Code Section 409A. Any such change (a) must be requested in writing (and such request must be filed with the Administrator) at least twelve (12) months prior to the date on which the Participant Terminates, (b) shall automatically result in the distribution (or commencement of distribution) of the Participant's benefit being delayed until the fifth (5th) anniversary of the date on which it would otherwise have occurred (or commenced), (c) shall not take effect for twelve (12) months after the date on which such change request is filed with the Administrator, and (d) shall not be effective unless and until approved by the Administrator. Any change requested which does not meet all the above requirements shall be null and void. </w:t>
      </w:r>
      <w:r>
        <w:rPr>
          <w:rFonts w:ascii="Times New Roman" w:cs="Times New Roman" w:eastAsia="Times New Roman" w:hAnsi="Times New Roman"/>
          <w:sz w:val="21"/>
          <w:szCs w:val="21"/>
          <w:color w:val="171717"/>
        </w:rPr>
        <w:t>If</w:t>
      </w:r>
      <w:r>
        <w:rPr>
          <w:rFonts w:ascii="Times New Roman" w:cs="Times New Roman" w:eastAsia="Times New Roman" w:hAnsi="Times New Roman"/>
          <w:sz w:val="20"/>
          <w:szCs w:val="20"/>
          <w:color w:val="171717"/>
        </w:rPr>
        <w:t xml:space="preserve"> a Participant fails to elect a form of distribution on his or her initial Deferral Agreement or, effective for deferrals made on or after January l, 2012, on his or her annual Deferral Agreement, then such Participant shall be deemed to have elected a lump sum distribution payable upon Termination in accordance with Section 8.1(a) or 8.l(b)(i).</w:t>
      </w:r>
    </w:p>
    <w:p>
      <w:pPr>
        <w:spacing w:after="0" w:line="1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171717"/>
        </w:rPr>
        <w:t>8.3 Unforeseeable Emergency.</w:t>
      </w:r>
    </w:p>
    <w:p>
      <w:pPr>
        <w:spacing w:after="0" w:line="242" w:lineRule="exact"/>
        <w:rPr>
          <w:sz w:val="20"/>
          <w:szCs w:val="20"/>
          <w:color w:val="auto"/>
        </w:rPr>
      </w:pPr>
    </w:p>
    <w:p>
      <w:pPr>
        <w:jc w:val="both"/>
        <w:ind w:left="80" w:right="20" w:firstLine="1946"/>
        <w:spacing w:after="0" w:line="265" w:lineRule="auto"/>
        <w:tabs>
          <w:tab w:leader="none" w:pos="2320" w:val="left"/>
        </w:tabs>
        <w:numPr>
          <w:ilvl w:val="0"/>
          <w:numId w:val="98"/>
        </w:numPr>
        <w:rPr>
          <w:rFonts w:ascii="Times New Roman" w:cs="Times New Roman" w:eastAsia="Times New Roman" w:hAnsi="Times New Roman"/>
          <w:sz w:val="20"/>
          <w:szCs w:val="20"/>
          <w:color w:val="171717"/>
        </w:rPr>
      </w:pPr>
      <w:r>
        <w:rPr>
          <w:rFonts w:ascii="Times New Roman" w:cs="Times New Roman" w:eastAsia="Times New Roman" w:hAnsi="Times New Roman"/>
          <w:sz w:val="20"/>
          <w:szCs w:val="20"/>
          <w:color w:val="171717"/>
        </w:rPr>
        <w:t>Any Participant who experiences an Unforeseeable Emergency may request a distribution from his or her vested Account under the Plan. The amount of any such distribution may not exceed the lesser of the balance in the Participant's vested Account as of the date of distribution or the amount reasonably necessary to satisfy the emergency need (which may include amounts necessary to pay Federal, state, local or foreign income taxes or penalties reasonably anticipated to result from the distribution). Whether a Participant has experienced an Unforeseeable Emergency permitting a distribution under this Section 8</w:t>
      </w:r>
      <w:r>
        <w:rPr>
          <w:rFonts w:ascii="Times New Roman" w:cs="Times New Roman" w:eastAsia="Times New Roman" w:hAnsi="Times New Roman"/>
          <w:sz w:val="20"/>
          <w:szCs w:val="20"/>
          <w:color w:val="383838"/>
        </w:rPr>
        <w:t>.</w:t>
      </w:r>
      <w:r>
        <w:rPr>
          <w:rFonts w:ascii="Times New Roman" w:cs="Times New Roman" w:eastAsia="Times New Roman" w:hAnsi="Times New Roman"/>
          <w:sz w:val="20"/>
          <w:szCs w:val="20"/>
          <w:color w:val="171717"/>
        </w:rPr>
        <w:t>3 shall be determined by the Administrator based on the relevant facts and circumstances of each case, but, in any case, a distribution on account of an Unforeseeable Emergency may not be made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0980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056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7"/>
          <w:szCs w:val="17"/>
          <w:color w:val="151515"/>
        </w:rPr>
        <w:t>Page 10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160"/>
          </w:cols>
          <w:pgMar w:left="340" w:top="1440" w:right="399" w:bottom="1440" w:gutter="0" w:footer="0" w:header="0"/>
        </w:sectPr>
      </w:pPr>
    </w:p>
    <w:bookmarkStart w:id="173" w:name="page174"/>
    <w:bookmarkEnd w:id="173"/>
    <w:p>
      <w:pPr>
        <w:spacing w:after="0" w:line="54" w:lineRule="exact"/>
        <w:rPr>
          <w:sz w:val="20"/>
          <w:szCs w:val="20"/>
          <w:color w:val="auto"/>
        </w:rPr>
      </w:pPr>
    </w:p>
    <w:p>
      <w:pPr>
        <w:jc w:val="both"/>
        <w:ind w:left="120" w:firstLine="17"/>
        <w:spacing w:after="0" w:line="259" w:lineRule="auto"/>
        <w:rPr>
          <w:sz w:val="20"/>
          <w:szCs w:val="20"/>
          <w:color w:val="auto"/>
        </w:rPr>
      </w:pPr>
      <w:r>
        <w:rPr>
          <w:rFonts w:ascii="Times New Roman" w:cs="Times New Roman" w:eastAsia="Times New Roman" w:hAnsi="Times New Roman"/>
          <w:sz w:val="20"/>
          <w:szCs w:val="20"/>
          <w:color w:val="141414"/>
        </w:rPr>
        <w:t>extent that 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em</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r</w:t>
      </w:r>
      <w:r>
        <w:rPr>
          <w:rFonts w:ascii="Times New Roman" w:cs="Times New Roman" w:eastAsia="Times New Roman" w:hAnsi="Times New Roman"/>
          <w:sz w:val="20"/>
          <w:szCs w:val="20"/>
          <w:color w:val="232323"/>
        </w:rPr>
        <w:t>ge</w:t>
      </w:r>
      <w:r>
        <w:rPr>
          <w:rFonts w:ascii="Times New Roman" w:cs="Times New Roman" w:eastAsia="Times New Roman" w:hAnsi="Times New Roman"/>
          <w:sz w:val="20"/>
          <w:szCs w:val="20"/>
          <w:color w:val="141414"/>
        </w:rPr>
        <w:t>ncy need is or m</w:t>
      </w:r>
      <w:r>
        <w:rPr>
          <w:rFonts w:ascii="Times New Roman" w:cs="Times New Roman" w:eastAsia="Times New Roman" w:hAnsi="Times New Roman"/>
          <w:sz w:val="20"/>
          <w:szCs w:val="20"/>
          <w:color w:val="232323"/>
        </w:rPr>
        <w:t>ay</w:t>
      </w:r>
      <w:r>
        <w:rPr>
          <w:rFonts w:ascii="Times New Roman" w:cs="Times New Roman" w:eastAsia="Times New Roman" w:hAnsi="Times New Roman"/>
          <w:sz w:val="20"/>
          <w:szCs w:val="20"/>
          <w:color w:val="141414"/>
        </w:rPr>
        <w:t xml:space="preserve"> be relieved through reimbursement or compensation by insurance or otherwis</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by l</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141414"/>
        </w:rPr>
        <w:t>quida</w:t>
      </w:r>
      <w:r>
        <w:rPr>
          <w:rFonts w:ascii="Times New Roman" w:cs="Times New Roman" w:eastAsia="Times New Roman" w:hAnsi="Times New Roman"/>
          <w:sz w:val="20"/>
          <w:szCs w:val="20"/>
          <w:color w:val="232323"/>
        </w:rPr>
        <w:t>t</w:t>
      </w:r>
      <w:r>
        <w:rPr>
          <w:rFonts w:ascii="Times New Roman" w:cs="Times New Roman" w:eastAsia="Times New Roman" w:hAnsi="Times New Roman"/>
          <w:sz w:val="20"/>
          <w:szCs w:val="20"/>
          <w:color w:val="141414"/>
        </w:rPr>
        <w:t>ion of the 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rt</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141414"/>
        </w:rPr>
        <w:t>cip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nt's assets (to the extent 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liqu</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141414"/>
        </w:rPr>
        <w:t>d</w:t>
      </w:r>
      <w:r>
        <w:rPr>
          <w:rFonts w:ascii="Times New Roman" w:cs="Times New Roman" w:eastAsia="Times New Roman" w:hAnsi="Times New Roman"/>
          <w:sz w:val="20"/>
          <w:szCs w:val="20"/>
          <w:color w:val="232323"/>
        </w:rPr>
        <w:t>ati</w:t>
      </w:r>
      <w:r>
        <w:rPr>
          <w:rFonts w:ascii="Times New Roman" w:cs="Times New Roman" w:eastAsia="Times New Roman" w:hAnsi="Times New Roman"/>
          <w:sz w:val="20"/>
          <w:szCs w:val="20"/>
          <w:color w:val="141414"/>
        </w:rPr>
        <w:t>on would not itself c</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use seve</w:t>
      </w:r>
      <w:r>
        <w:rPr>
          <w:rFonts w:ascii="Times New Roman" w:cs="Times New Roman" w:eastAsia="Times New Roman" w:hAnsi="Times New Roman"/>
          <w:sz w:val="20"/>
          <w:szCs w:val="20"/>
          <w:color w:val="232323"/>
        </w:rPr>
        <w:t>r</w:t>
      </w:r>
      <w:r>
        <w:rPr>
          <w:rFonts w:ascii="Times New Roman" w:cs="Times New Roman" w:eastAsia="Times New Roman" w:hAnsi="Times New Roman"/>
          <w:sz w:val="20"/>
          <w:szCs w:val="20"/>
          <w:color w:val="141414"/>
        </w:rPr>
        <w:t>e financial h</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rdshi</w:t>
      </w:r>
      <w:r>
        <w:rPr>
          <w:rFonts w:ascii="Times New Roman" w:cs="Times New Roman" w:eastAsia="Times New Roman" w:hAnsi="Times New Roman"/>
          <w:sz w:val="20"/>
          <w:szCs w:val="20"/>
          <w:color w:val="232323"/>
        </w:rPr>
        <w:t>p</w:t>
      </w:r>
      <w:r>
        <w:rPr>
          <w:rFonts w:ascii="Times New Roman" w:cs="Times New Roman" w:eastAsia="Times New Roman" w:hAnsi="Times New Roman"/>
          <w:sz w:val="20"/>
          <w:szCs w:val="20"/>
          <w:color w:val="141414"/>
        </w:rPr>
        <w:t>)</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141414"/>
        </w:rPr>
        <w:t xml:space="preserve"> or by cessation o</w:t>
      </w:r>
      <w:r>
        <w:rPr>
          <w:rFonts w:ascii="Times New Roman" w:cs="Times New Roman" w:eastAsia="Times New Roman" w:hAnsi="Times New Roman"/>
          <w:sz w:val="20"/>
          <w:szCs w:val="20"/>
          <w:color w:val="232323"/>
        </w:rPr>
        <w:t>f</w:t>
      </w:r>
      <w:r>
        <w:rPr>
          <w:rFonts w:ascii="Times New Roman" w:cs="Times New Roman" w:eastAsia="Times New Roman" w:hAnsi="Times New Roman"/>
          <w:sz w:val="20"/>
          <w:szCs w:val="20"/>
          <w:color w:val="141414"/>
        </w:rPr>
        <w:t xml:space="preserve"> deferrals under the Plan. A Participan</w:t>
      </w:r>
      <w:r>
        <w:rPr>
          <w:rFonts w:ascii="Times New Roman" w:cs="Times New Roman" w:eastAsia="Times New Roman" w:hAnsi="Times New Roman"/>
          <w:sz w:val="20"/>
          <w:szCs w:val="20"/>
          <w:color w:val="232323"/>
        </w:rPr>
        <w:t>t</w:t>
      </w:r>
      <w:r>
        <w:rPr>
          <w:rFonts w:ascii="Times New Roman" w:cs="Times New Roman" w:eastAsia="Times New Roman" w:hAnsi="Times New Roman"/>
          <w:sz w:val="20"/>
          <w:szCs w:val="20"/>
          <w:color w:val="141414"/>
        </w:rPr>
        <w:t xml:space="preserve"> sh</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ll b</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required to submi</w:t>
      </w:r>
      <w:r>
        <w:rPr>
          <w:rFonts w:ascii="Times New Roman" w:cs="Times New Roman" w:eastAsia="Times New Roman" w:hAnsi="Times New Roman"/>
          <w:sz w:val="20"/>
          <w:szCs w:val="20"/>
          <w:color w:val="232323"/>
        </w:rPr>
        <w:t>t a</w:t>
      </w:r>
      <w:r>
        <w:rPr>
          <w:rFonts w:ascii="Times New Roman" w:cs="Times New Roman" w:eastAsia="Times New Roman" w:hAnsi="Times New Roman"/>
          <w:sz w:val="20"/>
          <w:szCs w:val="20"/>
          <w:color w:val="141414"/>
        </w:rPr>
        <w:t xml:space="preserve"> written request for such a with</w:t>
      </w:r>
      <w:r>
        <w:rPr>
          <w:rFonts w:ascii="Times New Roman" w:cs="Times New Roman" w:eastAsia="Times New Roman" w:hAnsi="Times New Roman"/>
          <w:sz w:val="20"/>
          <w:szCs w:val="20"/>
          <w:color w:val="232323"/>
        </w:rPr>
        <w:t>dra</w:t>
      </w:r>
      <w:r>
        <w:rPr>
          <w:rFonts w:ascii="Times New Roman" w:cs="Times New Roman" w:eastAsia="Times New Roman" w:hAnsi="Times New Roman"/>
          <w:sz w:val="20"/>
          <w:szCs w:val="20"/>
          <w:color w:val="141414"/>
        </w:rPr>
        <w:t>w</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l</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141414"/>
        </w:rPr>
        <w:t xml:space="preserve"> together with such </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upport</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141414"/>
        </w:rPr>
        <w:t>ng document</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t</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141414"/>
        </w:rPr>
        <w:t xml:space="preserve">on </w:t>
      </w:r>
      <w:r>
        <w:rPr>
          <w:rFonts w:ascii="Times New Roman" w:cs="Times New Roman" w:eastAsia="Times New Roman" w:hAnsi="Times New Roman"/>
          <w:sz w:val="20"/>
          <w:szCs w:val="20"/>
          <w:color w:val="232323"/>
        </w:rPr>
        <w:t>as</w:t>
      </w:r>
      <w:r>
        <w:rPr>
          <w:rFonts w:ascii="Times New Roman" w:cs="Times New Roman" w:eastAsia="Times New Roman" w:hAnsi="Times New Roman"/>
          <w:sz w:val="20"/>
          <w:szCs w:val="20"/>
          <w:color w:val="141414"/>
        </w:rPr>
        <w:t xml:space="preserve"> the Administrator may require</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141414"/>
        </w:rPr>
        <w:t xml:space="preserve"> t</w:t>
      </w:r>
      <w:r>
        <w:rPr>
          <w:rFonts w:ascii="Times New Roman" w:cs="Times New Roman" w:eastAsia="Times New Roman" w:hAnsi="Times New Roman"/>
          <w:sz w:val="20"/>
          <w:szCs w:val="20"/>
          <w:color w:val="232323"/>
        </w:rPr>
        <w:t>o</w:t>
      </w:r>
      <w:r>
        <w:rPr>
          <w:rFonts w:ascii="Times New Roman" w:cs="Times New Roman" w:eastAsia="Times New Roman" w:hAnsi="Times New Roman"/>
          <w:sz w:val="20"/>
          <w:szCs w:val="20"/>
          <w:color w:val="141414"/>
        </w:rPr>
        <w:t xml:space="preserve"> th</w:t>
      </w:r>
      <w:r>
        <w:rPr>
          <w:rFonts w:ascii="Times New Roman" w:cs="Times New Roman" w:eastAsia="Times New Roman" w:hAnsi="Times New Roman"/>
          <w:sz w:val="20"/>
          <w:szCs w:val="20"/>
          <w:color w:val="232323"/>
        </w:rPr>
        <w:t>e A</w:t>
      </w:r>
      <w:r>
        <w:rPr>
          <w:rFonts w:ascii="Times New Roman" w:cs="Times New Roman" w:eastAsia="Times New Roman" w:hAnsi="Times New Roman"/>
          <w:sz w:val="20"/>
          <w:szCs w:val="20"/>
          <w:color w:val="141414"/>
        </w:rPr>
        <w:t>dm</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141414"/>
        </w:rPr>
        <w:t xml:space="preserve">nistrator for </w:t>
      </w:r>
      <w:r>
        <w:rPr>
          <w:rFonts w:ascii="Times New Roman" w:cs="Times New Roman" w:eastAsia="Times New Roman" w:hAnsi="Times New Roman"/>
          <w:sz w:val="20"/>
          <w:szCs w:val="20"/>
          <w:color w:val="232323"/>
        </w:rPr>
        <w:t>rev</w:t>
      </w:r>
      <w:r>
        <w:rPr>
          <w:rFonts w:ascii="Times New Roman" w:cs="Times New Roman" w:eastAsia="Times New Roman" w:hAnsi="Times New Roman"/>
          <w:sz w:val="20"/>
          <w:szCs w:val="20"/>
          <w:color w:val="141414"/>
        </w:rPr>
        <w:t>i</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w </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 xml:space="preserve">nd </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pproval. If th</w:t>
      </w:r>
      <w:r>
        <w:rPr>
          <w:rFonts w:ascii="Times New Roman" w:cs="Times New Roman" w:eastAsia="Times New Roman" w:hAnsi="Times New Roman"/>
          <w:sz w:val="20"/>
          <w:szCs w:val="20"/>
          <w:color w:val="232323"/>
        </w:rPr>
        <w:t>e A</w:t>
      </w:r>
      <w:r>
        <w:rPr>
          <w:rFonts w:ascii="Times New Roman" w:cs="Times New Roman" w:eastAsia="Times New Roman" w:hAnsi="Times New Roman"/>
          <w:sz w:val="20"/>
          <w:szCs w:val="20"/>
          <w:color w:val="141414"/>
        </w:rPr>
        <w:t>d</w:t>
      </w:r>
      <w:r>
        <w:rPr>
          <w:rFonts w:ascii="Times New Roman" w:cs="Times New Roman" w:eastAsia="Times New Roman" w:hAnsi="Times New Roman"/>
          <w:sz w:val="20"/>
          <w:szCs w:val="20"/>
          <w:color w:val="232323"/>
        </w:rPr>
        <w:t>mini</w:t>
      </w:r>
      <w:r>
        <w:rPr>
          <w:rFonts w:ascii="Times New Roman" w:cs="Times New Roman" w:eastAsia="Times New Roman" w:hAnsi="Times New Roman"/>
          <w:sz w:val="20"/>
          <w:szCs w:val="20"/>
          <w:color w:val="141414"/>
        </w:rPr>
        <w:t>s</w:t>
      </w:r>
      <w:r>
        <w:rPr>
          <w:rFonts w:ascii="Times New Roman" w:cs="Times New Roman" w:eastAsia="Times New Roman" w:hAnsi="Times New Roman"/>
          <w:sz w:val="20"/>
          <w:szCs w:val="20"/>
          <w:color w:val="232323"/>
        </w:rPr>
        <w:t>t</w:t>
      </w:r>
      <w:r>
        <w:rPr>
          <w:rFonts w:ascii="Times New Roman" w:cs="Times New Roman" w:eastAsia="Times New Roman" w:hAnsi="Times New Roman"/>
          <w:sz w:val="20"/>
          <w:szCs w:val="20"/>
          <w:color w:val="141414"/>
        </w:rPr>
        <w:t>rator approves 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Participant'</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 xml:space="preserve"> r</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que</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t</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141414"/>
        </w:rPr>
        <w:t xml:space="preserve"> the Parti</w:t>
      </w:r>
      <w:r>
        <w:rPr>
          <w:rFonts w:ascii="Times New Roman" w:cs="Times New Roman" w:eastAsia="Times New Roman" w:hAnsi="Times New Roman"/>
          <w:sz w:val="20"/>
          <w:szCs w:val="20"/>
          <w:color w:val="232323"/>
        </w:rPr>
        <w:t>c</w:t>
      </w:r>
      <w:r>
        <w:rPr>
          <w:rFonts w:ascii="Times New Roman" w:cs="Times New Roman" w:eastAsia="Times New Roman" w:hAnsi="Times New Roman"/>
          <w:sz w:val="20"/>
          <w:szCs w:val="20"/>
          <w:color w:val="141414"/>
        </w:rPr>
        <w:t>ip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nt'</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 xml:space="preserve"> d</w:t>
      </w:r>
      <w:r>
        <w:rPr>
          <w:rFonts w:ascii="Times New Roman" w:cs="Times New Roman" w:eastAsia="Times New Roman" w:hAnsi="Times New Roman"/>
          <w:sz w:val="20"/>
          <w:szCs w:val="20"/>
          <w:color w:val="232323"/>
        </w:rPr>
        <w:t>efe</w:t>
      </w:r>
      <w:r>
        <w:rPr>
          <w:rFonts w:ascii="Times New Roman" w:cs="Times New Roman" w:eastAsia="Times New Roman" w:hAnsi="Times New Roman"/>
          <w:sz w:val="20"/>
          <w:szCs w:val="20"/>
          <w:color w:val="141414"/>
        </w:rPr>
        <w:t>rral</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 xml:space="preserve"> under the Pl</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 xml:space="preserve">n </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h</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ll b</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canc</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lled prosp</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cti</w:t>
      </w:r>
      <w:r>
        <w:rPr>
          <w:rFonts w:ascii="Times New Roman" w:cs="Times New Roman" w:eastAsia="Times New Roman" w:hAnsi="Times New Roman"/>
          <w:sz w:val="20"/>
          <w:szCs w:val="20"/>
          <w:color w:val="232323"/>
        </w:rPr>
        <w:t>ve</w:t>
      </w:r>
      <w:r>
        <w:rPr>
          <w:rFonts w:ascii="Times New Roman" w:cs="Times New Roman" w:eastAsia="Times New Roman" w:hAnsi="Times New Roman"/>
          <w:sz w:val="20"/>
          <w:szCs w:val="20"/>
          <w:color w:val="141414"/>
        </w:rPr>
        <w:t>ly</w:t>
      </w:r>
      <w:r>
        <w:rPr>
          <w:rFonts w:ascii="Times New Roman" w:cs="Times New Roman" w:eastAsia="Times New Roman" w:hAnsi="Times New Roman"/>
          <w:sz w:val="20"/>
          <w:szCs w:val="20"/>
          <w:color w:val="232323"/>
        </w:rPr>
        <w:t>, effec</w:t>
      </w:r>
      <w:r>
        <w:rPr>
          <w:rFonts w:ascii="Times New Roman" w:cs="Times New Roman" w:eastAsia="Times New Roman" w:hAnsi="Times New Roman"/>
          <w:sz w:val="20"/>
          <w:szCs w:val="20"/>
          <w:color w:val="141414"/>
        </w:rPr>
        <w:t>ti</w:t>
      </w:r>
      <w:r>
        <w:rPr>
          <w:rFonts w:ascii="Times New Roman" w:cs="Times New Roman" w:eastAsia="Times New Roman" w:hAnsi="Times New Roman"/>
          <w:sz w:val="20"/>
          <w:szCs w:val="20"/>
          <w:color w:val="232323"/>
        </w:rPr>
        <w:t>ve</w:t>
      </w:r>
      <w:r>
        <w:rPr>
          <w:rFonts w:ascii="Times New Roman" w:cs="Times New Roman" w:eastAsia="Times New Roman" w:hAnsi="Times New Roman"/>
          <w:sz w:val="20"/>
          <w:szCs w:val="20"/>
          <w:color w:val="141414"/>
        </w:rPr>
        <w:t xml:space="preserve"> upon the d</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 xml:space="preserve">te </w:t>
      </w:r>
      <w:r>
        <w:rPr>
          <w:rFonts w:ascii="Times New Roman" w:cs="Times New Roman" w:eastAsia="Times New Roman" w:hAnsi="Times New Roman"/>
          <w:sz w:val="20"/>
          <w:szCs w:val="20"/>
          <w:color w:val="232323"/>
        </w:rPr>
        <w:t>o</w:t>
      </w:r>
      <w:r>
        <w:rPr>
          <w:rFonts w:ascii="Times New Roman" w:cs="Times New Roman" w:eastAsia="Times New Roman" w:hAnsi="Times New Roman"/>
          <w:sz w:val="20"/>
          <w:szCs w:val="20"/>
          <w:color w:val="141414"/>
        </w:rPr>
        <w:t xml:space="preserve">f </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u</w:t>
      </w:r>
      <w:r>
        <w:rPr>
          <w:rFonts w:ascii="Times New Roman" w:cs="Times New Roman" w:eastAsia="Times New Roman" w:hAnsi="Times New Roman"/>
          <w:sz w:val="20"/>
          <w:szCs w:val="20"/>
          <w:color w:val="232323"/>
        </w:rPr>
        <w:t>c</w:t>
      </w:r>
      <w:r>
        <w:rPr>
          <w:rFonts w:ascii="Times New Roman" w:cs="Times New Roman" w:eastAsia="Times New Roman" w:hAnsi="Times New Roman"/>
          <w:sz w:val="20"/>
          <w:szCs w:val="20"/>
          <w:color w:val="141414"/>
        </w:rPr>
        <w:t xml:space="preserve">h </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ppro</w:t>
      </w:r>
      <w:r>
        <w:rPr>
          <w:rFonts w:ascii="Times New Roman" w:cs="Times New Roman" w:eastAsia="Times New Roman" w:hAnsi="Times New Roman"/>
          <w:sz w:val="20"/>
          <w:szCs w:val="20"/>
          <w:color w:val="232323"/>
        </w:rPr>
        <w:t>v</w:t>
      </w:r>
      <w:r>
        <w:rPr>
          <w:rFonts w:ascii="Times New Roman" w:cs="Times New Roman" w:eastAsia="Times New Roman" w:hAnsi="Times New Roman"/>
          <w:sz w:val="20"/>
          <w:szCs w:val="20"/>
          <w:color w:val="141414"/>
        </w:rPr>
        <w:t>al</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141414"/>
        </w:rPr>
        <w:t xml:space="preserve"> and </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y</w:t>
      </w:r>
      <w:r>
        <w:rPr>
          <w:rFonts w:ascii="Times New Roman" w:cs="Times New Roman" w:eastAsia="Times New Roman" w:hAnsi="Times New Roman"/>
          <w:sz w:val="20"/>
          <w:szCs w:val="20"/>
          <w:color w:val="141414"/>
        </w:rPr>
        <w:t xml:space="preserve"> di</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tribution shall b</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mad</w:t>
      </w:r>
      <w:r>
        <w:rPr>
          <w:rFonts w:ascii="Times New Roman" w:cs="Times New Roman" w:eastAsia="Times New Roman" w:hAnsi="Times New Roman"/>
          <w:sz w:val="20"/>
          <w:szCs w:val="20"/>
          <w:color w:val="232323"/>
        </w:rPr>
        <w:t>e w</w:t>
      </w:r>
      <w:r>
        <w:rPr>
          <w:rFonts w:ascii="Times New Roman" w:cs="Times New Roman" w:eastAsia="Times New Roman" w:hAnsi="Times New Roman"/>
          <w:sz w:val="20"/>
          <w:szCs w:val="20"/>
          <w:color w:val="141414"/>
        </w:rPr>
        <w:t>ithin nin</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t</w:t>
      </w:r>
      <w:r>
        <w:rPr>
          <w:rFonts w:ascii="Times New Roman" w:cs="Times New Roman" w:eastAsia="Times New Roman" w:hAnsi="Times New Roman"/>
          <w:sz w:val="20"/>
          <w:szCs w:val="20"/>
          <w:color w:val="232323"/>
        </w:rPr>
        <w:t>y</w:t>
      </w:r>
      <w:r>
        <w:rPr>
          <w:rFonts w:ascii="Times New Roman" w:cs="Times New Roman" w:eastAsia="Times New Roman" w:hAnsi="Times New Roman"/>
          <w:sz w:val="20"/>
          <w:szCs w:val="20"/>
          <w:color w:val="141414"/>
        </w:rPr>
        <w:t xml:space="preserve"> (90) d</w:t>
      </w:r>
      <w:r>
        <w:rPr>
          <w:rFonts w:ascii="Times New Roman" w:cs="Times New Roman" w:eastAsia="Times New Roman" w:hAnsi="Times New Roman"/>
          <w:sz w:val="20"/>
          <w:szCs w:val="20"/>
          <w:color w:val="232323"/>
        </w:rPr>
        <w:t>ays afte</w:t>
      </w:r>
      <w:r>
        <w:rPr>
          <w:rFonts w:ascii="Times New Roman" w:cs="Times New Roman" w:eastAsia="Times New Roman" w:hAnsi="Times New Roman"/>
          <w:sz w:val="20"/>
          <w:szCs w:val="20"/>
          <w:color w:val="141414"/>
        </w:rPr>
        <w:t xml:space="preserve">r </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u</w:t>
      </w:r>
      <w:r>
        <w:rPr>
          <w:rFonts w:ascii="Times New Roman" w:cs="Times New Roman" w:eastAsia="Times New Roman" w:hAnsi="Times New Roman"/>
          <w:sz w:val="20"/>
          <w:szCs w:val="20"/>
          <w:color w:val="232323"/>
        </w:rPr>
        <w:t>c</w:t>
      </w:r>
      <w:r>
        <w:rPr>
          <w:rFonts w:ascii="Times New Roman" w:cs="Times New Roman" w:eastAsia="Times New Roman" w:hAnsi="Times New Roman"/>
          <w:sz w:val="20"/>
          <w:szCs w:val="20"/>
          <w:color w:val="141414"/>
        </w:rPr>
        <w:t xml:space="preserve">h </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ppro</w:t>
      </w:r>
      <w:r>
        <w:rPr>
          <w:rFonts w:ascii="Times New Roman" w:cs="Times New Roman" w:eastAsia="Times New Roman" w:hAnsi="Times New Roman"/>
          <w:sz w:val="20"/>
          <w:szCs w:val="20"/>
          <w:color w:val="232323"/>
        </w:rPr>
        <w:t>va</w:t>
      </w:r>
      <w:r>
        <w:rPr>
          <w:rFonts w:ascii="Times New Roman" w:cs="Times New Roman" w:eastAsia="Times New Roman" w:hAnsi="Times New Roman"/>
          <w:sz w:val="20"/>
          <w:szCs w:val="20"/>
          <w:color w:val="141414"/>
        </w:rPr>
        <w:t>l. If th</w:t>
      </w:r>
      <w:r>
        <w:rPr>
          <w:rFonts w:ascii="Times New Roman" w:cs="Times New Roman" w:eastAsia="Times New Roman" w:hAnsi="Times New Roman"/>
          <w:sz w:val="20"/>
          <w:szCs w:val="20"/>
          <w:color w:val="232323"/>
        </w:rPr>
        <w:t>e re</w:t>
      </w:r>
      <w:r>
        <w:rPr>
          <w:rFonts w:ascii="Times New Roman" w:cs="Times New Roman" w:eastAsia="Times New Roman" w:hAnsi="Times New Roman"/>
          <w:sz w:val="20"/>
          <w:szCs w:val="20"/>
          <w:color w:val="141414"/>
        </w:rPr>
        <w:t>qu</w:t>
      </w:r>
      <w:r>
        <w:rPr>
          <w:rFonts w:ascii="Times New Roman" w:cs="Times New Roman" w:eastAsia="Times New Roman" w:hAnsi="Times New Roman"/>
          <w:sz w:val="20"/>
          <w:szCs w:val="20"/>
          <w:color w:val="232323"/>
        </w:rPr>
        <w:t>es</w:t>
      </w:r>
      <w:r>
        <w:rPr>
          <w:rFonts w:ascii="Times New Roman" w:cs="Times New Roman" w:eastAsia="Times New Roman" w:hAnsi="Times New Roman"/>
          <w:sz w:val="20"/>
          <w:szCs w:val="20"/>
          <w:color w:val="141414"/>
        </w:rPr>
        <w:t>tin</w:t>
      </w:r>
      <w:r>
        <w:rPr>
          <w:rFonts w:ascii="Times New Roman" w:cs="Times New Roman" w:eastAsia="Times New Roman" w:hAnsi="Times New Roman"/>
          <w:sz w:val="20"/>
          <w:szCs w:val="20"/>
          <w:color w:val="232323"/>
        </w:rPr>
        <w:t>g</w:t>
      </w:r>
      <w:r>
        <w:rPr>
          <w:rFonts w:ascii="Times New Roman" w:cs="Times New Roman" w:eastAsia="Times New Roman" w:hAnsi="Times New Roman"/>
          <w:sz w:val="20"/>
          <w:szCs w:val="20"/>
          <w:color w:val="141414"/>
        </w:rPr>
        <w:t xml:space="preserve"> Particip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nt</w:t>
      </w:r>
      <w:r>
        <w:rPr>
          <w:rFonts w:ascii="Times New Roman" w:cs="Times New Roman" w:eastAsia="Times New Roman" w:hAnsi="Times New Roman"/>
          <w:sz w:val="20"/>
          <w:szCs w:val="20"/>
          <w:color w:val="232323"/>
        </w:rPr>
        <w:t>'s e</w:t>
      </w:r>
      <w:r>
        <w:rPr>
          <w:rFonts w:ascii="Times New Roman" w:cs="Times New Roman" w:eastAsia="Times New Roman" w:hAnsi="Times New Roman"/>
          <w:sz w:val="20"/>
          <w:szCs w:val="20"/>
          <w:color w:val="141414"/>
        </w:rPr>
        <w:t>mer</w:t>
      </w:r>
      <w:r>
        <w:rPr>
          <w:rFonts w:ascii="Times New Roman" w:cs="Times New Roman" w:eastAsia="Times New Roman" w:hAnsi="Times New Roman"/>
          <w:sz w:val="20"/>
          <w:szCs w:val="20"/>
          <w:color w:val="232323"/>
        </w:rPr>
        <w:t>g</w:t>
      </w:r>
      <w:r>
        <w:rPr>
          <w:rFonts w:ascii="Times New Roman" w:cs="Times New Roman" w:eastAsia="Times New Roman" w:hAnsi="Times New Roman"/>
          <w:sz w:val="20"/>
          <w:szCs w:val="20"/>
          <w:color w:val="141414"/>
        </w:rPr>
        <w:t>enc</w:t>
      </w:r>
      <w:r>
        <w:rPr>
          <w:rFonts w:ascii="Times New Roman" w:cs="Times New Roman" w:eastAsia="Times New Roman" w:hAnsi="Times New Roman"/>
          <w:sz w:val="20"/>
          <w:szCs w:val="20"/>
          <w:color w:val="232323"/>
        </w:rPr>
        <w:t>y</w:t>
      </w:r>
      <w:r>
        <w:rPr>
          <w:rFonts w:ascii="Times New Roman" w:cs="Times New Roman" w:eastAsia="Times New Roman" w:hAnsi="Times New Roman"/>
          <w:sz w:val="20"/>
          <w:szCs w:val="20"/>
          <w:color w:val="141414"/>
        </w:rPr>
        <w:t xml:space="preserve"> n</w:t>
      </w:r>
      <w:r>
        <w:rPr>
          <w:rFonts w:ascii="Times New Roman" w:cs="Times New Roman" w:eastAsia="Times New Roman" w:hAnsi="Times New Roman"/>
          <w:sz w:val="20"/>
          <w:szCs w:val="20"/>
          <w:color w:val="232323"/>
        </w:rPr>
        <w:t>ee</w:t>
      </w:r>
      <w:r>
        <w:rPr>
          <w:rFonts w:ascii="Times New Roman" w:cs="Times New Roman" w:eastAsia="Times New Roman" w:hAnsi="Times New Roman"/>
          <w:sz w:val="20"/>
          <w:szCs w:val="20"/>
          <w:color w:val="141414"/>
        </w:rPr>
        <w:t>d c</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 b</w:t>
      </w:r>
      <w:r>
        <w:rPr>
          <w:rFonts w:ascii="Times New Roman" w:cs="Times New Roman" w:eastAsia="Times New Roman" w:hAnsi="Times New Roman"/>
          <w:sz w:val="20"/>
          <w:szCs w:val="20"/>
          <w:color w:val="232323"/>
        </w:rPr>
        <w:t>e s</w:t>
      </w:r>
      <w:r>
        <w:rPr>
          <w:rFonts w:ascii="Times New Roman" w:cs="Times New Roman" w:eastAsia="Times New Roman" w:hAnsi="Times New Roman"/>
          <w:sz w:val="20"/>
          <w:szCs w:val="20"/>
          <w:color w:val="141414"/>
        </w:rPr>
        <w:t>ati</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fi</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d simply by canc</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llin</w:t>
      </w:r>
      <w:r>
        <w:rPr>
          <w:rFonts w:ascii="Times New Roman" w:cs="Times New Roman" w:eastAsia="Times New Roman" w:hAnsi="Times New Roman"/>
          <w:sz w:val="20"/>
          <w:szCs w:val="20"/>
          <w:color w:val="232323"/>
        </w:rPr>
        <w:t>g</w:t>
      </w:r>
      <w:r>
        <w:rPr>
          <w:rFonts w:ascii="Times New Roman" w:cs="Times New Roman" w:eastAsia="Times New Roman" w:hAnsi="Times New Roman"/>
          <w:sz w:val="20"/>
          <w:szCs w:val="20"/>
          <w:color w:val="141414"/>
        </w:rPr>
        <w:t xml:space="preserve"> the Parti</w:t>
      </w:r>
      <w:r>
        <w:rPr>
          <w:rFonts w:ascii="Times New Roman" w:cs="Times New Roman" w:eastAsia="Times New Roman" w:hAnsi="Times New Roman"/>
          <w:sz w:val="20"/>
          <w:szCs w:val="20"/>
          <w:color w:val="232323"/>
        </w:rPr>
        <w:t>c</w:t>
      </w:r>
      <w:r>
        <w:rPr>
          <w:rFonts w:ascii="Times New Roman" w:cs="Times New Roman" w:eastAsia="Times New Roman" w:hAnsi="Times New Roman"/>
          <w:sz w:val="20"/>
          <w:szCs w:val="20"/>
          <w:color w:val="141414"/>
        </w:rPr>
        <w:t>ipant</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 xml:space="preserve"> d</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ferral</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 xml:space="preserve"> und</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r 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Pl</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 xml:space="preserve">n </w:t>
      </w:r>
      <w:r>
        <w:rPr>
          <w:rFonts w:ascii="Times New Roman" w:cs="Times New Roman" w:eastAsia="Times New Roman" w:hAnsi="Times New Roman"/>
          <w:sz w:val="20"/>
          <w:szCs w:val="20"/>
          <w:color w:val="232323"/>
        </w:rPr>
        <w:t>w</w:t>
      </w:r>
      <w:r>
        <w:rPr>
          <w:rFonts w:ascii="Times New Roman" w:cs="Times New Roman" w:eastAsia="Times New Roman" w:hAnsi="Times New Roman"/>
          <w:sz w:val="20"/>
          <w:szCs w:val="20"/>
          <w:color w:val="141414"/>
        </w:rPr>
        <w:t>i</w:t>
      </w:r>
      <w:r>
        <w:rPr>
          <w:rFonts w:ascii="Times New Roman" w:cs="Times New Roman" w:eastAsia="Times New Roman" w:hAnsi="Times New Roman"/>
          <w:sz w:val="20"/>
          <w:szCs w:val="20"/>
          <w:color w:val="232323"/>
        </w:rPr>
        <w:t>t</w:t>
      </w:r>
      <w:r>
        <w:rPr>
          <w:rFonts w:ascii="Times New Roman" w:cs="Times New Roman" w:eastAsia="Times New Roman" w:hAnsi="Times New Roman"/>
          <w:sz w:val="20"/>
          <w:szCs w:val="20"/>
          <w:color w:val="141414"/>
        </w:rPr>
        <w:t>h</w:t>
      </w:r>
      <w:r>
        <w:rPr>
          <w:rFonts w:ascii="Times New Roman" w:cs="Times New Roman" w:eastAsia="Times New Roman" w:hAnsi="Times New Roman"/>
          <w:sz w:val="20"/>
          <w:szCs w:val="20"/>
          <w:color w:val="232323"/>
        </w:rPr>
        <w:t>o</w:t>
      </w:r>
      <w:r>
        <w:rPr>
          <w:rFonts w:ascii="Times New Roman" w:cs="Times New Roman" w:eastAsia="Times New Roman" w:hAnsi="Times New Roman"/>
          <w:sz w:val="20"/>
          <w:szCs w:val="20"/>
          <w:color w:val="141414"/>
        </w:rPr>
        <w:t xml:space="preserve">ut </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 xml:space="preserve"> corre</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pon</w:t>
      </w:r>
      <w:r>
        <w:rPr>
          <w:rFonts w:ascii="Times New Roman" w:cs="Times New Roman" w:eastAsia="Times New Roman" w:hAnsi="Times New Roman"/>
          <w:sz w:val="20"/>
          <w:szCs w:val="20"/>
          <w:color w:val="232323"/>
        </w:rPr>
        <w:t>d</w:t>
      </w:r>
      <w:r>
        <w:rPr>
          <w:rFonts w:ascii="Times New Roman" w:cs="Times New Roman" w:eastAsia="Times New Roman" w:hAnsi="Times New Roman"/>
          <w:sz w:val="20"/>
          <w:szCs w:val="20"/>
          <w:color w:val="141414"/>
        </w:rPr>
        <w:t>ing dis</w:t>
      </w:r>
      <w:r>
        <w:rPr>
          <w:rFonts w:ascii="Times New Roman" w:cs="Times New Roman" w:eastAsia="Times New Roman" w:hAnsi="Times New Roman"/>
          <w:sz w:val="20"/>
          <w:szCs w:val="20"/>
          <w:color w:val="232323"/>
        </w:rPr>
        <w:t>t</w:t>
      </w:r>
      <w:r>
        <w:rPr>
          <w:rFonts w:ascii="Times New Roman" w:cs="Times New Roman" w:eastAsia="Times New Roman" w:hAnsi="Times New Roman"/>
          <w:sz w:val="20"/>
          <w:szCs w:val="20"/>
          <w:color w:val="141414"/>
        </w:rPr>
        <w:t>ributi</w:t>
      </w:r>
      <w:r>
        <w:rPr>
          <w:rFonts w:ascii="Times New Roman" w:cs="Times New Roman" w:eastAsia="Times New Roman" w:hAnsi="Times New Roman"/>
          <w:sz w:val="20"/>
          <w:szCs w:val="20"/>
          <w:color w:val="232323"/>
        </w:rPr>
        <w:t>o</w:t>
      </w:r>
      <w:r>
        <w:rPr>
          <w:rFonts w:ascii="Times New Roman" w:cs="Times New Roman" w:eastAsia="Times New Roman" w:hAnsi="Times New Roman"/>
          <w:sz w:val="20"/>
          <w:szCs w:val="20"/>
          <w:color w:val="141414"/>
        </w:rPr>
        <w:t>n, 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n the Adminis</w:t>
      </w:r>
      <w:r>
        <w:rPr>
          <w:rFonts w:ascii="Times New Roman" w:cs="Times New Roman" w:eastAsia="Times New Roman" w:hAnsi="Times New Roman"/>
          <w:sz w:val="20"/>
          <w:szCs w:val="20"/>
          <w:color w:val="232323"/>
        </w:rPr>
        <w:t>tra</w:t>
      </w:r>
      <w:r>
        <w:rPr>
          <w:rFonts w:ascii="Times New Roman" w:cs="Times New Roman" w:eastAsia="Times New Roman" w:hAnsi="Times New Roman"/>
          <w:sz w:val="20"/>
          <w:szCs w:val="20"/>
          <w:color w:val="141414"/>
        </w:rPr>
        <w:t>t</w:t>
      </w:r>
      <w:r>
        <w:rPr>
          <w:rFonts w:ascii="Times New Roman" w:cs="Times New Roman" w:eastAsia="Times New Roman" w:hAnsi="Times New Roman"/>
          <w:sz w:val="20"/>
          <w:szCs w:val="20"/>
          <w:color w:val="232323"/>
        </w:rPr>
        <w:t>o</w:t>
      </w:r>
      <w:r>
        <w:rPr>
          <w:rFonts w:ascii="Times New Roman" w:cs="Times New Roman" w:eastAsia="Times New Roman" w:hAnsi="Times New Roman"/>
          <w:sz w:val="20"/>
          <w:szCs w:val="20"/>
          <w:color w:val="141414"/>
        </w:rPr>
        <w:t>r m</w:t>
      </w:r>
      <w:r>
        <w:rPr>
          <w:rFonts w:ascii="Times New Roman" w:cs="Times New Roman" w:eastAsia="Times New Roman" w:hAnsi="Times New Roman"/>
          <w:sz w:val="20"/>
          <w:szCs w:val="20"/>
          <w:color w:val="232323"/>
        </w:rPr>
        <w:t>ay a</w:t>
      </w:r>
      <w:r>
        <w:rPr>
          <w:rFonts w:ascii="Times New Roman" w:cs="Times New Roman" w:eastAsia="Times New Roman" w:hAnsi="Times New Roman"/>
          <w:sz w:val="20"/>
          <w:szCs w:val="20"/>
          <w:color w:val="141414"/>
        </w:rPr>
        <w:t xml:space="preserve">uthorize </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u</w:t>
      </w:r>
      <w:r>
        <w:rPr>
          <w:rFonts w:ascii="Times New Roman" w:cs="Times New Roman" w:eastAsia="Times New Roman" w:hAnsi="Times New Roman"/>
          <w:sz w:val="20"/>
          <w:szCs w:val="20"/>
          <w:color w:val="232323"/>
        </w:rPr>
        <w:t>c</w:t>
      </w:r>
      <w:r>
        <w:rPr>
          <w:rFonts w:ascii="Times New Roman" w:cs="Times New Roman" w:eastAsia="Times New Roman" w:hAnsi="Times New Roman"/>
          <w:sz w:val="20"/>
          <w:szCs w:val="20"/>
          <w:color w:val="141414"/>
        </w:rPr>
        <w:t>h c</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ncell</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ti</w:t>
      </w:r>
      <w:r>
        <w:rPr>
          <w:rFonts w:ascii="Times New Roman" w:cs="Times New Roman" w:eastAsia="Times New Roman" w:hAnsi="Times New Roman"/>
          <w:sz w:val="20"/>
          <w:szCs w:val="20"/>
          <w:color w:val="232323"/>
        </w:rPr>
        <w:t>o</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141414"/>
        </w:rPr>
        <w:t xml:space="preserve"> eve</w:t>
      </w:r>
      <w:r>
        <w:rPr>
          <w:rFonts w:ascii="Times New Roman" w:cs="Times New Roman" w:eastAsia="Times New Roman" w:hAnsi="Times New Roman"/>
          <w:sz w:val="20"/>
          <w:szCs w:val="20"/>
          <w:color w:val="232323"/>
        </w:rPr>
        <w:t>n</w:t>
      </w:r>
      <w:r>
        <w:rPr>
          <w:rFonts w:ascii="Times New Roman" w:cs="Times New Roman" w:eastAsia="Times New Roman" w:hAnsi="Times New Roman"/>
          <w:sz w:val="20"/>
          <w:szCs w:val="20"/>
          <w:color w:val="141414"/>
        </w:rPr>
        <w:t xml:space="preserve"> t</w:t>
      </w:r>
      <w:r>
        <w:rPr>
          <w:rFonts w:ascii="Times New Roman" w:cs="Times New Roman" w:eastAsia="Times New Roman" w:hAnsi="Times New Roman"/>
          <w:sz w:val="20"/>
          <w:szCs w:val="20"/>
          <w:color w:val="232323"/>
        </w:rPr>
        <w:t>h</w:t>
      </w:r>
      <w:r>
        <w:rPr>
          <w:rFonts w:ascii="Times New Roman" w:cs="Times New Roman" w:eastAsia="Times New Roman" w:hAnsi="Times New Roman"/>
          <w:sz w:val="20"/>
          <w:szCs w:val="20"/>
          <w:color w:val="141414"/>
        </w:rPr>
        <w:t>o</w:t>
      </w:r>
      <w:r>
        <w:rPr>
          <w:rFonts w:ascii="Times New Roman" w:cs="Times New Roman" w:eastAsia="Times New Roman" w:hAnsi="Times New Roman"/>
          <w:sz w:val="20"/>
          <w:szCs w:val="20"/>
          <w:color w:val="232323"/>
        </w:rPr>
        <w:t>ug</w:t>
      </w:r>
      <w:r>
        <w:rPr>
          <w:rFonts w:ascii="Times New Roman" w:cs="Times New Roman" w:eastAsia="Times New Roman" w:hAnsi="Times New Roman"/>
          <w:sz w:val="20"/>
          <w:szCs w:val="20"/>
          <w:color w:val="141414"/>
        </w:rPr>
        <w:t>h no d</w:t>
      </w:r>
      <w:r>
        <w:rPr>
          <w:rFonts w:ascii="Times New Roman" w:cs="Times New Roman" w:eastAsia="Times New Roman" w:hAnsi="Times New Roman"/>
          <w:sz w:val="20"/>
          <w:szCs w:val="20"/>
          <w:color w:val="232323"/>
        </w:rPr>
        <w:t>istr</w:t>
      </w:r>
      <w:r>
        <w:rPr>
          <w:rFonts w:ascii="Times New Roman" w:cs="Times New Roman" w:eastAsia="Times New Roman" w:hAnsi="Times New Roman"/>
          <w:sz w:val="20"/>
          <w:szCs w:val="20"/>
          <w:color w:val="141414"/>
        </w:rPr>
        <w:t>ibution c</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 be m</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d</w:t>
      </w:r>
      <w:r>
        <w:rPr>
          <w:rFonts w:ascii="Times New Roman" w:cs="Times New Roman" w:eastAsia="Times New Roman" w:hAnsi="Times New Roman"/>
          <w:sz w:val="20"/>
          <w:szCs w:val="20"/>
          <w:color w:val="232323"/>
        </w:rPr>
        <w:t>e. A</w:t>
      </w:r>
      <w:r>
        <w:rPr>
          <w:rFonts w:ascii="Times New Roman" w:cs="Times New Roman" w:eastAsia="Times New Roman" w:hAnsi="Times New Roman"/>
          <w:sz w:val="20"/>
          <w:szCs w:val="20"/>
          <w:color w:val="141414"/>
        </w:rPr>
        <w:t xml:space="preserve"> 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rtici</w:t>
      </w:r>
      <w:r>
        <w:rPr>
          <w:rFonts w:ascii="Times New Roman" w:cs="Times New Roman" w:eastAsia="Times New Roman" w:hAnsi="Times New Roman"/>
          <w:sz w:val="20"/>
          <w:szCs w:val="20"/>
          <w:color w:val="232323"/>
        </w:rPr>
        <w:t>pa</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t</w:t>
      </w:r>
      <w:r>
        <w:rPr>
          <w:rFonts w:ascii="Times New Roman" w:cs="Times New Roman" w:eastAsia="Times New Roman" w:hAnsi="Times New Roman"/>
          <w:sz w:val="20"/>
          <w:szCs w:val="20"/>
          <w:color w:val="141414"/>
        </w:rPr>
        <w:t xml:space="preserve"> who</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e de</w:t>
      </w:r>
      <w:r>
        <w:rPr>
          <w:rFonts w:ascii="Times New Roman" w:cs="Times New Roman" w:eastAsia="Times New Roman" w:hAnsi="Times New Roman"/>
          <w:sz w:val="20"/>
          <w:szCs w:val="20"/>
          <w:color w:val="232323"/>
        </w:rPr>
        <w:t>ferrals</w:t>
      </w:r>
      <w:r>
        <w:rPr>
          <w:rFonts w:ascii="Times New Roman" w:cs="Times New Roman" w:eastAsia="Times New Roman" w:hAnsi="Times New Roman"/>
          <w:sz w:val="20"/>
          <w:szCs w:val="20"/>
          <w:color w:val="141414"/>
        </w:rPr>
        <w:t xml:space="preserve"> have been </w:t>
      </w:r>
      <w:r>
        <w:rPr>
          <w:rFonts w:ascii="Times New Roman" w:cs="Times New Roman" w:eastAsia="Times New Roman" w:hAnsi="Times New Roman"/>
          <w:sz w:val="20"/>
          <w:szCs w:val="20"/>
          <w:color w:val="232323"/>
        </w:rPr>
        <w:t>ca</w:t>
      </w:r>
      <w:r>
        <w:rPr>
          <w:rFonts w:ascii="Times New Roman" w:cs="Times New Roman" w:eastAsia="Times New Roman" w:hAnsi="Times New Roman"/>
          <w:sz w:val="20"/>
          <w:szCs w:val="20"/>
          <w:color w:val="141414"/>
        </w:rPr>
        <w:t>nc</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ll</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d under this sub</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ecti</w:t>
      </w:r>
      <w:r>
        <w:rPr>
          <w:rFonts w:ascii="Times New Roman" w:cs="Times New Roman" w:eastAsia="Times New Roman" w:hAnsi="Times New Roman"/>
          <w:sz w:val="20"/>
          <w:szCs w:val="20"/>
          <w:color w:val="232323"/>
        </w:rPr>
        <w:t>o</w:t>
      </w:r>
      <w:r>
        <w:rPr>
          <w:rFonts w:ascii="Times New Roman" w:cs="Times New Roman" w:eastAsia="Times New Roman" w:hAnsi="Times New Roman"/>
          <w:sz w:val="20"/>
          <w:szCs w:val="20"/>
          <w:color w:val="141414"/>
        </w:rPr>
        <w:t>n (</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 may not recommen</w:t>
      </w:r>
      <w:r>
        <w:rPr>
          <w:rFonts w:ascii="Times New Roman" w:cs="Times New Roman" w:eastAsia="Times New Roman" w:hAnsi="Times New Roman"/>
          <w:sz w:val="20"/>
          <w:szCs w:val="20"/>
          <w:color w:val="232323"/>
        </w:rPr>
        <w:t>ce</w:t>
      </w:r>
      <w:r>
        <w:rPr>
          <w:rFonts w:ascii="Times New Roman" w:cs="Times New Roman" w:eastAsia="Times New Roman" w:hAnsi="Times New Roman"/>
          <w:sz w:val="20"/>
          <w:szCs w:val="20"/>
          <w:color w:val="141414"/>
        </w:rPr>
        <w:t xml:space="preserve"> d</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ferrals under the Plan until the firs</w:t>
      </w:r>
      <w:r>
        <w:rPr>
          <w:rFonts w:ascii="Times New Roman" w:cs="Times New Roman" w:eastAsia="Times New Roman" w:hAnsi="Times New Roman"/>
          <w:sz w:val="20"/>
          <w:szCs w:val="20"/>
          <w:color w:val="232323"/>
        </w:rPr>
        <w:t>t</w:t>
      </w:r>
      <w:r>
        <w:rPr>
          <w:rFonts w:ascii="Times New Roman" w:cs="Times New Roman" w:eastAsia="Times New Roman" w:hAnsi="Times New Roman"/>
          <w:sz w:val="20"/>
          <w:szCs w:val="20"/>
          <w:color w:val="141414"/>
        </w:rPr>
        <w:t xml:space="preserve"> d</w:t>
      </w:r>
      <w:r>
        <w:rPr>
          <w:rFonts w:ascii="Times New Roman" w:cs="Times New Roman" w:eastAsia="Times New Roman" w:hAnsi="Times New Roman"/>
          <w:sz w:val="20"/>
          <w:szCs w:val="20"/>
          <w:color w:val="232323"/>
        </w:rPr>
        <w:t>ay of</w:t>
      </w:r>
      <w:r>
        <w:rPr>
          <w:rFonts w:ascii="Times New Roman" w:cs="Times New Roman" w:eastAsia="Times New Roman" w:hAnsi="Times New Roman"/>
          <w:sz w:val="20"/>
          <w:szCs w:val="20"/>
          <w:color w:val="141414"/>
        </w:rPr>
        <w:t xml:space="preserve"> the following c</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l</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nd</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 y</w:t>
      </w:r>
      <w:r>
        <w:rPr>
          <w:rFonts w:ascii="Times New Roman" w:cs="Times New Roman" w:eastAsia="Times New Roman" w:hAnsi="Times New Roman"/>
          <w:sz w:val="20"/>
          <w:szCs w:val="20"/>
          <w:color w:val="232323"/>
        </w:rPr>
        <w:t>ea</w:t>
      </w:r>
      <w:r>
        <w:rPr>
          <w:rFonts w:ascii="Times New Roman" w:cs="Times New Roman" w:eastAsia="Times New Roman" w:hAnsi="Times New Roman"/>
          <w:sz w:val="20"/>
          <w:szCs w:val="20"/>
          <w:color w:val="141414"/>
        </w:rPr>
        <w:t>r.</w:t>
      </w:r>
    </w:p>
    <w:p>
      <w:pPr>
        <w:spacing w:after="0" w:line="223" w:lineRule="exact"/>
        <w:rPr>
          <w:sz w:val="20"/>
          <w:szCs w:val="20"/>
          <w:color w:val="auto"/>
        </w:rPr>
      </w:pPr>
    </w:p>
    <w:p>
      <w:pPr>
        <w:jc w:val="both"/>
        <w:ind w:left="120" w:right="40" w:firstLine="1940"/>
        <w:spacing w:after="0" w:line="268" w:lineRule="auto"/>
        <w:tabs>
          <w:tab w:leader="none" w:pos="2403" w:val="left"/>
        </w:tabs>
        <w:numPr>
          <w:ilvl w:val="0"/>
          <w:numId w:val="99"/>
        </w:numPr>
        <w:rPr>
          <w:rFonts w:ascii="Times New Roman" w:cs="Times New Roman" w:eastAsia="Times New Roman" w:hAnsi="Times New Roman"/>
          <w:sz w:val="20"/>
          <w:szCs w:val="20"/>
          <w:color w:val="141414"/>
        </w:rPr>
      </w:pPr>
      <w:r>
        <w:rPr>
          <w:rFonts w:ascii="Times New Roman" w:cs="Times New Roman" w:eastAsia="Times New Roman" w:hAnsi="Times New Roman"/>
          <w:sz w:val="20"/>
          <w:szCs w:val="20"/>
          <w:color w:val="232323"/>
        </w:rPr>
        <w:t xml:space="preserve">A </w:t>
      </w:r>
      <w:r>
        <w:rPr>
          <w:rFonts w:ascii="Times New Roman" w:cs="Times New Roman" w:eastAsia="Times New Roman" w:hAnsi="Times New Roman"/>
          <w:sz w:val="20"/>
          <w:szCs w:val="20"/>
          <w:color w:val="141414"/>
        </w:rPr>
        <w:t>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rti</w:t>
      </w:r>
      <w:r>
        <w:rPr>
          <w:rFonts w:ascii="Times New Roman" w:cs="Times New Roman" w:eastAsia="Times New Roman" w:hAnsi="Times New Roman"/>
          <w:sz w:val="20"/>
          <w:szCs w:val="20"/>
          <w:color w:val="232323"/>
        </w:rPr>
        <w:t>c</w:t>
      </w:r>
      <w:r>
        <w:rPr>
          <w:rFonts w:ascii="Times New Roman" w:cs="Times New Roman" w:eastAsia="Times New Roman" w:hAnsi="Times New Roman"/>
          <w:sz w:val="20"/>
          <w:szCs w:val="20"/>
          <w:color w:val="141414"/>
        </w:rPr>
        <w:t>ip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nt'</w:t>
      </w:r>
      <w:r>
        <w:rPr>
          <w:rFonts w:ascii="Times New Roman" w:cs="Times New Roman" w:eastAsia="Times New Roman" w:hAnsi="Times New Roman"/>
          <w:sz w:val="20"/>
          <w:szCs w:val="20"/>
          <w:color w:val="232323"/>
        </w:rPr>
        <w:t xml:space="preserve">s </w:t>
      </w:r>
      <w:r>
        <w:rPr>
          <w:rFonts w:ascii="Times New Roman" w:cs="Times New Roman" w:eastAsia="Times New Roman" w:hAnsi="Times New Roman"/>
          <w:sz w:val="20"/>
          <w:szCs w:val="20"/>
          <w:color w:val="141414"/>
        </w:rPr>
        <w:t>d</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ferrals sh</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ll b</w:t>
      </w:r>
      <w:r>
        <w:rPr>
          <w:rFonts w:ascii="Times New Roman" w:cs="Times New Roman" w:eastAsia="Times New Roman" w:hAnsi="Times New Roman"/>
          <w:sz w:val="20"/>
          <w:szCs w:val="20"/>
          <w:color w:val="232323"/>
        </w:rPr>
        <w:t>e ca</w:t>
      </w:r>
      <w:r>
        <w:rPr>
          <w:rFonts w:ascii="Times New Roman" w:cs="Times New Roman" w:eastAsia="Times New Roman" w:hAnsi="Times New Roman"/>
          <w:sz w:val="20"/>
          <w:szCs w:val="20"/>
          <w:color w:val="141414"/>
        </w:rPr>
        <w:t>nc</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ll</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d pro</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p</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ctiv</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ly upon th</w:t>
      </w:r>
      <w:r>
        <w:rPr>
          <w:rFonts w:ascii="Times New Roman" w:cs="Times New Roman" w:eastAsia="Times New Roman" w:hAnsi="Times New Roman"/>
          <w:sz w:val="20"/>
          <w:szCs w:val="20"/>
          <w:color w:val="232323"/>
        </w:rPr>
        <w:t xml:space="preserve">e </w:t>
      </w:r>
      <w:r>
        <w:rPr>
          <w:rFonts w:ascii="Times New Roman" w:cs="Times New Roman" w:eastAsia="Times New Roman" w:hAnsi="Times New Roman"/>
          <w:sz w:val="20"/>
          <w:szCs w:val="20"/>
          <w:color w:val="141414"/>
        </w:rPr>
        <w:t>P</w:t>
      </w:r>
      <w:r>
        <w:rPr>
          <w:rFonts w:ascii="Times New Roman" w:cs="Times New Roman" w:eastAsia="Times New Roman" w:hAnsi="Times New Roman"/>
          <w:sz w:val="20"/>
          <w:szCs w:val="20"/>
          <w:color w:val="232323"/>
        </w:rPr>
        <w:t>ar</w:t>
      </w:r>
      <w:r>
        <w:rPr>
          <w:rFonts w:ascii="Times New Roman" w:cs="Times New Roman" w:eastAsia="Times New Roman" w:hAnsi="Times New Roman"/>
          <w:sz w:val="20"/>
          <w:szCs w:val="20"/>
          <w:color w:val="141414"/>
        </w:rPr>
        <w:t>ti</w:t>
      </w:r>
      <w:r>
        <w:rPr>
          <w:rFonts w:ascii="Times New Roman" w:cs="Times New Roman" w:eastAsia="Times New Roman" w:hAnsi="Times New Roman"/>
          <w:sz w:val="20"/>
          <w:szCs w:val="20"/>
          <w:color w:val="232323"/>
        </w:rPr>
        <w:t>ci</w:t>
      </w:r>
      <w:r>
        <w:rPr>
          <w:rFonts w:ascii="Times New Roman" w:cs="Times New Roman" w:eastAsia="Times New Roman" w:hAnsi="Times New Roman"/>
          <w:sz w:val="20"/>
          <w:szCs w:val="20"/>
          <w:color w:val="141414"/>
        </w:rPr>
        <w:t>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nt</w:t>
      </w:r>
      <w:r>
        <w:rPr>
          <w:rFonts w:ascii="Times New Roman" w:cs="Times New Roman" w:eastAsia="Times New Roman" w:hAnsi="Times New Roman"/>
          <w:sz w:val="20"/>
          <w:szCs w:val="20"/>
          <w:color w:val="232323"/>
        </w:rPr>
        <w:t>'s r</w:t>
      </w:r>
      <w:r>
        <w:rPr>
          <w:rFonts w:ascii="Times New Roman" w:cs="Times New Roman" w:eastAsia="Times New Roman" w:hAnsi="Times New Roman"/>
          <w:sz w:val="20"/>
          <w:szCs w:val="20"/>
          <w:color w:val="141414"/>
        </w:rPr>
        <w:t>eceipt of a h</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rd</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h</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141414"/>
        </w:rPr>
        <w:t>p</w:t>
      </w:r>
      <w:r>
        <w:rPr>
          <w:rFonts w:ascii="Times New Roman" w:cs="Times New Roman" w:eastAsia="Times New Roman" w:hAnsi="Times New Roman"/>
          <w:sz w:val="20"/>
          <w:szCs w:val="20"/>
          <w:color w:val="232323"/>
        </w:rPr>
        <w:t xml:space="preserve"> wit</w:t>
      </w:r>
      <w:r>
        <w:rPr>
          <w:rFonts w:ascii="Times New Roman" w:cs="Times New Roman" w:eastAsia="Times New Roman" w:hAnsi="Times New Roman"/>
          <w:sz w:val="20"/>
          <w:szCs w:val="20"/>
          <w:color w:val="141414"/>
        </w:rPr>
        <w:t>hd</w:t>
      </w:r>
      <w:r>
        <w:rPr>
          <w:rFonts w:ascii="Times New Roman" w:cs="Times New Roman" w:eastAsia="Times New Roman" w:hAnsi="Times New Roman"/>
          <w:sz w:val="20"/>
          <w:szCs w:val="20"/>
          <w:color w:val="232323"/>
        </w:rPr>
        <w:t>ra</w:t>
      </w:r>
      <w:r>
        <w:rPr>
          <w:rFonts w:ascii="Times New Roman" w:cs="Times New Roman" w:eastAsia="Times New Roman" w:hAnsi="Times New Roman"/>
          <w:sz w:val="20"/>
          <w:szCs w:val="20"/>
          <w:color w:val="141414"/>
        </w:rPr>
        <w:t>wal from th</w:t>
      </w:r>
      <w:r>
        <w:rPr>
          <w:rFonts w:ascii="Times New Roman" w:cs="Times New Roman" w:eastAsia="Times New Roman" w:hAnsi="Times New Roman"/>
          <w:sz w:val="20"/>
          <w:szCs w:val="20"/>
          <w:color w:val="232323"/>
        </w:rPr>
        <w:t xml:space="preserve">e </w:t>
      </w:r>
      <w:r>
        <w:rPr>
          <w:rFonts w:ascii="Times New Roman" w:cs="Times New Roman" w:eastAsia="Times New Roman" w:hAnsi="Times New Roman"/>
          <w:sz w:val="20"/>
          <w:szCs w:val="20"/>
          <w:color w:val="141414"/>
        </w:rPr>
        <w:t>It</w:t>
      </w:r>
      <w:r>
        <w:rPr>
          <w:rFonts w:ascii="Times New Roman" w:cs="Times New Roman" w:eastAsia="Times New Roman" w:hAnsi="Times New Roman"/>
          <w:sz w:val="20"/>
          <w:szCs w:val="20"/>
          <w:color w:val="232323"/>
        </w:rPr>
        <w:t>ro</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 I</w:t>
      </w:r>
      <w:r>
        <w:rPr>
          <w:rFonts w:ascii="Times New Roman" w:cs="Times New Roman" w:eastAsia="Times New Roman" w:hAnsi="Times New Roman"/>
          <w:sz w:val="20"/>
          <w:szCs w:val="20"/>
          <w:color w:val="141414"/>
        </w:rPr>
        <w:t>nc. Incentive</w:t>
      </w:r>
      <w:r>
        <w:rPr>
          <w:rFonts w:ascii="Times New Roman" w:cs="Times New Roman" w:eastAsia="Times New Roman" w:hAnsi="Times New Roman"/>
          <w:sz w:val="20"/>
          <w:szCs w:val="20"/>
          <w:color w:val="232323"/>
        </w:rPr>
        <w:t xml:space="preserve"> S</w:t>
      </w:r>
      <w:r>
        <w:rPr>
          <w:rFonts w:ascii="Times New Roman" w:cs="Times New Roman" w:eastAsia="Times New Roman" w:hAnsi="Times New Roman"/>
          <w:sz w:val="20"/>
          <w:szCs w:val="20"/>
          <w:color w:val="141414"/>
        </w:rPr>
        <w:t>a</w:t>
      </w:r>
      <w:r>
        <w:rPr>
          <w:rFonts w:ascii="Times New Roman" w:cs="Times New Roman" w:eastAsia="Times New Roman" w:hAnsi="Times New Roman"/>
          <w:sz w:val="20"/>
          <w:szCs w:val="20"/>
          <w:color w:val="232323"/>
        </w:rPr>
        <w:t>vi</w:t>
      </w:r>
      <w:r>
        <w:rPr>
          <w:rFonts w:ascii="Times New Roman" w:cs="Times New Roman" w:eastAsia="Times New Roman" w:hAnsi="Times New Roman"/>
          <w:sz w:val="20"/>
          <w:szCs w:val="20"/>
          <w:color w:val="141414"/>
        </w:rPr>
        <w:t>ng</w:t>
      </w:r>
      <w:r>
        <w:rPr>
          <w:rFonts w:ascii="Times New Roman" w:cs="Times New Roman" w:eastAsia="Times New Roman" w:hAnsi="Times New Roman"/>
          <w:sz w:val="20"/>
          <w:szCs w:val="20"/>
          <w:color w:val="232323"/>
        </w:rPr>
        <w:t xml:space="preserve">s </w:t>
      </w:r>
      <w:r>
        <w:rPr>
          <w:rFonts w:ascii="Times New Roman" w:cs="Times New Roman" w:eastAsia="Times New Roman" w:hAnsi="Times New Roman"/>
          <w:sz w:val="20"/>
          <w:szCs w:val="20"/>
          <w:color w:val="141414"/>
        </w:rPr>
        <w:t>Pl</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 xml:space="preserve"> o</w:t>
      </w:r>
      <w:r>
        <w:rPr>
          <w:rFonts w:ascii="Times New Roman" w:cs="Times New Roman" w:eastAsia="Times New Roman" w:hAnsi="Times New Roman"/>
          <w:sz w:val="20"/>
          <w:szCs w:val="20"/>
          <w:color w:val="141414"/>
        </w:rPr>
        <w:t>r</w:t>
      </w:r>
      <w:r>
        <w:rPr>
          <w:rFonts w:ascii="Times New Roman" w:cs="Times New Roman" w:eastAsia="Times New Roman" w:hAnsi="Times New Roman"/>
          <w:sz w:val="20"/>
          <w:szCs w:val="20"/>
          <w:color w:val="232323"/>
        </w:rPr>
        <w:t xml:space="preserve"> a</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 xml:space="preserve">y </w:t>
      </w:r>
      <w:r>
        <w:rPr>
          <w:rFonts w:ascii="Times New Roman" w:cs="Times New Roman" w:eastAsia="Times New Roman" w:hAnsi="Times New Roman"/>
          <w:sz w:val="20"/>
          <w:szCs w:val="20"/>
          <w:color w:val="141414"/>
        </w:rPr>
        <w:t>oth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r 401</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1"/>
          <w:szCs w:val="21"/>
          <w:color w:val="141414"/>
        </w:rPr>
        <w:t>(k)</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141414"/>
        </w:rPr>
        <w:t>pl</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 xml:space="preserve"> s</w:t>
      </w:r>
      <w:r>
        <w:rPr>
          <w:rFonts w:ascii="Times New Roman" w:cs="Times New Roman" w:eastAsia="Times New Roman" w:hAnsi="Times New Roman"/>
          <w:sz w:val="20"/>
          <w:szCs w:val="20"/>
          <w:color w:val="141414"/>
        </w:rPr>
        <w:t>ponsor</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d</w:t>
      </w:r>
      <w:r>
        <w:rPr>
          <w:rFonts w:ascii="Times New Roman" w:cs="Times New Roman" w:eastAsia="Times New Roman" w:hAnsi="Times New Roman"/>
          <w:sz w:val="20"/>
          <w:szCs w:val="20"/>
          <w:color w:val="444444"/>
        </w:rPr>
        <w:t>,</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141414"/>
        </w:rPr>
        <w:t>m</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int</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in</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d or</w:t>
      </w:r>
      <w:r>
        <w:rPr>
          <w:rFonts w:ascii="Times New Roman" w:cs="Times New Roman" w:eastAsia="Times New Roman" w:hAnsi="Times New Roman"/>
          <w:sz w:val="20"/>
          <w:szCs w:val="20"/>
          <w:color w:val="232323"/>
        </w:rPr>
        <w:t xml:space="preserve"> c</w:t>
      </w:r>
      <w:r>
        <w:rPr>
          <w:rFonts w:ascii="Times New Roman" w:cs="Times New Roman" w:eastAsia="Times New Roman" w:hAnsi="Times New Roman"/>
          <w:sz w:val="20"/>
          <w:szCs w:val="20"/>
          <w:color w:val="141414"/>
        </w:rPr>
        <w:t>ontribut</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d t</w:t>
      </w:r>
      <w:r>
        <w:rPr>
          <w:rFonts w:ascii="Times New Roman" w:cs="Times New Roman" w:eastAsia="Times New Roman" w:hAnsi="Times New Roman"/>
          <w:sz w:val="20"/>
          <w:szCs w:val="20"/>
          <w:color w:val="232323"/>
        </w:rPr>
        <w:t xml:space="preserve">o </w:t>
      </w:r>
      <w:r>
        <w:rPr>
          <w:rFonts w:ascii="Times New Roman" w:cs="Times New Roman" w:eastAsia="Times New Roman" w:hAnsi="Times New Roman"/>
          <w:sz w:val="20"/>
          <w:szCs w:val="20"/>
          <w:color w:val="141414"/>
        </w:rPr>
        <w:t>by th</w:t>
      </w:r>
      <w:r>
        <w:rPr>
          <w:rFonts w:ascii="Times New Roman" w:cs="Times New Roman" w:eastAsia="Times New Roman" w:hAnsi="Times New Roman"/>
          <w:sz w:val="20"/>
          <w:szCs w:val="20"/>
          <w:color w:val="232323"/>
        </w:rPr>
        <w:t>e C</w:t>
      </w:r>
      <w:r>
        <w:rPr>
          <w:rFonts w:ascii="Times New Roman" w:cs="Times New Roman" w:eastAsia="Times New Roman" w:hAnsi="Times New Roman"/>
          <w:sz w:val="20"/>
          <w:szCs w:val="20"/>
          <w:color w:val="141414"/>
        </w:rPr>
        <w:t>omp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 xml:space="preserve">y. A </w:t>
      </w:r>
      <w:r>
        <w:rPr>
          <w:rFonts w:ascii="Times New Roman" w:cs="Times New Roman" w:eastAsia="Times New Roman" w:hAnsi="Times New Roman"/>
          <w:sz w:val="20"/>
          <w:szCs w:val="20"/>
          <w:color w:val="141414"/>
        </w:rPr>
        <w:t>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rt</w:t>
      </w:r>
      <w:r>
        <w:rPr>
          <w:rFonts w:ascii="Times New Roman" w:cs="Times New Roman" w:eastAsia="Times New Roman" w:hAnsi="Times New Roman"/>
          <w:sz w:val="20"/>
          <w:szCs w:val="20"/>
          <w:color w:val="232323"/>
        </w:rPr>
        <w:t>ic</w:t>
      </w:r>
      <w:r>
        <w:rPr>
          <w:rFonts w:ascii="Times New Roman" w:cs="Times New Roman" w:eastAsia="Times New Roman" w:hAnsi="Times New Roman"/>
          <w:sz w:val="20"/>
          <w:szCs w:val="20"/>
          <w:color w:val="141414"/>
        </w:rPr>
        <w:t>ip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nt</w:t>
      </w:r>
      <w:r>
        <w:rPr>
          <w:rFonts w:ascii="Times New Roman" w:cs="Times New Roman" w:eastAsia="Times New Roman" w:hAnsi="Times New Roman"/>
          <w:sz w:val="20"/>
          <w:szCs w:val="20"/>
          <w:color w:val="232323"/>
        </w:rPr>
        <w:t xml:space="preserve"> w</w:t>
      </w:r>
      <w:r>
        <w:rPr>
          <w:rFonts w:ascii="Times New Roman" w:cs="Times New Roman" w:eastAsia="Times New Roman" w:hAnsi="Times New Roman"/>
          <w:sz w:val="20"/>
          <w:szCs w:val="20"/>
          <w:color w:val="141414"/>
        </w:rPr>
        <w:t>hose de</w:t>
      </w:r>
      <w:r>
        <w:rPr>
          <w:rFonts w:ascii="Times New Roman" w:cs="Times New Roman" w:eastAsia="Times New Roman" w:hAnsi="Times New Roman"/>
          <w:sz w:val="20"/>
          <w:szCs w:val="20"/>
          <w:color w:val="232323"/>
        </w:rPr>
        <w:t>fe</w:t>
      </w:r>
      <w:r>
        <w:rPr>
          <w:rFonts w:ascii="Times New Roman" w:cs="Times New Roman" w:eastAsia="Times New Roman" w:hAnsi="Times New Roman"/>
          <w:sz w:val="20"/>
          <w:szCs w:val="20"/>
          <w:color w:val="141414"/>
        </w:rPr>
        <w:t>r</w:t>
      </w:r>
      <w:r>
        <w:rPr>
          <w:rFonts w:ascii="Times New Roman" w:cs="Times New Roman" w:eastAsia="Times New Roman" w:hAnsi="Times New Roman"/>
          <w:sz w:val="20"/>
          <w:szCs w:val="20"/>
          <w:color w:val="232323"/>
        </w:rPr>
        <w:t>ra</w:t>
      </w:r>
      <w:r>
        <w:rPr>
          <w:rFonts w:ascii="Times New Roman" w:cs="Times New Roman" w:eastAsia="Times New Roman" w:hAnsi="Times New Roman"/>
          <w:sz w:val="20"/>
          <w:szCs w:val="20"/>
          <w:color w:val="141414"/>
        </w:rPr>
        <w:t>l</w:t>
      </w:r>
      <w:r>
        <w:rPr>
          <w:rFonts w:ascii="Times New Roman" w:cs="Times New Roman" w:eastAsia="Times New Roman" w:hAnsi="Times New Roman"/>
          <w:sz w:val="20"/>
          <w:szCs w:val="20"/>
          <w:color w:val="232323"/>
        </w:rPr>
        <w:t xml:space="preserve">s </w:t>
      </w:r>
      <w:r>
        <w:rPr>
          <w:rFonts w:ascii="Times New Roman" w:cs="Times New Roman" w:eastAsia="Times New Roman" w:hAnsi="Times New Roman"/>
          <w:sz w:val="20"/>
          <w:szCs w:val="20"/>
          <w:color w:val="141414"/>
        </w:rPr>
        <w:t>h</w:t>
      </w:r>
      <w:r>
        <w:rPr>
          <w:rFonts w:ascii="Times New Roman" w:cs="Times New Roman" w:eastAsia="Times New Roman" w:hAnsi="Times New Roman"/>
          <w:sz w:val="20"/>
          <w:szCs w:val="20"/>
          <w:color w:val="232323"/>
        </w:rPr>
        <w:t xml:space="preserve">ave </w:t>
      </w:r>
      <w:r>
        <w:rPr>
          <w:rFonts w:ascii="Times New Roman" w:cs="Times New Roman" w:eastAsia="Times New Roman" w:hAnsi="Times New Roman"/>
          <w:sz w:val="20"/>
          <w:szCs w:val="20"/>
          <w:color w:val="141414"/>
        </w:rPr>
        <w:t>b</w:t>
      </w:r>
      <w:r>
        <w:rPr>
          <w:rFonts w:ascii="Times New Roman" w:cs="Times New Roman" w:eastAsia="Times New Roman" w:hAnsi="Times New Roman"/>
          <w:sz w:val="20"/>
          <w:szCs w:val="20"/>
          <w:color w:val="232323"/>
        </w:rPr>
        <w:t>ee</w:t>
      </w:r>
      <w:r>
        <w:rPr>
          <w:rFonts w:ascii="Times New Roman" w:cs="Times New Roman" w:eastAsia="Times New Roman" w:hAnsi="Times New Roman"/>
          <w:sz w:val="20"/>
          <w:szCs w:val="20"/>
          <w:color w:val="141414"/>
        </w:rPr>
        <w:t>n c</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ncelled und</w:t>
      </w:r>
      <w:r>
        <w:rPr>
          <w:rFonts w:ascii="Times New Roman" w:cs="Times New Roman" w:eastAsia="Times New Roman" w:hAnsi="Times New Roman"/>
          <w:sz w:val="20"/>
          <w:szCs w:val="20"/>
          <w:color w:val="232323"/>
        </w:rPr>
        <w:t xml:space="preserve">er </w:t>
      </w:r>
      <w:r>
        <w:rPr>
          <w:rFonts w:ascii="Times New Roman" w:cs="Times New Roman" w:eastAsia="Times New Roman" w:hAnsi="Times New Roman"/>
          <w:sz w:val="20"/>
          <w:szCs w:val="20"/>
          <w:color w:val="141414"/>
        </w:rPr>
        <w:t>thi</w:t>
      </w:r>
      <w:r>
        <w:rPr>
          <w:rFonts w:ascii="Times New Roman" w:cs="Times New Roman" w:eastAsia="Times New Roman" w:hAnsi="Times New Roman"/>
          <w:sz w:val="20"/>
          <w:szCs w:val="20"/>
          <w:color w:val="232323"/>
        </w:rPr>
        <w:t>s s</w:t>
      </w:r>
      <w:r>
        <w:rPr>
          <w:rFonts w:ascii="Times New Roman" w:cs="Times New Roman" w:eastAsia="Times New Roman" w:hAnsi="Times New Roman"/>
          <w:sz w:val="20"/>
          <w:szCs w:val="20"/>
          <w:color w:val="141414"/>
        </w:rPr>
        <w:t>ub</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ection (b) m</w:t>
      </w:r>
      <w:r>
        <w:rPr>
          <w:rFonts w:ascii="Times New Roman" w:cs="Times New Roman" w:eastAsia="Times New Roman" w:hAnsi="Times New Roman"/>
          <w:sz w:val="20"/>
          <w:szCs w:val="20"/>
          <w:color w:val="232323"/>
        </w:rPr>
        <w:t xml:space="preserve">ay </w:t>
      </w:r>
      <w:r>
        <w:rPr>
          <w:rFonts w:ascii="Times New Roman" w:cs="Times New Roman" w:eastAsia="Times New Roman" w:hAnsi="Times New Roman"/>
          <w:sz w:val="20"/>
          <w:szCs w:val="20"/>
          <w:color w:val="141414"/>
        </w:rPr>
        <w:t>not recomm</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nc</w:t>
      </w:r>
      <w:r>
        <w:rPr>
          <w:rFonts w:ascii="Times New Roman" w:cs="Times New Roman" w:eastAsia="Times New Roman" w:hAnsi="Times New Roman"/>
          <w:sz w:val="20"/>
          <w:szCs w:val="20"/>
          <w:color w:val="232323"/>
        </w:rPr>
        <w:t xml:space="preserve">e </w:t>
      </w:r>
      <w:r>
        <w:rPr>
          <w:rFonts w:ascii="Times New Roman" w:cs="Times New Roman" w:eastAsia="Times New Roman" w:hAnsi="Times New Roman"/>
          <w:sz w:val="20"/>
          <w:szCs w:val="20"/>
          <w:color w:val="141414"/>
        </w:rPr>
        <w:t>d</w:t>
      </w:r>
      <w:r>
        <w:rPr>
          <w:rFonts w:ascii="Times New Roman" w:cs="Times New Roman" w:eastAsia="Times New Roman" w:hAnsi="Times New Roman"/>
          <w:sz w:val="20"/>
          <w:szCs w:val="20"/>
          <w:color w:val="232323"/>
        </w:rPr>
        <w:t>efe</w:t>
      </w:r>
      <w:r>
        <w:rPr>
          <w:rFonts w:ascii="Times New Roman" w:cs="Times New Roman" w:eastAsia="Times New Roman" w:hAnsi="Times New Roman"/>
          <w:sz w:val="20"/>
          <w:szCs w:val="20"/>
          <w:color w:val="141414"/>
        </w:rPr>
        <w:t>r</w:t>
      </w:r>
      <w:r>
        <w:rPr>
          <w:rFonts w:ascii="Times New Roman" w:cs="Times New Roman" w:eastAsia="Times New Roman" w:hAnsi="Times New Roman"/>
          <w:sz w:val="20"/>
          <w:szCs w:val="20"/>
          <w:color w:val="232323"/>
        </w:rPr>
        <w:t>ra</w:t>
      </w:r>
      <w:r>
        <w:rPr>
          <w:rFonts w:ascii="Times New Roman" w:cs="Times New Roman" w:eastAsia="Times New Roman" w:hAnsi="Times New Roman"/>
          <w:sz w:val="20"/>
          <w:szCs w:val="20"/>
          <w:color w:val="141414"/>
        </w:rPr>
        <w:t>l</w:t>
      </w:r>
      <w:r>
        <w:rPr>
          <w:rFonts w:ascii="Times New Roman" w:cs="Times New Roman" w:eastAsia="Times New Roman" w:hAnsi="Times New Roman"/>
          <w:sz w:val="20"/>
          <w:szCs w:val="20"/>
          <w:color w:val="232323"/>
        </w:rPr>
        <w:t xml:space="preserve">s </w:t>
      </w:r>
      <w:r>
        <w:rPr>
          <w:rFonts w:ascii="Times New Roman" w:cs="Times New Roman" w:eastAsia="Times New Roman" w:hAnsi="Times New Roman"/>
          <w:sz w:val="20"/>
          <w:szCs w:val="20"/>
          <w:color w:val="141414"/>
        </w:rPr>
        <w:t>und</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r th</w:t>
      </w:r>
      <w:r>
        <w:rPr>
          <w:rFonts w:ascii="Times New Roman" w:cs="Times New Roman" w:eastAsia="Times New Roman" w:hAnsi="Times New Roman"/>
          <w:sz w:val="20"/>
          <w:szCs w:val="20"/>
          <w:color w:val="232323"/>
        </w:rPr>
        <w:t xml:space="preserve">e </w:t>
      </w:r>
      <w:r>
        <w:rPr>
          <w:rFonts w:ascii="Times New Roman" w:cs="Times New Roman" w:eastAsia="Times New Roman" w:hAnsi="Times New Roman"/>
          <w:sz w:val="20"/>
          <w:szCs w:val="20"/>
          <w:color w:val="141414"/>
        </w:rPr>
        <w:t>Pl</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 until th</w:t>
      </w:r>
      <w:r>
        <w:rPr>
          <w:rFonts w:ascii="Times New Roman" w:cs="Times New Roman" w:eastAsia="Times New Roman" w:hAnsi="Times New Roman"/>
          <w:sz w:val="20"/>
          <w:szCs w:val="20"/>
          <w:color w:val="232323"/>
        </w:rPr>
        <w:t>e fir</w:t>
      </w:r>
      <w:r>
        <w:rPr>
          <w:rFonts w:ascii="Times New Roman" w:cs="Times New Roman" w:eastAsia="Times New Roman" w:hAnsi="Times New Roman"/>
          <w:sz w:val="20"/>
          <w:szCs w:val="20"/>
          <w:color w:val="141414"/>
        </w:rPr>
        <w:t>st</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141414"/>
        </w:rPr>
        <w:t>d</w:t>
      </w:r>
      <w:r>
        <w:rPr>
          <w:rFonts w:ascii="Times New Roman" w:cs="Times New Roman" w:eastAsia="Times New Roman" w:hAnsi="Times New Roman"/>
          <w:sz w:val="20"/>
          <w:szCs w:val="20"/>
          <w:color w:val="232323"/>
        </w:rPr>
        <w:t>ay of</w:t>
      </w:r>
      <w:r>
        <w:rPr>
          <w:rFonts w:ascii="Times New Roman" w:cs="Times New Roman" w:eastAsia="Times New Roman" w:hAnsi="Times New Roman"/>
          <w:sz w:val="20"/>
          <w:szCs w:val="20"/>
          <w:color w:val="141414"/>
        </w:rPr>
        <w:t xml:space="preserve"> 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fir</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 xml:space="preserve">t </w:t>
      </w:r>
      <w:r>
        <w:rPr>
          <w:rFonts w:ascii="Times New Roman" w:cs="Times New Roman" w:eastAsia="Times New Roman" w:hAnsi="Times New Roman"/>
          <w:sz w:val="20"/>
          <w:szCs w:val="20"/>
          <w:color w:val="232323"/>
        </w:rPr>
        <w:t>ca</w:t>
      </w:r>
      <w:r>
        <w:rPr>
          <w:rFonts w:ascii="Times New Roman" w:cs="Times New Roman" w:eastAsia="Times New Roman" w:hAnsi="Times New Roman"/>
          <w:sz w:val="20"/>
          <w:szCs w:val="20"/>
          <w:color w:val="141414"/>
        </w:rPr>
        <w:t>l</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nd</w:t>
      </w:r>
      <w:r>
        <w:rPr>
          <w:rFonts w:ascii="Times New Roman" w:cs="Times New Roman" w:eastAsia="Times New Roman" w:hAnsi="Times New Roman"/>
          <w:sz w:val="20"/>
          <w:szCs w:val="20"/>
          <w:color w:val="232323"/>
        </w:rPr>
        <w:t>ar yea</w:t>
      </w:r>
      <w:r>
        <w:rPr>
          <w:rFonts w:ascii="Times New Roman" w:cs="Times New Roman" w:eastAsia="Times New Roman" w:hAnsi="Times New Roman"/>
          <w:sz w:val="20"/>
          <w:szCs w:val="20"/>
          <w:color w:val="141414"/>
        </w:rPr>
        <w:t>r commencin</w:t>
      </w:r>
      <w:r>
        <w:rPr>
          <w:rFonts w:ascii="Times New Roman" w:cs="Times New Roman" w:eastAsia="Times New Roman" w:hAnsi="Times New Roman"/>
          <w:sz w:val="20"/>
          <w:szCs w:val="20"/>
          <w:color w:val="232323"/>
        </w:rPr>
        <w:t>g at</w:t>
      </w:r>
      <w:r>
        <w:rPr>
          <w:rFonts w:ascii="Times New Roman" w:cs="Times New Roman" w:eastAsia="Times New Roman" w:hAnsi="Times New Roman"/>
          <w:sz w:val="20"/>
          <w:szCs w:val="20"/>
          <w:color w:val="141414"/>
        </w:rPr>
        <w:t xml:space="preserve"> le</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st si</w:t>
      </w:r>
      <w:r>
        <w:rPr>
          <w:rFonts w:ascii="Times New Roman" w:cs="Times New Roman" w:eastAsia="Times New Roman" w:hAnsi="Times New Roman"/>
          <w:sz w:val="20"/>
          <w:szCs w:val="20"/>
          <w:color w:val="232323"/>
        </w:rPr>
        <w:t>x</w:t>
      </w:r>
      <w:r>
        <w:rPr>
          <w:rFonts w:ascii="Times New Roman" w:cs="Times New Roman" w:eastAsia="Times New Roman" w:hAnsi="Times New Roman"/>
          <w:sz w:val="20"/>
          <w:szCs w:val="20"/>
          <w:color w:val="141414"/>
        </w:rPr>
        <w:t xml:space="preserve"> (6) month</w:t>
      </w:r>
      <w:r>
        <w:rPr>
          <w:rFonts w:ascii="Times New Roman" w:cs="Times New Roman" w:eastAsia="Times New Roman" w:hAnsi="Times New Roman"/>
          <w:sz w:val="20"/>
          <w:szCs w:val="20"/>
          <w:color w:val="232323"/>
        </w:rPr>
        <w:t>s after</w:t>
      </w:r>
      <w:r>
        <w:rPr>
          <w:rFonts w:ascii="Times New Roman" w:cs="Times New Roman" w:eastAsia="Times New Roman" w:hAnsi="Times New Roman"/>
          <w:sz w:val="20"/>
          <w:szCs w:val="20"/>
          <w:color w:val="141414"/>
        </w:rPr>
        <w:t xml:space="preserve"> 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d</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t</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of such h</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rd</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 xml:space="preserve">hip </w:t>
      </w:r>
      <w:r>
        <w:rPr>
          <w:rFonts w:ascii="Times New Roman" w:cs="Times New Roman" w:eastAsia="Times New Roman" w:hAnsi="Times New Roman"/>
          <w:sz w:val="20"/>
          <w:szCs w:val="20"/>
          <w:color w:val="232323"/>
        </w:rPr>
        <w:t>w</w:t>
      </w:r>
      <w:r>
        <w:rPr>
          <w:rFonts w:ascii="Times New Roman" w:cs="Times New Roman" w:eastAsia="Times New Roman" w:hAnsi="Times New Roman"/>
          <w:sz w:val="20"/>
          <w:szCs w:val="20"/>
          <w:color w:val="141414"/>
        </w:rPr>
        <w:t>ithd</w:t>
      </w:r>
      <w:r>
        <w:rPr>
          <w:rFonts w:ascii="Times New Roman" w:cs="Times New Roman" w:eastAsia="Times New Roman" w:hAnsi="Times New Roman"/>
          <w:sz w:val="20"/>
          <w:szCs w:val="20"/>
          <w:color w:val="232323"/>
        </w:rPr>
        <w:t>ra</w:t>
      </w:r>
      <w:r>
        <w:rPr>
          <w:rFonts w:ascii="Times New Roman" w:cs="Times New Roman" w:eastAsia="Times New Roman" w:hAnsi="Times New Roman"/>
          <w:sz w:val="20"/>
          <w:szCs w:val="20"/>
          <w:color w:val="141414"/>
        </w:rPr>
        <w:t>w</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l.</w:t>
      </w:r>
    </w:p>
    <w:p>
      <w:pPr>
        <w:spacing w:after="0" w:line="201" w:lineRule="exact"/>
        <w:rPr>
          <w:rFonts w:ascii="Times New Roman" w:cs="Times New Roman" w:eastAsia="Times New Roman" w:hAnsi="Times New Roman"/>
          <w:sz w:val="20"/>
          <w:szCs w:val="20"/>
          <w:color w:val="141414"/>
        </w:rPr>
      </w:pPr>
    </w:p>
    <w:p>
      <w:pPr>
        <w:ind w:left="100" w:right="60" w:firstLine="1952"/>
        <w:spacing w:after="0" w:line="297" w:lineRule="auto"/>
        <w:tabs>
          <w:tab w:leader="none" w:pos="2313" w:val="left"/>
        </w:tabs>
        <w:numPr>
          <w:ilvl w:val="0"/>
          <w:numId w:val="99"/>
        </w:numPr>
        <w:rPr>
          <w:rFonts w:ascii="Times New Roman" w:cs="Times New Roman" w:eastAsia="Times New Roman" w:hAnsi="Times New Roman"/>
          <w:sz w:val="20"/>
          <w:szCs w:val="20"/>
          <w:color w:val="141414"/>
        </w:rPr>
      </w:pPr>
      <w:r>
        <w:rPr>
          <w:rFonts w:ascii="Times New Roman" w:cs="Times New Roman" w:eastAsia="Times New Roman" w:hAnsi="Times New Roman"/>
          <w:sz w:val="20"/>
          <w:szCs w:val="20"/>
          <w:color w:val="141414"/>
        </w:rPr>
        <w:t>T</w:t>
      </w:r>
      <w:r>
        <w:rPr>
          <w:rFonts w:ascii="Times New Roman" w:cs="Times New Roman" w:eastAsia="Times New Roman" w:hAnsi="Times New Roman"/>
          <w:sz w:val="20"/>
          <w:szCs w:val="20"/>
          <w:color w:val="232323"/>
        </w:rPr>
        <w:t>he</w:t>
      </w:r>
      <w:r>
        <w:rPr>
          <w:rFonts w:ascii="Times New Roman" w:cs="Times New Roman" w:eastAsia="Times New Roman" w:hAnsi="Times New Roman"/>
          <w:sz w:val="20"/>
          <w:szCs w:val="20"/>
          <w:color w:val="141414"/>
        </w:rPr>
        <w:t xml:space="preserve"> r</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c</w:t>
      </w:r>
      <w:r>
        <w:rPr>
          <w:rFonts w:ascii="Times New Roman" w:cs="Times New Roman" w:eastAsia="Times New Roman" w:hAnsi="Times New Roman"/>
          <w:sz w:val="20"/>
          <w:szCs w:val="20"/>
          <w:color w:val="232323"/>
        </w:rPr>
        <w:t>om</w:t>
      </w:r>
      <w:r>
        <w:rPr>
          <w:rFonts w:ascii="Times New Roman" w:cs="Times New Roman" w:eastAsia="Times New Roman" w:hAnsi="Times New Roman"/>
          <w:sz w:val="20"/>
          <w:szCs w:val="20"/>
          <w:color w:val="141414"/>
        </w:rPr>
        <w:t>m</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ncemen</w:t>
      </w:r>
      <w:r>
        <w:rPr>
          <w:rFonts w:ascii="Times New Roman" w:cs="Times New Roman" w:eastAsia="Times New Roman" w:hAnsi="Times New Roman"/>
          <w:sz w:val="20"/>
          <w:szCs w:val="20"/>
          <w:color w:val="232323"/>
        </w:rPr>
        <w:t>t</w:t>
      </w:r>
      <w:r>
        <w:rPr>
          <w:rFonts w:ascii="Times New Roman" w:cs="Times New Roman" w:eastAsia="Times New Roman" w:hAnsi="Times New Roman"/>
          <w:sz w:val="20"/>
          <w:szCs w:val="20"/>
          <w:color w:val="141414"/>
        </w:rPr>
        <w:t xml:space="preserve"> of d</w:t>
      </w:r>
      <w:r>
        <w:rPr>
          <w:rFonts w:ascii="Times New Roman" w:cs="Times New Roman" w:eastAsia="Times New Roman" w:hAnsi="Times New Roman"/>
          <w:sz w:val="20"/>
          <w:szCs w:val="20"/>
          <w:color w:val="232323"/>
        </w:rPr>
        <w:t>eferra</w:t>
      </w:r>
      <w:r>
        <w:rPr>
          <w:rFonts w:ascii="Times New Roman" w:cs="Times New Roman" w:eastAsia="Times New Roman" w:hAnsi="Times New Roman"/>
          <w:sz w:val="20"/>
          <w:szCs w:val="20"/>
          <w:color w:val="141414"/>
        </w:rPr>
        <w:t xml:space="preserve">ls </w:t>
      </w:r>
      <w:r>
        <w:rPr>
          <w:rFonts w:ascii="Times New Roman" w:cs="Times New Roman" w:eastAsia="Times New Roman" w:hAnsi="Times New Roman"/>
          <w:sz w:val="20"/>
          <w:szCs w:val="20"/>
          <w:color w:val="232323"/>
        </w:rPr>
        <w:t>foll</w:t>
      </w:r>
      <w:r>
        <w:rPr>
          <w:rFonts w:ascii="Times New Roman" w:cs="Times New Roman" w:eastAsia="Times New Roman" w:hAnsi="Times New Roman"/>
          <w:sz w:val="20"/>
          <w:szCs w:val="20"/>
          <w:color w:val="141414"/>
        </w:rPr>
        <w:t>owing c</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nc</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ll</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t</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141414"/>
        </w:rPr>
        <w:t>o</w:t>
      </w:r>
      <w:r>
        <w:rPr>
          <w:rFonts w:ascii="Times New Roman" w:cs="Times New Roman" w:eastAsia="Times New Roman" w:hAnsi="Times New Roman"/>
          <w:sz w:val="20"/>
          <w:szCs w:val="20"/>
          <w:color w:val="232323"/>
        </w:rPr>
        <w:t>n</w:t>
      </w:r>
      <w:r>
        <w:rPr>
          <w:rFonts w:ascii="Times New Roman" w:cs="Times New Roman" w:eastAsia="Times New Roman" w:hAnsi="Times New Roman"/>
          <w:sz w:val="20"/>
          <w:szCs w:val="20"/>
          <w:color w:val="141414"/>
        </w:rPr>
        <w:t xml:space="preserve"> pur</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u</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nt t</w:t>
      </w:r>
      <w:r>
        <w:rPr>
          <w:rFonts w:ascii="Times New Roman" w:cs="Times New Roman" w:eastAsia="Times New Roman" w:hAnsi="Times New Roman"/>
          <w:sz w:val="20"/>
          <w:szCs w:val="20"/>
          <w:color w:val="232323"/>
        </w:rPr>
        <w:t>o t</w:t>
      </w:r>
      <w:r>
        <w:rPr>
          <w:rFonts w:ascii="Times New Roman" w:cs="Times New Roman" w:eastAsia="Times New Roman" w:hAnsi="Times New Roman"/>
          <w:sz w:val="20"/>
          <w:szCs w:val="20"/>
          <w:color w:val="141414"/>
        </w:rPr>
        <w:t>hi</w:t>
      </w:r>
      <w:r>
        <w:rPr>
          <w:rFonts w:ascii="Times New Roman" w:cs="Times New Roman" w:eastAsia="Times New Roman" w:hAnsi="Times New Roman"/>
          <w:sz w:val="20"/>
          <w:szCs w:val="20"/>
          <w:color w:val="232323"/>
        </w:rPr>
        <w:t>s Se</w:t>
      </w:r>
      <w:r>
        <w:rPr>
          <w:rFonts w:ascii="Times New Roman" w:cs="Times New Roman" w:eastAsia="Times New Roman" w:hAnsi="Times New Roman"/>
          <w:sz w:val="20"/>
          <w:szCs w:val="20"/>
          <w:color w:val="141414"/>
        </w:rPr>
        <w:t>ction 8</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141414"/>
        </w:rPr>
        <w:t>3 sh</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ll b</w:t>
      </w:r>
      <w:r>
        <w:rPr>
          <w:rFonts w:ascii="Times New Roman" w:cs="Times New Roman" w:eastAsia="Times New Roman" w:hAnsi="Times New Roman"/>
          <w:sz w:val="20"/>
          <w:szCs w:val="20"/>
          <w:color w:val="232323"/>
        </w:rPr>
        <w:t>e g</w:t>
      </w:r>
      <w:r>
        <w:rPr>
          <w:rFonts w:ascii="Times New Roman" w:cs="Times New Roman" w:eastAsia="Times New Roman" w:hAnsi="Times New Roman"/>
          <w:sz w:val="20"/>
          <w:szCs w:val="20"/>
          <w:color w:val="141414"/>
        </w:rPr>
        <w:t>ov</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rn</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d by the provision</w:t>
      </w:r>
      <w:r>
        <w:rPr>
          <w:rFonts w:ascii="Times New Roman" w:cs="Times New Roman" w:eastAsia="Times New Roman" w:hAnsi="Times New Roman"/>
          <w:sz w:val="20"/>
          <w:szCs w:val="20"/>
          <w:color w:val="232323"/>
        </w:rPr>
        <w:t>s of A</w:t>
      </w:r>
      <w:r>
        <w:rPr>
          <w:rFonts w:ascii="Times New Roman" w:cs="Times New Roman" w:eastAsia="Times New Roman" w:hAnsi="Times New Roman"/>
          <w:sz w:val="20"/>
          <w:szCs w:val="20"/>
          <w:color w:val="141414"/>
        </w:rPr>
        <w:t>r</w:t>
      </w:r>
      <w:r>
        <w:rPr>
          <w:rFonts w:ascii="Times New Roman" w:cs="Times New Roman" w:eastAsia="Times New Roman" w:hAnsi="Times New Roman"/>
          <w:sz w:val="20"/>
          <w:szCs w:val="20"/>
          <w:color w:val="232323"/>
        </w:rPr>
        <w:t>t</w:t>
      </w:r>
      <w:r>
        <w:rPr>
          <w:rFonts w:ascii="Times New Roman" w:cs="Times New Roman" w:eastAsia="Times New Roman" w:hAnsi="Times New Roman"/>
          <w:sz w:val="20"/>
          <w:szCs w:val="20"/>
          <w:color w:val="141414"/>
        </w:rPr>
        <w:t>icl</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IV hereof.</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141414"/>
        </w:rPr>
        <w:t>8.4 Death Benefits.</w:t>
      </w:r>
    </w:p>
    <w:p>
      <w:pPr>
        <w:spacing w:after="0" w:line="260" w:lineRule="exact"/>
        <w:rPr>
          <w:sz w:val="20"/>
          <w:szCs w:val="20"/>
          <w:color w:val="auto"/>
        </w:rPr>
      </w:pPr>
    </w:p>
    <w:p>
      <w:pPr>
        <w:ind w:left="100" w:right="60" w:firstLine="1935"/>
        <w:spacing w:after="0" w:line="283" w:lineRule="auto"/>
        <w:rPr>
          <w:sz w:val="20"/>
          <w:szCs w:val="20"/>
          <w:color w:val="auto"/>
        </w:rPr>
      </w:pPr>
      <w:r>
        <w:rPr>
          <w:rFonts w:ascii="Times New Roman" w:cs="Times New Roman" w:eastAsia="Times New Roman" w:hAnsi="Times New Roman"/>
          <w:sz w:val="20"/>
          <w:szCs w:val="20"/>
          <w:color w:val="141414"/>
        </w:rPr>
        <w:t>(</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 xml:space="preserve"> Upon 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d</w:t>
      </w:r>
      <w:r>
        <w:rPr>
          <w:rFonts w:ascii="Times New Roman" w:cs="Times New Roman" w:eastAsia="Times New Roman" w:hAnsi="Times New Roman"/>
          <w:sz w:val="20"/>
          <w:szCs w:val="20"/>
          <w:color w:val="232323"/>
        </w:rPr>
        <w:t>ea</w:t>
      </w:r>
      <w:r>
        <w:rPr>
          <w:rFonts w:ascii="Times New Roman" w:cs="Times New Roman" w:eastAsia="Times New Roman" w:hAnsi="Times New Roman"/>
          <w:sz w:val="20"/>
          <w:szCs w:val="20"/>
          <w:color w:val="141414"/>
        </w:rPr>
        <w:t>th o</w:t>
      </w:r>
      <w:r>
        <w:rPr>
          <w:rFonts w:ascii="Times New Roman" w:cs="Times New Roman" w:eastAsia="Times New Roman" w:hAnsi="Times New Roman"/>
          <w:sz w:val="20"/>
          <w:szCs w:val="20"/>
          <w:color w:val="232323"/>
        </w:rPr>
        <w:t>f a</w:t>
      </w:r>
      <w:r>
        <w:rPr>
          <w:rFonts w:ascii="Times New Roman" w:cs="Times New Roman" w:eastAsia="Times New Roman" w:hAnsi="Times New Roman"/>
          <w:sz w:val="20"/>
          <w:szCs w:val="20"/>
          <w:color w:val="141414"/>
        </w:rPr>
        <w:t xml:space="preserve"> Particip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nt</w:t>
      </w:r>
      <w:r>
        <w:rPr>
          <w:rFonts w:ascii="Times New Roman" w:cs="Times New Roman" w:eastAsia="Times New Roman" w:hAnsi="Times New Roman"/>
          <w:sz w:val="20"/>
          <w:szCs w:val="20"/>
          <w:color w:val="444444"/>
        </w:rPr>
        <w:t>,</w:t>
      </w:r>
      <w:r>
        <w:rPr>
          <w:rFonts w:ascii="Times New Roman" w:cs="Times New Roman" w:eastAsia="Times New Roman" w:hAnsi="Times New Roman"/>
          <w:sz w:val="20"/>
          <w:szCs w:val="20"/>
          <w:color w:val="141414"/>
        </w:rPr>
        <w:t xml:space="preserve"> </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y</w:t>
      </w:r>
      <w:r>
        <w:rPr>
          <w:rFonts w:ascii="Times New Roman" w:cs="Times New Roman" w:eastAsia="Times New Roman" w:hAnsi="Times New Roman"/>
          <w:sz w:val="20"/>
          <w:szCs w:val="20"/>
          <w:color w:val="141414"/>
        </w:rPr>
        <w:t xml:space="preserve"> p</w:t>
      </w:r>
      <w:r>
        <w:rPr>
          <w:rFonts w:ascii="Times New Roman" w:cs="Times New Roman" w:eastAsia="Times New Roman" w:hAnsi="Times New Roman"/>
          <w:sz w:val="20"/>
          <w:szCs w:val="20"/>
          <w:color w:val="232323"/>
        </w:rPr>
        <w:t>or</w:t>
      </w:r>
      <w:r>
        <w:rPr>
          <w:rFonts w:ascii="Times New Roman" w:cs="Times New Roman" w:eastAsia="Times New Roman" w:hAnsi="Times New Roman"/>
          <w:sz w:val="20"/>
          <w:szCs w:val="20"/>
          <w:color w:val="141414"/>
        </w:rPr>
        <w:t>tion of the 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rticip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nt</w:t>
      </w:r>
      <w:r>
        <w:rPr>
          <w:rFonts w:ascii="Times New Roman" w:cs="Times New Roman" w:eastAsia="Times New Roman" w:hAnsi="Times New Roman"/>
          <w:sz w:val="20"/>
          <w:szCs w:val="20"/>
          <w:color w:val="232323"/>
        </w:rPr>
        <w:t>'s ves</w:t>
      </w:r>
      <w:r>
        <w:rPr>
          <w:rFonts w:ascii="Times New Roman" w:cs="Times New Roman" w:eastAsia="Times New Roman" w:hAnsi="Times New Roman"/>
          <w:sz w:val="20"/>
          <w:szCs w:val="20"/>
          <w:color w:val="141414"/>
        </w:rPr>
        <w:t>t</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d </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c</w:t>
      </w:r>
      <w:r>
        <w:rPr>
          <w:rFonts w:ascii="Times New Roman" w:cs="Times New Roman" w:eastAsia="Times New Roman" w:hAnsi="Times New Roman"/>
          <w:sz w:val="20"/>
          <w:szCs w:val="20"/>
          <w:color w:val="232323"/>
        </w:rPr>
        <w:t>co</w:t>
      </w:r>
      <w:r>
        <w:rPr>
          <w:rFonts w:ascii="Times New Roman" w:cs="Times New Roman" w:eastAsia="Times New Roman" w:hAnsi="Times New Roman"/>
          <w:sz w:val="20"/>
          <w:szCs w:val="20"/>
          <w:color w:val="141414"/>
        </w:rPr>
        <w:t>unt that h</w:t>
      </w:r>
      <w:r>
        <w:rPr>
          <w:rFonts w:ascii="Times New Roman" w:cs="Times New Roman" w:eastAsia="Times New Roman" w:hAnsi="Times New Roman"/>
          <w:sz w:val="20"/>
          <w:szCs w:val="20"/>
          <w:color w:val="232323"/>
        </w:rPr>
        <w:t>as</w:t>
      </w:r>
      <w:r>
        <w:rPr>
          <w:rFonts w:ascii="Times New Roman" w:cs="Times New Roman" w:eastAsia="Times New Roman" w:hAnsi="Times New Roman"/>
          <w:sz w:val="20"/>
          <w:szCs w:val="20"/>
          <w:color w:val="141414"/>
        </w:rPr>
        <w:t xml:space="preserve"> not </w:t>
      </w:r>
      <w:r>
        <w:rPr>
          <w:rFonts w:ascii="Times New Roman" w:cs="Times New Roman" w:eastAsia="Times New Roman" w:hAnsi="Times New Roman"/>
          <w:sz w:val="20"/>
          <w:szCs w:val="20"/>
          <w:color w:val="232323"/>
        </w:rPr>
        <w:t>y</w:t>
      </w:r>
      <w:r>
        <w:rPr>
          <w:rFonts w:ascii="Times New Roman" w:cs="Times New Roman" w:eastAsia="Times New Roman" w:hAnsi="Times New Roman"/>
          <w:sz w:val="20"/>
          <w:szCs w:val="20"/>
          <w:color w:val="141414"/>
        </w:rPr>
        <w:t>et b</w:t>
      </w:r>
      <w:r>
        <w:rPr>
          <w:rFonts w:ascii="Times New Roman" w:cs="Times New Roman" w:eastAsia="Times New Roman" w:hAnsi="Times New Roman"/>
          <w:sz w:val="20"/>
          <w:szCs w:val="20"/>
          <w:color w:val="232323"/>
        </w:rPr>
        <w:t>ee</w:t>
      </w:r>
      <w:r>
        <w:rPr>
          <w:rFonts w:ascii="Times New Roman" w:cs="Times New Roman" w:eastAsia="Times New Roman" w:hAnsi="Times New Roman"/>
          <w:sz w:val="20"/>
          <w:szCs w:val="20"/>
          <w:color w:val="141414"/>
        </w:rPr>
        <w:t>n d</w:t>
      </w:r>
      <w:r>
        <w:rPr>
          <w:rFonts w:ascii="Times New Roman" w:cs="Times New Roman" w:eastAsia="Times New Roman" w:hAnsi="Times New Roman"/>
          <w:sz w:val="20"/>
          <w:szCs w:val="20"/>
          <w:color w:val="232323"/>
        </w:rPr>
        <w:t>is</w:t>
      </w:r>
      <w:r>
        <w:rPr>
          <w:rFonts w:ascii="Times New Roman" w:cs="Times New Roman" w:eastAsia="Times New Roman" w:hAnsi="Times New Roman"/>
          <w:sz w:val="20"/>
          <w:szCs w:val="20"/>
          <w:color w:val="141414"/>
        </w:rPr>
        <w:t xml:space="preserve">tributed </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h</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ll b</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 xml:space="preserve">id in </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 xml:space="preserve"> lump </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um t</w:t>
      </w:r>
      <w:r>
        <w:rPr>
          <w:rFonts w:ascii="Times New Roman" w:cs="Times New Roman" w:eastAsia="Times New Roman" w:hAnsi="Times New Roman"/>
          <w:sz w:val="20"/>
          <w:szCs w:val="20"/>
          <w:color w:val="232323"/>
        </w:rPr>
        <w:t>o</w:t>
      </w:r>
      <w:r>
        <w:rPr>
          <w:rFonts w:ascii="Times New Roman" w:cs="Times New Roman" w:eastAsia="Times New Roman" w:hAnsi="Times New Roman"/>
          <w:sz w:val="20"/>
          <w:szCs w:val="20"/>
          <w:color w:val="141414"/>
        </w:rPr>
        <w:t xml:space="preserve"> the 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rt</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141414"/>
        </w:rPr>
        <w:t>ci</w:t>
      </w:r>
      <w:r>
        <w:rPr>
          <w:rFonts w:ascii="Times New Roman" w:cs="Times New Roman" w:eastAsia="Times New Roman" w:hAnsi="Times New Roman"/>
          <w:sz w:val="20"/>
          <w:szCs w:val="20"/>
          <w:color w:val="232323"/>
        </w:rPr>
        <w:t>pa</w:t>
      </w:r>
      <w:r>
        <w:rPr>
          <w:rFonts w:ascii="Times New Roman" w:cs="Times New Roman" w:eastAsia="Times New Roman" w:hAnsi="Times New Roman"/>
          <w:sz w:val="20"/>
          <w:szCs w:val="20"/>
          <w:color w:val="141414"/>
        </w:rPr>
        <w:t>nt'</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 xml:space="preserve"> B</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fici</w:t>
      </w:r>
      <w:r>
        <w:rPr>
          <w:rFonts w:ascii="Times New Roman" w:cs="Times New Roman" w:eastAsia="Times New Roman" w:hAnsi="Times New Roman"/>
          <w:sz w:val="20"/>
          <w:szCs w:val="20"/>
          <w:color w:val="232323"/>
        </w:rPr>
        <w:t>ary</w:t>
      </w:r>
      <w:r>
        <w:rPr>
          <w:rFonts w:ascii="Times New Roman" w:cs="Times New Roman" w:eastAsia="Times New Roman" w:hAnsi="Times New Roman"/>
          <w:sz w:val="20"/>
          <w:szCs w:val="20"/>
          <w:color w:val="141414"/>
        </w:rPr>
        <w:t xml:space="preserve"> with</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141414"/>
        </w:rPr>
        <w:t>n nin</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ty (90) d</w:t>
      </w:r>
      <w:r>
        <w:rPr>
          <w:rFonts w:ascii="Times New Roman" w:cs="Times New Roman" w:eastAsia="Times New Roman" w:hAnsi="Times New Roman"/>
          <w:sz w:val="20"/>
          <w:szCs w:val="20"/>
          <w:color w:val="232323"/>
        </w:rPr>
        <w:t>ays after</w:t>
      </w:r>
      <w:r>
        <w:rPr>
          <w:rFonts w:ascii="Times New Roman" w:cs="Times New Roman" w:eastAsia="Times New Roman" w:hAnsi="Times New Roman"/>
          <w:sz w:val="20"/>
          <w:szCs w:val="20"/>
          <w:color w:val="141414"/>
        </w:rPr>
        <w:t xml:space="preserve"> the 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rticip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nt'</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 xml:space="preserve"> d</w:t>
      </w:r>
      <w:r>
        <w:rPr>
          <w:rFonts w:ascii="Times New Roman" w:cs="Times New Roman" w:eastAsia="Times New Roman" w:hAnsi="Times New Roman"/>
          <w:sz w:val="20"/>
          <w:szCs w:val="20"/>
          <w:color w:val="232323"/>
        </w:rPr>
        <w:t>ea</w:t>
      </w:r>
      <w:r>
        <w:rPr>
          <w:rFonts w:ascii="Times New Roman" w:cs="Times New Roman" w:eastAsia="Times New Roman" w:hAnsi="Times New Roman"/>
          <w:sz w:val="20"/>
          <w:szCs w:val="20"/>
          <w:color w:val="141414"/>
        </w:rPr>
        <w:t>th</w:t>
      </w:r>
      <w:r>
        <w:rPr>
          <w:rFonts w:ascii="Times New Roman" w:cs="Times New Roman" w:eastAsia="Times New Roman" w:hAnsi="Times New Roman"/>
          <w:sz w:val="20"/>
          <w:szCs w:val="20"/>
          <w:color w:val="232323"/>
        </w:rPr>
        <w:t>.</w:t>
      </w:r>
    </w:p>
    <w:p>
      <w:pPr>
        <w:spacing w:after="0" w:line="200" w:lineRule="exact"/>
        <w:rPr>
          <w:sz w:val="20"/>
          <w:szCs w:val="20"/>
          <w:color w:val="auto"/>
        </w:rPr>
      </w:pPr>
    </w:p>
    <w:p>
      <w:pPr>
        <w:jc w:val="both"/>
        <w:ind w:left="100" w:right="60" w:firstLine="1939"/>
        <w:spacing w:after="0" w:line="267" w:lineRule="auto"/>
        <w:tabs>
          <w:tab w:leader="none" w:pos="2382" w:val="left"/>
        </w:tabs>
        <w:numPr>
          <w:ilvl w:val="0"/>
          <w:numId w:val="100"/>
        </w:numPr>
        <w:rPr>
          <w:rFonts w:ascii="Times New Roman" w:cs="Times New Roman" w:eastAsia="Times New Roman" w:hAnsi="Times New Roman"/>
          <w:sz w:val="20"/>
          <w:szCs w:val="20"/>
          <w:color w:val="141414"/>
        </w:rPr>
      </w:pPr>
      <w:r>
        <w:rPr>
          <w:rFonts w:ascii="Times New Roman" w:cs="Times New Roman" w:eastAsia="Times New Roman" w:hAnsi="Times New Roman"/>
          <w:sz w:val="20"/>
          <w:szCs w:val="20"/>
          <w:color w:val="141414"/>
        </w:rPr>
        <w:t>A 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rticipant sh</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ll de</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ign</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te his or 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r B</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efici</w:t>
      </w:r>
      <w:r>
        <w:rPr>
          <w:rFonts w:ascii="Times New Roman" w:cs="Times New Roman" w:eastAsia="Times New Roman" w:hAnsi="Times New Roman"/>
          <w:sz w:val="20"/>
          <w:szCs w:val="20"/>
          <w:color w:val="141414"/>
        </w:rPr>
        <w:t xml:space="preserve">ary on such form </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141414"/>
        </w:rPr>
        <w:t>filed with th</w:t>
      </w:r>
      <w:r>
        <w:rPr>
          <w:rFonts w:ascii="Times New Roman" w:cs="Times New Roman" w:eastAsia="Times New Roman" w:hAnsi="Times New Roman"/>
          <w:sz w:val="20"/>
          <w:szCs w:val="20"/>
          <w:color w:val="232323"/>
        </w:rPr>
        <w:t>e C</w:t>
      </w:r>
      <w:r>
        <w:rPr>
          <w:rFonts w:ascii="Times New Roman" w:cs="Times New Roman" w:eastAsia="Times New Roman" w:hAnsi="Times New Roman"/>
          <w:sz w:val="20"/>
          <w:szCs w:val="20"/>
          <w:color w:val="141414"/>
        </w:rPr>
        <w:t>o</w:t>
      </w:r>
      <w:r>
        <w:rPr>
          <w:rFonts w:ascii="Times New Roman" w:cs="Times New Roman" w:eastAsia="Times New Roman" w:hAnsi="Times New Roman"/>
          <w:sz w:val="20"/>
          <w:szCs w:val="20"/>
          <w:color w:val="232323"/>
        </w:rPr>
        <w:t>m</w:t>
      </w:r>
      <w:r>
        <w:rPr>
          <w:rFonts w:ascii="Times New Roman" w:cs="Times New Roman" w:eastAsia="Times New Roman" w:hAnsi="Times New Roman"/>
          <w:sz w:val="20"/>
          <w:szCs w:val="20"/>
          <w:color w:val="141414"/>
        </w:rPr>
        <w:t>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y) a</w:t>
      </w:r>
      <w:r>
        <w:rPr>
          <w:rFonts w:ascii="Times New Roman" w:cs="Times New Roman" w:eastAsia="Times New Roman" w:hAnsi="Times New Roman"/>
          <w:sz w:val="20"/>
          <w:szCs w:val="20"/>
          <w:color w:val="141414"/>
        </w:rPr>
        <w:t>s the Administrat</w:t>
      </w:r>
      <w:r>
        <w:rPr>
          <w:rFonts w:ascii="Times New Roman" w:cs="Times New Roman" w:eastAsia="Times New Roman" w:hAnsi="Times New Roman"/>
          <w:sz w:val="20"/>
          <w:szCs w:val="20"/>
          <w:color w:val="232323"/>
        </w:rPr>
        <w:t>o</w:t>
      </w:r>
      <w:r>
        <w:rPr>
          <w:rFonts w:ascii="Times New Roman" w:cs="Times New Roman" w:eastAsia="Times New Roman" w:hAnsi="Times New Roman"/>
          <w:sz w:val="20"/>
          <w:szCs w:val="20"/>
          <w:color w:val="141414"/>
        </w:rPr>
        <w:t>r sh</w:t>
      </w:r>
      <w:r>
        <w:rPr>
          <w:rFonts w:ascii="Times New Roman" w:cs="Times New Roman" w:eastAsia="Times New Roman" w:hAnsi="Times New Roman"/>
          <w:sz w:val="20"/>
          <w:szCs w:val="20"/>
          <w:color w:val="232323"/>
        </w:rPr>
        <w:t>all</w:t>
      </w:r>
      <w:r>
        <w:rPr>
          <w:rFonts w:ascii="Times New Roman" w:cs="Times New Roman" w:eastAsia="Times New Roman" w:hAnsi="Times New Roman"/>
          <w:sz w:val="20"/>
          <w:szCs w:val="20"/>
          <w:color w:val="141414"/>
        </w:rPr>
        <w:t xml:space="preserve"> pr</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scribe </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nd m</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y ch</w:t>
      </w:r>
      <w:r>
        <w:rPr>
          <w:rFonts w:ascii="Times New Roman" w:cs="Times New Roman" w:eastAsia="Times New Roman" w:hAnsi="Times New Roman"/>
          <w:sz w:val="20"/>
          <w:szCs w:val="20"/>
          <w:color w:val="232323"/>
        </w:rPr>
        <w:t>an</w:t>
      </w:r>
      <w:r>
        <w:rPr>
          <w:rFonts w:ascii="Times New Roman" w:cs="Times New Roman" w:eastAsia="Times New Roman" w:hAnsi="Times New Roman"/>
          <w:sz w:val="20"/>
          <w:szCs w:val="20"/>
          <w:color w:val="141414"/>
        </w:rPr>
        <w:t>g</w:t>
      </w:r>
      <w:r>
        <w:rPr>
          <w:rFonts w:ascii="Times New Roman" w:cs="Times New Roman" w:eastAsia="Times New Roman" w:hAnsi="Times New Roman"/>
          <w:sz w:val="20"/>
          <w:szCs w:val="20"/>
          <w:color w:val="232323"/>
        </w:rPr>
        <w:t>e th</w:t>
      </w:r>
      <w:r>
        <w:rPr>
          <w:rFonts w:ascii="Times New Roman" w:cs="Times New Roman" w:eastAsia="Times New Roman" w:hAnsi="Times New Roman"/>
          <w:sz w:val="20"/>
          <w:szCs w:val="20"/>
          <w:color w:val="141414"/>
        </w:rPr>
        <w:t>at d</w:t>
      </w:r>
      <w:r>
        <w:rPr>
          <w:rFonts w:ascii="Times New Roman" w:cs="Times New Roman" w:eastAsia="Times New Roman" w:hAnsi="Times New Roman"/>
          <w:sz w:val="20"/>
          <w:szCs w:val="20"/>
          <w:color w:val="232323"/>
        </w:rPr>
        <w:t>es</w:t>
      </w:r>
      <w:r>
        <w:rPr>
          <w:rFonts w:ascii="Times New Roman" w:cs="Times New Roman" w:eastAsia="Times New Roman" w:hAnsi="Times New Roman"/>
          <w:sz w:val="20"/>
          <w:szCs w:val="20"/>
          <w:color w:val="141414"/>
        </w:rPr>
        <w:t>i</w:t>
      </w:r>
      <w:r>
        <w:rPr>
          <w:rFonts w:ascii="Times New Roman" w:cs="Times New Roman" w:eastAsia="Times New Roman" w:hAnsi="Times New Roman"/>
          <w:sz w:val="20"/>
          <w:szCs w:val="20"/>
          <w:color w:val="232323"/>
        </w:rPr>
        <w:t>g</w:t>
      </w:r>
      <w:r>
        <w:rPr>
          <w:rFonts w:ascii="Times New Roman" w:cs="Times New Roman" w:eastAsia="Times New Roman" w:hAnsi="Times New Roman"/>
          <w:sz w:val="20"/>
          <w:szCs w:val="20"/>
          <w:color w:val="141414"/>
        </w:rPr>
        <w:t xml:space="preserve">nation </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 xml:space="preserve">t </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ny tim</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by fil</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g a</w:t>
      </w:r>
      <w:r>
        <w:rPr>
          <w:rFonts w:ascii="Times New Roman" w:cs="Times New Roman" w:eastAsia="Times New Roman" w:hAnsi="Times New Roman"/>
          <w:sz w:val="20"/>
          <w:szCs w:val="20"/>
          <w:color w:val="141414"/>
        </w:rPr>
        <w:t xml:space="preserve"> n</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w b</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ne</w:t>
      </w:r>
      <w:r>
        <w:rPr>
          <w:rFonts w:ascii="Times New Roman" w:cs="Times New Roman" w:eastAsia="Times New Roman" w:hAnsi="Times New Roman"/>
          <w:sz w:val="20"/>
          <w:szCs w:val="20"/>
          <w:color w:val="232323"/>
        </w:rPr>
        <w:t>fi</w:t>
      </w:r>
      <w:r>
        <w:rPr>
          <w:rFonts w:ascii="Times New Roman" w:cs="Times New Roman" w:eastAsia="Times New Roman" w:hAnsi="Times New Roman"/>
          <w:sz w:val="20"/>
          <w:szCs w:val="20"/>
          <w:color w:val="141414"/>
        </w:rPr>
        <w:t>c</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141414"/>
        </w:rPr>
        <w:t>a</w:t>
      </w:r>
      <w:r>
        <w:rPr>
          <w:rFonts w:ascii="Times New Roman" w:cs="Times New Roman" w:eastAsia="Times New Roman" w:hAnsi="Times New Roman"/>
          <w:sz w:val="20"/>
          <w:szCs w:val="20"/>
          <w:color w:val="232323"/>
        </w:rPr>
        <w:t>ry</w:t>
      </w:r>
      <w:r>
        <w:rPr>
          <w:rFonts w:ascii="Times New Roman" w:cs="Times New Roman" w:eastAsia="Times New Roman" w:hAnsi="Times New Roman"/>
          <w:sz w:val="20"/>
          <w:szCs w:val="20"/>
          <w:color w:val="141414"/>
        </w:rPr>
        <w:t xml:space="preserve"> designation </w:t>
      </w:r>
      <w:r>
        <w:rPr>
          <w:rFonts w:ascii="Times New Roman" w:cs="Times New Roman" w:eastAsia="Times New Roman" w:hAnsi="Times New Roman"/>
          <w:sz w:val="20"/>
          <w:szCs w:val="20"/>
          <w:color w:val="232323"/>
        </w:rPr>
        <w:t>w</w:t>
      </w:r>
      <w:r>
        <w:rPr>
          <w:rFonts w:ascii="Times New Roman" w:cs="Times New Roman" w:eastAsia="Times New Roman" w:hAnsi="Times New Roman"/>
          <w:sz w:val="20"/>
          <w:szCs w:val="20"/>
          <w:color w:val="141414"/>
        </w:rPr>
        <w:t xml:space="preserve">ith the </w:t>
      </w:r>
      <w:r>
        <w:rPr>
          <w:rFonts w:ascii="Times New Roman" w:cs="Times New Roman" w:eastAsia="Times New Roman" w:hAnsi="Times New Roman"/>
          <w:sz w:val="20"/>
          <w:szCs w:val="20"/>
          <w:color w:val="232323"/>
        </w:rPr>
        <w:t>C</w:t>
      </w:r>
      <w:r>
        <w:rPr>
          <w:rFonts w:ascii="Times New Roman" w:cs="Times New Roman" w:eastAsia="Times New Roman" w:hAnsi="Times New Roman"/>
          <w:sz w:val="20"/>
          <w:szCs w:val="20"/>
          <w:color w:val="141414"/>
        </w:rPr>
        <w:t>omp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y.</w:t>
      </w:r>
      <w:r>
        <w:rPr>
          <w:rFonts w:ascii="Times New Roman" w:cs="Times New Roman" w:eastAsia="Times New Roman" w:hAnsi="Times New Roman"/>
          <w:sz w:val="20"/>
          <w:szCs w:val="20"/>
          <w:color w:val="141414"/>
        </w:rPr>
        <w:t xml:space="preserve"> An</w:t>
      </w:r>
      <w:r>
        <w:rPr>
          <w:rFonts w:ascii="Times New Roman" w:cs="Times New Roman" w:eastAsia="Times New Roman" w:hAnsi="Times New Roman"/>
          <w:sz w:val="20"/>
          <w:szCs w:val="20"/>
          <w:color w:val="232323"/>
        </w:rPr>
        <w:t>y</w:t>
      </w:r>
      <w:r>
        <w:rPr>
          <w:rFonts w:ascii="Times New Roman" w:cs="Times New Roman" w:eastAsia="Times New Roman" w:hAnsi="Times New Roman"/>
          <w:sz w:val="20"/>
          <w:szCs w:val="20"/>
          <w:color w:val="141414"/>
        </w:rPr>
        <w:t xml:space="preserve"> su</w:t>
      </w:r>
      <w:r>
        <w:rPr>
          <w:rFonts w:ascii="Times New Roman" w:cs="Times New Roman" w:eastAsia="Times New Roman" w:hAnsi="Times New Roman"/>
          <w:sz w:val="20"/>
          <w:szCs w:val="20"/>
          <w:color w:val="232323"/>
        </w:rPr>
        <w:t>c</w:t>
      </w:r>
      <w:r>
        <w:rPr>
          <w:rFonts w:ascii="Times New Roman" w:cs="Times New Roman" w:eastAsia="Times New Roman" w:hAnsi="Times New Roman"/>
          <w:sz w:val="20"/>
          <w:szCs w:val="20"/>
          <w:color w:val="141414"/>
        </w:rPr>
        <w:t xml:space="preserve">h </w:t>
      </w:r>
      <w:r>
        <w:rPr>
          <w:rFonts w:ascii="Times New Roman" w:cs="Times New Roman" w:eastAsia="Times New Roman" w:hAnsi="Times New Roman"/>
          <w:sz w:val="20"/>
          <w:szCs w:val="20"/>
          <w:color w:val="232323"/>
        </w:rPr>
        <w:t>c</w:t>
      </w:r>
      <w:r>
        <w:rPr>
          <w:rFonts w:ascii="Times New Roman" w:cs="Times New Roman" w:eastAsia="Times New Roman" w:hAnsi="Times New Roman"/>
          <w:sz w:val="20"/>
          <w:szCs w:val="20"/>
          <w:color w:val="141414"/>
        </w:rPr>
        <w:t>han</w:t>
      </w:r>
      <w:r>
        <w:rPr>
          <w:rFonts w:ascii="Times New Roman" w:cs="Times New Roman" w:eastAsia="Times New Roman" w:hAnsi="Times New Roman"/>
          <w:sz w:val="20"/>
          <w:szCs w:val="20"/>
          <w:color w:val="232323"/>
        </w:rPr>
        <w:t>ge s</w:t>
      </w:r>
      <w:r>
        <w:rPr>
          <w:rFonts w:ascii="Times New Roman" w:cs="Times New Roman" w:eastAsia="Times New Roman" w:hAnsi="Times New Roman"/>
          <w:sz w:val="20"/>
          <w:szCs w:val="20"/>
          <w:color w:val="141414"/>
        </w:rPr>
        <w:t>hall b</w:t>
      </w:r>
      <w:r>
        <w:rPr>
          <w:rFonts w:ascii="Times New Roman" w:cs="Times New Roman" w:eastAsia="Times New Roman" w:hAnsi="Times New Roman"/>
          <w:sz w:val="20"/>
          <w:szCs w:val="20"/>
          <w:color w:val="232323"/>
        </w:rPr>
        <w:t>e e</w:t>
      </w:r>
      <w:r>
        <w:rPr>
          <w:rFonts w:ascii="Times New Roman" w:cs="Times New Roman" w:eastAsia="Times New Roman" w:hAnsi="Times New Roman"/>
          <w:sz w:val="20"/>
          <w:szCs w:val="20"/>
          <w:color w:val="141414"/>
        </w:rPr>
        <w:t>ffective only if 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rticip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nt is ali</w:t>
      </w:r>
      <w:r>
        <w:rPr>
          <w:rFonts w:ascii="Times New Roman" w:cs="Times New Roman" w:eastAsia="Times New Roman" w:hAnsi="Times New Roman"/>
          <w:sz w:val="20"/>
          <w:szCs w:val="20"/>
          <w:color w:val="232323"/>
        </w:rPr>
        <w:t>v</w:t>
      </w:r>
      <w:r>
        <w:rPr>
          <w:rFonts w:ascii="Times New Roman" w:cs="Times New Roman" w:eastAsia="Times New Roman" w:hAnsi="Times New Roman"/>
          <w:sz w:val="20"/>
          <w:szCs w:val="20"/>
          <w:color w:val="141414"/>
        </w:rPr>
        <w:t xml:space="preserve">e </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t 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tim</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th</w:t>
      </w:r>
      <w:r>
        <w:rPr>
          <w:rFonts w:ascii="Times New Roman" w:cs="Times New Roman" w:eastAsia="Times New Roman" w:hAnsi="Times New Roman"/>
          <w:sz w:val="20"/>
          <w:szCs w:val="20"/>
          <w:color w:val="232323"/>
        </w:rPr>
        <w:t>e C</w:t>
      </w:r>
      <w:r>
        <w:rPr>
          <w:rFonts w:ascii="Times New Roman" w:cs="Times New Roman" w:eastAsia="Times New Roman" w:hAnsi="Times New Roman"/>
          <w:sz w:val="20"/>
          <w:szCs w:val="20"/>
          <w:color w:val="141414"/>
        </w:rPr>
        <w:t>ompan</w:t>
      </w:r>
      <w:r>
        <w:rPr>
          <w:rFonts w:ascii="Times New Roman" w:cs="Times New Roman" w:eastAsia="Times New Roman" w:hAnsi="Times New Roman"/>
          <w:sz w:val="20"/>
          <w:szCs w:val="20"/>
          <w:color w:val="232323"/>
        </w:rPr>
        <w:t>y</w:t>
      </w:r>
      <w:r>
        <w:rPr>
          <w:rFonts w:ascii="Times New Roman" w:cs="Times New Roman" w:eastAsia="Times New Roman" w:hAnsi="Times New Roman"/>
          <w:sz w:val="20"/>
          <w:szCs w:val="20"/>
          <w:color w:val="141414"/>
        </w:rPr>
        <w:t xml:space="preserve"> receiv</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s su</w:t>
      </w:r>
      <w:r>
        <w:rPr>
          <w:rFonts w:ascii="Times New Roman" w:cs="Times New Roman" w:eastAsia="Times New Roman" w:hAnsi="Times New Roman"/>
          <w:sz w:val="20"/>
          <w:szCs w:val="20"/>
          <w:color w:val="232323"/>
        </w:rPr>
        <w:t>c</w:t>
      </w:r>
      <w:r>
        <w:rPr>
          <w:rFonts w:ascii="Times New Roman" w:cs="Times New Roman" w:eastAsia="Times New Roman" w:hAnsi="Times New Roman"/>
          <w:sz w:val="20"/>
          <w:szCs w:val="20"/>
          <w:color w:val="141414"/>
        </w:rPr>
        <w:t xml:space="preserve">h </w:t>
      </w:r>
      <w:r>
        <w:rPr>
          <w:rFonts w:ascii="Times New Roman" w:cs="Times New Roman" w:eastAsia="Times New Roman" w:hAnsi="Times New Roman"/>
          <w:sz w:val="20"/>
          <w:szCs w:val="20"/>
          <w:color w:val="232323"/>
        </w:rPr>
        <w:t>c</w:t>
      </w:r>
      <w:r>
        <w:rPr>
          <w:rFonts w:ascii="Times New Roman" w:cs="Times New Roman" w:eastAsia="Times New Roman" w:hAnsi="Times New Roman"/>
          <w:sz w:val="20"/>
          <w:szCs w:val="20"/>
          <w:color w:val="141414"/>
        </w:rPr>
        <w:t>h</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ge</w:t>
      </w:r>
      <w:r>
        <w:rPr>
          <w:rFonts w:ascii="Times New Roman" w:cs="Times New Roman" w:eastAsia="Times New Roman" w:hAnsi="Times New Roman"/>
          <w:sz w:val="20"/>
          <w:szCs w:val="20"/>
          <w:color w:val="444444"/>
        </w:rPr>
        <w:t>.</w:t>
      </w:r>
      <w:r>
        <w:rPr>
          <w:rFonts w:ascii="Times New Roman" w:cs="Times New Roman" w:eastAsia="Times New Roman" w:hAnsi="Times New Roman"/>
          <w:sz w:val="20"/>
          <w:szCs w:val="20"/>
          <w:color w:val="141414"/>
        </w:rPr>
        <w:t xml:space="preserve"> 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most r</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cent ben</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fici</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 xml:space="preserve">ry designation on file </w:t>
      </w:r>
      <w:r>
        <w:rPr>
          <w:rFonts w:ascii="Times New Roman" w:cs="Times New Roman" w:eastAsia="Times New Roman" w:hAnsi="Times New Roman"/>
          <w:sz w:val="20"/>
          <w:szCs w:val="20"/>
          <w:color w:val="232323"/>
        </w:rPr>
        <w:t>w</w:t>
      </w:r>
      <w:r>
        <w:rPr>
          <w:rFonts w:ascii="Times New Roman" w:cs="Times New Roman" w:eastAsia="Times New Roman" w:hAnsi="Times New Roman"/>
          <w:sz w:val="20"/>
          <w:szCs w:val="20"/>
          <w:color w:val="141414"/>
        </w:rPr>
        <w:t>ith the Company shall be controllin</w:t>
      </w:r>
      <w:r>
        <w:rPr>
          <w:rFonts w:ascii="Times New Roman" w:cs="Times New Roman" w:eastAsia="Times New Roman" w:hAnsi="Times New Roman"/>
          <w:sz w:val="20"/>
          <w:szCs w:val="20"/>
          <w:color w:val="232323"/>
        </w:rPr>
        <w:t>g.</w:t>
      </w:r>
      <w:r>
        <w:rPr>
          <w:rFonts w:ascii="Times New Roman" w:cs="Times New Roman" w:eastAsia="Times New Roman" w:hAnsi="Times New Roman"/>
          <w:sz w:val="20"/>
          <w:szCs w:val="20"/>
          <w:color w:val="141414"/>
        </w:rPr>
        <w:t xml:space="preserve"> If the Participant </w:t>
      </w:r>
      <w:r>
        <w:rPr>
          <w:rFonts w:ascii="Times New Roman" w:cs="Times New Roman" w:eastAsia="Times New Roman" w:hAnsi="Times New Roman"/>
          <w:sz w:val="20"/>
          <w:szCs w:val="20"/>
          <w:color w:val="232323"/>
        </w:rPr>
        <w:t>fa</w:t>
      </w:r>
      <w:r>
        <w:rPr>
          <w:rFonts w:ascii="Times New Roman" w:cs="Times New Roman" w:eastAsia="Times New Roman" w:hAnsi="Times New Roman"/>
          <w:sz w:val="20"/>
          <w:szCs w:val="20"/>
          <w:color w:val="141414"/>
        </w:rPr>
        <w:t>il</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 xml:space="preserve"> to d</w:t>
      </w:r>
      <w:r>
        <w:rPr>
          <w:rFonts w:ascii="Times New Roman" w:cs="Times New Roman" w:eastAsia="Times New Roman" w:hAnsi="Times New Roman"/>
          <w:sz w:val="20"/>
          <w:szCs w:val="20"/>
          <w:color w:val="232323"/>
        </w:rPr>
        <w:t>es</w:t>
      </w:r>
      <w:r>
        <w:rPr>
          <w:rFonts w:ascii="Times New Roman" w:cs="Times New Roman" w:eastAsia="Times New Roman" w:hAnsi="Times New Roman"/>
          <w:sz w:val="20"/>
          <w:szCs w:val="20"/>
          <w:color w:val="141414"/>
        </w:rPr>
        <w:t>ignate a Ben</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fici</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w:t>
      </w:r>
      <w:r>
        <w:rPr>
          <w:rFonts w:ascii="Times New Roman" w:cs="Times New Roman" w:eastAsia="Times New Roman" w:hAnsi="Times New Roman"/>
          <w:sz w:val="20"/>
          <w:szCs w:val="20"/>
          <w:color w:val="232323"/>
        </w:rPr>
        <w:t>y,</w:t>
      </w:r>
      <w:r>
        <w:rPr>
          <w:rFonts w:ascii="Times New Roman" w:cs="Times New Roman" w:eastAsia="Times New Roman" w:hAnsi="Times New Roman"/>
          <w:sz w:val="20"/>
          <w:szCs w:val="20"/>
          <w:color w:val="141414"/>
        </w:rPr>
        <w:t xml:space="preserve"> or i</w:t>
      </w:r>
      <w:r>
        <w:rPr>
          <w:rFonts w:ascii="Times New Roman" w:cs="Times New Roman" w:eastAsia="Times New Roman" w:hAnsi="Times New Roman"/>
          <w:sz w:val="20"/>
          <w:szCs w:val="20"/>
          <w:color w:val="232323"/>
        </w:rPr>
        <w:t>f a</w:t>
      </w:r>
      <w:r>
        <w:rPr>
          <w:rFonts w:ascii="Times New Roman" w:cs="Times New Roman" w:eastAsia="Times New Roman" w:hAnsi="Times New Roman"/>
          <w:sz w:val="20"/>
          <w:szCs w:val="20"/>
          <w:color w:val="141414"/>
        </w:rPr>
        <w:t>ll of 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rticipant</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141414"/>
        </w:rPr>
        <w:t>s d</w:t>
      </w:r>
      <w:r>
        <w:rPr>
          <w:rFonts w:ascii="Times New Roman" w:cs="Times New Roman" w:eastAsia="Times New Roman" w:hAnsi="Times New Roman"/>
          <w:sz w:val="20"/>
          <w:szCs w:val="20"/>
          <w:color w:val="232323"/>
        </w:rPr>
        <w:t>es</w:t>
      </w:r>
      <w:r>
        <w:rPr>
          <w:rFonts w:ascii="Times New Roman" w:cs="Times New Roman" w:eastAsia="Times New Roman" w:hAnsi="Times New Roman"/>
          <w:sz w:val="20"/>
          <w:szCs w:val="20"/>
          <w:color w:val="141414"/>
        </w:rPr>
        <w:t>i</w:t>
      </w:r>
      <w:r>
        <w:rPr>
          <w:rFonts w:ascii="Times New Roman" w:cs="Times New Roman" w:eastAsia="Times New Roman" w:hAnsi="Times New Roman"/>
          <w:sz w:val="20"/>
          <w:szCs w:val="20"/>
          <w:color w:val="232323"/>
        </w:rPr>
        <w:t>g</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t</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d B</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ficiari</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s pr</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dece</w:t>
      </w:r>
      <w:r>
        <w:rPr>
          <w:rFonts w:ascii="Times New Roman" w:cs="Times New Roman" w:eastAsia="Times New Roman" w:hAnsi="Times New Roman"/>
          <w:sz w:val="20"/>
          <w:szCs w:val="20"/>
          <w:color w:val="232323"/>
        </w:rPr>
        <w:t>as</w:t>
      </w:r>
      <w:r>
        <w:rPr>
          <w:rFonts w:ascii="Times New Roman" w:cs="Times New Roman" w:eastAsia="Times New Roman" w:hAnsi="Times New Roman"/>
          <w:sz w:val="20"/>
          <w:szCs w:val="20"/>
          <w:color w:val="141414"/>
        </w:rPr>
        <w:t>e the Participant, 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n the 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rticipant</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141414"/>
        </w:rPr>
        <w:t>s Be</w:t>
      </w:r>
      <w:r>
        <w:rPr>
          <w:rFonts w:ascii="Times New Roman" w:cs="Times New Roman" w:eastAsia="Times New Roman" w:hAnsi="Times New Roman"/>
          <w:sz w:val="20"/>
          <w:szCs w:val="20"/>
          <w:color w:val="232323"/>
        </w:rPr>
        <w:t>ne</w:t>
      </w:r>
      <w:r>
        <w:rPr>
          <w:rFonts w:ascii="Times New Roman" w:cs="Times New Roman" w:eastAsia="Times New Roman" w:hAnsi="Times New Roman"/>
          <w:sz w:val="20"/>
          <w:szCs w:val="20"/>
          <w:color w:val="141414"/>
        </w:rPr>
        <w:t>ficiary shall b</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the 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rtic</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141414"/>
        </w:rPr>
        <w:t>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nt</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141414"/>
        </w:rPr>
        <w:t>s survi</w:t>
      </w:r>
      <w:r>
        <w:rPr>
          <w:rFonts w:ascii="Times New Roman" w:cs="Times New Roman" w:eastAsia="Times New Roman" w:hAnsi="Times New Roman"/>
          <w:sz w:val="20"/>
          <w:szCs w:val="20"/>
          <w:color w:val="232323"/>
        </w:rPr>
        <w:t>vi</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g s</w:t>
      </w:r>
      <w:r>
        <w:rPr>
          <w:rFonts w:ascii="Times New Roman" w:cs="Times New Roman" w:eastAsia="Times New Roman" w:hAnsi="Times New Roman"/>
          <w:sz w:val="20"/>
          <w:szCs w:val="20"/>
          <w:color w:val="141414"/>
        </w:rPr>
        <w:t>pouse or</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141414"/>
        </w:rPr>
        <w:t xml:space="preserve"> if the P</w:t>
      </w:r>
      <w:r>
        <w:rPr>
          <w:rFonts w:ascii="Times New Roman" w:cs="Times New Roman" w:eastAsia="Times New Roman" w:hAnsi="Times New Roman"/>
          <w:sz w:val="20"/>
          <w:szCs w:val="20"/>
          <w:color w:val="232323"/>
        </w:rPr>
        <w:t>arti</w:t>
      </w:r>
      <w:r>
        <w:rPr>
          <w:rFonts w:ascii="Times New Roman" w:cs="Times New Roman" w:eastAsia="Times New Roman" w:hAnsi="Times New Roman"/>
          <w:sz w:val="20"/>
          <w:szCs w:val="20"/>
          <w:color w:val="141414"/>
        </w:rPr>
        <w:t xml:space="preserve">cipant has no </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urviving spouse, 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P</w:t>
      </w:r>
      <w:r>
        <w:rPr>
          <w:rFonts w:ascii="Times New Roman" w:cs="Times New Roman" w:eastAsia="Times New Roman" w:hAnsi="Times New Roman"/>
          <w:sz w:val="20"/>
          <w:szCs w:val="20"/>
          <w:color w:val="232323"/>
        </w:rPr>
        <w:t>ar</w:t>
      </w:r>
      <w:r>
        <w:rPr>
          <w:rFonts w:ascii="Times New Roman" w:cs="Times New Roman" w:eastAsia="Times New Roman" w:hAnsi="Times New Roman"/>
          <w:sz w:val="20"/>
          <w:szCs w:val="20"/>
          <w:color w:val="141414"/>
        </w:rPr>
        <w:t>ticipant's surviv</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g</w:t>
      </w:r>
      <w:r>
        <w:rPr>
          <w:rFonts w:ascii="Times New Roman" w:cs="Times New Roman" w:eastAsia="Times New Roman" w:hAnsi="Times New Roman"/>
          <w:sz w:val="20"/>
          <w:szCs w:val="20"/>
          <w:color w:val="141414"/>
        </w:rPr>
        <w:t xml:space="preserve"> ch</w:t>
      </w:r>
      <w:r>
        <w:rPr>
          <w:rFonts w:ascii="Times New Roman" w:cs="Times New Roman" w:eastAsia="Times New Roman" w:hAnsi="Times New Roman"/>
          <w:sz w:val="20"/>
          <w:szCs w:val="20"/>
          <w:color w:val="232323"/>
        </w:rPr>
        <w:t>il</w:t>
      </w:r>
      <w:r>
        <w:rPr>
          <w:rFonts w:ascii="Times New Roman" w:cs="Times New Roman" w:eastAsia="Times New Roman" w:hAnsi="Times New Roman"/>
          <w:sz w:val="20"/>
          <w:szCs w:val="20"/>
          <w:color w:val="141414"/>
        </w:rPr>
        <w:t>dren in e</w:t>
      </w:r>
      <w:r>
        <w:rPr>
          <w:rFonts w:ascii="Times New Roman" w:cs="Times New Roman" w:eastAsia="Times New Roman" w:hAnsi="Times New Roman"/>
          <w:sz w:val="20"/>
          <w:szCs w:val="20"/>
          <w:color w:val="232323"/>
        </w:rPr>
        <w:t>q</w:t>
      </w:r>
      <w:r>
        <w:rPr>
          <w:rFonts w:ascii="Times New Roman" w:cs="Times New Roman" w:eastAsia="Times New Roman" w:hAnsi="Times New Roman"/>
          <w:sz w:val="20"/>
          <w:szCs w:val="20"/>
          <w:color w:val="141414"/>
        </w:rPr>
        <w:t>ual sh</w:t>
      </w:r>
      <w:r>
        <w:rPr>
          <w:rFonts w:ascii="Times New Roman" w:cs="Times New Roman" w:eastAsia="Times New Roman" w:hAnsi="Times New Roman"/>
          <w:sz w:val="20"/>
          <w:szCs w:val="20"/>
          <w:color w:val="232323"/>
        </w:rPr>
        <w:t>ares</w:t>
      </w:r>
      <w:r>
        <w:rPr>
          <w:rFonts w:ascii="Times New Roman" w:cs="Times New Roman" w:eastAsia="Times New Roman" w:hAnsi="Times New Roman"/>
          <w:sz w:val="20"/>
          <w:szCs w:val="20"/>
          <w:color w:val="141414"/>
        </w:rPr>
        <w:t xml:space="preserve">, or, if the </w:t>
      </w:r>
      <w:r>
        <w:rPr>
          <w:rFonts w:ascii="Times New Roman" w:cs="Times New Roman" w:eastAsia="Times New Roman" w:hAnsi="Times New Roman"/>
          <w:sz w:val="20"/>
          <w:szCs w:val="20"/>
          <w:color w:val="232323"/>
        </w:rPr>
        <w:t>Pa</w:t>
      </w:r>
      <w:r>
        <w:rPr>
          <w:rFonts w:ascii="Times New Roman" w:cs="Times New Roman" w:eastAsia="Times New Roman" w:hAnsi="Times New Roman"/>
          <w:sz w:val="20"/>
          <w:szCs w:val="20"/>
          <w:color w:val="141414"/>
        </w:rPr>
        <w:t xml:space="preserve">rticipant has no surviving </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pouse or survivin</w:t>
      </w:r>
      <w:r>
        <w:rPr>
          <w:rFonts w:ascii="Times New Roman" w:cs="Times New Roman" w:eastAsia="Times New Roman" w:hAnsi="Times New Roman"/>
          <w:sz w:val="20"/>
          <w:szCs w:val="20"/>
          <w:color w:val="232323"/>
        </w:rPr>
        <w:t>g</w:t>
      </w:r>
      <w:r>
        <w:rPr>
          <w:rFonts w:ascii="Times New Roman" w:cs="Times New Roman" w:eastAsia="Times New Roman" w:hAnsi="Times New Roman"/>
          <w:sz w:val="20"/>
          <w:szCs w:val="20"/>
          <w:color w:val="141414"/>
        </w:rPr>
        <w:t xml:space="preserve"> ch</w:t>
      </w:r>
      <w:r>
        <w:rPr>
          <w:rFonts w:ascii="Times New Roman" w:cs="Times New Roman" w:eastAsia="Times New Roman" w:hAnsi="Times New Roman"/>
          <w:sz w:val="20"/>
          <w:szCs w:val="20"/>
          <w:color w:val="232323"/>
        </w:rPr>
        <w:t>il</w:t>
      </w:r>
      <w:r>
        <w:rPr>
          <w:rFonts w:ascii="Times New Roman" w:cs="Times New Roman" w:eastAsia="Times New Roman" w:hAnsi="Times New Roman"/>
          <w:sz w:val="20"/>
          <w:szCs w:val="20"/>
          <w:color w:val="141414"/>
        </w:rPr>
        <w:t>d</w:t>
      </w:r>
      <w:r>
        <w:rPr>
          <w:rFonts w:ascii="Times New Roman" w:cs="Times New Roman" w:eastAsia="Times New Roman" w:hAnsi="Times New Roman"/>
          <w:sz w:val="20"/>
          <w:szCs w:val="20"/>
          <w:color w:val="232323"/>
        </w:rPr>
        <w:t>re</w:t>
      </w:r>
      <w:r>
        <w:rPr>
          <w:rFonts w:ascii="Times New Roman" w:cs="Times New Roman" w:eastAsia="Times New Roman" w:hAnsi="Times New Roman"/>
          <w:sz w:val="20"/>
          <w:szCs w:val="20"/>
          <w:color w:val="141414"/>
        </w:rPr>
        <w:t>n, the Particip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nt</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141414"/>
        </w:rPr>
        <w:t xml:space="preserve">s </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state.</w:t>
      </w:r>
    </w:p>
    <w:p>
      <w:pPr>
        <w:spacing w:after="0" w:line="203" w:lineRule="exact"/>
        <w:rPr>
          <w:sz w:val="20"/>
          <w:szCs w:val="20"/>
          <w:color w:val="auto"/>
        </w:rPr>
      </w:pPr>
    </w:p>
    <w:p>
      <w:pPr>
        <w:ind w:left="80" w:right="60" w:firstLine="648"/>
        <w:spacing w:after="0" w:line="301" w:lineRule="auto"/>
        <w:rPr>
          <w:sz w:val="20"/>
          <w:szCs w:val="20"/>
          <w:color w:val="auto"/>
        </w:rPr>
      </w:pPr>
      <w:r>
        <w:rPr>
          <w:rFonts w:ascii="Times New Roman" w:cs="Times New Roman" w:eastAsia="Times New Roman" w:hAnsi="Times New Roman"/>
          <w:sz w:val="20"/>
          <w:szCs w:val="20"/>
          <w:b w:val="1"/>
          <w:bCs w:val="1"/>
          <w:color w:val="141414"/>
        </w:rPr>
        <w:t xml:space="preserve">8.5 Restricted Stock Unit Distributions. </w:t>
      </w:r>
      <w:r>
        <w:rPr>
          <w:rFonts w:ascii="Times New Roman" w:cs="Times New Roman" w:eastAsia="Times New Roman" w:hAnsi="Times New Roman"/>
          <w:sz w:val="20"/>
          <w:szCs w:val="20"/>
          <w:color w:val="141414"/>
        </w:rPr>
        <w:t>Notwith</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t</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ndin</w:t>
      </w:r>
      <w:r>
        <w:rPr>
          <w:rFonts w:ascii="Times New Roman" w:cs="Times New Roman" w:eastAsia="Times New Roman" w:hAnsi="Times New Roman"/>
          <w:sz w:val="20"/>
          <w:szCs w:val="20"/>
          <w:color w:val="232323"/>
        </w:rPr>
        <w:t>g a</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y</w:t>
      </w:r>
      <w:r>
        <w:rPr>
          <w:rFonts w:ascii="Times New Roman" w:cs="Times New Roman" w:eastAsia="Times New Roman" w:hAnsi="Times New Roman"/>
          <w:sz w:val="20"/>
          <w:szCs w:val="20"/>
          <w:b w:val="1"/>
          <w:bCs w:val="1"/>
          <w:color w:val="141414"/>
        </w:rPr>
        <w:t xml:space="preserve"> </w:t>
      </w:r>
      <w:r>
        <w:rPr>
          <w:rFonts w:ascii="Times New Roman" w:cs="Times New Roman" w:eastAsia="Times New Roman" w:hAnsi="Times New Roman"/>
          <w:sz w:val="20"/>
          <w:szCs w:val="20"/>
          <w:color w:val="141414"/>
        </w:rPr>
        <w:t>provi</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ion o</w:t>
      </w:r>
      <w:r>
        <w:rPr>
          <w:rFonts w:ascii="Times New Roman" w:cs="Times New Roman" w:eastAsia="Times New Roman" w:hAnsi="Times New Roman"/>
          <w:sz w:val="20"/>
          <w:szCs w:val="20"/>
          <w:color w:val="232323"/>
        </w:rPr>
        <w:t>f</w:t>
      </w:r>
      <w:r>
        <w:rPr>
          <w:rFonts w:ascii="Times New Roman" w:cs="Times New Roman" w:eastAsia="Times New Roman" w:hAnsi="Times New Roman"/>
          <w:sz w:val="20"/>
          <w:szCs w:val="20"/>
          <w:b w:val="1"/>
          <w:bCs w:val="1"/>
          <w:color w:val="141414"/>
        </w:rPr>
        <w:t xml:space="preserve"> </w:t>
      </w:r>
      <w:r>
        <w:rPr>
          <w:rFonts w:ascii="Times New Roman" w:cs="Times New Roman" w:eastAsia="Times New Roman" w:hAnsi="Times New Roman"/>
          <w:sz w:val="20"/>
          <w:szCs w:val="20"/>
          <w:color w:val="141414"/>
        </w:rPr>
        <w:t>the Plan to 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b w:val="1"/>
          <w:bCs w:val="1"/>
          <w:color w:val="141414"/>
        </w:rPr>
        <w:t xml:space="preserve"> </w:t>
      </w:r>
      <w:r>
        <w:rPr>
          <w:rFonts w:ascii="Times New Roman" w:cs="Times New Roman" w:eastAsia="Times New Roman" w:hAnsi="Times New Roman"/>
          <w:sz w:val="20"/>
          <w:szCs w:val="20"/>
          <w:color w:val="141414"/>
        </w:rPr>
        <w:t>c</w:t>
      </w:r>
      <w:r>
        <w:rPr>
          <w:rFonts w:ascii="Times New Roman" w:cs="Times New Roman" w:eastAsia="Times New Roman" w:hAnsi="Times New Roman"/>
          <w:sz w:val="20"/>
          <w:szCs w:val="20"/>
          <w:color w:val="232323"/>
        </w:rPr>
        <w:t>o</w:t>
      </w:r>
      <w:r>
        <w:rPr>
          <w:rFonts w:ascii="Times New Roman" w:cs="Times New Roman" w:eastAsia="Times New Roman" w:hAnsi="Times New Roman"/>
          <w:sz w:val="20"/>
          <w:szCs w:val="20"/>
          <w:color w:val="141414"/>
        </w:rPr>
        <w:t>nt</w:t>
      </w:r>
      <w:r>
        <w:rPr>
          <w:rFonts w:ascii="Times New Roman" w:cs="Times New Roman" w:eastAsia="Times New Roman" w:hAnsi="Times New Roman"/>
          <w:sz w:val="20"/>
          <w:szCs w:val="20"/>
          <w:color w:val="232323"/>
        </w:rPr>
        <w:t>ra</w:t>
      </w:r>
      <w:r>
        <w:rPr>
          <w:rFonts w:ascii="Times New Roman" w:cs="Times New Roman" w:eastAsia="Times New Roman" w:hAnsi="Times New Roman"/>
          <w:sz w:val="20"/>
          <w:szCs w:val="20"/>
          <w:color w:val="141414"/>
        </w:rPr>
        <w:t>ry</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b w:val="1"/>
          <w:bCs w:val="1"/>
          <w:color w:val="141414"/>
        </w:rPr>
        <w:t xml:space="preserve"> </w:t>
      </w:r>
      <w:r>
        <w:rPr>
          <w:rFonts w:ascii="Times New Roman" w:cs="Times New Roman" w:eastAsia="Times New Roman" w:hAnsi="Times New Roman"/>
          <w:sz w:val="20"/>
          <w:szCs w:val="20"/>
          <w:color w:val="141414"/>
        </w:rPr>
        <w:t>that portion of th</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b w:val="1"/>
          <w:bCs w:val="1"/>
          <w:color w:val="141414"/>
        </w:rPr>
        <w:t xml:space="preserve"> </w:t>
      </w:r>
      <w:r>
        <w:rPr>
          <w:rFonts w:ascii="Times New Roman" w:cs="Times New Roman" w:eastAsia="Times New Roman" w:hAnsi="Times New Roman"/>
          <w:sz w:val="20"/>
          <w:szCs w:val="20"/>
          <w:color w:val="141414"/>
        </w:rPr>
        <w:t>P</w:t>
      </w:r>
      <w:r>
        <w:rPr>
          <w:rFonts w:ascii="Times New Roman" w:cs="Times New Roman" w:eastAsia="Times New Roman" w:hAnsi="Times New Roman"/>
          <w:sz w:val="20"/>
          <w:szCs w:val="20"/>
          <w:color w:val="232323"/>
        </w:rPr>
        <w:t>ar</w:t>
      </w:r>
      <w:r>
        <w:rPr>
          <w:rFonts w:ascii="Times New Roman" w:cs="Times New Roman" w:eastAsia="Times New Roman" w:hAnsi="Times New Roman"/>
          <w:sz w:val="20"/>
          <w:szCs w:val="20"/>
          <w:color w:val="141414"/>
        </w:rPr>
        <w:t>ti</w:t>
      </w:r>
      <w:r>
        <w:rPr>
          <w:rFonts w:ascii="Times New Roman" w:cs="Times New Roman" w:eastAsia="Times New Roman" w:hAnsi="Times New Roman"/>
          <w:sz w:val="20"/>
          <w:szCs w:val="20"/>
          <w:color w:val="232323"/>
        </w:rPr>
        <w:t>c</w:t>
      </w:r>
      <w:r>
        <w:rPr>
          <w:rFonts w:ascii="Times New Roman" w:cs="Times New Roman" w:eastAsia="Times New Roman" w:hAnsi="Times New Roman"/>
          <w:sz w:val="20"/>
          <w:szCs w:val="20"/>
          <w:color w:val="141414"/>
        </w:rPr>
        <w:t>ip</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141414"/>
        </w:rPr>
        <w:t>nt</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141414"/>
        </w:rPr>
        <w:t xml:space="preserve">s </w:t>
      </w:r>
      <w:r>
        <w:rPr>
          <w:rFonts w:ascii="Times New Roman" w:cs="Times New Roman" w:eastAsia="Times New Roman" w:hAnsi="Times New Roman"/>
          <w:sz w:val="20"/>
          <w:szCs w:val="20"/>
          <w:color w:val="232323"/>
        </w:rPr>
        <w:t>v</w:t>
      </w:r>
      <w:r>
        <w:rPr>
          <w:rFonts w:ascii="Times New Roman" w:cs="Times New Roman" w:eastAsia="Times New Roman" w:hAnsi="Times New Roman"/>
          <w:sz w:val="20"/>
          <w:szCs w:val="20"/>
          <w:color w:val="141414"/>
        </w:rPr>
        <w:t xml:space="preserve">ested </w:t>
      </w:r>
      <w:r>
        <w:rPr>
          <w:rFonts w:ascii="Times New Roman" w:cs="Times New Roman" w:eastAsia="Times New Roman" w:hAnsi="Times New Roman"/>
          <w:sz w:val="20"/>
          <w:szCs w:val="20"/>
          <w:color w:val="232323"/>
        </w:rPr>
        <w:t>Acco</w:t>
      </w:r>
      <w:r>
        <w:rPr>
          <w:rFonts w:ascii="Times New Roman" w:cs="Times New Roman" w:eastAsia="Times New Roman" w:hAnsi="Times New Roman"/>
          <w:sz w:val="20"/>
          <w:szCs w:val="20"/>
          <w:color w:val="141414"/>
        </w:rPr>
        <w:t>unt consi</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ting of R</w:t>
      </w:r>
      <w:r>
        <w:rPr>
          <w:rFonts w:ascii="Times New Roman" w:cs="Times New Roman" w:eastAsia="Times New Roman" w:hAnsi="Times New Roman"/>
          <w:sz w:val="20"/>
          <w:szCs w:val="20"/>
          <w:color w:val="232323"/>
        </w:rPr>
        <w:t>es</w:t>
      </w:r>
      <w:r>
        <w:rPr>
          <w:rFonts w:ascii="Times New Roman" w:cs="Times New Roman" w:eastAsia="Times New Roman" w:hAnsi="Times New Roman"/>
          <w:sz w:val="20"/>
          <w:szCs w:val="20"/>
          <w:color w:val="141414"/>
        </w:rPr>
        <w:t>trict</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d Sto</w:t>
      </w:r>
      <w:r>
        <w:rPr>
          <w:rFonts w:ascii="Times New Roman" w:cs="Times New Roman" w:eastAsia="Times New Roman" w:hAnsi="Times New Roman"/>
          <w:sz w:val="20"/>
          <w:szCs w:val="20"/>
          <w:color w:val="232323"/>
        </w:rPr>
        <w:t>c</w:t>
      </w:r>
      <w:r>
        <w:rPr>
          <w:rFonts w:ascii="Times New Roman" w:cs="Times New Roman" w:eastAsia="Times New Roman" w:hAnsi="Times New Roman"/>
          <w:sz w:val="20"/>
          <w:szCs w:val="20"/>
          <w:color w:val="141414"/>
        </w:rPr>
        <w:t xml:space="preserve">k </w:t>
      </w:r>
      <w:r>
        <w:rPr>
          <w:rFonts w:ascii="Times New Roman" w:cs="Times New Roman" w:eastAsia="Times New Roman" w:hAnsi="Times New Roman"/>
          <w:sz w:val="20"/>
          <w:szCs w:val="20"/>
          <w:color w:val="232323"/>
        </w:rPr>
        <w:t>U</w:t>
      </w:r>
      <w:r>
        <w:rPr>
          <w:rFonts w:ascii="Times New Roman" w:cs="Times New Roman" w:eastAsia="Times New Roman" w:hAnsi="Times New Roman"/>
          <w:sz w:val="20"/>
          <w:szCs w:val="20"/>
          <w:color w:val="141414"/>
        </w:rPr>
        <w:t>n</w:t>
      </w:r>
      <w:r>
        <w:rPr>
          <w:rFonts w:ascii="Times New Roman" w:cs="Times New Roman" w:eastAsia="Times New Roman" w:hAnsi="Times New Roman"/>
          <w:sz w:val="20"/>
          <w:szCs w:val="20"/>
          <w:color w:val="232323"/>
        </w:rPr>
        <w:t>i</w:t>
      </w:r>
      <w:r>
        <w:rPr>
          <w:rFonts w:ascii="Times New Roman" w:cs="Times New Roman" w:eastAsia="Times New Roman" w:hAnsi="Times New Roman"/>
          <w:sz w:val="20"/>
          <w:szCs w:val="20"/>
          <w:color w:val="141414"/>
        </w:rPr>
        <w:t>t d</w:t>
      </w:r>
      <w:r>
        <w:rPr>
          <w:rFonts w:ascii="Times New Roman" w:cs="Times New Roman" w:eastAsia="Times New Roman" w:hAnsi="Times New Roman"/>
          <w:sz w:val="20"/>
          <w:szCs w:val="20"/>
          <w:color w:val="232323"/>
        </w:rPr>
        <w:t>efe</w:t>
      </w:r>
      <w:r>
        <w:rPr>
          <w:rFonts w:ascii="Times New Roman" w:cs="Times New Roman" w:eastAsia="Times New Roman" w:hAnsi="Times New Roman"/>
          <w:sz w:val="20"/>
          <w:szCs w:val="20"/>
          <w:color w:val="141414"/>
        </w:rPr>
        <w:t>rral</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 xml:space="preserve"> shall b</w:t>
      </w:r>
      <w:r>
        <w:rPr>
          <w:rFonts w:ascii="Times New Roman" w:cs="Times New Roman" w:eastAsia="Times New Roman" w:hAnsi="Times New Roman"/>
          <w:sz w:val="20"/>
          <w:szCs w:val="20"/>
          <w:color w:val="232323"/>
        </w:rPr>
        <w:t>e</w:t>
      </w:r>
      <w:r>
        <w:rPr>
          <w:rFonts w:ascii="Times New Roman" w:cs="Times New Roman" w:eastAsia="Times New Roman" w:hAnsi="Times New Roman"/>
          <w:sz w:val="20"/>
          <w:szCs w:val="20"/>
          <w:color w:val="141414"/>
        </w:rPr>
        <w:t xml:space="preserve"> di</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 xml:space="preserve">tributed in </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hares of th</w:t>
      </w:r>
      <w:r>
        <w:rPr>
          <w:rFonts w:ascii="Times New Roman" w:cs="Times New Roman" w:eastAsia="Times New Roman" w:hAnsi="Times New Roman"/>
          <w:sz w:val="20"/>
          <w:szCs w:val="20"/>
          <w:color w:val="232323"/>
        </w:rPr>
        <w:t>e Co</w:t>
      </w:r>
      <w:r>
        <w:rPr>
          <w:rFonts w:ascii="Times New Roman" w:cs="Times New Roman" w:eastAsia="Times New Roman" w:hAnsi="Times New Roman"/>
          <w:sz w:val="20"/>
          <w:szCs w:val="20"/>
          <w:color w:val="141414"/>
        </w:rPr>
        <w:t>mpany</w:t>
      </w:r>
      <w:r>
        <w:rPr>
          <w:rFonts w:ascii="Times New Roman" w:cs="Times New Roman" w:eastAsia="Times New Roman" w:hAnsi="Times New Roman"/>
          <w:sz w:val="20"/>
          <w:szCs w:val="20"/>
          <w:color w:val="232323"/>
        </w:rPr>
        <w:t>'</w:t>
      </w:r>
      <w:r>
        <w:rPr>
          <w:rFonts w:ascii="Times New Roman" w:cs="Times New Roman" w:eastAsia="Times New Roman" w:hAnsi="Times New Roman"/>
          <w:sz w:val="20"/>
          <w:szCs w:val="20"/>
          <w:color w:val="141414"/>
        </w:rPr>
        <w:t xml:space="preserve">s common </w:t>
      </w:r>
      <w:r>
        <w:rPr>
          <w:rFonts w:ascii="Times New Roman" w:cs="Times New Roman" w:eastAsia="Times New Roman" w:hAnsi="Times New Roman"/>
          <w:sz w:val="20"/>
          <w:szCs w:val="20"/>
          <w:color w:val="232323"/>
        </w:rPr>
        <w:t>s</w:t>
      </w:r>
      <w:r>
        <w:rPr>
          <w:rFonts w:ascii="Times New Roman" w:cs="Times New Roman" w:eastAsia="Times New Roman" w:hAnsi="Times New Roman"/>
          <w:sz w:val="20"/>
          <w:szCs w:val="20"/>
          <w:color w:val="141414"/>
        </w:rPr>
        <w:t>tock</w:t>
      </w:r>
      <w:r>
        <w:rPr>
          <w:rFonts w:ascii="Times New Roman" w:cs="Times New Roman" w:eastAsia="Times New Roman" w:hAnsi="Times New Roman"/>
          <w:sz w:val="20"/>
          <w:szCs w:val="20"/>
          <w:color w:val="23232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0980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1056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7"/>
          <w:szCs w:val="17"/>
          <w:color w:val="151515"/>
        </w:rPr>
        <w:t>Page 11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160"/>
          </w:cols>
          <w:pgMar w:left="340" w:top="1440" w:right="399" w:bottom="1440" w:gutter="0" w:footer="0" w:header="0"/>
        </w:sectPr>
      </w:pPr>
    </w:p>
    <w:bookmarkStart w:id="174" w:name="page175"/>
    <w:bookmarkEnd w:id="174"/>
    <w:p>
      <w:pPr>
        <w:spacing w:after="0" w:line="50" w:lineRule="exact"/>
        <w:rPr>
          <w:sz w:val="20"/>
          <w:szCs w:val="20"/>
          <w:color w:val="auto"/>
        </w:rPr>
      </w:pPr>
    </w:p>
    <w:p>
      <w:pPr>
        <w:jc w:val="both"/>
        <w:ind w:left="120" w:right="60" w:firstLine="648"/>
        <w:spacing w:after="0" w:line="270" w:lineRule="auto"/>
        <w:rPr>
          <w:sz w:val="20"/>
          <w:szCs w:val="20"/>
          <w:color w:val="auto"/>
        </w:rPr>
      </w:pPr>
      <w:r>
        <w:rPr>
          <w:rFonts w:ascii="Times New Roman" w:cs="Times New Roman" w:eastAsia="Times New Roman" w:hAnsi="Times New Roman"/>
          <w:sz w:val="20"/>
          <w:szCs w:val="20"/>
          <w:b w:val="1"/>
          <w:bCs w:val="1"/>
          <w:color w:val="070707"/>
        </w:rPr>
        <w:t xml:space="preserve">8.6 Distribution of Small Account Balances. </w:t>
      </w:r>
      <w:r>
        <w:rPr>
          <w:rFonts w:ascii="Times New Roman" w:cs="Times New Roman" w:eastAsia="Times New Roman" w:hAnsi="Times New Roman"/>
          <w:sz w:val="20"/>
          <w:szCs w:val="20"/>
          <w:color w:val="070707"/>
        </w:rPr>
        <w:t>If at any time after a distribution event specified above, th</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amount of the</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Participant's vested Account is less than annual l</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mit under Code Section 402(g) as in effect at the time o</w:t>
      </w:r>
      <w:r>
        <w:rPr>
          <w:rFonts w:ascii="Times New Roman" w:cs="Times New Roman" w:eastAsia="Times New Roman" w:hAnsi="Times New Roman"/>
          <w:sz w:val="20"/>
          <w:szCs w:val="20"/>
          <w:color w:val="171717"/>
        </w:rPr>
        <w:t>f</w:t>
      </w:r>
      <w:r>
        <w:rPr>
          <w:rFonts w:ascii="Times New Roman" w:cs="Times New Roman" w:eastAsia="Times New Roman" w:hAnsi="Times New Roman"/>
          <w:sz w:val="20"/>
          <w:szCs w:val="20"/>
          <w:color w:val="070707"/>
        </w:rPr>
        <w:t xml:space="preserve"> distribution (in</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70707"/>
        </w:rPr>
        <w:t>2011, this limit is $16,500)</w:t>
      </w:r>
      <w:r>
        <w:rPr>
          <w:rFonts w:ascii="Times New Roman" w:cs="Times New Roman" w:eastAsia="Times New Roman" w:hAnsi="Times New Roman"/>
          <w:sz w:val="20"/>
          <w:szCs w:val="20"/>
          <w:color w:val="171717"/>
        </w:rPr>
        <w:t>,</w:t>
      </w:r>
      <w:r>
        <w:rPr>
          <w:rFonts w:ascii="Times New Roman" w:cs="Times New Roman" w:eastAsia="Times New Roman" w:hAnsi="Times New Roman"/>
          <w:sz w:val="20"/>
          <w:szCs w:val="20"/>
          <w:color w:val="070707"/>
        </w:rPr>
        <w:t xml:space="preserve"> the Participant's vested Account will be distributed on the next schedul</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d d</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stribution d</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 xml:space="preserve">te in </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 xml:space="preserve"> lump sum.</w:t>
      </w:r>
    </w:p>
    <w:p>
      <w:pPr>
        <w:spacing w:after="0" w:line="264" w:lineRule="exact"/>
        <w:rPr>
          <w:sz w:val="20"/>
          <w:szCs w:val="20"/>
          <w:color w:val="auto"/>
        </w:rPr>
      </w:pPr>
    </w:p>
    <w:p>
      <w:pPr>
        <w:jc w:val="both"/>
        <w:ind w:left="120" w:right="60" w:firstLine="652"/>
        <w:spacing w:after="0" w:line="269" w:lineRule="auto"/>
        <w:rPr>
          <w:sz w:val="20"/>
          <w:szCs w:val="20"/>
          <w:color w:val="auto"/>
        </w:rPr>
      </w:pPr>
      <w:r>
        <w:rPr>
          <w:rFonts w:ascii="Times New Roman" w:cs="Times New Roman" w:eastAsia="Times New Roman" w:hAnsi="Times New Roman"/>
          <w:sz w:val="20"/>
          <w:szCs w:val="20"/>
          <w:b w:val="1"/>
          <w:bCs w:val="1"/>
          <w:color w:val="070707"/>
        </w:rPr>
        <w:t xml:space="preserve">8.7 Payments to Specified Employees. </w:t>
      </w:r>
      <w:r>
        <w:rPr>
          <w:rFonts w:ascii="Times New Roman" w:cs="Times New Roman" w:eastAsia="Times New Roman" w:hAnsi="Times New Roman"/>
          <w:sz w:val="20"/>
          <w:szCs w:val="20"/>
          <w:color w:val="070707"/>
        </w:rPr>
        <w:t>Notwithstand</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g</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th</w:t>
      </w:r>
      <w:r>
        <w:rPr>
          <w:rFonts w:ascii="Times New Roman" w:cs="Times New Roman" w:eastAsia="Times New Roman" w:hAnsi="Times New Roman"/>
          <w:sz w:val="20"/>
          <w:szCs w:val="20"/>
          <w:color w:val="171717"/>
        </w:rPr>
        <w:t>e fore</w:t>
      </w:r>
      <w:r>
        <w:rPr>
          <w:rFonts w:ascii="Times New Roman" w:cs="Times New Roman" w:eastAsia="Times New Roman" w:hAnsi="Times New Roman"/>
          <w:sz w:val="20"/>
          <w:szCs w:val="20"/>
          <w:color w:val="070707"/>
        </w:rPr>
        <w:t>going</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nd wi</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re</w:t>
      </w:r>
      <w:r>
        <w:rPr>
          <w:rFonts w:ascii="Times New Roman" w:cs="Times New Roman" w:eastAsia="Times New Roman" w:hAnsi="Times New Roman"/>
          <w:sz w:val="20"/>
          <w:szCs w:val="20"/>
          <w:color w:val="070707"/>
        </w:rPr>
        <w:t>spect to de</w:t>
      </w:r>
      <w:r>
        <w:rPr>
          <w:rFonts w:ascii="Times New Roman" w:cs="Times New Roman" w:eastAsia="Times New Roman" w:hAnsi="Times New Roman"/>
          <w:sz w:val="20"/>
          <w:szCs w:val="20"/>
          <w:color w:val="171717"/>
        </w:rPr>
        <w:t>ferra</w:t>
      </w:r>
      <w:r>
        <w:rPr>
          <w:rFonts w:ascii="Times New Roman" w:cs="Times New Roman" w:eastAsia="Times New Roman" w:hAnsi="Times New Roman"/>
          <w:sz w:val="20"/>
          <w:szCs w:val="20"/>
          <w:color w:val="070707"/>
        </w:rPr>
        <w:t>ls</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ma</w:t>
      </w:r>
      <w:r>
        <w:rPr>
          <w:rFonts w:ascii="Times New Roman" w:cs="Times New Roman" w:eastAsia="Times New Roman" w:hAnsi="Times New Roman"/>
          <w:sz w:val="20"/>
          <w:szCs w:val="20"/>
          <w:color w:val="070707"/>
        </w:rPr>
        <w:t>de on or b</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for</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Dece</w:t>
      </w:r>
      <w:r>
        <w:rPr>
          <w:rFonts w:ascii="Times New Roman" w:cs="Times New Roman" w:eastAsia="Times New Roman" w:hAnsi="Times New Roman"/>
          <w:sz w:val="20"/>
          <w:szCs w:val="20"/>
          <w:color w:val="171717"/>
        </w:rPr>
        <w:t>m</w:t>
      </w:r>
      <w:r>
        <w:rPr>
          <w:rFonts w:ascii="Times New Roman" w:cs="Times New Roman" w:eastAsia="Times New Roman" w:hAnsi="Times New Roman"/>
          <w:sz w:val="20"/>
          <w:szCs w:val="20"/>
          <w:color w:val="070707"/>
        </w:rPr>
        <w:t>ber</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31</w:t>
      </w:r>
      <w:r>
        <w:rPr>
          <w:rFonts w:ascii="Times New Roman" w:cs="Times New Roman" w:eastAsia="Times New Roman" w:hAnsi="Times New Roman"/>
          <w:sz w:val="20"/>
          <w:szCs w:val="20"/>
          <w:color w:val="171717"/>
        </w:rPr>
        <w:t>,</w:t>
      </w:r>
      <w:r>
        <w:rPr>
          <w:rFonts w:ascii="Times New Roman" w:cs="Times New Roman" w:eastAsia="Times New Roman" w:hAnsi="Times New Roman"/>
          <w:sz w:val="20"/>
          <w:szCs w:val="20"/>
          <w:color w:val="070707"/>
        </w:rPr>
        <w:t xml:space="preserve"> 2011, </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 xml:space="preserve">n </w:t>
      </w:r>
      <w:r>
        <w:rPr>
          <w:rFonts w:ascii="Times New Roman" w:cs="Times New Roman" w:eastAsia="Times New Roman" w:hAnsi="Times New Roman"/>
          <w:sz w:val="20"/>
          <w:szCs w:val="20"/>
          <w:color w:val="171717"/>
        </w:rPr>
        <w:t>the</w:t>
      </w:r>
      <w:r>
        <w:rPr>
          <w:rFonts w:ascii="Times New Roman" w:cs="Times New Roman" w:eastAsia="Times New Roman" w:hAnsi="Times New Roman"/>
          <w:sz w:val="20"/>
          <w:szCs w:val="20"/>
          <w:color w:val="070707"/>
        </w:rPr>
        <w:t xml:space="preserve"> c</w:t>
      </w:r>
      <w:r>
        <w:rPr>
          <w:rFonts w:ascii="Times New Roman" w:cs="Times New Roman" w:eastAsia="Times New Roman" w:hAnsi="Times New Roman"/>
          <w:sz w:val="20"/>
          <w:szCs w:val="20"/>
          <w:color w:val="171717"/>
        </w:rPr>
        <w:t>ase</w:t>
      </w:r>
      <w:r>
        <w:rPr>
          <w:rFonts w:ascii="Times New Roman" w:cs="Times New Roman" w:eastAsia="Times New Roman" w:hAnsi="Times New Roman"/>
          <w:sz w:val="20"/>
          <w:szCs w:val="20"/>
          <w:color w:val="070707"/>
        </w:rPr>
        <w:t xml:space="preserve"> o</w:t>
      </w:r>
      <w:r>
        <w:rPr>
          <w:rFonts w:ascii="Times New Roman" w:cs="Times New Roman" w:eastAsia="Times New Roman" w:hAnsi="Times New Roman"/>
          <w:sz w:val="20"/>
          <w:szCs w:val="20"/>
          <w:color w:val="171717"/>
        </w:rPr>
        <w:t>f an</w:t>
      </w:r>
      <w:r>
        <w:rPr>
          <w:rFonts w:ascii="Times New Roman" w:cs="Times New Roman" w:eastAsia="Times New Roman" w:hAnsi="Times New Roman"/>
          <w:sz w:val="20"/>
          <w:szCs w:val="20"/>
          <w:color w:val="070707"/>
        </w:rPr>
        <w:t>y Specifi</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d </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p</w:t>
      </w:r>
      <w:r>
        <w:rPr>
          <w:rFonts w:ascii="Times New Roman" w:cs="Times New Roman" w:eastAsia="Times New Roman" w:hAnsi="Times New Roman"/>
          <w:sz w:val="20"/>
          <w:szCs w:val="20"/>
          <w:color w:val="070707"/>
        </w:rPr>
        <w:t>loy</w:t>
      </w:r>
      <w:r>
        <w:rPr>
          <w:rFonts w:ascii="Times New Roman" w:cs="Times New Roman" w:eastAsia="Times New Roman" w:hAnsi="Times New Roman"/>
          <w:sz w:val="20"/>
          <w:szCs w:val="20"/>
          <w:color w:val="171717"/>
        </w:rPr>
        <w:t>ee</w:t>
      </w:r>
      <w:r>
        <w:rPr>
          <w:rFonts w:ascii="Times New Roman" w:cs="Times New Roman" w:eastAsia="Times New Roman" w:hAnsi="Times New Roman"/>
          <w:sz w:val="20"/>
          <w:szCs w:val="20"/>
          <w:color w:val="070707"/>
        </w:rPr>
        <w:t>, p</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ym</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nts </w:t>
      </w:r>
      <w:r>
        <w:rPr>
          <w:rFonts w:ascii="Times New Roman" w:cs="Times New Roman" w:eastAsia="Times New Roman" w:hAnsi="Times New Roman"/>
          <w:sz w:val="20"/>
          <w:szCs w:val="20"/>
          <w:color w:val="171717"/>
        </w:rPr>
        <w:t>d</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e up</w:t>
      </w:r>
      <w:r>
        <w:rPr>
          <w:rFonts w:ascii="Times New Roman" w:cs="Times New Roman" w:eastAsia="Times New Roman" w:hAnsi="Times New Roman"/>
          <w:sz w:val="20"/>
          <w:szCs w:val="20"/>
          <w:color w:val="070707"/>
        </w:rPr>
        <w:t xml:space="preserve">on </w:t>
      </w:r>
      <w:r>
        <w:rPr>
          <w:rFonts w:ascii="Times New Roman" w:cs="Times New Roman" w:eastAsia="Times New Roman" w:hAnsi="Times New Roman"/>
          <w:sz w:val="20"/>
          <w:szCs w:val="20"/>
          <w:color w:val="171717"/>
        </w:rPr>
        <w:t>Terminat</w:t>
      </w:r>
      <w:r>
        <w:rPr>
          <w:rFonts w:ascii="Times New Roman" w:cs="Times New Roman" w:eastAsia="Times New Roman" w:hAnsi="Times New Roman"/>
          <w:sz w:val="20"/>
          <w:szCs w:val="20"/>
          <w:color w:val="070707"/>
        </w:rPr>
        <w:t>io</w:t>
      </w:r>
      <w:r>
        <w:rPr>
          <w:rFonts w:ascii="Times New Roman" w:cs="Times New Roman" w:eastAsia="Times New Roman" w:hAnsi="Times New Roman"/>
          <w:sz w:val="20"/>
          <w:szCs w:val="20"/>
          <w:color w:val="171717"/>
        </w:rPr>
        <w:t>n s</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ll n</w:t>
      </w:r>
      <w:r>
        <w:rPr>
          <w:rFonts w:ascii="Times New Roman" w:cs="Times New Roman" w:eastAsia="Times New Roman" w:hAnsi="Times New Roman"/>
          <w:sz w:val="20"/>
          <w:szCs w:val="20"/>
          <w:color w:val="171717"/>
        </w:rPr>
        <w:t>o</w:t>
      </w:r>
      <w:r>
        <w:rPr>
          <w:rFonts w:ascii="Times New Roman" w:cs="Times New Roman" w:eastAsia="Times New Roman" w:hAnsi="Times New Roman"/>
          <w:sz w:val="20"/>
          <w:szCs w:val="20"/>
          <w:color w:val="070707"/>
        </w:rPr>
        <w:t>t be m</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 (or comm</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nc</w:t>
      </w:r>
      <w:r>
        <w:rPr>
          <w:rFonts w:ascii="Times New Roman" w:cs="Times New Roman" w:eastAsia="Times New Roman" w:hAnsi="Times New Roman"/>
          <w:sz w:val="20"/>
          <w:szCs w:val="20"/>
          <w:color w:val="171717"/>
        </w:rPr>
        <w:t>e t</w:t>
      </w:r>
      <w:r>
        <w:rPr>
          <w:rFonts w:ascii="Times New Roman" w:cs="Times New Roman" w:eastAsia="Times New Roman" w:hAnsi="Times New Roman"/>
          <w:sz w:val="20"/>
          <w:szCs w:val="20"/>
          <w:color w:val="070707"/>
        </w:rPr>
        <w:t>o b</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 m</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b</w:t>
      </w:r>
      <w:r>
        <w:rPr>
          <w:rFonts w:ascii="Times New Roman" w:cs="Times New Roman" w:eastAsia="Times New Roman" w:hAnsi="Times New Roman"/>
          <w:sz w:val="20"/>
          <w:szCs w:val="20"/>
          <w:color w:val="171717"/>
        </w:rPr>
        <w:t>efo</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e 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 d</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e tha</w:t>
      </w:r>
      <w:r>
        <w:rPr>
          <w:rFonts w:ascii="Times New Roman" w:cs="Times New Roman" w:eastAsia="Times New Roman" w:hAnsi="Times New Roman"/>
          <w:sz w:val="20"/>
          <w:szCs w:val="20"/>
          <w:color w:val="070707"/>
        </w:rPr>
        <w:t xml:space="preserve">t is </w:t>
      </w:r>
      <w:r>
        <w:rPr>
          <w:rFonts w:ascii="Times New Roman" w:cs="Times New Roman" w:eastAsia="Times New Roman" w:hAnsi="Times New Roman"/>
          <w:sz w:val="20"/>
          <w:szCs w:val="20"/>
          <w:color w:val="171717"/>
        </w:rPr>
        <w:t>six</w:t>
      </w:r>
      <w:r>
        <w:rPr>
          <w:rFonts w:ascii="Times New Roman" w:cs="Times New Roman" w:eastAsia="Times New Roman" w:hAnsi="Times New Roman"/>
          <w:sz w:val="20"/>
          <w:szCs w:val="20"/>
          <w:color w:val="070707"/>
        </w:rPr>
        <w:t xml:space="preserve"> ( </w:t>
      </w:r>
      <w:r>
        <w:rPr>
          <w:rFonts w:ascii="Times New Roman" w:cs="Times New Roman" w:eastAsia="Times New Roman" w:hAnsi="Times New Roman"/>
          <w:sz w:val="20"/>
          <w:szCs w:val="20"/>
          <w:color w:val="171717"/>
        </w:rPr>
        <w:t>6</w:t>
      </w:r>
      <w:r>
        <w:rPr>
          <w:rFonts w:ascii="Times New Roman" w:cs="Times New Roman" w:eastAsia="Times New Roman" w:hAnsi="Times New Roman"/>
          <w:sz w:val="20"/>
          <w:szCs w:val="20"/>
          <w:color w:val="070707"/>
        </w:rPr>
        <w:t xml:space="preserve">) </w:t>
      </w:r>
      <w:r>
        <w:rPr>
          <w:rFonts w:ascii="Times New Roman" w:cs="Times New Roman" w:eastAsia="Times New Roman" w:hAnsi="Times New Roman"/>
          <w:sz w:val="20"/>
          <w:szCs w:val="20"/>
          <w:color w:val="171717"/>
        </w:rPr>
        <w:t>m</w:t>
      </w:r>
      <w:r>
        <w:rPr>
          <w:rFonts w:ascii="Times New Roman" w:cs="Times New Roman" w:eastAsia="Times New Roman" w:hAnsi="Times New Roman"/>
          <w:sz w:val="20"/>
          <w:szCs w:val="20"/>
          <w:color w:val="070707"/>
        </w:rPr>
        <w:t>onth</w:t>
      </w:r>
      <w:r>
        <w:rPr>
          <w:rFonts w:ascii="Times New Roman" w:cs="Times New Roman" w:eastAsia="Times New Roman" w:hAnsi="Times New Roman"/>
          <w:sz w:val="20"/>
          <w:szCs w:val="20"/>
          <w:color w:val="171717"/>
        </w:rPr>
        <w:t>s a</w:t>
      </w:r>
      <w:r>
        <w:rPr>
          <w:rFonts w:ascii="Times New Roman" w:cs="Times New Roman" w:eastAsia="Times New Roman" w:hAnsi="Times New Roman"/>
          <w:sz w:val="20"/>
          <w:szCs w:val="20"/>
          <w:color w:val="070707"/>
        </w:rPr>
        <w:t>ft</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r th</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 d</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e of Term</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na</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o</w:t>
      </w:r>
      <w:r>
        <w:rPr>
          <w:rFonts w:ascii="Times New Roman" w:cs="Times New Roman" w:eastAsia="Times New Roman" w:hAnsi="Times New Roman"/>
          <w:sz w:val="20"/>
          <w:szCs w:val="20"/>
          <w:color w:val="171717"/>
        </w:rPr>
        <w:t>n</w:t>
      </w:r>
      <w:r>
        <w:rPr>
          <w:rFonts w:ascii="Times New Roman" w:cs="Times New Roman" w:eastAsia="Times New Roman" w:hAnsi="Times New Roman"/>
          <w:sz w:val="20"/>
          <w:szCs w:val="20"/>
          <w:color w:val="070707"/>
        </w:rPr>
        <w:t xml:space="preserve"> ( o</w:t>
      </w:r>
      <w:r>
        <w:rPr>
          <w:rFonts w:ascii="Times New Roman" w:cs="Times New Roman" w:eastAsia="Times New Roman" w:hAnsi="Times New Roman"/>
          <w:sz w:val="20"/>
          <w:szCs w:val="20"/>
          <w:color w:val="171717"/>
        </w:rPr>
        <w:t>r</w:t>
      </w:r>
      <w:r>
        <w:rPr>
          <w:rFonts w:ascii="Times New Roman" w:cs="Times New Roman" w:eastAsia="Times New Roman" w:hAnsi="Times New Roman"/>
          <w:sz w:val="20"/>
          <w:szCs w:val="20"/>
          <w:color w:val="070707"/>
        </w:rPr>
        <w:t xml:space="preserve"> i</w:t>
      </w:r>
      <w:r>
        <w:rPr>
          <w:rFonts w:ascii="Times New Roman" w:cs="Times New Roman" w:eastAsia="Times New Roman" w:hAnsi="Times New Roman"/>
          <w:sz w:val="20"/>
          <w:szCs w:val="20"/>
          <w:color w:val="171717"/>
        </w:rPr>
        <w:t>f</w:t>
      </w:r>
      <w:r>
        <w:rPr>
          <w:rFonts w:ascii="Times New Roman" w:cs="Times New Roman" w:eastAsia="Times New Roman" w:hAnsi="Times New Roman"/>
          <w:sz w:val="20"/>
          <w:szCs w:val="20"/>
          <w:color w:val="070707"/>
        </w:rPr>
        <w:t xml:space="preserve"> e</w:t>
      </w:r>
      <w:r>
        <w:rPr>
          <w:rFonts w:ascii="Times New Roman" w:cs="Times New Roman" w:eastAsia="Times New Roman" w:hAnsi="Times New Roman"/>
          <w:sz w:val="20"/>
          <w:szCs w:val="20"/>
          <w:color w:val="171717"/>
        </w:rPr>
        <w:t>ar</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ie</w:t>
      </w:r>
      <w:r>
        <w:rPr>
          <w:rFonts w:ascii="Times New Roman" w:cs="Times New Roman" w:eastAsia="Times New Roman" w:hAnsi="Times New Roman"/>
          <w:sz w:val="20"/>
          <w:szCs w:val="20"/>
          <w:color w:val="070707"/>
        </w:rPr>
        <w:t>r, t</w:t>
      </w:r>
      <w:r>
        <w:rPr>
          <w:rFonts w:ascii="Times New Roman" w:cs="Times New Roman" w:eastAsia="Times New Roman" w:hAnsi="Times New Roman"/>
          <w:sz w:val="20"/>
          <w:szCs w:val="20"/>
          <w:color w:val="171717"/>
        </w:rPr>
        <w:t>he</w:t>
      </w:r>
      <w:r>
        <w:rPr>
          <w:rFonts w:ascii="Times New Roman" w:cs="Times New Roman" w:eastAsia="Times New Roman" w:hAnsi="Times New Roman"/>
          <w:sz w:val="20"/>
          <w:szCs w:val="20"/>
          <w:color w:val="070707"/>
        </w:rPr>
        <w:t xml:space="preserve"> d</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e of s</w:t>
      </w:r>
      <w:r>
        <w:rPr>
          <w:rFonts w:ascii="Times New Roman" w:cs="Times New Roman" w:eastAsia="Times New Roman" w:hAnsi="Times New Roman"/>
          <w:sz w:val="20"/>
          <w:szCs w:val="20"/>
          <w:color w:val="070707"/>
        </w:rPr>
        <w:t xml:space="preserve">uch </w:t>
      </w:r>
      <w:r>
        <w:rPr>
          <w:rFonts w:ascii="Times New Roman" w:cs="Times New Roman" w:eastAsia="Times New Roman" w:hAnsi="Times New Roman"/>
          <w:sz w:val="20"/>
          <w:szCs w:val="20"/>
          <w:color w:val="171717"/>
        </w:rPr>
        <w:t>S</w:t>
      </w:r>
      <w:r>
        <w:rPr>
          <w:rFonts w:ascii="Times New Roman" w:cs="Times New Roman" w:eastAsia="Times New Roman" w:hAnsi="Times New Roman"/>
          <w:sz w:val="20"/>
          <w:szCs w:val="20"/>
          <w:color w:val="070707"/>
        </w:rPr>
        <w:t>p</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cifi</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d </w:t>
      </w:r>
      <w:r>
        <w:rPr>
          <w:rFonts w:ascii="Times New Roman" w:cs="Times New Roman" w:eastAsia="Times New Roman" w:hAnsi="Times New Roman"/>
          <w:sz w:val="20"/>
          <w:szCs w:val="20"/>
          <w:color w:val="171717"/>
        </w:rPr>
        <w:t>Emp</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o</w:t>
      </w:r>
      <w:r>
        <w:rPr>
          <w:rFonts w:ascii="Times New Roman" w:cs="Times New Roman" w:eastAsia="Times New Roman" w:hAnsi="Times New Roman"/>
          <w:sz w:val="20"/>
          <w:szCs w:val="20"/>
          <w:color w:val="070707"/>
        </w:rPr>
        <w:t>y</w:t>
      </w:r>
      <w:r>
        <w:rPr>
          <w:rFonts w:ascii="Times New Roman" w:cs="Times New Roman" w:eastAsia="Times New Roman" w:hAnsi="Times New Roman"/>
          <w:sz w:val="20"/>
          <w:szCs w:val="20"/>
          <w:color w:val="171717"/>
        </w:rPr>
        <w:t>ee</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71717"/>
        </w:rPr>
        <w:t>s death</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71717"/>
        </w:rPr>
        <w:t>. An</w:t>
      </w:r>
      <w:r>
        <w:rPr>
          <w:rFonts w:ascii="Times New Roman" w:cs="Times New Roman" w:eastAsia="Times New Roman" w:hAnsi="Times New Roman"/>
          <w:sz w:val="20"/>
          <w:szCs w:val="20"/>
          <w:color w:val="070707"/>
        </w:rPr>
        <w:t xml:space="preserve">y </w:t>
      </w:r>
      <w:r>
        <w:rPr>
          <w:rFonts w:ascii="Times New Roman" w:cs="Times New Roman" w:eastAsia="Times New Roman" w:hAnsi="Times New Roman"/>
          <w:sz w:val="20"/>
          <w:szCs w:val="20"/>
          <w:color w:val="171717"/>
        </w:rPr>
        <w:t>amou</w:t>
      </w:r>
      <w:r>
        <w:rPr>
          <w:rFonts w:ascii="Times New Roman" w:cs="Times New Roman" w:eastAsia="Times New Roman" w:hAnsi="Times New Roman"/>
          <w:sz w:val="20"/>
          <w:szCs w:val="20"/>
          <w:color w:val="070707"/>
        </w:rPr>
        <w:t>nt</w:t>
      </w:r>
      <w:r>
        <w:rPr>
          <w:rFonts w:ascii="Times New Roman" w:cs="Times New Roman" w:eastAsia="Times New Roman" w:hAnsi="Times New Roman"/>
          <w:sz w:val="20"/>
          <w:szCs w:val="20"/>
          <w:color w:val="171717"/>
        </w:rPr>
        <w:t>s</w:t>
      </w:r>
      <w:r>
        <w:rPr>
          <w:rFonts w:ascii="Times New Roman" w:cs="Times New Roman" w:eastAsia="Times New Roman" w:hAnsi="Times New Roman"/>
          <w:sz w:val="20"/>
          <w:szCs w:val="20"/>
          <w:color w:val="070707"/>
        </w:rPr>
        <w:t xml:space="preserve"> th</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t woul</w:t>
      </w:r>
      <w:r>
        <w:rPr>
          <w:rFonts w:ascii="Times New Roman" w:cs="Times New Roman" w:eastAsia="Times New Roman" w:hAnsi="Times New Roman"/>
          <w:sz w:val="20"/>
          <w:szCs w:val="20"/>
          <w:color w:val="171717"/>
        </w:rPr>
        <w:t>d</w:t>
      </w:r>
      <w:r>
        <w:rPr>
          <w:rFonts w:ascii="Times New Roman" w:cs="Times New Roman" w:eastAsia="Times New Roman" w:hAnsi="Times New Roman"/>
          <w:sz w:val="20"/>
          <w:szCs w:val="20"/>
          <w:color w:val="070707"/>
        </w:rPr>
        <w:t xml:space="preserve"> h</w:t>
      </w:r>
      <w:r>
        <w:rPr>
          <w:rFonts w:ascii="Times New Roman" w:cs="Times New Roman" w:eastAsia="Times New Roman" w:hAnsi="Times New Roman"/>
          <w:sz w:val="20"/>
          <w:szCs w:val="20"/>
          <w:color w:val="171717"/>
        </w:rPr>
        <w:t>ave</w:t>
      </w:r>
      <w:r>
        <w:rPr>
          <w:rFonts w:ascii="Times New Roman" w:cs="Times New Roman" w:eastAsia="Times New Roman" w:hAnsi="Times New Roman"/>
          <w:sz w:val="20"/>
          <w:szCs w:val="20"/>
          <w:color w:val="070707"/>
        </w:rPr>
        <w:t xml:space="preserve"> b</w:t>
      </w:r>
      <w:r>
        <w:rPr>
          <w:rFonts w:ascii="Times New Roman" w:cs="Times New Roman" w:eastAsia="Times New Roman" w:hAnsi="Times New Roman"/>
          <w:sz w:val="20"/>
          <w:szCs w:val="20"/>
          <w:color w:val="171717"/>
        </w:rPr>
        <w:t>een paid</w:t>
      </w:r>
      <w:r>
        <w:rPr>
          <w:rFonts w:ascii="Times New Roman" w:cs="Times New Roman" w:eastAsia="Times New Roman" w:hAnsi="Times New Roman"/>
          <w:sz w:val="20"/>
          <w:szCs w:val="20"/>
          <w:color w:val="070707"/>
        </w:rPr>
        <w:t xml:space="preserve"> d</w:t>
      </w:r>
      <w:r>
        <w:rPr>
          <w:rFonts w:ascii="Times New Roman" w:cs="Times New Roman" w:eastAsia="Times New Roman" w:hAnsi="Times New Roman"/>
          <w:sz w:val="20"/>
          <w:szCs w:val="20"/>
          <w:color w:val="171717"/>
        </w:rPr>
        <w:t>ur</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ng</w:t>
      </w:r>
      <w:r>
        <w:rPr>
          <w:rFonts w:ascii="Times New Roman" w:cs="Times New Roman" w:eastAsia="Times New Roman" w:hAnsi="Times New Roman"/>
          <w:sz w:val="20"/>
          <w:szCs w:val="20"/>
          <w:color w:val="070707"/>
        </w:rPr>
        <w:t xml:space="preserve"> t</w:t>
      </w:r>
      <w:r>
        <w:rPr>
          <w:rFonts w:ascii="Times New Roman" w:cs="Times New Roman" w:eastAsia="Times New Roman" w:hAnsi="Times New Roman"/>
          <w:sz w:val="20"/>
          <w:szCs w:val="20"/>
          <w:color w:val="171717"/>
        </w:rPr>
        <w:t>he six</w:t>
      </w:r>
      <w:r>
        <w:rPr>
          <w:rFonts w:ascii="Times New Roman" w:cs="Times New Roman" w:eastAsia="Times New Roman" w:hAnsi="Times New Roman"/>
          <w:sz w:val="20"/>
          <w:szCs w:val="20"/>
          <w:color w:val="070707"/>
        </w:rPr>
        <w:t xml:space="preserve"> (</w:t>
      </w:r>
      <w:r>
        <w:rPr>
          <w:rFonts w:ascii="Times New Roman" w:cs="Times New Roman" w:eastAsia="Times New Roman" w:hAnsi="Times New Roman"/>
          <w:sz w:val="20"/>
          <w:szCs w:val="20"/>
          <w:color w:val="171717"/>
        </w:rPr>
        <w:t>6) mon</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h pe</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iod</w:t>
      </w:r>
      <w:r>
        <w:rPr>
          <w:rFonts w:ascii="Times New Roman" w:cs="Times New Roman" w:eastAsia="Times New Roman" w:hAnsi="Times New Roman"/>
          <w:sz w:val="20"/>
          <w:szCs w:val="20"/>
          <w:color w:val="070707"/>
        </w:rPr>
        <w:t xml:space="preserve"> i</w:t>
      </w:r>
      <w:r>
        <w:rPr>
          <w:rFonts w:ascii="Times New Roman" w:cs="Times New Roman" w:eastAsia="Times New Roman" w:hAnsi="Times New Roman"/>
          <w:sz w:val="20"/>
          <w:szCs w:val="20"/>
          <w:color w:val="171717"/>
        </w:rPr>
        <w:t>mme</w:t>
      </w:r>
      <w:r>
        <w:rPr>
          <w:rFonts w:ascii="Times New Roman" w:cs="Times New Roman" w:eastAsia="Times New Roman" w:hAnsi="Times New Roman"/>
          <w:sz w:val="20"/>
          <w:szCs w:val="20"/>
          <w:color w:val="070707"/>
        </w:rPr>
        <w:t>di</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el</w:t>
      </w:r>
      <w:r>
        <w:rPr>
          <w:rFonts w:ascii="Times New Roman" w:cs="Times New Roman" w:eastAsia="Times New Roman" w:hAnsi="Times New Roman"/>
          <w:sz w:val="20"/>
          <w:szCs w:val="20"/>
          <w:color w:val="070707"/>
        </w:rPr>
        <w:t xml:space="preserve">y </w:t>
      </w:r>
      <w:r>
        <w:rPr>
          <w:rFonts w:ascii="Times New Roman" w:cs="Times New Roman" w:eastAsia="Times New Roman" w:hAnsi="Times New Roman"/>
          <w:sz w:val="20"/>
          <w:szCs w:val="20"/>
          <w:color w:val="171717"/>
        </w:rPr>
        <w:t>fo</w:t>
      </w:r>
      <w:r>
        <w:rPr>
          <w:rFonts w:ascii="Times New Roman" w:cs="Times New Roman" w:eastAsia="Times New Roman" w:hAnsi="Times New Roman"/>
          <w:sz w:val="20"/>
          <w:szCs w:val="20"/>
          <w:color w:val="070707"/>
        </w:rPr>
        <w:t>ll</w:t>
      </w:r>
      <w:r>
        <w:rPr>
          <w:rFonts w:ascii="Times New Roman" w:cs="Times New Roman" w:eastAsia="Times New Roman" w:hAnsi="Times New Roman"/>
          <w:sz w:val="20"/>
          <w:szCs w:val="20"/>
          <w:color w:val="171717"/>
        </w:rPr>
        <w:t>owing Terminatio</w:t>
      </w:r>
      <w:r>
        <w:rPr>
          <w:rFonts w:ascii="Times New Roman" w:cs="Times New Roman" w:eastAsia="Times New Roman" w:hAnsi="Times New Roman"/>
          <w:sz w:val="20"/>
          <w:szCs w:val="20"/>
          <w:color w:val="070707"/>
        </w:rPr>
        <w:t xml:space="preserve">n </w:t>
      </w:r>
      <w:r>
        <w:rPr>
          <w:rFonts w:ascii="Times New Roman" w:cs="Times New Roman" w:eastAsia="Times New Roman" w:hAnsi="Times New Roman"/>
          <w:sz w:val="20"/>
          <w:szCs w:val="20"/>
          <w:color w:val="171717"/>
        </w:rPr>
        <w:t>b</w:t>
      </w:r>
      <w:r>
        <w:rPr>
          <w:rFonts w:ascii="Times New Roman" w:cs="Times New Roman" w:eastAsia="Times New Roman" w:hAnsi="Times New Roman"/>
          <w:sz w:val="20"/>
          <w:szCs w:val="20"/>
          <w:color w:val="070707"/>
        </w:rPr>
        <w:t xml:space="preserve">ut </w:t>
      </w:r>
      <w:r>
        <w:rPr>
          <w:rFonts w:ascii="Times New Roman" w:cs="Times New Roman" w:eastAsia="Times New Roman" w:hAnsi="Times New Roman"/>
          <w:sz w:val="20"/>
          <w:szCs w:val="20"/>
          <w:color w:val="171717"/>
        </w:rPr>
        <w:t>fo</w:t>
      </w:r>
      <w:r>
        <w:rPr>
          <w:rFonts w:ascii="Times New Roman" w:cs="Times New Roman" w:eastAsia="Times New Roman" w:hAnsi="Times New Roman"/>
          <w:sz w:val="20"/>
          <w:szCs w:val="20"/>
          <w:color w:val="070707"/>
        </w:rPr>
        <w:t xml:space="preserve">r </w:t>
      </w:r>
      <w:r>
        <w:rPr>
          <w:rFonts w:ascii="Times New Roman" w:cs="Times New Roman" w:eastAsia="Times New Roman" w:hAnsi="Times New Roman"/>
          <w:sz w:val="20"/>
          <w:szCs w:val="20"/>
          <w:color w:val="171717"/>
        </w:rPr>
        <w:t>s</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c</w:t>
      </w:r>
      <w:r>
        <w:rPr>
          <w:rFonts w:ascii="Times New Roman" w:cs="Times New Roman" w:eastAsia="Times New Roman" w:hAnsi="Times New Roman"/>
          <w:sz w:val="20"/>
          <w:szCs w:val="20"/>
          <w:color w:val="070707"/>
        </w:rPr>
        <w:t>h d</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ay w</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ll</w:t>
      </w:r>
      <w:r>
        <w:rPr>
          <w:rFonts w:ascii="Times New Roman" w:cs="Times New Roman" w:eastAsia="Times New Roman" w:hAnsi="Times New Roman"/>
          <w:sz w:val="20"/>
          <w:szCs w:val="20"/>
          <w:color w:val="070707"/>
        </w:rPr>
        <w:t xml:space="preserve"> b</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 p</w:t>
      </w:r>
      <w:r>
        <w:rPr>
          <w:rFonts w:ascii="Times New Roman" w:cs="Times New Roman" w:eastAsia="Times New Roman" w:hAnsi="Times New Roman"/>
          <w:sz w:val="20"/>
          <w:szCs w:val="20"/>
          <w:color w:val="171717"/>
        </w:rPr>
        <w:t>aid o</w:t>
      </w:r>
      <w:r>
        <w:rPr>
          <w:rFonts w:ascii="Times New Roman" w:cs="Times New Roman" w:eastAsia="Times New Roman" w:hAnsi="Times New Roman"/>
          <w:sz w:val="20"/>
          <w:szCs w:val="20"/>
          <w:color w:val="070707"/>
        </w:rPr>
        <w:t xml:space="preserve">n </w:t>
      </w:r>
      <w:r>
        <w:rPr>
          <w:rFonts w:ascii="Times New Roman" w:cs="Times New Roman" w:eastAsia="Times New Roman" w:hAnsi="Times New Roman"/>
          <w:sz w:val="20"/>
          <w:szCs w:val="20"/>
          <w:color w:val="171717"/>
        </w:rPr>
        <w:t>the first</w:t>
      </w:r>
      <w:r>
        <w:rPr>
          <w:rFonts w:ascii="Times New Roman" w:cs="Times New Roman" w:eastAsia="Times New Roman" w:hAnsi="Times New Roman"/>
          <w:sz w:val="20"/>
          <w:szCs w:val="20"/>
          <w:color w:val="070707"/>
        </w:rPr>
        <w:t xml:space="preserve"> bu</w:t>
      </w:r>
      <w:r>
        <w:rPr>
          <w:rFonts w:ascii="Times New Roman" w:cs="Times New Roman" w:eastAsia="Times New Roman" w:hAnsi="Times New Roman"/>
          <w:sz w:val="20"/>
          <w:szCs w:val="20"/>
          <w:color w:val="171717"/>
        </w:rPr>
        <w:t>siness day following</w:t>
      </w:r>
      <w:r>
        <w:rPr>
          <w:rFonts w:ascii="Times New Roman" w:cs="Times New Roman" w:eastAsia="Times New Roman" w:hAnsi="Times New Roman"/>
          <w:sz w:val="20"/>
          <w:szCs w:val="20"/>
          <w:color w:val="070707"/>
        </w:rPr>
        <w:t xml:space="preserve"> t</w:t>
      </w:r>
      <w:r>
        <w:rPr>
          <w:rFonts w:ascii="Times New Roman" w:cs="Times New Roman" w:eastAsia="Times New Roman" w:hAnsi="Times New Roman"/>
          <w:sz w:val="20"/>
          <w:szCs w:val="20"/>
          <w:color w:val="171717"/>
        </w:rPr>
        <w:t>he da</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 t</w:t>
      </w:r>
      <w:r>
        <w:rPr>
          <w:rFonts w:ascii="Times New Roman" w:cs="Times New Roman" w:eastAsia="Times New Roman" w:hAnsi="Times New Roman"/>
          <w:sz w:val="20"/>
          <w:szCs w:val="20"/>
          <w:color w:val="171717"/>
        </w:rPr>
        <w:t>hat</w:t>
      </w:r>
      <w:r>
        <w:rPr>
          <w:rFonts w:ascii="Times New Roman" w:cs="Times New Roman" w:eastAsia="Times New Roman" w:hAnsi="Times New Roman"/>
          <w:sz w:val="20"/>
          <w:szCs w:val="20"/>
          <w:color w:val="070707"/>
        </w:rPr>
        <w:t xml:space="preserve"> i</w:t>
      </w:r>
      <w:r>
        <w:rPr>
          <w:rFonts w:ascii="Times New Roman" w:cs="Times New Roman" w:eastAsia="Times New Roman" w:hAnsi="Times New Roman"/>
          <w:sz w:val="20"/>
          <w:szCs w:val="20"/>
          <w:color w:val="171717"/>
        </w:rPr>
        <w:t>s six ( 6</w:t>
      </w:r>
      <w:r>
        <w:rPr>
          <w:rFonts w:ascii="Times New Roman" w:cs="Times New Roman" w:eastAsia="Times New Roman" w:hAnsi="Times New Roman"/>
          <w:sz w:val="20"/>
          <w:szCs w:val="20"/>
          <w:color w:val="070707"/>
        </w:rPr>
        <w:t xml:space="preserve">) </w:t>
      </w:r>
      <w:r>
        <w:rPr>
          <w:rFonts w:ascii="Times New Roman" w:cs="Times New Roman" w:eastAsia="Times New Roman" w:hAnsi="Times New Roman"/>
          <w:sz w:val="20"/>
          <w:szCs w:val="20"/>
          <w:color w:val="171717"/>
        </w:rPr>
        <w:t>months after</w:t>
      </w:r>
      <w:r>
        <w:rPr>
          <w:rFonts w:ascii="Times New Roman" w:cs="Times New Roman" w:eastAsia="Times New Roman" w:hAnsi="Times New Roman"/>
          <w:sz w:val="20"/>
          <w:szCs w:val="20"/>
          <w:color w:val="070707"/>
        </w:rPr>
        <w:t xml:space="preserve"> th</w:t>
      </w:r>
      <w:r>
        <w:rPr>
          <w:rFonts w:ascii="Times New Roman" w:cs="Times New Roman" w:eastAsia="Times New Roman" w:hAnsi="Times New Roman"/>
          <w:sz w:val="20"/>
          <w:szCs w:val="20"/>
          <w:color w:val="171717"/>
        </w:rPr>
        <w:t>e Specified E</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p</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oyee</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71717"/>
        </w:rPr>
        <w:t>s</w:t>
      </w:r>
      <w:r>
        <w:rPr>
          <w:rFonts w:ascii="Times New Roman" w:cs="Times New Roman" w:eastAsia="Times New Roman" w:hAnsi="Times New Roman"/>
          <w:sz w:val="20"/>
          <w:szCs w:val="20"/>
          <w:color w:val="070707"/>
        </w:rPr>
        <w:t xml:space="preserve"> d</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e of Te</w:t>
      </w:r>
      <w:r>
        <w:rPr>
          <w:rFonts w:ascii="Times New Roman" w:cs="Times New Roman" w:eastAsia="Times New Roman" w:hAnsi="Times New Roman"/>
          <w:sz w:val="20"/>
          <w:szCs w:val="20"/>
          <w:color w:val="070707"/>
        </w:rPr>
        <w:t>rmi</w:t>
      </w:r>
      <w:r>
        <w:rPr>
          <w:rFonts w:ascii="Times New Roman" w:cs="Times New Roman" w:eastAsia="Times New Roman" w:hAnsi="Times New Roman"/>
          <w:sz w:val="20"/>
          <w:szCs w:val="20"/>
          <w:color w:val="171717"/>
        </w:rPr>
        <w:t>nat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on</w:t>
      </w:r>
      <w:r>
        <w:rPr>
          <w:rFonts w:ascii="Times New Roman" w:cs="Times New Roman" w:eastAsia="Times New Roman" w:hAnsi="Times New Roman"/>
          <w:sz w:val="20"/>
          <w:szCs w:val="20"/>
          <w:color w:val="070707"/>
        </w:rPr>
        <w:t>.</w:t>
      </w:r>
    </w:p>
    <w:p>
      <w:pPr>
        <w:spacing w:after="0" w:line="223" w:lineRule="exact"/>
        <w:rPr>
          <w:sz w:val="20"/>
          <w:szCs w:val="20"/>
          <w:color w:val="auto"/>
        </w:rPr>
      </w:pPr>
    </w:p>
    <w:p>
      <w:pPr>
        <w:jc w:val="both"/>
        <w:ind w:left="100" w:right="40" w:firstLine="653"/>
        <w:spacing w:after="0" w:line="285" w:lineRule="auto"/>
        <w:rPr>
          <w:sz w:val="20"/>
          <w:szCs w:val="20"/>
          <w:color w:val="auto"/>
        </w:rPr>
      </w:pPr>
      <w:r>
        <w:rPr>
          <w:rFonts w:ascii="Times New Roman" w:cs="Times New Roman" w:eastAsia="Times New Roman" w:hAnsi="Times New Roman"/>
          <w:sz w:val="19"/>
          <w:szCs w:val="19"/>
          <w:b w:val="1"/>
          <w:bCs w:val="1"/>
          <w:color w:val="070707"/>
        </w:rPr>
        <w:t>8.8 D</w:t>
      </w:r>
      <w:r>
        <w:rPr>
          <w:rFonts w:ascii="Times New Roman" w:cs="Times New Roman" w:eastAsia="Times New Roman" w:hAnsi="Times New Roman"/>
          <w:sz w:val="19"/>
          <w:szCs w:val="19"/>
          <w:b w:val="1"/>
          <w:bCs w:val="1"/>
          <w:color w:val="171717"/>
        </w:rPr>
        <w:t>e</w:t>
      </w:r>
      <w:r>
        <w:rPr>
          <w:rFonts w:ascii="Times New Roman" w:cs="Times New Roman" w:eastAsia="Times New Roman" w:hAnsi="Times New Roman"/>
          <w:sz w:val="19"/>
          <w:szCs w:val="19"/>
          <w:b w:val="1"/>
          <w:bCs w:val="1"/>
          <w:color w:val="070707"/>
        </w:rPr>
        <w:t>la</w:t>
      </w:r>
      <w:r>
        <w:rPr>
          <w:rFonts w:ascii="Times New Roman" w:cs="Times New Roman" w:eastAsia="Times New Roman" w:hAnsi="Times New Roman"/>
          <w:sz w:val="19"/>
          <w:szCs w:val="19"/>
          <w:b w:val="1"/>
          <w:bCs w:val="1"/>
          <w:color w:val="171717"/>
        </w:rPr>
        <w:t>y</w:t>
      </w:r>
      <w:r>
        <w:rPr>
          <w:rFonts w:ascii="Times New Roman" w:cs="Times New Roman" w:eastAsia="Times New Roman" w:hAnsi="Times New Roman"/>
          <w:sz w:val="19"/>
          <w:szCs w:val="19"/>
          <w:b w:val="1"/>
          <w:bCs w:val="1"/>
          <w:color w:val="070707"/>
        </w:rPr>
        <w:t xml:space="preserve"> Du</w:t>
      </w:r>
      <w:r>
        <w:rPr>
          <w:rFonts w:ascii="Times New Roman" w:cs="Times New Roman" w:eastAsia="Times New Roman" w:hAnsi="Times New Roman"/>
          <w:sz w:val="19"/>
          <w:szCs w:val="19"/>
          <w:b w:val="1"/>
          <w:bCs w:val="1"/>
          <w:color w:val="171717"/>
        </w:rPr>
        <w:t>e</w:t>
      </w:r>
      <w:r>
        <w:rPr>
          <w:rFonts w:ascii="Times New Roman" w:cs="Times New Roman" w:eastAsia="Times New Roman" w:hAnsi="Times New Roman"/>
          <w:sz w:val="19"/>
          <w:szCs w:val="19"/>
          <w:b w:val="1"/>
          <w:bCs w:val="1"/>
          <w:color w:val="070707"/>
        </w:rPr>
        <w:t xml:space="preserve"> to Non-D</w:t>
      </w:r>
      <w:r>
        <w:rPr>
          <w:rFonts w:ascii="Times New Roman" w:cs="Times New Roman" w:eastAsia="Times New Roman" w:hAnsi="Times New Roman"/>
          <w:sz w:val="19"/>
          <w:szCs w:val="19"/>
          <w:b w:val="1"/>
          <w:bCs w:val="1"/>
          <w:color w:val="171717"/>
        </w:rPr>
        <w:t>ed</w:t>
      </w:r>
      <w:r>
        <w:rPr>
          <w:rFonts w:ascii="Times New Roman" w:cs="Times New Roman" w:eastAsia="Times New Roman" w:hAnsi="Times New Roman"/>
          <w:sz w:val="19"/>
          <w:szCs w:val="19"/>
          <w:b w:val="1"/>
          <w:bCs w:val="1"/>
          <w:color w:val="070707"/>
        </w:rPr>
        <w:t xml:space="preserve">uctibility under </w:t>
      </w:r>
      <w:r>
        <w:rPr>
          <w:rFonts w:ascii="Times New Roman" w:cs="Times New Roman" w:eastAsia="Times New Roman" w:hAnsi="Times New Roman"/>
          <w:sz w:val="19"/>
          <w:szCs w:val="19"/>
          <w:b w:val="1"/>
          <w:bCs w:val="1"/>
          <w:color w:val="171717"/>
        </w:rPr>
        <w:t>Se</w:t>
      </w:r>
      <w:r>
        <w:rPr>
          <w:rFonts w:ascii="Times New Roman" w:cs="Times New Roman" w:eastAsia="Times New Roman" w:hAnsi="Times New Roman"/>
          <w:sz w:val="19"/>
          <w:szCs w:val="19"/>
          <w:b w:val="1"/>
          <w:bCs w:val="1"/>
          <w:color w:val="070707"/>
        </w:rPr>
        <w:t xml:space="preserve">ction 162(m) </w:t>
      </w:r>
      <w:r>
        <w:rPr>
          <w:rFonts w:ascii="Times New Roman" w:cs="Times New Roman" w:eastAsia="Times New Roman" w:hAnsi="Times New Roman"/>
          <w:sz w:val="19"/>
          <w:szCs w:val="19"/>
          <w:color w:val="070707"/>
        </w:rPr>
        <w:t>N</w:t>
      </w:r>
      <w:r>
        <w:rPr>
          <w:rFonts w:ascii="Times New Roman" w:cs="Times New Roman" w:eastAsia="Times New Roman" w:hAnsi="Times New Roman"/>
          <w:sz w:val="19"/>
          <w:szCs w:val="19"/>
          <w:color w:val="171717"/>
        </w:rPr>
        <w:t>otw</w:t>
      </w:r>
      <w:r>
        <w:rPr>
          <w:rFonts w:ascii="Times New Roman" w:cs="Times New Roman" w:eastAsia="Times New Roman" w:hAnsi="Times New Roman"/>
          <w:sz w:val="19"/>
          <w:szCs w:val="19"/>
          <w:color w:val="070707"/>
        </w:rPr>
        <w:t>i</w:t>
      </w:r>
      <w:r>
        <w:rPr>
          <w:rFonts w:ascii="Times New Roman" w:cs="Times New Roman" w:eastAsia="Times New Roman" w:hAnsi="Times New Roman"/>
          <w:sz w:val="19"/>
          <w:szCs w:val="19"/>
          <w:color w:val="171717"/>
        </w:rPr>
        <w:t>thstanding any provision of t</w:t>
      </w:r>
      <w:r>
        <w:rPr>
          <w:rFonts w:ascii="Times New Roman" w:cs="Times New Roman" w:eastAsia="Times New Roman" w:hAnsi="Times New Roman"/>
          <w:sz w:val="19"/>
          <w:szCs w:val="19"/>
          <w:color w:val="070707"/>
        </w:rPr>
        <w:t>h</w:t>
      </w:r>
      <w:r>
        <w:rPr>
          <w:rFonts w:ascii="Times New Roman" w:cs="Times New Roman" w:eastAsia="Times New Roman" w:hAnsi="Times New Roman"/>
          <w:sz w:val="19"/>
          <w:szCs w:val="19"/>
          <w:color w:val="171717"/>
        </w:rPr>
        <w:t>e Plan</w:t>
      </w:r>
      <w:r>
        <w:rPr>
          <w:rFonts w:ascii="Times New Roman" w:cs="Times New Roman" w:eastAsia="Times New Roman" w:hAnsi="Times New Roman"/>
          <w:sz w:val="19"/>
          <w:szCs w:val="19"/>
          <w:b w:val="1"/>
          <w:bCs w:val="1"/>
          <w:color w:val="070707"/>
        </w:rPr>
        <w:t xml:space="preserve"> </w:t>
      </w:r>
      <w:r>
        <w:rPr>
          <w:rFonts w:ascii="Times New Roman" w:cs="Times New Roman" w:eastAsia="Times New Roman" w:hAnsi="Times New Roman"/>
          <w:sz w:val="19"/>
          <w:szCs w:val="19"/>
          <w:color w:val="070707"/>
        </w:rPr>
        <w:t>t</w:t>
      </w:r>
      <w:r>
        <w:rPr>
          <w:rFonts w:ascii="Times New Roman" w:cs="Times New Roman" w:eastAsia="Times New Roman" w:hAnsi="Times New Roman"/>
          <w:sz w:val="19"/>
          <w:szCs w:val="19"/>
          <w:color w:val="171717"/>
        </w:rPr>
        <w:t>o</w:t>
      </w:r>
      <w:r>
        <w:rPr>
          <w:rFonts w:ascii="Times New Roman" w:cs="Times New Roman" w:eastAsia="Times New Roman" w:hAnsi="Times New Roman"/>
          <w:sz w:val="19"/>
          <w:szCs w:val="19"/>
          <w:b w:val="1"/>
          <w:bCs w:val="1"/>
          <w:color w:val="070707"/>
        </w:rPr>
        <w:t xml:space="preserve"> </w:t>
      </w:r>
      <w:r>
        <w:rPr>
          <w:rFonts w:ascii="Times New Roman" w:cs="Times New Roman" w:eastAsia="Times New Roman" w:hAnsi="Times New Roman"/>
          <w:sz w:val="19"/>
          <w:szCs w:val="19"/>
          <w:color w:val="070707"/>
        </w:rPr>
        <w:t>th</w:t>
      </w:r>
      <w:r>
        <w:rPr>
          <w:rFonts w:ascii="Times New Roman" w:cs="Times New Roman" w:eastAsia="Times New Roman" w:hAnsi="Times New Roman"/>
          <w:sz w:val="19"/>
          <w:szCs w:val="19"/>
          <w:color w:val="171717"/>
        </w:rPr>
        <w:t>e contra</w:t>
      </w:r>
      <w:r>
        <w:rPr>
          <w:rFonts w:ascii="Times New Roman" w:cs="Times New Roman" w:eastAsia="Times New Roman" w:hAnsi="Times New Roman"/>
          <w:sz w:val="19"/>
          <w:szCs w:val="19"/>
          <w:color w:val="070707"/>
        </w:rPr>
        <w:t>r</w:t>
      </w:r>
      <w:r>
        <w:rPr>
          <w:rFonts w:ascii="Times New Roman" w:cs="Times New Roman" w:eastAsia="Times New Roman" w:hAnsi="Times New Roman"/>
          <w:sz w:val="19"/>
          <w:szCs w:val="19"/>
          <w:color w:val="171717"/>
        </w:rPr>
        <w:t>y,</w:t>
      </w:r>
      <w:r>
        <w:rPr>
          <w:rFonts w:ascii="Times New Roman" w:cs="Times New Roman" w:eastAsia="Times New Roman" w:hAnsi="Times New Roman"/>
          <w:sz w:val="19"/>
          <w:szCs w:val="19"/>
          <w:b w:val="1"/>
          <w:bCs w:val="1"/>
          <w:color w:val="070707"/>
        </w:rPr>
        <w:t xml:space="preserve"> </w:t>
      </w:r>
      <w:r>
        <w:rPr>
          <w:rFonts w:ascii="Times New Roman" w:cs="Times New Roman" w:eastAsia="Times New Roman" w:hAnsi="Times New Roman"/>
          <w:sz w:val="19"/>
          <w:szCs w:val="19"/>
          <w:color w:val="070707"/>
        </w:rPr>
        <w:t>b</w:t>
      </w:r>
      <w:r>
        <w:rPr>
          <w:rFonts w:ascii="Times New Roman" w:cs="Times New Roman" w:eastAsia="Times New Roman" w:hAnsi="Times New Roman"/>
          <w:sz w:val="19"/>
          <w:szCs w:val="19"/>
          <w:color w:val="171717"/>
        </w:rPr>
        <w:t>ut subject</w:t>
      </w:r>
      <w:r>
        <w:rPr>
          <w:rFonts w:ascii="Times New Roman" w:cs="Times New Roman" w:eastAsia="Times New Roman" w:hAnsi="Times New Roman"/>
          <w:sz w:val="19"/>
          <w:szCs w:val="19"/>
          <w:b w:val="1"/>
          <w:bCs w:val="1"/>
          <w:color w:val="070707"/>
        </w:rPr>
        <w:t xml:space="preserve"> </w:t>
      </w:r>
      <w:r>
        <w:rPr>
          <w:rFonts w:ascii="Times New Roman" w:cs="Times New Roman" w:eastAsia="Times New Roman" w:hAnsi="Times New Roman"/>
          <w:sz w:val="19"/>
          <w:szCs w:val="19"/>
          <w:color w:val="171717"/>
        </w:rPr>
        <w:t>to the requi</w:t>
      </w:r>
      <w:r>
        <w:rPr>
          <w:rFonts w:ascii="Times New Roman" w:cs="Times New Roman" w:eastAsia="Times New Roman" w:hAnsi="Times New Roman"/>
          <w:sz w:val="19"/>
          <w:szCs w:val="19"/>
          <w:color w:val="070707"/>
        </w:rPr>
        <w:t>r</w:t>
      </w:r>
      <w:r>
        <w:rPr>
          <w:rFonts w:ascii="Times New Roman" w:cs="Times New Roman" w:eastAsia="Times New Roman" w:hAnsi="Times New Roman"/>
          <w:sz w:val="19"/>
          <w:szCs w:val="19"/>
          <w:color w:val="171717"/>
        </w:rPr>
        <w:t>ements of Code Section 409</w:t>
      </w:r>
      <w:r>
        <w:rPr>
          <w:rFonts w:ascii="Times New Roman" w:cs="Times New Roman" w:eastAsia="Times New Roman" w:hAnsi="Times New Roman"/>
          <w:sz w:val="19"/>
          <w:szCs w:val="19"/>
          <w:color w:val="070707"/>
        </w:rPr>
        <w:t>A</w:t>
      </w:r>
      <w:r>
        <w:rPr>
          <w:rFonts w:ascii="Times New Roman" w:cs="Times New Roman" w:eastAsia="Times New Roman" w:hAnsi="Times New Roman"/>
          <w:sz w:val="19"/>
          <w:szCs w:val="19"/>
          <w:color w:val="171717"/>
        </w:rPr>
        <w:t xml:space="preserve">, </w:t>
      </w:r>
      <w:r>
        <w:rPr>
          <w:rFonts w:ascii="Times New Roman" w:cs="Times New Roman" w:eastAsia="Times New Roman" w:hAnsi="Times New Roman"/>
          <w:sz w:val="19"/>
          <w:szCs w:val="19"/>
          <w:color w:val="070707"/>
        </w:rPr>
        <w:t>t</w:t>
      </w:r>
      <w:r>
        <w:rPr>
          <w:rFonts w:ascii="Times New Roman" w:cs="Times New Roman" w:eastAsia="Times New Roman" w:hAnsi="Times New Roman"/>
          <w:sz w:val="19"/>
          <w:szCs w:val="19"/>
          <w:color w:val="171717"/>
        </w:rPr>
        <w:t>he Company may delay any paym</w:t>
      </w:r>
      <w:r>
        <w:rPr>
          <w:rFonts w:ascii="Times New Roman" w:cs="Times New Roman" w:eastAsia="Times New Roman" w:hAnsi="Times New Roman"/>
          <w:sz w:val="19"/>
          <w:szCs w:val="19"/>
          <w:color w:val="070707"/>
        </w:rPr>
        <w:t>e</w:t>
      </w:r>
      <w:r>
        <w:rPr>
          <w:rFonts w:ascii="Times New Roman" w:cs="Times New Roman" w:eastAsia="Times New Roman" w:hAnsi="Times New Roman"/>
          <w:sz w:val="19"/>
          <w:szCs w:val="19"/>
          <w:color w:val="171717"/>
        </w:rPr>
        <w:t xml:space="preserve">nt </w:t>
      </w:r>
      <w:r>
        <w:rPr>
          <w:rFonts w:ascii="Times New Roman" w:cs="Times New Roman" w:eastAsia="Times New Roman" w:hAnsi="Times New Roman"/>
          <w:sz w:val="19"/>
          <w:szCs w:val="19"/>
          <w:color w:val="070707"/>
        </w:rPr>
        <w:t>u</w:t>
      </w:r>
      <w:r>
        <w:rPr>
          <w:rFonts w:ascii="Times New Roman" w:cs="Times New Roman" w:eastAsia="Times New Roman" w:hAnsi="Times New Roman"/>
          <w:sz w:val="19"/>
          <w:szCs w:val="19"/>
          <w:color w:val="171717"/>
        </w:rPr>
        <w:t>nder the P</w:t>
      </w:r>
      <w:r>
        <w:rPr>
          <w:rFonts w:ascii="Times New Roman" w:cs="Times New Roman" w:eastAsia="Times New Roman" w:hAnsi="Times New Roman"/>
          <w:sz w:val="19"/>
          <w:szCs w:val="19"/>
          <w:color w:val="070707"/>
        </w:rPr>
        <w:t>l</w:t>
      </w:r>
      <w:r>
        <w:rPr>
          <w:rFonts w:ascii="Times New Roman" w:cs="Times New Roman" w:eastAsia="Times New Roman" w:hAnsi="Times New Roman"/>
          <w:sz w:val="19"/>
          <w:szCs w:val="19"/>
          <w:color w:val="171717"/>
        </w:rPr>
        <w:t>an to t</w:t>
      </w:r>
      <w:r>
        <w:rPr>
          <w:rFonts w:ascii="Times New Roman" w:cs="Times New Roman" w:eastAsia="Times New Roman" w:hAnsi="Times New Roman"/>
          <w:sz w:val="19"/>
          <w:szCs w:val="19"/>
          <w:color w:val="070707"/>
        </w:rPr>
        <w:t>h</w:t>
      </w:r>
      <w:r>
        <w:rPr>
          <w:rFonts w:ascii="Times New Roman" w:cs="Times New Roman" w:eastAsia="Times New Roman" w:hAnsi="Times New Roman"/>
          <w:sz w:val="19"/>
          <w:szCs w:val="19"/>
          <w:color w:val="171717"/>
        </w:rPr>
        <w:t>e ext</w:t>
      </w:r>
      <w:r>
        <w:rPr>
          <w:rFonts w:ascii="Times New Roman" w:cs="Times New Roman" w:eastAsia="Times New Roman" w:hAnsi="Times New Roman"/>
          <w:sz w:val="19"/>
          <w:szCs w:val="19"/>
          <w:color w:val="070707"/>
        </w:rPr>
        <w:t>en</w:t>
      </w:r>
      <w:r>
        <w:rPr>
          <w:rFonts w:ascii="Times New Roman" w:cs="Times New Roman" w:eastAsia="Times New Roman" w:hAnsi="Times New Roman"/>
          <w:sz w:val="19"/>
          <w:szCs w:val="19"/>
          <w:color w:val="171717"/>
        </w:rPr>
        <w:t xml:space="preserve">t </w:t>
      </w:r>
      <w:r>
        <w:rPr>
          <w:rFonts w:ascii="Times New Roman" w:cs="Times New Roman" w:eastAsia="Times New Roman" w:hAnsi="Times New Roman"/>
          <w:sz w:val="19"/>
          <w:szCs w:val="19"/>
          <w:color w:val="070707"/>
        </w:rPr>
        <w:t>it</w:t>
      </w:r>
      <w:r>
        <w:rPr>
          <w:rFonts w:ascii="Times New Roman" w:cs="Times New Roman" w:eastAsia="Times New Roman" w:hAnsi="Times New Roman"/>
          <w:sz w:val="19"/>
          <w:szCs w:val="19"/>
          <w:color w:val="171717"/>
        </w:rPr>
        <w:t xml:space="preserve"> reasona</w:t>
      </w:r>
      <w:r>
        <w:rPr>
          <w:rFonts w:ascii="Times New Roman" w:cs="Times New Roman" w:eastAsia="Times New Roman" w:hAnsi="Times New Roman"/>
          <w:sz w:val="19"/>
          <w:szCs w:val="19"/>
          <w:color w:val="070707"/>
        </w:rPr>
        <w:t>b</w:t>
      </w:r>
      <w:r>
        <w:rPr>
          <w:rFonts w:ascii="Times New Roman" w:cs="Times New Roman" w:eastAsia="Times New Roman" w:hAnsi="Times New Roman"/>
          <w:sz w:val="19"/>
          <w:szCs w:val="19"/>
          <w:color w:val="171717"/>
        </w:rPr>
        <w:t>ly anticipates that if th</w:t>
      </w:r>
      <w:r>
        <w:rPr>
          <w:rFonts w:ascii="Times New Roman" w:cs="Times New Roman" w:eastAsia="Times New Roman" w:hAnsi="Times New Roman"/>
          <w:sz w:val="19"/>
          <w:szCs w:val="19"/>
          <w:color w:val="070707"/>
        </w:rPr>
        <w:t>e</w:t>
      </w:r>
      <w:r>
        <w:rPr>
          <w:rFonts w:ascii="Times New Roman" w:cs="Times New Roman" w:eastAsia="Times New Roman" w:hAnsi="Times New Roman"/>
          <w:sz w:val="19"/>
          <w:szCs w:val="19"/>
          <w:color w:val="171717"/>
        </w:rPr>
        <w:t xml:space="preserve"> payment </w:t>
      </w:r>
      <w:r>
        <w:rPr>
          <w:rFonts w:ascii="Times New Roman" w:cs="Times New Roman" w:eastAsia="Times New Roman" w:hAnsi="Times New Roman"/>
          <w:sz w:val="19"/>
          <w:szCs w:val="19"/>
          <w:color w:val="070707"/>
        </w:rPr>
        <w:t>w</w:t>
      </w:r>
      <w:r>
        <w:rPr>
          <w:rFonts w:ascii="Times New Roman" w:cs="Times New Roman" w:eastAsia="Times New Roman" w:hAnsi="Times New Roman"/>
          <w:sz w:val="19"/>
          <w:szCs w:val="19"/>
          <w:color w:val="171717"/>
        </w:rPr>
        <w:t>ere made as schedu</w:t>
      </w:r>
      <w:r>
        <w:rPr>
          <w:rFonts w:ascii="Times New Roman" w:cs="Times New Roman" w:eastAsia="Times New Roman" w:hAnsi="Times New Roman"/>
          <w:sz w:val="19"/>
          <w:szCs w:val="19"/>
          <w:color w:val="070707"/>
        </w:rPr>
        <w:t>l</w:t>
      </w:r>
      <w:r>
        <w:rPr>
          <w:rFonts w:ascii="Times New Roman" w:cs="Times New Roman" w:eastAsia="Times New Roman" w:hAnsi="Times New Roman"/>
          <w:sz w:val="19"/>
          <w:szCs w:val="19"/>
          <w:color w:val="171717"/>
        </w:rPr>
        <w:t>e</w:t>
      </w:r>
      <w:r>
        <w:rPr>
          <w:rFonts w:ascii="Times New Roman" w:cs="Times New Roman" w:eastAsia="Times New Roman" w:hAnsi="Times New Roman"/>
          <w:sz w:val="19"/>
          <w:szCs w:val="19"/>
          <w:color w:val="070707"/>
        </w:rPr>
        <w:t>d</w:t>
      </w:r>
      <w:r>
        <w:rPr>
          <w:rFonts w:ascii="Times New Roman" w:cs="Times New Roman" w:eastAsia="Times New Roman" w:hAnsi="Times New Roman"/>
          <w:sz w:val="19"/>
          <w:szCs w:val="19"/>
          <w:color w:val="171717"/>
        </w:rPr>
        <w:t>, th</w:t>
      </w:r>
      <w:r>
        <w:rPr>
          <w:rFonts w:ascii="Times New Roman" w:cs="Times New Roman" w:eastAsia="Times New Roman" w:hAnsi="Times New Roman"/>
          <w:sz w:val="19"/>
          <w:szCs w:val="19"/>
          <w:color w:val="070707"/>
        </w:rPr>
        <w:t>e</w:t>
      </w:r>
      <w:r>
        <w:rPr>
          <w:rFonts w:ascii="Times New Roman" w:cs="Times New Roman" w:eastAsia="Times New Roman" w:hAnsi="Times New Roman"/>
          <w:sz w:val="19"/>
          <w:szCs w:val="19"/>
          <w:color w:val="171717"/>
        </w:rPr>
        <w:t xml:space="preserve"> Company's dedu</w:t>
      </w:r>
      <w:r>
        <w:rPr>
          <w:rFonts w:ascii="Times New Roman" w:cs="Times New Roman" w:eastAsia="Times New Roman" w:hAnsi="Times New Roman"/>
          <w:sz w:val="19"/>
          <w:szCs w:val="19"/>
          <w:color w:val="070707"/>
        </w:rPr>
        <w:t>c</w:t>
      </w:r>
      <w:r>
        <w:rPr>
          <w:rFonts w:ascii="Times New Roman" w:cs="Times New Roman" w:eastAsia="Times New Roman" w:hAnsi="Times New Roman"/>
          <w:sz w:val="19"/>
          <w:szCs w:val="19"/>
          <w:color w:val="171717"/>
        </w:rPr>
        <w:t>tio</w:t>
      </w:r>
      <w:r>
        <w:rPr>
          <w:rFonts w:ascii="Times New Roman" w:cs="Times New Roman" w:eastAsia="Times New Roman" w:hAnsi="Times New Roman"/>
          <w:sz w:val="19"/>
          <w:szCs w:val="19"/>
          <w:color w:val="070707"/>
        </w:rPr>
        <w:t>n</w:t>
      </w:r>
      <w:r>
        <w:rPr>
          <w:rFonts w:ascii="Times New Roman" w:cs="Times New Roman" w:eastAsia="Times New Roman" w:hAnsi="Times New Roman"/>
          <w:sz w:val="19"/>
          <w:szCs w:val="19"/>
          <w:color w:val="171717"/>
        </w:rPr>
        <w:t xml:space="preserve"> wi</w:t>
      </w:r>
      <w:r>
        <w:rPr>
          <w:rFonts w:ascii="Times New Roman" w:cs="Times New Roman" w:eastAsia="Times New Roman" w:hAnsi="Times New Roman"/>
          <w:sz w:val="19"/>
          <w:szCs w:val="19"/>
          <w:color w:val="070707"/>
        </w:rPr>
        <w:t>t</w:t>
      </w:r>
      <w:r>
        <w:rPr>
          <w:rFonts w:ascii="Times New Roman" w:cs="Times New Roman" w:eastAsia="Times New Roman" w:hAnsi="Times New Roman"/>
          <w:sz w:val="19"/>
          <w:szCs w:val="19"/>
          <w:color w:val="171717"/>
        </w:rPr>
        <w:t xml:space="preserve">h </w:t>
      </w:r>
      <w:r>
        <w:rPr>
          <w:rFonts w:ascii="Times New Roman" w:cs="Times New Roman" w:eastAsia="Times New Roman" w:hAnsi="Times New Roman"/>
          <w:sz w:val="19"/>
          <w:szCs w:val="19"/>
          <w:color w:val="070707"/>
        </w:rPr>
        <w:t>re</w:t>
      </w:r>
      <w:r>
        <w:rPr>
          <w:rFonts w:ascii="Times New Roman" w:cs="Times New Roman" w:eastAsia="Times New Roman" w:hAnsi="Times New Roman"/>
          <w:sz w:val="19"/>
          <w:szCs w:val="19"/>
          <w:color w:val="171717"/>
        </w:rPr>
        <w:t>spect to such payment would not be permit</w:t>
      </w:r>
      <w:r>
        <w:rPr>
          <w:rFonts w:ascii="Times New Roman" w:cs="Times New Roman" w:eastAsia="Times New Roman" w:hAnsi="Times New Roman"/>
          <w:sz w:val="19"/>
          <w:szCs w:val="19"/>
          <w:color w:val="070707"/>
        </w:rPr>
        <w:t>t</w:t>
      </w:r>
      <w:r>
        <w:rPr>
          <w:rFonts w:ascii="Times New Roman" w:cs="Times New Roman" w:eastAsia="Times New Roman" w:hAnsi="Times New Roman"/>
          <w:sz w:val="19"/>
          <w:szCs w:val="19"/>
          <w:color w:val="171717"/>
        </w:rPr>
        <w:t>ed due to t</w:t>
      </w:r>
      <w:r>
        <w:rPr>
          <w:rFonts w:ascii="Times New Roman" w:cs="Times New Roman" w:eastAsia="Times New Roman" w:hAnsi="Times New Roman"/>
          <w:sz w:val="19"/>
          <w:szCs w:val="19"/>
          <w:color w:val="070707"/>
        </w:rPr>
        <w:t>h</w:t>
      </w:r>
      <w:r>
        <w:rPr>
          <w:rFonts w:ascii="Times New Roman" w:cs="Times New Roman" w:eastAsia="Times New Roman" w:hAnsi="Times New Roman"/>
          <w:sz w:val="19"/>
          <w:szCs w:val="19"/>
          <w:color w:val="171717"/>
        </w:rPr>
        <w:t>e application of Code Sect</w:t>
      </w:r>
      <w:r>
        <w:rPr>
          <w:rFonts w:ascii="Times New Roman" w:cs="Times New Roman" w:eastAsia="Times New Roman" w:hAnsi="Times New Roman"/>
          <w:sz w:val="19"/>
          <w:szCs w:val="19"/>
          <w:color w:val="070707"/>
        </w:rPr>
        <w:t>i</w:t>
      </w:r>
      <w:r>
        <w:rPr>
          <w:rFonts w:ascii="Times New Roman" w:cs="Times New Roman" w:eastAsia="Times New Roman" w:hAnsi="Times New Roman"/>
          <w:sz w:val="19"/>
          <w:szCs w:val="19"/>
          <w:color w:val="171717"/>
        </w:rPr>
        <w:t xml:space="preserve">on </w:t>
      </w:r>
      <w:r>
        <w:rPr>
          <w:rFonts w:ascii="Times New Roman" w:cs="Times New Roman" w:eastAsia="Times New Roman" w:hAnsi="Times New Roman"/>
          <w:sz w:val="19"/>
          <w:szCs w:val="19"/>
          <w:color w:val="070707"/>
        </w:rPr>
        <w:t>1</w:t>
      </w:r>
      <w:r>
        <w:rPr>
          <w:rFonts w:ascii="Times New Roman" w:cs="Times New Roman" w:eastAsia="Times New Roman" w:hAnsi="Times New Roman"/>
          <w:sz w:val="19"/>
          <w:szCs w:val="19"/>
          <w:color w:val="171717"/>
        </w:rPr>
        <w:t>62(m)</w:t>
      </w:r>
      <w:r>
        <w:rPr>
          <w:rFonts w:ascii="Times New Roman" w:cs="Times New Roman" w:eastAsia="Times New Roman" w:hAnsi="Times New Roman"/>
          <w:sz w:val="19"/>
          <w:szCs w:val="19"/>
          <w:color w:val="070707"/>
        </w:rPr>
        <w:t>.</w:t>
      </w:r>
      <w:r>
        <w:rPr>
          <w:rFonts w:ascii="Times New Roman" w:cs="Times New Roman" w:eastAsia="Times New Roman" w:hAnsi="Times New Roman"/>
          <w:sz w:val="19"/>
          <w:szCs w:val="19"/>
          <w:color w:val="171717"/>
        </w:rPr>
        <w:t xml:space="preserve"> Subject </w:t>
      </w:r>
      <w:r>
        <w:rPr>
          <w:rFonts w:ascii="Times New Roman" w:cs="Times New Roman" w:eastAsia="Times New Roman" w:hAnsi="Times New Roman"/>
          <w:sz w:val="19"/>
          <w:szCs w:val="19"/>
          <w:color w:val="070707"/>
        </w:rPr>
        <w:t>t</w:t>
      </w:r>
      <w:r>
        <w:rPr>
          <w:rFonts w:ascii="Times New Roman" w:cs="Times New Roman" w:eastAsia="Times New Roman" w:hAnsi="Times New Roman"/>
          <w:sz w:val="19"/>
          <w:szCs w:val="19"/>
          <w:color w:val="171717"/>
        </w:rPr>
        <w:t>o th</w:t>
      </w:r>
      <w:r>
        <w:rPr>
          <w:rFonts w:ascii="Times New Roman" w:cs="Times New Roman" w:eastAsia="Times New Roman" w:hAnsi="Times New Roman"/>
          <w:sz w:val="19"/>
          <w:szCs w:val="19"/>
          <w:color w:val="070707"/>
        </w:rPr>
        <w:t>e r</w:t>
      </w:r>
      <w:r>
        <w:rPr>
          <w:rFonts w:ascii="Times New Roman" w:cs="Times New Roman" w:eastAsia="Times New Roman" w:hAnsi="Times New Roman"/>
          <w:sz w:val="19"/>
          <w:szCs w:val="19"/>
          <w:color w:val="171717"/>
        </w:rPr>
        <w:t>eq</w:t>
      </w:r>
      <w:r>
        <w:rPr>
          <w:rFonts w:ascii="Times New Roman" w:cs="Times New Roman" w:eastAsia="Times New Roman" w:hAnsi="Times New Roman"/>
          <w:sz w:val="19"/>
          <w:szCs w:val="19"/>
          <w:color w:val="070707"/>
        </w:rPr>
        <w:t>uire</w:t>
      </w:r>
      <w:r>
        <w:rPr>
          <w:rFonts w:ascii="Times New Roman" w:cs="Times New Roman" w:eastAsia="Times New Roman" w:hAnsi="Times New Roman"/>
          <w:sz w:val="19"/>
          <w:szCs w:val="19"/>
          <w:color w:val="171717"/>
        </w:rPr>
        <w:t>me</w:t>
      </w:r>
      <w:r>
        <w:rPr>
          <w:rFonts w:ascii="Times New Roman" w:cs="Times New Roman" w:eastAsia="Times New Roman" w:hAnsi="Times New Roman"/>
          <w:sz w:val="19"/>
          <w:szCs w:val="19"/>
          <w:color w:val="070707"/>
        </w:rPr>
        <w:t>n</w:t>
      </w:r>
      <w:r>
        <w:rPr>
          <w:rFonts w:ascii="Times New Roman" w:cs="Times New Roman" w:eastAsia="Times New Roman" w:hAnsi="Times New Roman"/>
          <w:sz w:val="19"/>
          <w:szCs w:val="19"/>
          <w:color w:val="171717"/>
        </w:rPr>
        <w:t xml:space="preserve">ts of Code Section </w:t>
      </w:r>
      <w:r>
        <w:rPr>
          <w:rFonts w:ascii="Times New Roman" w:cs="Times New Roman" w:eastAsia="Times New Roman" w:hAnsi="Times New Roman"/>
          <w:sz w:val="19"/>
          <w:szCs w:val="19"/>
          <w:color w:val="070707"/>
        </w:rPr>
        <w:t>4</w:t>
      </w:r>
      <w:r>
        <w:rPr>
          <w:rFonts w:ascii="Times New Roman" w:cs="Times New Roman" w:eastAsia="Times New Roman" w:hAnsi="Times New Roman"/>
          <w:sz w:val="19"/>
          <w:szCs w:val="19"/>
          <w:color w:val="171717"/>
        </w:rPr>
        <w:t>09</w:t>
      </w:r>
      <w:r>
        <w:rPr>
          <w:rFonts w:ascii="Times New Roman" w:cs="Times New Roman" w:eastAsia="Times New Roman" w:hAnsi="Times New Roman"/>
          <w:sz w:val="19"/>
          <w:szCs w:val="19"/>
          <w:color w:val="070707"/>
        </w:rPr>
        <w:t>A</w:t>
      </w:r>
      <w:r>
        <w:rPr>
          <w:rFonts w:ascii="Times New Roman" w:cs="Times New Roman" w:eastAsia="Times New Roman" w:hAnsi="Times New Roman"/>
          <w:sz w:val="19"/>
          <w:szCs w:val="19"/>
          <w:color w:val="313131"/>
        </w:rPr>
        <w:t>,</w:t>
      </w:r>
      <w:r>
        <w:rPr>
          <w:rFonts w:ascii="Times New Roman" w:cs="Times New Roman" w:eastAsia="Times New Roman" w:hAnsi="Times New Roman"/>
          <w:sz w:val="19"/>
          <w:szCs w:val="19"/>
          <w:color w:val="171717"/>
        </w:rPr>
        <w:t xml:space="preserve"> any payment t</w:t>
      </w:r>
      <w:r>
        <w:rPr>
          <w:rFonts w:ascii="Times New Roman" w:cs="Times New Roman" w:eastAsia="Times New Roman" w:hAnsi="Times New Roman"/>
          <w:sz w:val="19"/>
          <w:szCs w:val="19"/>
          <w:color w:val="070707"/>
        </w:rPr>
        <w:t>h</w:t>
      </w:r>
      <w:r>
        <w:rPr>
          <w:rFonts w:ascii="Times New Roman" w:cs="Times New Roman" w:eastAsia="Times New Roman" w:hAnsi="Times New Roman"/>
          <w:sz w:val="19"/>
          <w:szCs w:val="19"/>
          <w:color w:val="171717"/>
        </w:rPr>
        <w:t>at is d</w:t>
      </w:r>
      <w:r>
        <w:rPr>
          <w:rFonts w:ascii="Times New Roman" w:cs="Times New Roman" w:eastAsia="Times New Roman" w:hAnsi="Times New Roman"/>
          <w:sz w:val="19"/>
          <w:szCs w:val="19"/>
          <w:color w:val="070707"/>
        </w:rPr>
        <w:t>e</w:t>
      </w:r>
      <w:r>
        <w:rPr>
          <w:rFonts w:ascii="Times New Roman" w:cs="Times New Roman" w:eastAsia="Times New Roman" w:hAnsi="Times New Roman"/>
          <w:sz w:val="19"/>
          <w:szCs w:val="19"/>
          <w:color w:val="171717"/>
        </w:rPr>
        <w:t>la</w:t>
      </w:r>
      <w:r>
        <w:rPr>
          <w:rFonts w:ascii="Times New Roman" w:cs="Times New Roman" w:eastAsia="Times New Roman" w:hAnsi="Times New Roman"/>
          <w:sz w:val="19"/>
          <w:szCs w:val="19"/>
          <w:color w:val="070707"/>
        </w:rPr>
        <w:t>y</w:t>
      </w:r>
      <w:r>
        <w:rPr>
          <w:rFonts w:ascii="Times New Roman" w:cs="Times New Roman" w:eastAsia="Times New Roman" w:hAnsi="Times New Roman"/>
          <w:sz w:val="19"/>
          <w:szCs w:val="19"/>
          <w:color w:val="171717"/>
        </w:rPr>
        <w:t>ed unde</w:t>
      </w:r>
      <w:r>
        <w:rPr>
          <w:rFonts w:ascii="Times New Roman" w:cs="Times New Roman" w:eastAsia="Times New Roman" w:hAnsi="Times New Roman"/>
          <w:sz w:val="19"/>
          <w:szCs w:val="19"/>
          <w:color w:val="070707"/>
        </w:rPr>
        <w:t>r</w:t>
      </w:r>
      <w:r>
        <w:rPr>
          <w:rFonts w:ascii="Times New Roman" w:cs="Times New Roman" w:eastAsia="Times New Roman" w:hAnsi="Times New Roman"/>
          <w:sz w:val="19"/>
          <w:szCs w:val="19"/>
          <w:color w:val="171717"/>
        </w:rPr>
        <w:t xml:space="preserve"> this Section 8</w:t>
      </w:r>
      <w:r>
        <w:rPr>
          <w:rFonts w:ascii="Times New Roman" w:cs="Times New Roman" w:eastAsia="Times New Roman" w:hAnsi="Times New Roman"/>
          <w:sz w:val="19"/>
          <w:szCs w:val="19"/>
          <w:color w:val="070707"/>
        </w:rPr>
        <w:t>.</w:t>
      </w:r>
      <w:r>
        <w:rPr>
          <w:rFonts w:ascii="Times New Roman" w:cs="Times New Roman" w:eastAsia="Times New Roman" w:hAnsi="Times New Roman"/>
          <w:sz w:val="19"/>
          <w:szCs w:val="19"/>
          <w:color w:val="171717"/>
        </w:rPr>
        <w:t>6 shall be pai</w:t>
      </w:r>
      <w:r>
        <w:rPr>
          <w:rFonts w:ascii="Times New Roman" w:cs="Times New Roman" w:eastAsia="Times New Roman" w:hAnsi="Times New Roman"/>
          <w:sz w:val="19"/>
          <w:szCs w:val="19"/>
          <w:color w:val="070707"/>
        </w:rPr>
        <w:t>d</w:t>
      </w:r>
      <w:r>
        <w:rPr>
          <w:rFonts w:ascii="Times New Roman" w:cs="Times New Roman" w:eastAsia="Times New Roman" w:hAnsi="Times New Roman"/>
          <w:sz w:val="19"/>
          <w:szCs w:val="19"/>
          <w:color w:val="171717"/>
        </w:rPr>
        <w:t xml:space="preserve"> d</w:t>
      </w:r>
      <w:r>
        <w:rPr>
          <w:rFonts w:ascii="Times New Roman" w:cs="Times New Roman" w:eastAsia="Times New Roman" w:hAnsi="Times New Roman"/>
          <w:sz w:val="19"/>
          <w:szCs w:val="19"/>
          <w:color w:val="070707"/>
        </w:rPr>
        <w:t>u</w:t>
      </w:r>
      <w:r>
        <w:rPr>
          <w:rFonts w:ascii="Times New Roman" w:cs="Times New Roman" w:eastAsia="Times New Roman" w:hAnsi="Times New Roman"/>
          <w:sz w:val="19"/>
          <w:szCs w:val="19"/>
          <w:color w:val="171717"/>
        </w:rPr>
        <w:t>ring t</w:t>
      </w:r>
      <w:r>
        <w:rPr>
          <w:rFonts w:ascii="Times New Roman" w:cs="Times New Roman" w:eastAsia="Times New Roman" w:hAnsi="Times New Roman"/>
          <w:sz w:val="19"/>
          <w:szCs w:val="19"/>
          <w:color w:val="070707"/>
        </w:rPr>
        <w:t>h</w:t>
      </w:r>
      <w:r>
        <w:rPr>
          <w:rFonts w:ascii="Times New Roman" w:cs="Times New Roman" w:eastAsia="Times New Roman" w:hAnsi="Times New Roman"/>
          <w:sz w:val="19"/>
          <w:szCs w:val="19"/>
          <w:color w:val="171717"/>
        </w:rPr>
        <w:t>e first taxa</w:t>
      </w:r>
      <w:r>
        <w:rPr>
          <w:rFonts w:ascii="Times New Roman" w:cs="Times New Roman" w:eastAsia="Times New Roman" w:hAnsi="Times New Roman"/>
          <w:sz w:val="19"/>
          <w:szCs w:val="19"/>
          <w:color w:val="070707"/>
        </w:rPr>
        <w:t>b</w:t>
      </w:r>
      <w:r>
        <w:rPr>
          <w:rFonts w:ascii="Times New Roman" w:cs="Times New Roman" w:eastAsia="Times New Roman" w:hAnsi="Times New Roman"/>
          <w:sz w:val="19"/>
          <w:szCs w:val="19"/>
          <w:color w:val="171717"/>
        </w:rPr>
        <w:t>le year of t</w:t>
      </w:r>
      <w:r>
        <w:rPr>
          <w:rFonts w:ascii="Times New Roman" w:cs="Times New Roman" w:eastAsia="Times New Roman" w:hAnsi="Times New Roman"/>
          <w:sz w:val="19"/>
          <w:szCs w:val="19"/>
          <w:color w:val="070707"/>
        </w:rPr>
        <w:t>h</w:t>
      </w:r>
      <w:r>
        <w:rPr>
          <w:rFonts w:ascii="Times New Roman" w:cs="Times New Roman" w:eastAsia="Times New Roman" w:hAnsi="Times New Roman"/>
          <w:sz w:val="19"/>
          <w:szCs w:val="19"/>
          <w:color w:val="171717"/>
        </w:rPr>
        <w:t>e Company in wh</w:t>
      </w:r>
      <w:r>
        <w:rPr>
          <w:rFonts w:ascii="Times New Roman" w:cs="Times New Roman" w:eastAsia="Times New Roman" w:hAnsi="Times New Roman"/>
          <w:sz w:val="19"/>
          <w:szCs w:val="19"/>
          <w:color w:val="070707"/>
        </w:rPr>
        <w:t>i</w:t>
      </w:r>
      <w:r>
        <w:rPr>
          <w:rFonts w:ascii="Times New Roman" w:cs="Times New Roman" w:eastAsia="Times New Roman" w:hAnsi="Times New Roman"/>
          <w:sz w:val="19"/>
          <w:szCs w:val="19"/>
          <w:color w:val="171717"/>
        </w:rPr>
        <w:t>ch the Co</w:t>
      </w:r>
      <w:r>
        <w:rPr>
          <w:rFonts w:ascii="Times New Roman" w:cs="Times New Roman" w:eastAsia="Times New Roman" w:hAnsi="Times New Roman"/>
          <w:sz w:val="19"/>
          <w:szCs w:val="19"/>
          <w:color w:val="070707"/>
        </w:rPr>
        <w:t>m</w:t>
      </w:r>
      <w:r>
        <w:rPr>
          <w:rFonts w:ascii="Times New Roman" w:cs="Times New Roman" w:eastAsia="Times New Roman" w:hAnsi="Times New Roman"/>
          <w:sz w:val="19"/>
          <w:szCs w:val="19"/>
          <w:color w:val="171717"/>
        </w:rPr>
        <w:t>pa</w:t>
      </w:r>
      <w:r>
        <w:rPr>
          <w:rFonts w:ascii="Times New Roman" w:cs="Times New Roman" w:eastAsia="Times New Roman" w:hAnsi="Times New Roman"/>
          <w:sz w:val="19"/>
          <w:szCs w:val="19"/>
          <w:color w:val="070707"/>
        </w:rPr>
        <w:t>n</w:t>
      </w:r>
      <w:r>
        <w:rPr>
          <w:rFonts w:ascii="Times New Roman" w:cs="Times New Roman" w:eastAsia="Times New Roman" w:hAnsi="Times New Roman"/>
          <w:sz w:val="19"/>
          <w:szCs w:val="19"/>
          <w:color w:val="171717"/>
        </w:rPr>
        <w:t>y reasonab</w:t>
      </w:r>
      <w:r>
        <w:rPr>
          <w:rFonts w:ascii="Times New Roman" w:cs="Times New Roman" w:eastAsia="Times New Roman" w:hAnsi="Times New Roman"/>
          <w:sz w:val="19"/>
          <w:szCs w:val="19"/>
          <w:color w:val="070707"/>
        </w:rPr>
        <w:t>l</w:t>
      </w:r>
      <w:r>
        <w:rPr>
          <w:rFonts w:ascii="Times New Roman" w:cs="Times New Roman" w:eastAsia="Times New Roman" w:hAnsi="Times New Roman"/>
          <w:sz w:val="19"/>
          <w:szCs w:val="19"/>
          <w:color w:val="171717"/>
        </w:rPr>
        <w:t>y ant</w:t>
      </w:r>
      <w:r>
        <w:rPr>
          <w:rFonts w:ascii="Times New Roman" w:cs="Times New Roman" w:eastAsia="Times New Roman" w:hAnsi="Times New Roman"/>
          <w:sz w:val="19"/>
          <w:szCs w:val="19"/>
          <w:color w:val="070707"/>
        </w:rPr>
        <w:t>i</w:t>
      </w:r>
      <w:r>
        <w:rPr>
          <w:rFonts w:ascii="Times New Roman" w:cs="Times New Roman" w:eastAsia="Times New Roman" w:hAnsi="Times New Roman"/>
          <w:sz w:val="19"/>
          <w:szCs w:val="19"/>
          <w:color w:val="171717"/>
        </w:rPr>
        <w:t>cipates, or shou</w:t>
      </w:r>
      <w:r>
        <w:rPr>
          <w:rFonts w:ascii="Times New Roman" w:cs="Times New Roman" w:eastAsia="Times New Roman" w:hAnsi="Times New Roman"/>
          <w:sz w:val="19"/>
          <w:szCs w:val="19"/>
          <w:color w:val="070707"/>
        </w:rPr>
        <w:t>l</w:t>
      </w:r>
      <w:r>
        <w:rPr>
          <w:rFonts w:ascii="Times New Roman" w:cs="Times New Roman" w:eastAsia="Times New Roman" w:hAnsi="Times New Roman"/>
          <w:sz w:val="19"/>
          <w:szCs w:val="19"/>
          <w:color w:val="171717"/>
        </w:rPr>
        <w:t>d r</w:t>
      </w:r>
      <w:r>
        <w:rPr>
          <w:rFonts w:ascii="Times New Roman" w:cs="Times New Roman" w:eastAsia="Times New Roman" w:hAnsi="Times New Roman"/>
          <w:sz w:val="19"/>
          <w:szCs w:val="19"/>
          <w:color w:val="070707"/>
        </w:rPr>
        <w:t>e</w:t>
      </w:r>
      <w:r>
        <w:rPr>
          <w:rFonts w:ascii="Times New Roman" w:cs="Times New Roman" w:eastAsia="Times New Roman" w:hAnsi="Times New Roman"/>
          <w:sz w:val="19"/>
          <w:szCs w:val="19"/>
          <w:color w:val="171717"/>
        </w:rPr>
        <w:t>aso</w:t>
      </w:r>
      <w:r>
        <w:rPr>
          <w:rFonts w:ascii="Times New Roman" w:cs="Times New Roman" w:eastAsia="Times New Roman" w:hAnsi="Times New Roman"/>
          <w:sz w:val="19"/>
          <w:szCs w:val="19"/>
          <w:color w:val="070707"/>
        </w:rPr>
        <w:t>n</w:t>
      </w:r>
      <w:r>
        <w:rPr>
          <w:rFonts w:ascii="Times New Roman" w:cs="Times New Roman" w:eastAsia="Times New Roman" w:hAnsi="Times New Roman"/>
          <w:sz w:val="19"/>
          <w:szCs w:val="19"/>
          <w:color w:val="171717"/>
        </w:rPr>
        <w:t>a</w:t>
      </w:r>
      <w:r>
        <w:rPr>
          <w:rFonts w:ascii="Times New Roman" w:cs="Times New Roman" w:eastAsia="Times New Roman" w:hAnsi="Times New Roman"/>
          <w:sz w:val="19"/>
          <w:szCs w:val="19"/>
          <w:color w:val="070707"/>
        </w:rPr>
        <w:t>b</w:t>
      </w:r>
      <w:r>
        <w:rPr>
          <w:rFonts w:ascii="Times New Roman" w:cs="Times New Roman" w:eastAsia="Times New Roman" w:hAnsi="Times New Roman"/>
          <w:sz w:val="19"/>
          <w:szCs w:val="19"/>
          <w:color w:val="171717"/>
        </w:rPr>
        <w:t xml:space="preserve">ly anticipate, </w:t>
      </w:r>
      <w:r>
        <w:rPr>
          <w:rFonts w:ascii="Times New Roman" w:cs="Times New Roman" w:eastAsia="Times New Roman" w:hAnsi="Times New Roman"/>
          <w:sz w:val="19"/>
          <w:szCs w:val="19"/>
          <w:color w:val="070707"/>
        </w:rPr>
        <w:t>t</w:t>
      </w:r>
      <w:r>
        <w:rPr>
          <w:rFonts w:ascii="Times New Roman" w:cs="Times New Roman" w:eastAsia="Times New Roman" w:hAnsi="Times New Roman"/>
          <w:sz w:val="19"/>
          <w:szCs w:val="19"/>
          <w:color w:val="171717"/>
        </w:rPr>
        <w:t>ha</w:t>
      </w:r>
      <w:r>
        <w:rPr>
          <w:rFonts w:ascii="Times New Roman" w:cs="Times New Roman" w:eastAsia="Times New Roman" w:hAnsi="Times New Roman"/>
          <w:sz w:val="19"/>
          <w:szCs w:val="19"/>
          <w:color w:val="070707"/>
        </w:rPr>
        <w:t>t i</w:t>
      </w:r>
      <w:r>
        <w:rPr>
          <w:rFonts w:ascii="Times New Roman" w:cs="Times New Roman" w:eastAsia="Times New Roman" w:hAnsi="Times New Roman"/>
          <w:sz w:val="19"/>
          <w:szCs w:val="19"/>
          <w:color w:val="171717"/>
        </w:rPr>
        <w:t>f t</w:t>
      </w:r>
      <w:r>
        <w:rPr>
          <w:rFonts w:ascii="Times New Roman" w:cs="Times New Roman" w:eastAsia="Times New Roman" w:hAnsi="Times New Roman"/>
          <w:sz w:val="19"/>
          <w:szCs w:val="19"/>
          <w:color w:val="070707"/>
        </w:rPr>
        <w:t>h</w:t>
      </w:r>
      <w:r>
        <w:rPr>
          <w:rFonts w:ascii="Times New Roman" w:cs="Times New Roman" w:eastAsia="Times New Roman" w:hAnsi="Times New Roman"/>
          <w:sz w:val="19"/>
          <w:szCs w:val="19"/>
          <w:color w:val="171717"/>
        </w:rPr>
        <w:t>e payment is made during s</w:t>
      </w:r>
      <w:r>
        <w:rPr>
          <w:rFonts w:ascii="Times New Roman" w:cs="Times New Roman" w:eastAsia="Times New Roman" w:hAnsi="Times New Roman"/>
          <w:sz w:val="19"/>
          <w:szCs w:val="19"/>
          <w:color w:val="070707"/>
        </w:rPr>
        <w:t>uc</w:t>
      </w:r>
      <w:r>
        <w:rPr>
          <w:rFonts w:ascii="Times New Roman" w:cs="Times New Roman" w:eastAsia="Times New Roman" w:hAnsi="Times New Roman"/>
          <w:sz w:val="19"/>
          <w:szCs w:val="19"/>
          <w:color w:val="171717"/>
        </w:rPr>
        <w:t>h year, th</w:t>
      </w:r>
      <w:r>
        <w:rPr>
          <w:rFonts w:ascii="Times New Roman" w:cs="Times New Roman" w:eastAsia="Times New Roman" w:hAnsi="Times New Roman"/>
          <w:sz w:val="19"/>
          <w:szCs w:val="19"/>
          <w:color w:val="070707"/>
        </w:rPr>
        <w:t xml:space="preserve">e </w:t>
      </w:r>
      <w:r>
        <w:rPr>
          <w:rFonts w:ascii="Times New Roman" w:cs="Times New Roman" w:eastAsia="Times New Roman" w:hAnsi="Times New Roman"/>
          <w:sz w:val="19"/>
          <w:szCs w:val="19"/>
          <w:color w:val="171717"/>
        </w:rPr>
        <w:t>d</w:t>
      </w:r>
      <w:r>
        <w:rPr>
          <w:rFonts w:ascii="Times New Roman" w:cs="Times New Roman" w:eastAsia="Times New Roman" w:hAnsi="Times New Roman"/>
          <w:sz w:val="19"/>
          <w:szCs w:val="19"/>
          <w:color w:val="070707"/>
        </w:rPr>
        <w:t>e</w:t>
      </w:r>
      <w:r>
        <w:rPr>
          <w:rFonts w:ascii="Times New Roman" w:cs="Times New Roman" w:eastAsia="Times New Roman" w:hAnsi="Times New Roman"/>
          <w:sz w:val="19"/>
          <w:szCs w:val="19"/>
          <w:color w:val="171717"/>
        </w:rPr>
        <w:t>duct</w:t>
      </w:r>
      <w:r>
        <w:rPr>
          <w:rFonts w:ascii="Times New Roman" w:cs="Times New Roman" w:eastAsia="Times New Roman" w:hAnsi="Times New Roman"/>
          <w:sz w:val="19"/>
          <w:szCs w:val="19"/>
          <w:color w:val="070707"/>
        </w:rPr>
        <w:t>i</w:t>
      </w:r>
      <w:r>
        <w:rPr>
          <w:rFonts w:ascii="Times New Roman" w:cs="Times New Roman" w:eastAsia="Times New Roman" w:hAnsi="Times New Roman"/>
          <w:sz w:val="19"/>
          <w:szCs w:val="19"/>
          <w:color w:val="171717"/>
        </w:rPr>
        <w:t>on o</w:t>
      </w:r>
      <w:r>
        <w:rPr>
          <w:rFonts w:ascii="Times New Roman" w:cs="Times New Roman" w:eastAsia="Times New Roman" w:hAnsi="Times New Roman"/>
          <w:sz w:val="19"/>
          <w:szCs w:val="19"/>
          <w:color w:val="313131"/>
        </w:rPr>
        <w:t>f</w:t>
      </w:r>
      <w:r>
        <w:rPr>
          <w:rFonts w:ascii="Times New Roman" w:cs="Times New Roman" w:eastAsia="Times New Roman" w:hAnsi="Times New Roman"/>
          <w:sz w:val="19"/>
          <w:szCs w:val="19"/>
          <w:color w:val="070707"/>
        </w:rPr>
        <w:t xml:space="preserve"> </w:t>
      </w:r>
      <w:r>
        <w:rPr>
          <w:rFonts w:ascii="Times New Roman" w:cs="Times New Roman" w:eastAsia="Times New Roman" w:hAnsi="Times New Roman"/>
          <w:sz w:val="19"/>
          <w:szCs w:val="19"/>
          <w:color w:val="171717"/>
        </w:rPr>
        <w:t>s</w:t>
      </w:r>
      <w:r>
        <w:rPr>
          <w:rFonts w:ascii="Times New Roman" w:cs="Times New Roman" w:eastAsia="Times New Roman" w:hAnsi="Times New Roman"/>
          <w:sz w:val="19"/>
          <w:szCs w:val="19"/>
          <w:color w:val="070707"/>
        </w:rPr>
        <w:t>u</w:t>
      </w:r>
      <w:r>
        <w:rPr>
          <w:rFonts w:ascii="Times New Roman" w:cs="Times New Roman" w:eastAsia="Times New Roman" w:hAnsi="Times New Roman"/>
          <w:sz w:val="19"/>
          <w:szCs w:val="19"/>
          <w:color w:val="171717"/>
        </w:rPr>
        <w:t>ch</w:t>
      </w:r>
      <w:r>
        <w:rPr>
          <w:rFonts w:ascii="Times New Roman" w:cs="Times New Roman" w:eastAsia="Times New Roman" w:hAnsi="Times New Roman"/>
          <w:sz w:val="19"/>
          <w:szCs w:val="19"/>
          <w:color w:val="070707"/>
        </w:rPr>
        <w:t xml:space="preserve"> p</w:t>
      </w:r>
      <w:r>
        <w:rPr>
          <w:rFonts w:ascii="Times New Roman" w:cs="Times New Roman" w:eastAsia="Times New Roman" w:hAnsi="Times New Roman"/>
          <w:sz w:val="19"/>
          <w:szCs w:val="19"/>
          <w:color w:val="171717"/>
        </w:rPr>
        <w:t>ayment will</w:t>
      </w:r>
      <w:r>
        <w:rPr>
          <w:rFonts w:ascii="Times New Roman" w:cs="Times New Roman" w:eastAsia="Times New Roman" w:hAnsi="Times New Roman"/>
          <w:sz w:val="19"/>
          <w:szCs w:val="19"/>
          <w:color w:val="070707"/>
        </w:rPr>
        <w:t xml:space="preserve"> n</w:t>
      </w:r>
      <w:r>
        <w:rPr>
          <w:rFonts w:ascii="Times New Roman" w:cs="Times New Roman" w:eastAsia="Times New Roman" w:hAnsi="Times New Roman"/>
          <w:sz w:val="19"/>
          <w:szCs w:val="19"/>
          <w:color w:val="171717"/>
        </w:rPr>
        <w:t>o</w:t>
      </w:r>
      <w:r>
        <w:rPr>
          <w:rFonts w:ascii="Times New Roman" w:cs="Times New Roman" w:eastAsia="Times New Roman" w:hAnsi="Times New Roman"/>
          <w:sz w:val="19"/>
          <w:szCs w:val="19"/>
          <w:color w:val="070707"/>
        </w:rPr>
        <w:t xml:space="preserve">t </w:t>
      </w:r>
      <w:r>
        <w:rPr>
          <w:rFonts w:ascii="Times New Roman" w:cs="Times New Roman" w:eastAsia="Times New Roman" w:hAnsi="Times New Roman"/>
          <w:sz w:val="19"/>
          <w:szCs w:val="19"/>
          <w:color w:val="171717"/>
        </w:rPr>
        <w:t>be bar</w:t>
      </w:r>
      <w:r>
        <w:rPr>
          <w:rFonts w:ascii="Times New Roman" w:cs="Times New Roman" w:eastAsia="Times New Roman" w:hAnsi="Times New Roman"/>
          <w:sz w:val="19"/>
          <w:szCs w:val="19"/>
          <w:color w:val="070707"/>
        </w:rPr>
        <w:t>r</w:t>
      </w:r>
      <w:r>
        <w:rPr>
          <w:rFonts w:ascii="Times New Roman" w:cs="Times New Roman" w:eastAsia="Times New Roman" w:hAnsi="Times New Roman"/>
          <w:sz w:val="19"/>
          <w:szCs w:val="19"/>
          <w:color w:val="171717"/>
        </w:rPr>
        <w:t>ed by app</w:t>
      </w:r>
      <w:r>
        <w:rPr>
          <w:rFonts w:ascii="Times New Roman" w:cs="Times New Roman" w:eastAsia="Times New Roman" w:hAnsi="Times New Roman"/>
          <w:sz w:val="19"/>
          <w:szCs w:val="19"/>
          <w:color w:val="070707"/>
        </w:rPr>
        <w:t>l</w:t>
      </w:r>
      <w:r>
        <w:rPr>
          <w:rFonts w:ascii="Times New Roman" w:cs="Times New Roman" w:eastAsia="Times New Roman" w:hAnsi="Times New Roman"/>
          <w:sz w:val="19"/>
          <w:szCs w:val="19"/>
          <w:color w:val="171717"/>
        </w:rPr>
        <w:t>ication o</w:t>
      </w:r>
      <w:r>
        <w:rPr>
          <w:rFonts w:ascii="Times New Roman" w:cs="Times New Roman" w:eastAsia="Times New Roman" w:hAnsi="Times New Roman"/>
          <w:sz w:val="19"/>
          <w:szCs w:val="19"/>
          <w:color w:val="313131"/>
        </w:rPr>
        <w:t>f</w:t>
      </w:r>
      <w:r>
        <w:rPr>
          <w:rFonts w:ascii="Times New Roman" w:cs="Times New Roman" w:eastAsia="Times New Roman" w:hAnsi="Times New Roman"/>
          <w:sz w:val="19"/>
          <w:szCs w:val="19"/>
          <w:color w:val="070707"/>
        </w:rPr>
        <w:t xml:space="preserve"> </w:t>
      </w:r>
      <w:r>
        <w:rPr>
          <w:rFonts w:ascii="Times New Roman" w:cs="Times New Roman" w:eastAsia="Times New Roman" w:hAnsi="Times New Roman"/>
          <w:sz w:val="19"/>
          <w:szCs w:val="19"/>
          <w:color w:val="171717"/>
        </w:rPr>
        <w:t>Code</w:t>
      </w:r>
      <w:r>
        <w:rPr>
          <w:rFonts w:ascii="Times New Roman" w:cs="Times New Roman" w:eastAsia="Times New Roman" w:hAnsi="Times New Roman"/>
          <w:sz w:val="19"/>
          <w:szCs w:val="19"/>
          <w:color w:val="070707"/>
        </w:rPr>
        <w:t xml:space="preserve"> S</w:t>
      </w:r>
      <w:r>
        <w:rPr>
          <w:rFonts w:ascii="Times New Roman" w:cs="Times New Roman" w:eastAsia="Times New Roman" w:hAnsi="Times New Roman"/>
          <w:sz w:val="19"/>
          <w:szCs w:val="19"/>
          <w:color w:val="171717"/>
        </w:rPr>
        <w:t>ect</w:t>
      </w:r>
      <w:r>
        <w:rPr>
          <w:rFonts w:ascii="Times New Roman" w:cs="Times New Roman" w:eastAsia="Times New Roman" w:hAnsi="Times New Roman"/>
          <w:sz w:val="19"/>
          <w:szCs w:val="19"/>
          <w:color w:val="070707"/>
        </w:rPr>
        <w:t>i</w:t>
      </w:r>
      <w:r>
        <w:rPr>
          <w:rFonts w:ascii="Times New Roman" w:cs="Times New Roman" w:eastAsia="Times New Roman" w:hAnsi="Times New Roman"/>
          <w:sz w:val="19"/>
          <w:szCs w:val="19"/>
          <w:color w:val="171717"/>
        </w:rPr>
        <w:t>on 162(m).</w:t>
      </w:r>
    </w:p>
    <w:p>
      <w:pPr>
        <w:spacing w:after="0" w:line="198" w:lineRule="exact"/>
        <w:rPr>
          <w:sz w:val="20"/>
          <w:szCs w:val="20"/>
          <w:color w:val="auto"/>
        </w:rPr>
      </w:pPr>
    </w:p>
    <w:p>
      <w:pPr>
        <w:jc w:val="both"/>
        <w:ind w:left="100" w:right="80" w:firstLine="648"/>
        <w:spacing w:after="0" w:line="274" w:lineRule="auto"/>
        <w:rPr>
          <w:sz w:val="20"/>
          <w:szCs w:val="20"/>
          <w:color w:val="auto"/>
        </w:rPr>
      </w:pPr>
      <w:r>
        <w:rPr>
          <w:rFonts w:ascii="Times New Roman" w:cs="Times New Roman" w:eastAsia="Times New Roman" w:hAnsi="Times New Roman"/>
          <w:sz w:val="20"/>
          <w:szCs w:val="20"/>
          <w:b w:val="1"/>
          <w:bCs w:val="1"/>
          <w:color w:val="070707"/>
        </w:rPr>
        <w:t>8.9 Distr</w:t>
      </w:r>
      <w:r>
        <w:rPr>
          <w:rFonts w:ascii="Times New Roman" w:cs="Times New Roman" w:eastAsia="Times New Roman" w:hAnsi="Times New Roman"/>
          <w:sz w:val="20"/>
          <w:szCs w:val="20"/>
          <w:b w:val="1"/>
          <w:bCs w:val="1"/>
          <w:color w:val="171717"/>
        </w:rPr>
        <w:t>i</w:t>
      </w:r>
      <w:r>
        <w:rPr>
          <w:rFonts w:ascii="Times New Roman" w:cs="Times New Roman" w:eastAsia="Times New Roman" w:hAnsi="Times New Roman"/>
          <w:sz w:val="20"/>
          <w:szCs w:val="20"/>
          <w:b w:val="1"/>
          <w:bCs w:val="1"/>
          <w:color w:val="070707"/>
        </w:rPr>
        <w:t>butio</w:t>
      </w:r>
      <w:r>
        <w:rPr>
          <w:rFonts w:ascii="Times New Roman" w:cs="Times New Roman" w:eastAsia="Times New Roman" w:hAnsi="Times New Roman"/>
          <w:sz w:val="20"/>
          <w:szCs w:val="20"/>
          <w:b w:val="1"/>
          <w:bCs w:val="1"/>
          <w:color w:val="171717"/>
        </w:rPr>
        <w:t>n</w:t>
      </w:r>
      <w:r>
        <w:rPr>
          <w:rFonts w:ascii="Times New Roman" w:cs="Times New Roman" w:eastAsia="Times New Roman" w:hAnsi="Times New Roman"/>
          <w:sz w:val="20"/>
          <w:szCs w:val="20"/>
          <w:b w:val="1"/>
          <w:bCs w:val="1"/>
          <w:color w:val="070707"/>
        </w:rPr>
        <w:t xml:space="preserve"> in </w:t>
      </w:r>
      <w:r>
        <w:rPr>
          <w:rFonts w:ascii="Times New Roman" w:cs="Times New Roman" w:eastAsia="Times New Roman" w:hAnsi="Times New Roman"/>
          <w:sz w:val="20"/>
          <w:szCs w:val="20"/>
          <w:b w:val="1"/>
          <w:bCs w:val="1"/>
          <w:color w:val="171717"/>
        </w:rPr>
        <w:t>E</w:t>
      </w:r>
      <w:r>
        <w:rPr>
          <w:rFonts w:ascii="Times New Roman" w:cs="Times New Roman" w:eastAsia="Times New Roman" w:hAnsi="Times New Roman"/>
          <w:sz w:val="20"/>
          <w:szCs w:val="20"/>
          <w:b w:val="1"/>
          <w:bCs w:val="1"/>
          <w:color w:val="070707"/>
        </w:rPr>
        <w:t>v</w:t>
      </w:r>
      <w:r>
        <w:rPr>
          <w:rFonts w:ascii="Times New Roman" w:cs="Times New Roman" w:eastAsia="Times New Roman" w:hAnsi="Times New Roman"/>
          <w:sz w:val="20"/>
          <w:szCs w:val="20"/>
          <w:b w:val="1"/>
          <w:bCs w:val="1"/>
          <w:color w:val="171717"/>
        </w:rPr>
        <w:t>e</w:t>
      </w:r>
      <w:r>
        <w:rPr>
          <w:rFonts w:ascii="Times New Roman" w:cs="Times New Roman" w:eastAsia="Times New Roman" w:hAnsi="Times New Roman"/>
          <w:sz w:val="20"/>
          <w:szCs w:val="20"/>
          <w:b w:val="1"/>
          <w:bCs w:val="1"/>
          <w:color w:val="070707"/>
        </w:rPr>
        <w:t>n</w:t>
      </w:r>
      <w:r>
        <w:rPr>
          <w:rFonts w:ascii="Times New Roman" w:cs="Times New Roman" w:eastAsia="Times New Roman" w:hAnsi="Times New Roman"/>
          <w:sz w:val="20"/>
          <w:szCs w:val="20"/>
          <w:b w:val="1"/>
          <w:bCs w:val="1"/>
          <w:color w:val="171717"/>
        </w:rPr>
        <w:t>t</w:t>
      </w:r>
      <w:r>
        <w:rPr>
          <w:rFonts w:ascii="Times New Roman" w:cs="Times New Roman" w:eastAsia="Times New Roman" w:hAnsi="Times New Roman"/>
          <w:sz w:val="20"/>
          <w:szCs w:val="20"/>
          <w:b w:val="1"/>
          <w:bCs w:val="1"/>
          <w:color w:val="070707"/>
        </w:rPr>
        <w:t xml:space="preserve"> o</w:t>
      </w:r>
      <w:r>
        <w:rPr>
          <w:rFonts w:ascii="Times New Roman" w:cs="Times New Roman" w:eastAsia="Times New Roman" w:hAnsi="Times New Roman"/>
          <w:sz w:val="20"/>
          <w:szCs w:val="20"/>
          <w:b w:val="1"/>
          <w:bCs w:val="1"/>
          <w:color w:val="171717"/>
        </w:rPr>
        <w:t>f</w:t>
      </w:r>
      <w:r>
        <w:rPr>
          <w:rFonts w:ascii="Times New Roman" w:cs="Times New Roman" w:eastAsia="Times New Roman" w:hAnsi="Times New Roman"/>
          <w:sz w:val="20"/>
          <w:szCs w:val="20"/>
          <w:b w:val="1"/>
          <w:bCs w:val="1"/>
          <w:color w:val="070707"/>
        </w:rPr>
        <w:t xml:space="preserve"> Ta</w:t>
      </w:r>
      <w:r>
        <w:rPr>
          <w:rFonts w:ascii="Times New Roman" w:cs="Times New Roman" w:eastAsia="Times New Roman" w:hAnsi="Times New Roman"/>
          <w:sz w:val="20"/>
          <w:szCs w:val="20"/>
          <w:b w:val="1"/>
          <w:bCs w:val="1"/>
          <w:color w:val="171717"/>
        </w:rPr>
        <w:t>xa</w:t>
      </w:r>
      <w:r>
        <w:rPr>
          <w:rFonts w:ascii="Times New Roman" w:cs="Times New Roman" w:eastAsia="Times New Roman" w:hAnsi="Times New Roman"/>
          <w:sz w:val="20"/>
          <w:szCs w:val="20"/>
          <w:b w:val="1"/>
          <w:bCs w:val="1"/>
          <w:color w:val="070707"/>
        </w:rPr>
        <w:t>tion</w:t>
      </w:r>
      <w:r>
        <w:rPr>
          <w:rFonts w:ascii="Times New Roman" w:cs="Times New Roman" w:eastAsia="Times New Roman" w:hAnsi="Times New Roman"/>
          <w:sz w:val="20"/>
          <w:szCs w:val="20"/>
          <w:b w:val="1"/>
          <w:bCs w:val="1"/>
          <w:color w:val="171717"/>
        </w:rPr>
        <w:t>.</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Notwithstanding any provision in the Plan to the contrary, if</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his P</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an fa</w:t>
      </w:r>
      <w:r>
        <w:rPr>
          <w:rFonts w:ascii="Times New Roman" w:cs="Times New Roman" w:eastAsia="Times New Roman" w:hAnsi="Times New Roman"/>
          <w:sz w:val="20"/>
          <w:szCs w:val="20"/>
          <w:color w:val="070707"/>
        </w:rPr>
        <w:t>il</w:t>
      </w:r>
      <w:r>
        <w:rPr>
          <w:rFonts w:ascii="Times New Roman" w:cs="Times New Roman" w:eastAsia="Times New Roman" w:hAnsi="Times New Roman"/>
          <w:sz w:val="20"/>
          <w:szCs w:val="20"/>
          <w:color w:val="171717"/>
        </w:rPr>
        <w:t>s</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o</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meet</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he</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requirements of Code S</w:t>
      </w:r>
      <w:r>
        <w:rPr>
          <w:rFonts w:ascii="Times New Roman" w:cs="Times New Roman" w:eastAsia="Times New Roman" w:hAnsi="Times New Roman"/>
          <w:sz w:val="20"/>
          <w:szCs w:val="20"/>
          <w:color w:val="070707"/>
        </w:rPr>
        <w:t>e</w:t>
      </w:r>
      <w:r>
        <w:rPr>
          <w:rFonts w:ascii="Times New Roman" w:cs="Times New Roman" w:eastAsia="Times New Roman" w:hAnsi="Times New Roman"/>
          <w:sz w:val="20"/>
          <w:szCs w:val="20"/>
          <w:color w:val="171717"/>
        </w:rPr>
        <w:t>ct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o</w:t>
      </w:r>
      <w:r>
        <w:rPr>
          <w:rFonts w:ascii="Times New Roman" w:cs="Times New Roman" w:eastAsia="Times New Roman" w:hAnsi="Times New Roman"/>
          <w:sz w:val="20"/>
          <w:szCs w:val="20"/>
          <w:color w:val="070707"/>
        </w:rPr>
        <w:t>n 4</w:t>
      </w:r>
      <w:r>
        <w:rPr>
          <w:rFonts w:ascii="Times New Roman" w:cs="Times New Roman" w:eastAsia="Times New Roman" w:hAnsi="Times New Roman"/>
          <w:sz w:val="20"/>
          <w:szCs w:val="20"/>
          <w:color w:val="171717"/>
        </w:rPr>
        <w:t>09A and t</w:t>
      </w:r>
      <w:r>
        <w:rPr>
          <w:rFonts w:ascii="Times New Roman" w:cs="Times New Roman" w:eastAsia="Times New Roman" w:hAnsi="Times New Roman"/>
          <w:sz w:val="20"/>
          <w:szCs w:val="20"/>
          <w:color w:val="070707"/>
        </w:rPr>
        <w:t>he</w:t>
      </w:r>
      <w:r>
        <w:rPr>
          <w:rFonts w:ascii="Times New Roman" w:cs="Times New Roman" w:eastAsia="Times New Roman" w:hAnsi="Times New Roman"/>
          <w:sz w:val="20"/>
          <w:szCs w:val="20"/>
          <w:color w:val="171717"/>
        </w:rPr>
        <w:t xml:space="preserve"> regu</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ations there</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nder, the Adm</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nistrator may d</w:t>
      </w:r>
      <w:r>
        <w:rPr>
          <w:rFonts w:ascii="Times New Roman" w:cs="Times New Roman" w:eastAsia="Times New Roman" w:hAnsi="Times New Roman"/>
          <w:sz w:val="20"/>
          <w:szCs w:val="20"/>
          <w:color w:val="070707"/>
        </w:rPr>
        <w:t>ist</w:t>
      </w:r>
      <w:r>
        <w:rPr>
          <w:rFonts w:ascii="Times New Roman" w:cs="Times New Roman" w:eastAsia="Times New Roman" w:hAnsi="Times New Roman"/>
          <w:sz w:val="20"/>
          <w:szCs w:val="20"/>
          <w:color w:val="171717"/>
        </w:rPr>
        <w:t>ribute to each Participant an amou</w:t>
      </w:r>
      <w:r>
        <w:rPr>
          <w:rFonts w:ascii="Times New Roman" w:cs="Times New Roman" w:eastAsia="Times New Roman" w:hAnsi="Times New Roman"/>
          <w:sz w:val="20"/>
          <w:szCs w:val="20"/>
          <w:color w:val="070707"/>
        </w:rPr>
        <w:t>nt</w:t>
      </w:r>
      <w:r>
        <w:rPr>
          <w:rFonts w:ascii="Times New Roman" w:cs="Times New Roman" w:eastAsia="Times New Roman" w:hAnsi="Times New Roman"/>
          <w:sz w:val="20"/>
          <w:szCs w:val="20"/>
          <w:color w:val="171717"/>
        </w:rPr>
        <w:t xml:space="preserve"> fro</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 xml:space="preserve"> h</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s or her vested Account not to exceed the amount requ</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re</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 xml:space="preserve"> t</w:t>
      </w:r>
      <w:r>
        <w:rPr>
          <w:rFonts w:ascii="Times New Roman" w:cs="Times New Roman" w:eastAsia="Times New Roman" w:hAnsi="Times New Roman"/>
          <w:sz w:val="20"/>
          <w:szCs w:val="20"/>
          <w:color w:val="070707"/>
        </w:rPr>
        <w:t>o b</w:t>
      </w:r>
      <w:r>
        <w:rPr>
          <w:rFonts w:ascii="Times New Roman" w:cs="Times New Roman" w:eastAsia="Times New Roman" w:hAnsi="Times New Roman"/>
          <w:sz w:val="20"/>
          <w:szCs w:val="20"/>
          <w:color w:val="171717"/>
        </w:rPr>
        <w:t>e inc</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uded in such Participant's income as a res</w:t>
      </w:r>
      <w:r>
        <w:rPr>
          <w:rFonts w:ascii="Times New Roman" w:cs="Times New Roman" w:eastAsia="Times New Roman" w:hAnsi="Times New Roman"/>
          <w:sz w:val="20"/>
          <w:szCs w:val="20"/>
          <w:color w:val="070707"/>
        </w:rPr>
        <w:t>ult</w:t>
      </w:r>
      <w:r>
        <w:rPr>
          <w:rFonts w:ascii="Times New Roman" w:cs="Times New Roman" w:eastAsia="Times New Roman" w:hAnsi="Times New Roman"/>
          <w:sz w:val="20"/>
          <w:szCs w:val="20"/>
          <w:color w:val="171717"/>
        </w:rPr>
        <w:t xml:space="preserve"> of 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e P</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an's fai</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ure to meet s</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ch re</w:t>
      </w:r>
      <w:r>
        <w:rPr>
          <w:rFonts w:ascii="Times New Roman" w:cs="Times New Roman" w:eastAsia="Times New Roman" w:hAnsi="Times New Roman"/>
          <w:sz w:val="20"/>
          <w:szCs w:val="20"/>
          <w:color w:val="070707"/>
        </w:rPr>
        <w:t>q</w:t>
      </w:r>
      <w:r>
        <w:rPr>
          <w:rFonts w:ascii="Times New Roman" w:cs="Times New Roman" w:eastAsia="Times New Roman" w:hAnsi="Times New Roman"/>
          <w:sz w:val="20"/>
          <w:szCs w:val="20"/>
          <w:color w:val="171717"/>
        </w:rPr>
        <w:t>u</w:t>
      </w:r>
      <w:r>
        <w:rPr>
          <w:rFonts w:ascii="Times New Roman" w:cs="Times New Roman" w:eastAsia="Times New Roman" w:hAnsi="Times New Roman"/>
          <w:sz w:val="20"/>
          <w:szCs w:val="20"/>
          <w:color w:val="070707"/>
        </w:rPr>
        <w:t>ir</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en</w:t>
      </w:r>
      <w:r>
        <w:rPr>
          <w:rFonts w:ascii="Times New Roman" w:cs="Times New Roman" w:eastAsia="Times New Roman" w:hAnsi="Times New Roman"/>
          <w:sz w:val="20"/>
          <w:szCs w:val="20"/>
          <w:color w:val="070707"/>
        </w:rPr>
        <w:t>ts</w:t>
      </w:r>
      <w:r>
        <w:rPr>
          <w:rFonts w:ascii="Times New Roman" w:cs="Times New Roman" w:eastAsia="Times New Roman" w:hAnsi="Times New Roman"/>
          <w:sz w:val="20"/>
          <w:szCs w:val="20"/>
          <w:color w:val="171717"/>
        </w:rPr>
        <w:t>.</w:t>
      </w:r>
    </w:p>
    <w:p>
      <w:pPr>
        <w:spacing w:after="0" w:line="16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0"/>
          <w:szCs w:val="20"/>
          <w:b w:val="1"/>
          <w:bCs w:val="1"/>
          <w:color w:val="171717"/>
        </w:rPr>
        <w:t>A</w:t>
      </w:r>
      <w:r>
        <w:rPr>
          <w:rFonts w:ascii="Times New Roman" w:cs="Times New Roman" w:eastAsia="Times New Roman" w:hAnsi="Times New Roman"/>
          <w:sz w:val="20"/>
          <w:szCs w:val="20"/>
          <w:b w:val="1"/>
          <w:bCs w:val="1"/>
          <w:color w:val="070707"/>
        </w:rPr>
        <w:t>R</w:t>
      </w:r>
      <w:r>
        <w:rPr>
          <w:rFonts w:ascii="Times New Roman" w:cs="Times New Roman" w:eastAsia="Times New Roman" w:hAnsi="Times New Roman"/>
          <w:sz w:val="20"/>
          <w:szCs w:val="20"/>
          <w:b w:val="1"/>
          <w:bCs w:val="1"/>
          <w:color w:val="171717"/>
        </w:rPr>
        <w:t>T</w:t>
      </w:r>
      <w:r>
        <w:rPr>
          <w:rFonts w:ascii="Times New Roman" w:cs="Times New Roman" w:eastAsia="Times New Roman" w:hAnsi="Times New Roman"/>
          <w:sz w:val="20"/>
          <w:szCs w:val="20"/>
          <w:b w:val="1"/>
          <w:bCs w:val="1"/>
          <w:color w:val="070707"/>
        </w:rPr>
        <w:t>I</w:t>
      </w:r>
      <w:r>
        <w:rPr>
          <w:rFonts w:ascii="Times New Roman" w:cs="Times New Roman" w:eastAsia="Times New Roman" w:hAnsi="Times New Roman"/>
          <w:sz w:val="20"/>
          <w:szCs w:val="20"/>
          <w:b w:val="1"/>
          <w:bCs w:val="1"/>
          <w:color w:val="171717"/>
        </w:rPr>
        <w:t>C</w:t>
      </w:r>
      <w:r>
        <w:rPr>
          <w:rFonts w:ascii="Times New Roman" w:cs="Times New Roman" w:eastAsia="Times New Roman" w:hAnsi="Times New Roman"/>
          <w:sz w:val="20"/>
          <w:szCs w:val="20"/>
          <w:b w:val="1"/>
          <w:bCs w:val="1"/>
          <w:color w:val="070707"/>
        </w:rPr>
        <w:t>LE IX. ADMIN</w:t>
      </w:r>
      <w:r>
        <w:rPr>
          <w:rFonts w:ascii="Times New Roman" w:cs="Times New Roman" w:eastAsia="Times New Roman" w:hAnsi="Times New Roman"/>
          <w:sz w:val="20"/>
          <w:szCs w:val="20"/>
          <w:b w:val="1"/>
          <w:bCs w:val="1"/>
          <w:color w:val="171717"/>
        </w:rPr>
        <w:t>I</w:t>
      </w:r>
      <w:r>
        <w:rPr>
          <w:rFonts w:ascii="Times New Roman" w:cs="Times New Roman" w:eastAsia="Times New Roman" w:hAnsi="Times New Roman"/>
          <w:sz w:val="20"/>
          <w:szCs w:val="20"/>
          <w:b w:val="1"/>
          <w:bCs w:val="1"/>
          <w:color w:val="070707"/>
        </w:rPr>
        <w:t>STRAT</w:t>
      </w:r>
      <w:r>
        <w:rPr>
          <w:rFonts w:ascii="Times New Roman" w:cs="Times New Roman" w:eastAsia="Times New Roman" w:hAnsi="Times New Roman"/>
          <w:sz w:val="20"/>
          <w:szCs w:val="20"/>
          <w:b w:val="1"/>
          <w:bCs w:val="1"/>
          <w:color w:val="171717"/>
        </w:rPr>
        <w:t>I</w:t>
      </w:r>
      <w:r>
        <w:rPr>
          <w:rFonts w:ascii="Times New Roman" w:cs="Times New Roman" w:eastAsia="Times New Roman" w:hAnsi="Times New Roman"/>
          <w:sz w:val="20"/>
          <w:szCs w:val="20"/>
          <w:b w:val="1"/>
          <w:bCs w:val="1"/>
          <w:color w:val="070707"/>
        </w:rPr>
        <w:t>ON</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070707"/>
        </w:rPr>
        <w:t xml:space="preserve">9.1 Plan </w:t>
      </w:r>
      <w:r>
        <w:rPr>
          <w:rFonts w:ascii="Times New Roman" w:cs="Times New Roman" w:eastAsia="Times New Roman" w:hAnsi="Times New Roman"/>
          <w:sz w:val="20"/>
          <w:szCs w:val="20"/>
          <w:b w:val="1"/>
          <w:bCs w:val="1"/>
          <w:color w:val="171717"/>
        </w:rPr>
        <w:t>A</w:t>
      </w:r>
      <w:r>
        <w:rPr>
          <w:rFonts w:ascii="Times New Roman" w:cs="Times New Roman" w:eastAsia="Times New Roman" w:hAnsi="Times New Roman"/>
          <w:sz w:val="20"/>
          <w:szCs w:val="20"/>
          <w:b w:val="1"/>
          <w:bCs w:val="1"/>
          <w:color w:val="070707"/>
        </w:rPr>
        <w:t>dmini</w:t>
      </w:r>
      <w:r>
        <w:rPr>
          <w:rFonts w:ascii="Times New Roman" w:cs="Times New Roman" w:eastAsia="Times New Roman" w:hAnsi="Times New Roman"/>
          <w:sz w:val="20"/>
          <w:szCs w:val="20"/>
          <w:b w:val="1"/>
          <w:bCs w:val="1"/>
          <w:color w:val="171717"/>
        </w:rPr>
        <w:t>s</w:t>
      </w:r>
      <w:r>
        <w:rPr>
          <w:rFonts w:ascii="Times New Roman" w:cs="Times New Roman" w:eastAsia="Times New Roman" w:hAnsi="Times New Roman"/>
          <w:sz w:val="20"/>
          <w:szCs w:val="20"/>
          <w:b w:val="1"/>
          <w:bCs w:val="1"/>
          <w:color w:val="070707"/>
        </w:rPr>
        <w:t>tration.</w:t>
      </w:r>
    </w:p>
    <w:p>
      <w:pPr>
        <w:spacing w:after="0" w:line="233" w:lineRule="exact"/>
        <w:rPr>
          <w:sz w:val="20"/>
          <w:szCs w:val="20"/>
          <w:color w:val="auto"/>
        </w:rPr>
      </w:pPr>
    </w:p>
    <w:p>
      <w:pPr>
        <w:ind w:left="2300" w:hanging="264"/>
        <w:spacing w:after="0"/>
        <w:tabs>
          <w:tab w:leader="none" w:pos="2300" w:val="left"/>
        </w:tabs>
        <w:numPr>
          <w:ilvl w:val="0"/>
          <w:numId w:val="101"/>
        </w:numPr>
        <w:rPr>
          <w:rFonts w:ascii="Times New Roman" w:cs="Times New Roman" w:eastAsia="Times New Roman" w:hAnsi="Times New Roman"/>
          <w:sz w:val="20"/>
          <w:szCs w:val="20"/>
          <w:color w:val="070707"/>
        </w:rPr>
      </w:pP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he</w:t>
      </w:r>
      <w:r>
        <w:rPr>
          <w:rFonts w:ascii="Times New Roman" w:cs="Times New Roman" w:eastAsia="Times New Roman" w:hAnsi="Times New Roman"/>
          <w:sz w:val="20"/>
          <w:szCs w:val="20"/>
          <w:color w:val="171717"/>
        </w:rPr>
        <w:t xml:space="preserve"> P</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 xml:space="preserve"> s</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ll b</w:t>
      </w:r>
      <w:r>
        <w:rPr>
          <w:rFonts w:ascii="Times New Roman" w:cs="Times New Roman" w:eastAsia="Times New Roman" w:hAnsi="Times New Roman"/>
          <w:sz w:val="20"/>
          <w:szCs w:val="20"/>
          <w:color w:val="171717"/>
        </w:rPr>
        <w:t>e adm</w:t>
      </w:r>
      <w:r>
        <w:rPr>
          <w:rFonts w:ascii="Times New Roman" w:cs="Times New Roman" w:eastAsia="Times New Roman" w:hAnsi="Times New Roman"/>
          <w:sz w:val="20"/>
          <w:szCs w:val="20"/>
          <w:color w:val="070707"/>
        </w:rPr>
        <w:t>in</w:t>
      </w:r>
      <w:r>
        <w:rPr>
          <w:rFonts w:ascii="Times New Roman" w:cs="Times New Roman" w:eastAsia="Times New Roman" w:hAnsi="Times New Roman"/>
          <w:sz w:val="20"/>
          <w:szCs w:val="20"/>
          <w:color w:val="171717"/>
        </w:rPr>
        <w:t>istere</w:t>
      </w:r>
      <w:r>
        <w:rPr>
          <w:rFonts w:ascii="Times New Roman" w:cs="Times New Roman" w:eastAsia="Times New Roman" w:hAnsi="Times New Roman"/>
          <w:sz w:val="20"/>
          <w:szCs w:val="20"/>
          <w:color w:val="070707"/>
        </w:rPr>
        <w:t>d b</w:t>
      </w:r>
      <w:r>
        <w:rPr>
          <w:rFonts w:ascii="Times New Roman" w:cs="Times New Roman" w:eastAsia="Times New Roman" w:hAnsi="Times New Roman"/>
          <w:sz w:val="20"/>
          <w:szCs w:val="20"/>
          <w:color w:val="171717"/>
        </w:rPr>
        <w:t>y the Admi</w:t>
      </w:r>
      <w:r>
        <w:rPr>
          <w:rFonts w:ascii="Times New Roman" w:cs="Times New Roman" w:eastAsia="Times New Roman" w:hAnsi="Times New Roman"/>
          <w:sz w:val="20"/>
          <w:szCs w:val="20"/>
          <w:color w:val="070707"/>
        </w:rPr>
        <w:t>nis</w:t>
      </w:r>
      <w:r>
        <w:rPr>
          <w:rFonts w:ascii="Times New Roman" w:cs="Times New Roman" w:eastAsia="Times New Roman" w:hAnsi="Times New Roman"/>
          <w:sz w:val="20"/>
          <w:szCs w:val="20"/>
          <w:color w:val="171717"/>
        </w:rPr>
        <w:t>trato</w:t>
      </w:r>
      <w:r>
        <w:rPr>
          <w:rFonts w:ascii="Times New Roman" w:cs="Times New Roman" w:eastAsia="Times New Roman" w:hAnsi="Times New Roman"/>
          <w:sz w:val="20"/>
          <w:szCs w:val="20"/>
          <w:color w:val="070707"/>
        </w:rPr>
        <w:t>r.</w:t>
      </w:r>
    </w:p>
    <w:p>
      <w:pPr>
        <w:spacing w:after="0" w:line="242" w:lineRule="exact"/>
        <w:rPr>
          <w:rFonts w:ascii="Times New Roman" w:cs="Times New Roman" w:eastAsia="Times New Roman" w:hAnsi="Times New Roman"/>
          <w:sz w:val="20"/>
          <w:szCs w:val="20"/>
          <w:color w:val="070707"/>
        </w:rPr>
      </w:pPr>
    </w:p>
    <w:p>
      <w:pPr>
        <w:jc w:val="both"/>
        <w:ind w:left="100" w:right="80" w:firstLine="1936"/>
        <w:spacing w:after="0" w:line="265" w:lineRule="auto"/>
        <w:tabs>
          <w:tab w:leader="none" w:pos="2351" w:val="left"/>
        </w:tabs>
        <w:numPr>
          <w:ilvl w:val="0"/>
          <w:numId w:val="101"/>
        </w:numPr>
        <w:rPr>
          <w:rFonts w:ascii="Times New Roman" w:cs="Times New Roman" w:eastAsia="Times New Roman" w:hAnsi="Times New Roman"/>
          <w:sz w:val="20"/>
          <w:szCs w:val="20"/>
          <w:color w:val="070707"/>
        </w:rPr>
      </w:pP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 xml:space="preserve">e </w:t>
      </w:r>
      <w:r>
        <w:rPr>
          <w:rFonts w:ascii="Times New Roman" w:cs="Times New Roman" w:eastAsia="Times New Roman" w:hAnsi="Times New Roman"/>
          <w:sz w:val="20"/>
          <w:szCs w:val="20"/>
          <w:color w:val="070707"/>
        </w:rPr>
        <w:t>Ad</w:t>
      </w:r>
      <w:r>
        <w:rPr>
          <w:rFonts w:ascii="Times New Roman" w:cs="Times New Roman" w:eastAsia="Times New Roman" w:hAnsi="Times New Roman"/>
          <w:sz w:val="20"/>
          <w:szCs w:val="20"/>
          <w:color w:val="171717"/>
        </w:rPr>
        <w:t>minis</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ra</w:t>
      </w:r>
      <w:r>
        <w:rPr>
          <w:rFonts w:ascii="Times New Roman" w:cs="Times New Roman" w:eastAsia="Times New Roman" w:hAnsi="Times New Roman"/>
          <w:sz w:val="20"/>
          <w:szCs w:val="20"/>
          <w:color w:val="070707"/>
        </w:rPr>
        <w:t>tor sh</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ll h</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ve</w:t>
      </w:r>
      <w:r>
        <w:rPr>
          <w:rFonts w:ascii="Times New Roman" w:cs="Times New Roman" w:eastAsia="Times New Roman" w:hAnsi="Times New Roman"/>
          <w:sz w:val="20"/>
          <w:szCs w:val="20"/>
          <w:color w:val="171717"/>
        </w:rPr>
        <w:t xml:space="preserve"> a</w:t>
      </w:r>
      <w:r>
        <w:rPr>
          <w:rFonts w:ascii="Times New Roman" w:cs="Times New Roman" w:eastAsia="Times New Roman" w:hAnsi="Times New Roman"/>
          <w:sz w:val="20"/>
          <w:szCs w:val="20"/>
          <w:color w:val="070707"/>
        </w:rPr>
        <w:t>nd</w:t>
      </w:r>
      <w:r>
        <w:rPr>
          <w:rFonts w:ascii="Times New Roman" w:cs="Times New Roman" w:eastAsia="Times New Roman" w:hAnsi="Times New Roman"/>
          <w:sz w:val="20"/>
          <w:szCs w:val="20"/>
          <w:color w:val="171717"/>
        </w:rPr>
        <w:t xml:space="preserve"> exe</w:t>
      </w:r>
      <w:r>
        <w:rPr>
          <w:rFonts w:ascii="Times New Roman" w:cs="Times New Roman" w:eastAsia="Times New Roman" w:hAnsi="Times New Roman"/>
          <w:sz w:val="20"/>
          <w:szCs w:val="20"/>
          <w:color w:val="070707"/>
        </w:rPr>
        <w:t>rcis</w:t>
      </w:r>
      <w:r>
        <w:rPr>
          <w:rFonts w:ascii="Times New Roman" w:cs="Times New Roman" w:eastAsia="Times New Roman" w:hAnsi="Times New Roman"/>
          <w:sz w:val="20"/>
          <w:szCs w:val="20"/>
          <w:color w:val="171717"/>
        </w:rPr>
        <w:t>e a</w:t>
      </w:r>
      <w:r>
        <w:rPr>
          <w:rFonts w:ascii="Times New Roman" w:cs="Times New Roman" w:eastAsia="Times New Roman" w:hAnsi="Times New Roman"/>
          <w:sz w:val="20"/>
          <w:szCs w:val="20"/>
          <w:color w:val="070707"/>
        </w:rPr>
        <w:t>ll dis</w:t>
      </w:r>
      <w:r>
        <w:rPr>
          <w:rFonts w:ascii="Times New Roman" w:cs="Times New Roman" w:eastAsia="Times New Roman" w:hAnsi="Times New Roman"/>
          <w:sz w:val="20"/>
          <w:szCs w:val="20"/>
          <w:color w:val="171717"/>
        </w:rPr>
        <w:t>c</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et</w:t>
      </w:r>
      <w:r>
        <w:rPr>
          <w:rFonts w:ascii="Times New Roman" w:cs="Times New Roman" w:eastAsia="Times New Roman" w:hAnsi="Times New Roman"/>
          <w:sz w:val="20"/>
          <w:szCs w:val="20"/>
          <w:color w:val="070707"/>
        </w:rPr>
        <w:t>ionary and o</w:t>
      </w:r>
      <w:r>
        <w:rPr>
          <w:rFonts w:ascii="Times New Roman" w:cs="Times New Roman" w:eastAsia="Times New Roman" w:hAnsi="Times New Roman"/>
          <w:sz w:val="20"/>
          <w:szCs w:val="20"/>
          <w:color w:val="171717"/>
        </w:rPr>
        <w:t xml:space="preserve">ther </w:t>
      </w:r>
      <w:r>
        <w:rPr>
          <w:rFonts w:ascii="Times New Roman" w:cs="Times New Roman" w:eastAsia="Times New Roman" w:hAnsi="Times New Roman"/>
          <w:sz w:val="20"/>
          <w:szCs w:val="20"/>
          <w:color w:val="070707"/>
        </w:rPr>
        <w:t>autho</w:t>
      </w:r>
      <w:r>
        <w:rPr>
          <w:rFonts w:ascii="Times New Roman" w:cs="Times New Roman" w:eastAsia="Times New Roman" w:hAnsi="Times New Roman"/>
          <w:sz w:val="20"/>
          <w:szCs w:val="20"/>
          <w:color w:val="171717"/>
        </w:rPr>
        <w:t>r</w:t>
      </w:r>
      <w:r>
        <w:rPr>
          <w:rFonts w:ascii="Times New Roman" w:cs="Times New Roman" w:eastAsia="Times New Roman" w:hAnsi="Times New Roman"/>
          <w:sz w:val="20"/>
          <w:szCs w:val="20"/>
          <w:color w:val="070707"/>
        </w:rPr>
        <w:t>ity to control and m</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nage the</w:t>
      </w:r>
      <w:r>
        <w:rPr>
          <w:rFonts w:ascii="Times New Roman" w:cs="Times New Roman" w:eastAsia="Times New Roman" w:hAnsi="Times New Roman"/>
          <w:sz w:val="20"/>
          <w:szCs w:val="20"/>
          <w:color w:val="171717"/>
        </w:rPr>
        <w:t xml:space="preserve"> </w:t>
      </w:r>
      <w:r>
        <w:rPr>
          <w:rFonts w:ascii="Times New Roman" w:cs="Times New Roman" w:eastAsia="Times New Roman" w:hAnsi="Times New Roman"/>
          <w:sz w:val="20"/>
          <w:szCs w:val="20"/>
          <w:color w:val="070707"/>
        </w:rPr>
        <w:t>operat</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on a</w:t>
      </w:r>
      <w:r>
        <w:rPr>
          <w:rFonts w:ascii="Times New Roman" w:cs="Times New Roman" w:eastAsia="Times New Roman" w:hAnsi="Times New Roman"/>
          <w:sz w:val="20"/>
          <w:szCs w:val="20"/>
          <w:color w:val="171717"/>
        </w:rPr>
        <w:t>n</w:t>
      </w:r>
      <w:r>
        <w:rPr>
          <w:rFonts w:ascii="Times New Roman" w:cs="Times New Roman" w:eastAsia="Times New Roman" w:hAnsi="Times New Roman"/>
          <w:sz w:val="20"/>
          <w:szCs w:val="20"/>
          <w:color w:val="070707"/>
        </w:rPr>
        <w:t>d admi</w:t>
      </w:r>
      <w:r>
        <w:rPr>
          <w:rFonts w:ascii="Times New Roman" w:cs="Times New Roman" w:eastAsia="Times New Roman" w:hAnsi="Times New Roman"/>
          <w:sz w:val="20"/>
          <w:szCs w:val="20"/>
          <w:color w:val="171717"/>
        </w:rPr>
        <w:t>n</w:t>
      </w:r>
      <w:r>
        <w:rPr>
          <w:rFonts w:ascii="Times New Roman" w:cs="Times New Roman" w:eastAsia="Times New Roman" w:hAnsi="Times New Roman"/>
          <w:sz w:val="20"/>
          <w:szCs w:val="20"/>
          <w:color w:val="070707"/>
        </w:rPr>
        <w:t>istrat</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on of the P</w:t>
      </w:r>
      <w:r>
        <w:rPr>
          <w:rFonts w:ascii="Times New Roman" w:cs="Times New Roman" w:eastAsia="Times New Roman" w:hAnsi="Times New Roman"/>
          <w:sz w:val="20"/>
          <w:szCs w:val="20"/>
          <w:color w:val="171717"/>
        </w:rPr>
        <w:t>l</w:t>
      </w:r>
      <w:r>
        <w:rPr>
          <w:rFonts w:ascii="Times New Roman" w:cs="Times New Roman" w:eastAsia="Times New Roman" w:hAnsi="Times New Roman"/>
          <w:sz w:val="20"/>
          <w:szCs w:val="20"/>
          <w:color w:val="070707"/>
        </w:rPr>
        <w:t xml:space="preserve">an, except such </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 xml:space="preserve">uthority as </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s sp</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cifica</w:t>
      </w:r>
      <w:r>
        <w:rPr>
          <w:rFonts w:ascii="Times New Roman" w:cs="Times New Roman" w:eastAsia="Times New Roman" w:hAnsi="Times New Roman"/>
          <w:sz w:val="20"/>
          <w:szCs w:val="20"/>
          <w:color w:val="171717"/>
        </w:rPr>
        <w:t>ll</w:t>
      </w:r>
      <w:r>
        <w:rPr>
          <w:rFonts w:ascii="Times New Roman" w:cs="Times New Roman" w:eastAsia="Times New Roman" w:hAnsi="Times New Roman"/>
          <w:sz w:val="20"/>
          <w:szCs w:val="20"/>
          <w:color w:val="070707"/>
        </w:rPr>
        <w:t>y allocated oth</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rwise by or under the terms hereo</w:t>
      </w:r>
      <w:r>
        <w:rPr>
          <w:rFonts w:ascii="Times New Roman" w:cs="Times New Roman" w:eastAsia="Times New Roman" w:hAnsi="Times New Roman"/>
          <w:sz w:val="20"/>
          <w:szCs w:val="20"/>
          <w:color w:val="171717"/>
        </w:rPr>
        <w:t>f,</w:t>
      </w:r>
      <w:r>
        <w:rPr>
          <w:rFonts w:ascii="Times New Roman" w:cs="Times New Roman" w:eastAsia="Times New Roman" w:hAnsi="Times New Roman"/>
          <w:sz w:val="20"/>
          <w:szCs w:val="20"/>
          <w:color w:val="070707"/>
        </w:rPr>
        <w:t xml:space="preserve"> and shall h</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v</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 the power to take any act</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on necess</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ry or appropr</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ate to carry out such responsibilities. Without limiting the foregoing, and in addition to the authority and duties specified elsewhere herein, the Administrator shall have the discretionary authority to construe, inte</w:t>
      </w:r>
      <w:r>
        <w:rPr>
          <w:rFonts w:ascii="Times New Roman" w:cs="Times New Roman" w:eastAsia="Times New Roman" w:hAnsi="Times New Roman"/>
          <w:sz w:val="20"/>
          <w:szCs w:val="20"/>
          <w:color w:val="171717"/>
        </w:rPr>
        <w:t>r</w:t>
      </w:r>
      <w:r>
        <w:rPr>
          <w:rFonts w:ascii="Times New Roman" w:cs="Times New Roman" w:eastAsia="Times New Roman" w:hAnsi="Times New Roman"/>
          <w:sz w:val="20"/>
          <w:szCs w:val="20"/>
          <w:color w:val="070707"/>
        </w:rPr>
        <w:t>pret and apply the terms and provisions of the Plan; to prescribe such rules and regulations, and issue such directives, as it deems necessary or appropriate for the administration of the Plan; and to make all other determinations and decisions as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495935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1060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8"/>
          <w:szCs w:val="18"/>
          <w:color w:val="151515"/>
        </w:rPr>
        <w:t>Page 12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200"/>
          </w:cols>
          <w:pgMar w:left="340" w:top="1440" w:right="359" w:bottom="1440" w:gutter="0" w:footer="0" w:header="0"/>
        </w:sectPr>
      </w:pPr>
    </w:p>
    <w:bookmarkStart w:id="175" w:name="page176"/>
    <w:bookmarkEnd w:id="175"/>
    <w:p>
      <w:pPr>
        <w:spacing w:after="0" w:line="68" w:lineRule="exact"/>
        <w:rPr>
          <w:sz w:val="20"/>
          <w:szCs w:val="20"/>
          <w:color w:val="auto"/>
        </w:rPr>
      </w:pPr>
    </w:p>
    <w:p>
      <w:pPr>
        <w:jc w:val="both"/>
        <w:ind w:left="140" w:right="60" w:firstLine="9"/>
        <w:spacing w:after="0" w:line="303" w:lineRule="auto"/>
        <w:rPr>
          <w:sz w:val="20"/>
          <w:szCs w:val="20"/>
          <w:color w:val="auto"/>
        </w:rPr>
      </w:pPr>
      <w:r>
        <w:rPr>
          <w:rFonts w:ascii="Times New Roman" w:cs="Times New Roman" w:eastAsia="Times New Roman" w:hAnsi="Times New Roman"/>
          <w:sz w:val="20"/>
          <w:szCs w:val="20"/>
          <w:color w:val="070707"/>
        </w:rPr>
        <w:t xml:space="preserve">deems necessary or appropriate for the administration of the Plan. The Administrator may correct any defect or supply any omission or reconcile any inconsistency in the Plan in the manner </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nd to the extent it deems expedient. Decisions of the Administrator shall be final and binding upon the Participants, and their legal representatives and Beneficiaries.</w:t>
      </w:r>
    </w:p>
    <w:p>
      <w:pPr>
        <w:spacing w:after="0" w:line="209" w:lineRule="exact"/>
        <w:rPr>
          <w:sz w:val="20"/>
          <w:szCs w:val="20"/>
          <w:color w:val="auto"/>
        </w:rPr>
      </w:pPr>
    </w:p>
    <w:p>
      <w:pPr>
        <w:ind w:left="2340" w:hanging="261"/>
        <w:spacing w:after="0"/>
        <w:tabs>
          <w:tab w:leader="none" w:pos="2340" w:val="left"/>
        </w:tabs>
        <w:numPr>
          <w:ilvl w:val="0"/>
          <w:numId w:val="102"/>
        </w:numPr>
        <w:rPr>
          <w:rFonts w:ascii="Times New Roman" w:cs="Times New Roman" w:eastAsia="Times New Roman" w:hAnsi="Times New Roman"/>
          <w:sz w:val="20"/>
          <w:szCs w:val="20"/>
          <w:color w:val="070707"/>
        </w:rPr>
      </w:pPr>
      <w:r>
        <w:rPr>
          <w:rFonts w:ascii="Times New Roman" w:cs="Times New Roman" w:eastAsia="Times New Roman" w:hAnsi="Times New Roman"/>
          <w:sz w:val="20"/>
          <w:szCs w:val="20"/>
          <w:color w:val="070707"/>
        </w:rPr>
        <w:t>No P</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rticipant who repres</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nts or is </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uthoriz</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d to </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ct on behalf o</w:t>
      </w:r>
      <w:r>
        <w:rPr>
          <w:rFonts w:ascii="Times New Roman" w:cs="Times New Roman" w:eastAsia="Times New Roman" w:hAnsi="Times New Roman"/>
          <w:sz w:val="20"/>
          <w:szCs w:val="20"/>
          <w:color w:val="171717"/>
        </w:rPr>
        <w:t>f</w:t>
      </w:r>
      <w:r>
        <w:rPr>
          <w:rFonts w:ascii="Times New Roman" w:cs="Times New Roman" w:eastAsia="Times New Roman" w:hAnsi="Times New Roman"/>
          <w:sz w:val="20"/>
          <w:szCs w:val="20"/>
          <w:color w:val="070707"/>
        </w:rPr>
        <w:t xml:space="preserve"> ( or who </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s a member of) the Administ</w:t>
      </w:r>
      <w:r>
        <w:rPr>
          <w:rFonts w:ascii="Times New Roman" w:cs="Times New Roman" w:eastAsia="Times New Roman" w:hAnsi="Times New Roman"/>
          <w:sz w:val="20"/>
          <w:szCs w:val="20"/>
          <w:color w:val="171717"/>
        </w:rPr>
        <w:t>ra</w:t>
      </w:r>
      <w:r>
        <w:rPr>
          <w:rFonts w:ascii="Times New Roman" w:cs="Times New Roman" w:eastAsia="Times New Roman" w:hAnsi="Times New Roman"/>
          <w:sz w:val="20"/>
          <w:szCs w:val="20"/>
          <w:color w:val="070707"/>
        </w:rPr>
        <w:t>tor</w:t>
      </w:r>
    </w:p>
    <w:p>
      <w:pPr>
        <w:spacing w:after="0" w:line="53" w:lineRule="exact"/>
        <w:rPr>
          <w:rFonts w:ascii="Times New Roman" w:cs="Times New Roman" w:eastAsia="Times New Roman" w:hAnsi="Times New Roman"/>
          <w:sz w:val="20"/>
          <w:szCs w:val="20"/>
          <w:color w:val="070707"/>
        </w:rPr>
      </w:pPr>
    </w:p>
    <w:p>
      <w:pPr>
        <w:ind w:left="140" w:right="60"/>
        <w:spacing w:after="0" w:line="311" w:lineRule="auto"/>
        <w:rPr>
          <w:rFonts w:ascii="Times New Roman" w:cs="Times New Roman" w:eastAsia="Times New Roman" w:hAnsi="Times New Roman"/>
          <w:sz w:val="20"/>
          <w:szCs w:val="20"/>
          <w:color w:val="070707"/>
        </w:rPr>
      </w:pPr>
      <w:r>
        <w:rPr>
          <w:rFonts w:ascii="Times New Roman" w:cs="Times New Roman" w:eastAsia="Times New Roman" w:hAnsi="Times New Roman"/>
          <w:sz w:val="20"/>
          <w:szCs w:val="20"/>
          <w:color w:val="070707"/>
        </w:rPr>
        <w:t>or the Board may d</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cid</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d</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rmin</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 o</w:t>
      </w:r>
      <w:r>
        <w:rPr>
          <w:rFonts w:ascii="Times New Roman" w:cs="Times New Roman" w:eastAsia="Times New Roman" w:hAnsi="Times New Roman"/>
          <w:sz w:val="20"/>
          <w:szCs w:val="20"/>
          <w:color w:val="171717"/>
        </w:rPr>
        <w:t>r a</w:t>
      </w:r>
      <w:r>
        <w:rPr>
          <w:rFonts w:ascii="Times New Roman" w:cs="Times New Roman" w:eastAsia="Times New Roman" w:hAnsi="Times New Roman"/>
          <w:sz w:val="20"/>
          <w:szCs w:val="20"/>
          <w:color w:val="070707"/>
        </w:rPr>
        <w:t>ct o</w:t>
      </w:r>
      <w:r>
        <w:rPr>
          <w:rFonts w:ascii="Times New Roman" w:cs="Times New Roman" w:eastAsia="Times New Roman" w:hAnsi="Times New Roman"/>
          <w:sz w:val="20"/>
          <w:szCs w:val="20"/>
          <w:color w:val="171717"/>
        </w:rPr>
        <w:t>n a</w:t>
      </w:r>
      <w:r>
        <w:rPr>
          <w:rFonts w:ascii="Times New Roman" w:cs="Times New Roman" w:eastAsia="Times New Roman" w:hAnsi="Times New Roman"/>
          <w:sz w:val="20"/>
          <w:szCs w:val="20"/>
          <w:color w:val="070707"/>
        </w:rPr>
        <w:t>ny m</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tt</w:t>
      </w:r>
      <w:r>
        <w:rPr>
          <w:rFonts w:ascii="Times New Roman" w:cs="Times New Roman" w:eastAsia="Times New Roman" w:hAnsi="Times New Roman"/>
          <w:sz w:val="20"/>
          <w:szCs w:val="20"/>
          <w:color w:val="171717"/>
        </w:rPr>
        <w:t>er</w:t>
      </w:r>
      <w:r>
        <w:rPr>
          <w:rFonts w:ascii="Times New Roman" w:cs="Times New Roman" w:eastAsia="Times New Roman" w:hAnsi="Times New Roman"/>
          <w:sz w:val="20"/>
          <w:szCs w:val="20"/>
          <w:color w:val="070707"/>
        </w:rPr>
        <w:t xml:space="preserve"> th</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 xml:space="preserve">t </w:t>
      </w:r>
      <w:r>
        <w:rPr>
          <w:rFonts w:ascii="Times New Roman" w:cs="Times New Roman" w:eastAsia="Times New Roman" w:hAnsi="Times New Roman"/>
          <w:sz w:val="20"/>
          <w:szCs w:val="20"/>
          <w:color w:val="171717"/>
        </w:rPr>
        <w:t>aff</w:t>
      </w:r>
      <w:r>
        <w:rPr>
          <w:rFonts w:ascii="Times New Roman" w:cs="Times New Roman" w:eastAsia="Times New Roman" w:hAnsi="Times New Roman"/>
          <w:sz w:val="20"/>
          <w:szCs w:val="20"/>
          <w:color w:val="070707"/>
        </w:rPr>
        <w:t>ec</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s the d</w:t>
      </w:r>
      <w:r>
        <w:rPr>
          <w:rFonts w:ascii="Times New Roman" w:cs="Times New Roman" w:eastAsia="Times New Roman" w:hAnsi="Times New Roman"/>
          <w:sz w:val="20"/>
          <w:szCs w:val="20"/>
          <w:color w:val="171717"/>
        </w:rPr>
        <w:t>is</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ri</w:t>
      </w:r>
      <w:r>
        <w:rPr>
          <w:rFonts w:ascii="Times New Roman" w:cs="Times New Roman" w:eastAsia="Times New Roman" w:hAnsi="Times New Roman"/>
          <w:sz w:val="20"/>
          <w:szCs w:val="20"/>
          <w:color w:val="070707"/>
        </w:rPr>
        <w:t>but</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on, n</w:t>
      </w:r>
      <w:r>
        <w:rPr>
          <w:rFonts w:ascii="Times New Roman" w:cs="Times New Roman" w:eastAsia="Times New Roman" w:hAnsi="Times New Roman"/>
          <w:sz w:val="20"/>
          <w:szCs w:val="20"/>
          <w:color w:val="171717"/>
        </w:rPr>
        <w:t>at</w:t>
      </w:r>
      <w:r>
        <w:rPr>
          <w:rFonts w:ascii="Times New Roman" w:cs="Times New Roman" w:eastAsia="Times New Roman" w:hAnsi="Times New Roman"/>
          <w:sz w:val="20"/>
          <w:szCs w:val="20"/>
          <w:color w:val="070707"/>
        </w:rPr>
        <w:t>ure o</w:t>
      </w:r>
      <w:r>
        <w:rPr>
          <w:rFonts w:ascii="Times New Roman" w:cs="Times New Roman" w:eastAsia="Times New Roman" w:hAnsi="Times New Roman"/>
          <w:sz w:val="20"/>
          <w:szCs w:val="20"/>
          <w:color w:val="171717"/>
        </w:rPr>
        <w:t>r m</w:t>
      </w:r>
      <w:r>
        <w:rPr>
          <w:rFonts w:ascii="Times New Roman" w:cs="Times New Roman" w:eastAsia="Times New Roman" w:hAnsi="Times New Roman"/>
          <w:sz w:val="20"/>
          <w:szCs w:val="20"/>
          <w:color w:val="070707"/>
        </w:rPr>
        <w:t>e</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o</w:t>
      </w:r>
      <w:r>
        <w:rPr>
          <w:rFonts w:ascii="Times New Roman" w:cs="Times New Roman" w:eastAsia="Times New Roman" w:hAnsi="Times New Roman"/>
          <w:sz w:val="20"/>
          <w:szCs w:val="20"/>
          <w:color w:val="070707"/>
        </w:rPr>
        <w:t xml:space="preserve">d of settlement of </w:t>
      </w:r>
      <w:r>
        <w:rPr>
          <w:rFonts w:ascii="Times New Roman" w:cs="Times New Roman" w:eastAsia="Times New Roman" w:hAnsi="Times New Roman"/>
          <w:sz w:val="20"/>
          <w:szCs w:val="20"/>
          <w:color w:val="171717"/>
        </w:rPr>
        <w:t>s</w:t>
      </w:r>
      <w:r>
        <w:rPr>
          <w:rFonts w:ascii="Times New Roman" w:cs="Times New Roman" w:eastAsia="Times New Roman" w:hAnsi="Times New Roman"/>
          <w:sz w:val="20"/>
          <w:szCs w:val="20"/>
          <w:color w:val="070707"/>
        </w:rPr>
        <w:t>olely his or her Accou</w:t>
      </w:r>
      <w:r>
        <w:rPr>
          <w:rFonts w:ascii="Times New Roman" w:cs="Times New Roman" w:eastAsia="Times New Roman" w:hAnsi="Times New Roman"/>
          <w:sz w:val="20"/>
          <w:szCs w:val="20"/>
          <w:color w:val="171717"/>
        </w:rPr>
        <w:t>n</w:t>
      </w:r>
      <w:r>
        <w:rPr>
          <w:rFonts w:ascii="Times New Roman" w:cs="Times New Roman" w:eastAsia="Times New Roman" w:hAnsi="Times New Roman"/>
          <w:sz w:val="20"/>
          <w:szCs w:val="20"/>
          <w:color w:val="070707"/>
        </w:rPr>
        <w:t>t un</w:t>
      </w:r>
      <w:r>
        <w:rPr>
          <w:rFonts w:ascii="Times New Roman" w:cs="Times New Roman" w:eastAsia="Times New Roman" w:hAnsi="Times New Roman"/>
          <w:sz w:val="20"/>
          <w:szCs w:val="20"/>
          <w:color w:val="171717"/>
        </w:rPr>
        <w:t>de</w:t>
      </w:r>
      <w:r>
        <w:rPr>
          <w:rFonts w:ascii="Times New Roman" w:cs="Times New Roman" w:eastAsia="Times New Roman" w:hAnsi="Times New Roman"/>
          <w:sz w:val="20"/>
          <w:szCs w:val="20"/>
          <w:color w:val="070707"/>
        </w:rPr>
        <w:t>r th</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 Pl</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w:t>
      </w:r>
      <w:r>
        <w:rPr>
          <w:rFonts w:ascii="Times New Roman" w:cs="Times New Roman" w:eastAsia="Times New Roman" w:hAnsi="Times New Roman"/>
          <w:sz w:val="20"/>
          <w:szCs w:val="20"/>
          <w:color w:val="070707"/>
        </w:rPr>
        <w:t xml:space="preserve"> e</w:t>
      </w:r>
      <w:r>
        <w:rPr>
          <w:rFonts w:ascii="Times New Roman" w:cs="Times New Roman" w:eastAsia="Times New Roman" w:hAnsi="Times New Roman"/>
          <w:sz w:val="20"/>
          <w:szCs w:val="20"/>
          <w:color w:val="171717"/>
        </w:rPr>
        <w:t>x</w:t>
      </w:r>
      <w:r>
        <w:rPr>
          <w:rFonts w:ascii="Times New Roman" w:cs="Times New Roman" w:eastAsia="Times New Roman" w:hAnsi="Times New Roman"/>
          <w:sz w:val="20"/>
          <w:szCs w:val="20"/>
          <w:color w:val="070707"/>
        </w:rPr>
        <w:t>c</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pt </w:t>
      </w:r>
      <w:r>
        <w:rPr>
          <w:rFonts w:ascii="Times New Roman" w:cs="Times New Roman" w:eastAsia="Times New Roman" w:hAnsi="Times New Roman"/>
          <w:sz w:val="20"/>
          <w:szCs w:val="20"/>
          <w:color w:val="171717"/>
        </w:rPr>
        <w:t>in ex</w:t>
      </w:r>
      <w:r>
        <w:rPr>
          <w:rFonts w:ascii="Times New Roman" w:cs="Times New Roman" w:eastAsia="Times New Roman" w:hAnsi="Times New Roman"/>
          <w:sz w:val="20"/>
          <w:szCs w:val="20"/>
          <w:color w:val="070707"/>
        </w:rPr>
        <w:t>erci</w:t>
      </w:r>
      <w:r>
        <w:rPr>
          <w:rFonts w:ascii="Times New Roman" w:cs="Times New Roman" w:eastAsia="Times New Roman" w:hAnsi="Times New Roman"/>
          <w:sz w:val="20"/>
          <w:szCs w:val="20"/>
          <w:color w:val="171717"/>
        </w:rPr>
        <w:t>s</w:t>
      </w:r>
      <w:r>
        <w:rPr>
          <w:rFonts w:ascii="Times New Roman" w:cs="Times New Roman" w:eastAsia="Times New Roman" w:hAnsi="Times New Roman"/>
          <w:sz w:val="20"/>
          <w:szCs w:val="20"/>
          <w:color w:val="070707"/>
        </w:rPr>
        <w:t>in</w:t>
      </w:r>
      <w:r>
        <w:rPr>
          <w:rFonts w:ascii="Times New Roman" w:cs="Times New Roman" w:eastAsia="Times New Roman" w:hAnsi="Times New Roman"/>
          <w:sz w:val="20"/>
          <w:szCs w:val="20"/>
          <w:color w:val="171717"/>
        </w:rPr>
        <w:t>g</w:t>
      </w:r>
      <w:r>
        <w:rPr>
          <w:rFonts w:ascii="Times New Roman" w:cs="Times New Roman" w:eastAsia="Times New Roman" w:hAnsi="Times New Roman"/>
          <w:sz w:val="20"/>
          <w:szCs w:val="20"/>
          <w:color w:val="070707"/>
        </w:rPr>
        <w:t xml:space="preserve"> an </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ction </w:t>
      </w:r>
      <w:r>
        <w:rPr>
          <w:rFonts w:ascii="Times New Roman" w:cs="Times New Roman" w:eastAsia="Times New Roman" w:hAnsi="Times New Roman"/>
          <w:sz w:val="20"/>
          <w:szCs w:val="20"/>
          <w:color w:val="171717"/>
        </w:rPr>
        <w:t>ava</w:t>
      </w:r>
      <w:r>
        <w:rPr>
          <w:rFonts w:ascii="Times New Roman" w:cs="Times New Roman" w:eastAsia="Times New Roman" w:hAnsi="Times New Roman"/>
          <w:sz w:val="20"/>
          <w:szCs w:val="20"/>
          <w:color w:val="070707"/>
        </w:rPr>
        <w:t>il</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bl</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xml:space="preserve"> to th</w:t>
      </w:r>
      <w:r>
        <w:rPr>
          <w:rFonts w:ascii="Times New Roman" w:cs="Times New Roman" w:eastAsia="Times New Roman" w:hAnsi="Times New Roman"/>
          <w:sz w:val="20"/>
          <w:szCs w:val="20"/>
          <w:color w:val="171717"/>
        </w:rPr>
        <w:t>at me</w:t>
      </w:r>
      <w:r>
        <w:rPr>
          <w:rFonts w:ascii="Times New Roman" w:cs="Times New Roman" w:eastAsia="Times New Roman" w:hAnsi="Times New Roman"/>
          <w:sz w:val="20"/>
          <w:szCs w:val="20"/>
          <w:color w:val="070707"/>
        </w:rPr>
        <w:t>mb</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r i</w:t>
      </w:r>
      <w:r>
        <w:rPr>
          <w:rFonts w:ascii="Times New Roman" w:cs="Times New Roman" w:eastAsia="Times New Roman" w:hAnsi="Times New Roman"/>
          <w:sz w:val="20"/>
          <w:szCs w:val="20"/>
          <w:color w:val="171717"/>
        </w:rPr>
        <w:t>n hi</w:t>
      </w:r>
      <w:r>
        <w:rPr>
          <w:rFonts w:ascii="Times New Roman" w:cs="Times New Roman" w:eastAsia="Times New Roman" w:hAnsi="Times New Roman"/>
          <w:sz w:val="20"/>
          <w:szCs w:val="20"/>
          <w:color w:val="070707"/>
        </w:rPr>
        <w:t>s o</w:t>
      </w:r>
      <w:r>
        <w:rPr>
          <w:rFonts w:ascii="Times New Roman" w:cs="Times New Roman" w:eastAsia="Times New Roman" w:hAnsi="Times New Roman"/>
          <w:sz w:val="20"/>
          <w:szCs w:val="20"/>
          <w:color w:val="171717"/>
        </w:rPr>
        <w:t>r</w:t>
      </w:r>
      <w:r>
        <w:rPr>
          <w:rFonts w:ascii="Times New Roman" w:cs="Times New Roman" w:eastAsia="Times New Roman" w:hAnsi="Times New Roman"/>
          <w:sz w:val="20"/>
          <w:szCs w:val="20"/>
          <w:color w:val="070707"/>
        </w:rPr>
        <w:t xml:space="preserve"> h</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r c</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pac</w:t>
      </w:r>
      <w:r>
        <w:rPr>
          <w:rFonts w:ascii="Times New Roman" w:cs="Times New Roman" w:eastAsia="Times New Roman" w:hAnsi="Times New Roman"/>
          <w:sz w:val="20"/>
          <w:szCs w:val="20"/>
          <w:color w:val="171717"/>
        </w:rPr>
        <w:t>ity a</w:t>
      </w:r>
      <w:r>
        <w:rPr>
          <w:rFonts w:ascii="Times New Roman" w:cs="Times New Roman" w:eastAsia="Times New Roman" w:hAnsi="Times New Roman"/>
          <w:sz w:val="20"/>
          <w:szCs w:val="20"/>
          <w:color w:val="070707"/>
        </w:rPr>
        <w:t xml:space="preserve">s </w:t>
      </w:r>
      <w:r>
        <w:rPr>
          <w:rFonts w:ascii="Times New Roman" w:cs="Times New Roman" w:eastAsia="Times New Roman" w:hAnsi="Times New Roman"/>
          <w:sz w:val="20"/>
          <w:szCs w:val="20"/>
          <w:color w:val="171717"/>
        </w:rPr>
        <w:t>a Pa</w:t>
      </w:r>
      <w:r>
        <w:rPr>
          <w:rFonts w:ascii="Times New Roman" w:cs="Times New Roman" w:eastAsia="Times New Roman" w:hAnsi="Times New Roman"/>
          <w:sz w:val="20"/>
          <w:szCs w:val="20"/>
          <w:color w:val="070707"/>
        </w:rPr>
        <w:t>rt</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c</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p</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nt.</w:t>
      </w:r>
    </w:p>
    <w:p>
      <w:pPr>
        <w:spacing w:after="0" w:line="196" w:lineRule="exact"/>
        <w:rPr>
          <w:sz w:val="20"/>
          <w:szCs w:val="20"/>
          <w:color w:val="auto"/>
        </w:rPr>
      </w:pPr>
    </w:p>
    <w:p>
      <w:pPr>
        <w:jc w:val="both"/>
        <w:ind w:left="120" w:right="40" w:firstLine="648"/>
        <w:spacing w:after="0" w:line="277" w:lineRule="auto"/>
        <w:rPr>
          <w:sz w:val="20"/>
          <w:szCs w:val="20"/>
          <w:color w:val="auto"/>
        </w:rPr>
      </w:pPr>
      <w:r>
        <w:rPr>
          <w:rFonts w:ascii="Times New Roman" w:cs="Times New Roman" w:eastAsia="Times New Roman" w:hAnsi="Times New Roman"/>
          <w:sz w:val="20"/>
          <w:szCs w:val="20"/>
          <w:b w:val="1"/>
          <w:bCs w:val="1"/>
          <w:color w:val="070707"/>
        </w:rPr>
        <w:t xml:space="preserve">9.2 Finality of Determination. </w:t>
      </w:r>
      <w:r>
        <w:rPr>
          <w:rFonts w:ascii="Times New Roman" w:cs="Times New Roman" w:eastAsia="Times New Roman" w:hAnsi="Times New Roman"/>
          <w:sz w:val="20"/>
          <w:szCs w:val="20"/>
          <w:color w:val="171717"/>
        </w:rPr>
        <w:t>Ex</w:t>
      </w:r>
      <w:r>
        <w:rPr>
          <w:rFonts w:ascii="Times New Roman" w:cs="Times New Roman" w:eastAsia="Times New Roman" w:hAnsi="Times New Roman"/>
          <w:sz w:val="20"/>
          <w:szCs w:val="20"/>
          <w:color w:val="070707"/>
        </w:rPr>
        <w:t>c</w:t>
      </w:r>
      <w:r>
        <w:rPr>
          <w:rFonts w:ascii="Times New Roman" w:cs="Times New Roman" w:eastAsia="Times New Roman" w:hAnsi="Times New Roman"/>
          <w:sz w:val="20"/>
          <w:szCs w:val="20"/>
          <w:color w:val="171717"/>
        </w:rPr>
        <w:t>ep</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as</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p</w:t>
      </w:r>
      <w:r>
        <w:rPr>
          <w:rFonts w:ascii="Times New Roman" w:cs="Times New Roman" w:eastAsia="Times New Roman" w:hAnsi="Times New Roman"/>
          <w:sz w:val="20"/>
          <w:szCs w:val="20"/>
          <w:color w:val="171717"/>
        </w:rPr>
        <w:t>rov</w:t>
      </w:r>
      <w:r>
        <w:rPr>
          <w:rFonts w:ascii="Times New Roman" w:cs="Times New Roman" w:eastAsia="Times New Roman" w:hAnsi="Times New Roman"/>
          <w:sz w:val="20"/>
          <w:szCs w:val="20"/>
          <w:color w:val="070707"/>
        </w:rPr>
        <w:t>id</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d i</w:t>
      </w:r>
      <w:r>
        <w:rPr>
          <w:rFonts w:ascii="Times New Roman" w:cs="Times New Roman" w:eastAsia="Times New Roman" w:hAnsi="Times New Roman"/>
          <w:sz w:val="20"/>
          <w:szCs w:val="20"/>
          <w:color w:val="171717"/>
        </w:rPr>
        <w:t>n</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S</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c</w:t>
      </w:r>
      <w:r>
        <w:rPr>
          <w:rFonts w:ascii="Times New Roman" w:cs="Times New Roman" w:eastAsia="Times New Roman" w:hAnsi="Times New Roman"/>
          <w:sz w:val="20"/>
          <w:szCs w:val="20"/>
          <w:color w:val="171717"/>
        </w:rPr>
        <w:t>tions 9.6</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an</w:t>
      </w:r>
      <w:r>
        <w:rPr>
          <w:rFonts w:ascii="Times New Roman" w:cs="Times New Roman" w:eastAsia="Times New Roman" w:hAnsi="Times New Roman"/>
          <w:sz w:val="20"/>
          <w:szCs w:val="20"/>
          <w:color w:val="070707"/>
        </w:rPr>
        <w:t>d (</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 b</w:t>
      </w:r>
      <w:r>
        <w:rPr>
          <w:rFonts w:ascii="Times New Roman" w:cs="Times New Roman" w:eastAsia="Times New Roman" w:hAnsi="Times New Roman"/>
          <w:sz w:val="20"/>
          <w:szCs w:val="20"/>
          <w:color w:val="171717"/>
        </w:rPr>
        <w:t>elow with respe</w:t>
      </w:r>
      <w:r>
        <w:rPr>
          <w:rFonts w:ascii="Times New Roman" w:cs="Times New Roman" w:eastAsia="Times New Roman" w:hAnsi="Times New Roman"/>
          <w:sz w:val="20"/>
          <w:szCs w:val="20"/>
          <w:color w:val="070707"/>
        </w:rPr>
        <w:t>ct</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to ap</w:t>
      </w:r>
      <w:r>
        <w:rPr>
          <w:rFonts w:ascii="Times New Roman" w:cs="Times New Roman" w:eastAsia="Times New Roman" w:hAnsi="Times New Roman"/>
          <w:sz w:val="20"/>
          <w:szCs w:val="20"/>
          <w:color w:val="070707"/>
        </w:rPr>
        <w:t>p</w:t>
      </w:r>
      <w:r>
        <w:rPr>
          <w:rFonts w:ascii="Times New Roman" w:cs="Times New Roman" w:eastAsia="Times New Roman" w:hAnsi="Times New Roman"/>
          <w:sz w:val="20"/>
          <w:szCs w:val="20"/>
          <w:color w:val="171717"/>
        </w:rPr>
        <w:t>ea</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s of</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cl</w:t>
      </w:r>
      <w:r>
        <w:rPr>
          <w:rFonts w:ascii="Times New Roman" w:cs="Times New Roman" w:eastAsia="Times New Roman" w:hAnsi="Times New Roman"/>
          <w:sz w:val="20"/>
          <w:szCs w:val="20"/>
          <w:color w:val="171717"/>
        </w:rPr>
        <w:t>aim denials, the</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de</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 xml:space="preserve">ermination of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 xml:space="preserve">he </w:t>
      </w:r>
      <w:r>
        <w:rPr>
          <w:rFonts w:ascii="Times New Roman" w:cs="Times New Roman" w:eastAsia="Times New Roman" w:hAnsi="Times New Roman"/>
          <w:sz w:val="20"/>
          <w:szCs w:val="20"/>
          <w:color w:val="070707"/>
        </w:rPr>
        <w:t>Ad</w:t>
      </w:r>
      <w:r>
        <w:rPr>
          <w:rFonts w:ascii="Times New Roman" w:cs="Times New Roman" w:eastAsia="Times New Roman" w:hAnsi="Times New Roman"/>
          <w:sz w:val="20"/>
          <w:szCs w:val="20"/>
          <w:color w:val="171717"/>
        </w:rPr>
        <w:t>m</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n</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s</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ra</w:t>
      </w:r>
      <w:r>
        <w:rPr>
          <w:rFonts w:ascii="Times New Roman" w:cs="Times New Roman" w:eastAsia="Times New Roman" w:hAnsi="Times New Roman"/>
          <w:sz w:val="20"/>
          <w:szCs w:val="20"/>
          <w:color w:val="070707"/>
        </w:rPr>
        <w:t>tor with</w:t>
      </w:r>
      <w:r>
        <w:rPr>
          <w:rFonts w:ascii="Times New Roman" w:cs="Times New Roman" w:eastAsia="Times New Roman" w:hAnsi="Times New Roman"/>
          <w:sz w:val="20"/>
          <w:szCs w:val="20"/>
          <w:color w:val="171717"/>
        </w:rPr>
        <w:t xml:space="preserve"> respect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o 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y ques</w:t>
      </w:r>
      <w:r>
        <w:rPr>
          <w:rFonts w:ascii="Times New Roman" w:cs="Times New Roman" w:eastAsia="Times New Roman" w:hAnsi="Times New Roman"/>
          <w:sz w:val="20"/>
          <w:szCs w:val="20"/>
          <w:color w:val="070707"/>
        </w:rPr>
        <w:t>ti</w:t>
      </w:r>
      <w:r>
        <w:rPr>
          <w:rFonts w:ascii="Times New Roman" w:cs="Times New Roman" w:eastAsia="Times New Roman" w:hAnsi="Times New Roman"/>
          <w:sz w:val="20"/>
          <w:szCs w:val="20"/>
          <w:color w:val="171717"/>
        </w:rPr>
        <w:t>on ar</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s</w:t>
      </w:r>
      <w:r>
        <w:rPr>
          <w:rFonts w:ascii="Times New Roman" w:cs="Times New Roman" w:eastAsia="Times New Roman" w:hAnsi="Times New Roman"/>
          <w:sz w:val="20"/>
          <w:szCs w:val="20"/>
          <w:color w:val="070707"/>
        </w:rPr>
        <w:t>in</w:t>
      </w:r>
      <w:r>
        <w:rPr>
          <w:rFonts w:ascii="Times New Roman" w:cs="Times New Roman" w:eastAsia="Times New Roman" w:hAnsi="Times New Roman"/>
          <w:sz w:val="20"/>
          <w:szCs w:val="20"/>
          <w:color w:val="171717"/>
        </w:rPr>
        <w:t>g o</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 xml:space="preserve">t of or </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n co</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nect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on wit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 xml:space="preserve"> the a</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m</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nistra</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ion</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71717"/>
        </w:rPr>
        <w:t xml:space="preserve"> i</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terpretation, and applica</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io</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 xml:space="preserve"> of </w:t>
      </w:r>
      <w:r>
        <w:rPr>
          <w:rFonts w:ascii="Times New Roman" w:cs="Times New Roman" w:eastAsia="Times New Roman" w:hAnsi="Times New Roman"/>
          <w:sz w:val="20"/>
          <w:szCs w:val="20"/>
          <w:color w:val="070707"/>
        </w:rPr>
        <w:t>th</w:t>
      </w:r>
      <w:r>
        <w:rPr>
          <w:rFonts w:ascii="Times New Roman" w:cs="Times New Roman" w:eastAsia="Times New Roman" w:hAnsi="Times New Roman"/>
          <w:sz w:val="20"/>
          <w:szCs w:val="20"/>
          <w:color w:val="171717"/>
        </w:rPr>
        <w:t>e P</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an s</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ll</w:t>
      </w:r>
      <w:r>
        <w:rPr>
          <w:rFonts w:ascii="Times New Roman" w:cs="Times New Roman" w:eastAsia="Times New Roman" w:hAnsi="Times New Roman"/>
          <w:sz w:val="20"/>
          <w:szCs w:val="20"/>
          <w:color w:val="171717"/>
        </w:rPr>
        <w:t xml:space="preserve"> be fi</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 bi</w:t>
      </w:r>
      <w:r>
        <w:rPr>
          <w:rFonts w:ascii="Times New Roman" w:cs="Times New Roman" w:eastAsia="Times New Roman" w:hAnsi="Times New Roman"/>
          <w:sz w:val="20"/>
          <w:szCs w:val="20"/>
          <w:color w:val="070707"/>
        </w:rPr>
        <w:t>ndin</w:t>
      </w:r>
      <w:r>
        <w:rPr>
          <w:rFonts w:ascii="Times New Roman" w:cs="Times New Roman" w:eastAsia="Times New Roman" w:hAnsi="Times New Roman"/>
          <w:sz w:val="20"/>
          <w:szCs w:val="20"/>
          <w:color w:val="171717"/>
        </w:rPr>
        <w:t xml:space="preserve">g, and </w:t>
      </w:r>
      <w:r>
        <w:rPr>
          <w:rFonts w:ascii="Times New Roman" w:cs="Times New Roman" w:eastAsia="Times New Roman" w:hAnsi="Times New Roman"/>
          <w:sz w:val="20"/>
          <w:szCs w:val="20"/>
          <w:color w:val="070707"/>
        </w:rPr>
        <w:t>c</w:t>
      </w:r>
      <w:r>
        <w:rPr>
          <w:rFonts w:ascii="Times New Roman" w:cs="Times New Roman" w:eastAsia="Times New Roman" w:hAnsi="Times New Roman"/>
          <w:sz w:val="20"/>
          <w:szCs w:val="20"/>
          <w:color w:val="171717"/>
        </w:rPr>
        <w:t>onclusive u</w:t>
      </w:r>
      <w:r>
        <w:rPr>
          <w:rFonts w:ascii="Times New Roman" w:cs="Times New Roman" w:eastAsia="Times New Roman" w:hAnsi="Times New Roman"/>
          <w:sz w:val="20"/>
          <w:szCs w:val="20"/>
          <w:color w:val="070707"/>
        </w:rPr>
        <w:t>p</w:t>
      </w:r>
      <w:r>
        <w:rPr>
          <w:rFonts w:ascii="Times New Roman" w:cs="Times New Roman" w:eastAsia="Times New Roman" w:hAnsi="Times New Roman"/>
          <w:sz w:val="20"/>
          <w:szCs w:val="20"/>
          <w:color w:val="171717"/>
        </w:rPr>
        <w:t xml:space="preserve">on all persons </w:t>
      </w:r>
      <w:r>
        <w:rPr>
          <w:rFonts w:ascii="Times New Roman" w:cs="Times New Roman" w:eastAsia="Times New Roman" w:hAnsi="Times New Roman"/>
          <w:sz w:val="20"/>
          <w:szCs w:val="20"/>
          <w:color w:val="2F2F2F"/>
        </w:rPr>
        <w:t>a</w:t>
      </w:r>
      <w:r>
        <w:rPr>
          <w:rFonts w:ascii="Times New Roman" w:cs="Times New Roman" w:eastAsia="Times New Roman" w:hAnsi="Times New Roman"/>
          <w:sz w:val="20"/>
          <w:szCs w:val="20"/>
          <w:color w:val="171717"/>
        </w:rPr>
        <w:t>nd sha</w:t>
      </w:r>
      <w:r>
        <w:rPr>
          <w:rFonts w:ascii="Times New Roman" w:cs="Times New Roman" w:eastAsia="Times New Roman" w:hAnsi="Times New Roman"/>
          <w:sz w:val="20"/>
          <w:szCs w:val="20"/>
          <w:color w:val="070707"/>
        </w:rPr>
        <w:t>ll b</w:t>
      </w:r>
      <w:r>
        <w:rPr>
          <w:rFonts w:ascii="Times New Roman" w:cs="Times New Roman" w:eastAsia="Times New Roman" w:hAnsi="Times New Roman"/>
          <w:sz w:val="20"/>
          <w:szCs w:val="20"/>
          <w:color w:val="171717"/>
        </w:rPr>
        <w:t xml:space="preserve">e given the greatest </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 xml:space="preserve">eference </w:t>
      </w:r>
      <w:r>
        <w:rPr>
          <w:rFonts w:ascii="Times New Roman" w:cs="Times New Roman" w:eastAsia="Times New Roman" w:hAnsi="Times New Roman"/>
          <w:sz w:val="20"/>
          <w:szCs w:val="20"/>
          <w:color w:val="070707"/>
        </w:rPr>
        <w:t>p</w:t>
      </w:r>
      <w:r>
        <w:rPr>
          <w:rFonts w:ascii="Times New Roman" w:cs="Times New Roman" w:eastAsia="Times New Roman" w:hAnsi="Times New Roman"/>
          <w:sz w:val="20"/>
          <w:szCs w:val="20"/>
          <w:color w:val="171717"/>
        </w:rPr>
        <w:t>ermitted by law.</w:t>
      </w:r>
    </w:p>
    <w:p>
      <w:pPr>
        <w:spacing w:after="0" w:line="216" w:lineRule="exact"/>
        <w:rPr>
          <w:sz w:val="20"/>
          <w:szCs w:val="20"/>
          <w:color w:val="auto"/>
        </w:rPr>
      </w:pPr>
    </w:p>
    <w:p>
      <w:pPr>
        <w:jc w:val="both"/>
        <w:ind w:left="120" w:right="60" w:firstLine="639"/>
        <w:spacing w:after="0" w:line="287" w:lineRule="auto"/>
        <w:rPr>
          <w:sz w:val="20"/>
          <w:szCs w:val="20"/>
          <w:color w:val="auto"/>
        </w:rPr>
      </w:pPr>
      <w:r>
        <w:rPr>
          <w:rFonts w:ascii="Times New Roman" w:cs="Times New Roman" w:eastAsia="Times New Roman" w:hAnsi="Times New Roman"/>
          <w:sz w:val="20"/>
          <w:szCs w:val="20"/>
          <w:b w:val="1"/>
          <w:bCs w:val="1"/>
          <w:color w:val="171717"/>
        </w:rPr>
        <w:t>9</w:t>
      </w:r>
      <w:r>
        <w:rPr>
          <w:rFonts w:ascii="Times New Roman" w:cs="Times New Roman" w:eastAsia="Times New Roman" w:hAnsi="Times New Roman"/>
          <w:sz w:val="20"/>
          <w:szCs w:val="20"/>
          <w:b w:val="1"/>
          <w:bCs w:val="1"/>
          <w:color w:val="070707"/>
        </w:rPr>
        <w:t>.3</w:t>
      </w:r>
      <w:r>
        <w:rPr>
          <w:rFonts w:ascii="Times New Roman" w:cs="Times New Roman" w:eastAsia="Times New Roman" w:hAnsi="Times New Roman"/>
          <w:sz w:val="20"/>
          <w:szCs w:val="20"/>
          <w:b w:val="1"/>
          <w:bCs w:val="1"/>
          <w:color w:val="171717"/>
        </w:rPr>
        <w:t xml:space="preserve"> Ex</w:t>
      </w:r>
      <w:r>
        <w:rPr>
          <w:rFonts w:ascii="Times New Roman" w:cs="Times New Roman" w:eastAsia="Times New Roman" w:hAnsi="Times New Roman"/>
          <w:sz w:val="20"/>
          <w:szCs w:val="20"/>
          <w:b w:val="1"/>
          <w:bCs w:val="1"/>
          <w:color w:val="070707"/>
        </w:rPr>
        <w:t>p</w:t>
      </w:r>
      <w:r>
        <w:rPr>
          <w:rFonts w:ascii="Times New Roman" w:cs="Times New Roman" w:eastAsia="Times New Roman" w:hAnsi="Times New Roman"/>
          <w:sz w:val="20"/>
          <w:szCs w:val="20"/>
          <w:b w:val="1"/>
          <w:bCs w:val="1"/>
          <w:color w:val="171717"/>
        </w:rPr>
        <w:t>e</w:t>
      </w:r>
      <w:r>
        <w:rPr>
          <w:rFonts w:ascii="Times New Roman" w:cs="Times New Roman" w:eastAsia="Times New Roman" w:hAnsi="Times New Roman"/>
          <w:sz w:val="20"/>
          <w:szCs w:val="20"/>
          <w:b w:val="1"/>
          <w:bCs w:val="1"/>
          <w:color w:val="070707"/>
        </w:rPr>
        <w:t>n</w:t>
      </w:r>
      <w:r>
        <w:rPr>
          <w:rFonts w:ascii="Times New Roman" w:cs="Times New Roman" w:eastAsia="Times New Roman" w:hAnsi="Times New Roman"/>
          <w:sz w:val="20"/>
          <w:szCs w:val="20"/>
          <w:b w:val="1"/>
          <w:bCs w:val="1"/>
          <w:color w:val="171717"/>
        </w:rPr>
        <w:t>ses</w:t>
      </w:r>
      <w:r>
        <w:rPr>
          <w:rFonts w:ascii="Times New Roman" w:cs="Times New Roman" w:eastAsia="Times New Roman" w:hAnsi="Times New Roman"/>
          <w:sz w:val="20"/>
          <w:szCs w:val="20"/>
          <w:b w:val="1"/>
          <w:bCs w:val="1"/>
          <w:color w:val="070707"/>
        </w:rPr>
        <w:t>.</w:t>
      </w:r>
      <w:r>
        <w:rPr>
          <w:rFonts w:ascii="Times New Roman" w:cs="Times New Roman" w:eastAsia="Times New Roman" w:hAnsi="Times New Roman"/>
          <w:sz w:val="20"/>
          <w:szCs w:val="20"/>
          <w:b w:val="1"/>
          <w:bCs w:val="1"/>
          <w:color w:val="171717"/>
        </w:rPr>
        <w:t xml:space="preserve"> </w:t>
      </w:r>
      <w:r>
        <w:rPr>
          <w:rFonts w:ascii="Times New Roman" w:cs="Times New Roman" w:eastAsia="Times New Roman" w:hAnsi="Times New Roman"/>
          <w:sz w:val="20"/>
          <w:szCs w:val="20"/>
          <w:color w:val="171717"/>
        </w:rPr>
        <w:t>All expenses and costs incurre</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b w:val="1"/>
          <w:bCs w:val="1"/>
          <w:color w:val="171717"/>
        </w:rPr>
        <w:t xml:space="preserve"> </w:t>
      </w:r>
      <w:r>
        <w:rPr>
          <w:rFonts w:ascii="Times New Roman" w:cs="Times New Roman" w:eastAsia="Times New Roman" w:hAnsi="Times New Roman"/>
          <w:sz w:val="20"/>
          <w:szCs w:val="20"/>
          <w:color w:val="171717"/>
        </w:rPr>
        <w:t>in co</w:t>
      </w:r>
      <w:r>
        <w:rPr>
          <w:rFonts w:ascii="Times New Roman" w:cs="Times New Roman" w:eastAsia="Times New Roman" w:hAnsi="Times New Roman"/>
          <w:sz w:val="20"/>
          <w:szCs w:val="20"/>
          <w:color w:val="070707"/>
        </w:rPr>
        <w:t>nn</w:t>
      </w:r>
      <w:r>
        <w:rPr>
          <w:rFonts w:ascii="Times New Roman" w:cs="Times New Roman" w:eastAsia="Times New Roman" w:hAnsi="Times New Roman"/>
          <w:sz w:val="20"/>
          <w:szCs w:val="20"/>
          <w:color w:val="171717"/>
        </w:rPr>
        <w:t>ec</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ion with the administrat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o</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b w:val="1"/>
          <w:bCs w:val="1"/>
          <w:color w:val="171717"/>
        </w:rPr>
        <w:t xml:space="preserve"> </w:t>
      </w:r>
      <w:r>
        <w:rPr>
          <w:rFonts w:ascii="Times New Roman" w:cs="Times New Roman" w:eastAsia="Times New Roman" w:hAnsi="Times New Roman"/>
          <w:sz w:val="20"/>
          <w:szCs w:val="20"/>
          <w:color w:val="171717"/>
        </w:rPr>
        <w:t>and opera</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ion</w:t>
      </w:r>
      <w:r>
        <w:rPr>
          <w:rFonts w:ascii="Times New Roman" w:cs="Times New Roman" w:eastAsia="Times New Roman" w:hAnsi="Times New Roman"/>
          <w:sz w:val="20"/>
          <w:szCs w:val="20"/>
          <w:b w:val="1"/>
          <w:bCs w:val="1"/>
          <w:color w:val="171717"/>
        </w:rPr>
        <w:t xml:space="preserve"> </w:t>
      </w:r>
      <w:r>
        <w:rPr>
          <w:rFonts w:ascii="Times New Roman" w:cs="Times New Roman" w:eastAsia="Times New Roman" w:hAnsi="Times New Roman"/>
          <w:sz w:val="20"/>
          <w:szCs w:val="20"/>
          <w:color w:val="070707"/>
        </w:rPr>
        <w:t>o</w:t>
      </w:r>
      <w:r>
        <w:rPr>
          <w:rFonts w:ascii="Times New Roman" w:cs="Times New Roman" w:eastAsia="Times New Roman" w:hAnsi="Times New Roman"/>
          <w:sz w:val="20"/>
          <w:szCs w:val="20"/>
          <w:color w:val="171717"/>
        </w:rPr>
        <w:t>f the Plan</w:t>
      </w:r>
      <w:r>
        <w:rPr>
          <w:rFonts w:ascii="Times New Roman" w:cs="Times New Roman" w:eastAsia="Times New Roman" w:hAnsi="Times New Roman"/>
          <w:sz w:val="20"/>
          <w:szCs w:val="20"/>
          <w:b w:val="1"/>
          <w:bCs w:val="1"/>
          <w:color w:val="171717"/>
        </w:rPr>
        <w:t xml:space="preserve"> </w:t>
      </w:r>
      <w:r>
        <w:rPr>
          <w:rFonts w:ascii="Times New Roman" w:cs="Times New Roman" w:eastAsia="Times New Roman" w:hAnsi="Times New Roman"/>
          <w:sz w:val="20"/>
          <w:szCs w:val="20"/>
          <w:color w:val="2F2F2F"/>
        </w:rPr>
        <w:t>a</w:t>
      </w:r>
      <w:r>
        <w:rPr>
          <w:rFonts w:ascii="Times New Roman" w:cs="Times New Roman" w:eastAsia="Times New Roman" w:hAnsi="Times New Roman"/>
          <w:sz w:val="20"/>
          <w:szCs w:val="20"/>
          <w:color w:val="171717"/>
        </w:rPr>
        <w:t>nd</w:t>
      </w:r>
      <w:r>
        <w:rPr>
          <w:rFonts w:ascii="Times New Roman" w:cs="Times New Roman" w:eastAsia="Times New Roman" w:hAnsi="Times New Roman"/>
          <w:sz w:val="20"/>
          <w:szCs w:val="20"/>
          <w:b w:val="1"/>
          <w:bCs w:val="1"/>
          <w:color w:val="171717"/>
        </w:rPr>
        <w:t xml:space="preserve"> </w:t>
      </w:r>
      <w:r>
        <w:rPr>
          <w:rFonts w:ascii="Times New Roman" w:cs="Times New Roman" w:eastAsia="Times New Roman" w:hAnsi="Times New Roman"/>
          <w:sz w:val="20"/>
          <w:szCs w:val="20"/>
          <w:color w:val="070707"/>
        </w:rPr>
        <w:t>Tru</w:t>
      </w:r>
      <w:r>
        <w:rPr>
          <w:rFonts w:ascii="Times New Roman" w:cs="Times New Roman" w:eastAsia="Times New Roman" w:hAnsi="Times New Roman"/>
          <w:sz w:val="20"/>
          <w:szCs w:val="20"/>
          <w:color w:val="171717"/>
        </w:rPr>
        <w:t>st shall</w:t>
      </w:r>
      <w:r>
        <w:rPr>
          <w:rFonts w:ascii="Times New Roman" w:cs="Times New Roman" w:eastAsia="Times New Roman" w:hAnsi="Times New Roman"/>
          <w:sz w:val="20"/>
          <w:szCs w:val="20"/>
          <w:b w:val="1"/>
          <w:bCs w:val="1"/>
          <w:color w:val="171717"/>
        </w:rPr>
        <w:t xml:space="preserve"> </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b w:val="1"/>
          <w:bCs w:val="1"/>
          <w:color w:val="171717"/>
        </w:rPr>
        <w:t xml:space="preserve"> </w:t>
      </w:r>
      <w:r>
        <w:rPr>
          <w:rFonts w:ascii="Times New Roman" w:cs="Times New Roman" w:eastAsia="Times New Roman" w:hAnsi="Times New Roman"/>
          <w:sz w:val="20"/>
          <w:szCs w:val="20"/>
          <w:color w:val="171717"/>
        </w:rPr>
        <w:t xml:space="preserve">borne </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71717"/>
        </w:rPr>
        <w:t>y the Company.</w:t>
      </w:r>
    </w:p>
    <w:p>
      <w:pPr>
        <w:spacing w:after="0" w:line="179" w:lineRule="exact"/>
        <w:rPr>
          <w:sz w:val="20"/>
          <w:szCs w:val="20"/>
          <w:color w:val="auto"/>
        </w:rPr>
      </w:pPr>
    </w:p>
    <w:p>
      <w:pPr>
        <w:jc w:val="both"/>
        <w:ind w:left="120" w:right="40" w:firstLine="648"/>
        <w:spacing w:after="0" w:line="256" w:lineRule="auto"/>
        <w:rPr>
          <w:sz w:val="20"/>
          <w:szCs w:val="20"/>
          <w:color w:val="auto"/>
        </w:rPr>
      </w:pPr>
      <w:r>
        <w:rPr>
          <w:rFonts w:ascii="Times New Roman" w:cs="Times New Roman" w:eastAsia="Times New Roman" w:hAnsi="Times New Roman"/>
          <w:sz w:val="20"/>
          <w:szCs w:val="20"/>
          <w:b w:val="1"/>
          <w:bCs w:val="1"/>
          <w:color w:val="070707"/>
        </w:rPr>
        <w:t>9.4 L</w:t>
      </w:r>
      <w:r>
        <w:rPr>
          <w:rFonts w:ascii="Times New Roman" w:cs="Times New Roman" w:eastAsia="Times New Roman" w:hAnsi="Times New Roman"/>
          <w:sz w:val="20"/>
          <w:szCs w:val="20"/>
          <w:b w:val="1"/>
          <w:bCs w:val="1"/>
          <w:color w:val="171717"/>
        </w:rPr>
        <w:t>eg</w:t>
      </w:r>
      <w:r>
        <w:rPr>
          <w:rFonts w:ascii="Times New Roman" w:cs="Times New Roman" w:eastAsia="Times New Roman" w:hAnsi="Times New Roman"/>
          <w:sz w:val="20"/>
          <w:szCs w:val="20"/>
          <w:b w:val="1"/>
          <w:bCs w:val="1"/>
          <w:color w:val="070707"/>
        </w:rPr>
        <w:t>al P</w:t>
      </w:r>
      <w:r>
        <w:rPr>
          <w:rFonts w:ascii="Times New Roman" w:cs="Times New Roman" w:eastAsia="Times New Roman" w:hAnsi="Times New Roman"/>
          <w:sz w:val="20"/>
          <w:szCs w:val="20"/>
          <w:b w:val="1"/>
          <w:bCs w:val="1"/>
          <w:color w:val="171717"/>
        </w:rPr>
        <w:t>r</w:t>
      </w:r>
      <w:r>
        <w:rPr>
          <w:rFonts w:ascii="Times New Roman" w:cs="Times New Roman" w:eastAsia="Times New Roman" w:hAnsi="Times New Roman"/>
          <w:sz w:val="20"/>
          <w:szCs w:val="20"/>
          <w:b w:val="1"/>
          <w:bCs w:val="1"/>
          <w:color w:val="070707"/>
        </w:rPr>
        <w:t>oc</w:t>
      </w:r>
      <w:r>
        <w:rPr>
          <w:rFonts w:ascii="Times New Roman" w:cs="Times New Roman" w:eastAsia="Times New Roman" w:hAnsi="Times New Roman"/>
          <w:sz w:val="20"/>
          <w:szCs w:val="20"/>
          <w:b w:val="1"/>
          <w:bCs w:val="1"/>
          <w:color w:val="171717"/>
        </w:rPr>
        <w:t>ee</w:t>
      </w:r>
      <w:r>
        <w:rPr>
          <w:rFonts w:ascii="Times New Roman" w:cs="Times New Roman" w:eastAsia="Times New Roman" w:hAnsi="Times New Roman"/>
          <w:sz w:val="20"/>
          <w:szCs w:val="20"/>
          <w:b w:val="1"/>
          <w:bCs w:val="1"/>
          <w:color w:val="070707"/>
        </w:rPr>
        <w:t>ding</w:t>
      </w:r>
      <w:r>
        <w:rPr>
          <w:rFonts w:ascii="Times New Roman" w:cs="Times New Roman" w:eastAsia="Times New Roman" w:hAnsi="Times New Roman"/>
          <w:sz w:val="20"/>
          <w:szCs w:val="20"/>
          <w:b w:val="1"/>
          <w:bCs w:val="1"/>
          <w:color w:val="171717"/>
        </w:rPr>
        <w:t>s</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Ne</w:t>
      </w:r>
      <w:r>
        <w:rPr>
          <w:rFonts w:ascii="Times New Roman" w:cs="Times New Roman" w:eastAsia="Times New Roman" w:hAnsi="Times New Roman"/>
          <w:sz w:val="20"/>
          <w:szCs w:val="20"/>
          <w:color w:val="171717"/>
        </w:rPr>
        <w:t>ither</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he Company, the Board, the Compensation Committee, the Administrato</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nor any ot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er person</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shall be bou</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 xml:space="preserve">d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o inst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tute any lega</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 xml:space="preserve"> action again</w:t>
      </w:r>
      <w:r>
        <w:rPr>
          <w:rFonts w:ascii="Times New Roman" w:cs="Times New Roman" w:eastAsia="Times New Roman" w:hAnsi="Times New Roman"/>
          <w:sz w:val="20"/>
          <w:szCs w:val="20"/>
          <w:color w:val="070707"/>
        </w:rPr>
        <w:t>s</w:t>
      </w:r>
      <w:r>
        <w:rPr>
          <w:rFonts w:ascii="Times New Roman" w:cs="Times New Roman" w:eastAsia="Times New Roman" w:hAnsi="Times New Roman"/>
          <w:sz w:val="20"/>
          <w:szCs w:val="20"/>
          <w:color w:val="171717"/>
        </w:rPr>
        <w:t xml:space="preserve">t or </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71717"/>
        </w:rPr>
        <w:t>et</w:t>
      </w:r>
      <w:r>
        <w:rPr>
          <w:rFonts w:ascii="Times New Roman" w:cs="Times New Roman" w:eastAsia="Times New Roman" w:hAnsi="Times New Roman"/>
          <w:sz w:val="20"/>
          <w:szCs w:val="20"/>
          <w:color w:val="070707"/>
        </w:rPr>
        <w:t>w</w:t>
      </w:r>
      <w:r>
        <w:rPr>
          <w:rFonts w:ascii="Times New Roman" w:cs="Times New Roman" w:eastAsia="Times New Roman" w:hAnsi="Times New Roman"/>
          <w:sz w:val="20"/>
          <w:szCs w:val="20"/>
          <w:color w:val="171717"/>
        </w:rPr>
        <w:t xml:space="preserve">een any person or persons, unless </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t shall firs</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 xml:space="preserve"> have be</w:t>
      </w:r>
      <w:r>
        <w:rPr>
          <w:rFonts w:ascii="Times New Roman" w:cs="Times New Roman" w:eastAsia="Times New Roman" w:hAnsi="Times New Roman"/>
          <w:sz w:val="20"/>
          <w:szCs w:val="20"/>
          <w:color w:val="070707"/>
        </w:rPr>
        <w:t>en</w:t>
      </w:r>
      <w:r>
        <w:rPr>
          <w:rFonts w:ascii="Times New Roman" w:cs="Times New Roman" w:eastAsia="Times New Roman" w:hAnsi="Times New Roman"/>
          <w:sz w:val="20"/>
          <w:szCs w:val="20"/>
          <w:color w:val="171717"/>
        </w:rPr>
        <w:t xml:space="preserve"> indemn</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fied to its</w:t>
      </w:r>
    </w:p>
    <w:p>
      <w:pPr>
        <w:spacing w:after="0" w:line="1" w:lineRule="exact"/>
        <w:rPr>
          <w:sz w:val="20"/>
          <w:szCs w:val="20"/>
          <w:color w:val="auto"/>
        </w:rPr>
      </w:pPr>
    </w:p>
    <w:p>
      <w:pPr>
        <w:jc w:val="both"/>
        <w:ind w:left="120" w:right="40"/>
        <w:spacing w:after="0" w:line="263" w:lineRule="auto"/>
        <w:rPr>
          <w:sz w:val="20"/>
          <w:szCs w:val="20"/>
          <w:color w:val="auto"/>
        </w:rPr>
      </w:pPr>
      <w:r>
        <w:rPr>
          <w:rFonts w:ascii="Times New Roman" w:cs="Times New Roman" w:eastAsia="Times New Roman" w:hAnsi="Times New Roman"/>
          <w:sz w:val="20"/>
          <w:szCs w:val="20"/>
          <w:color w:val="171717"/>
        </w:rPr>
        <w:t>sa</w:t>
      </w:r>
      <w:r>
        <w:rPr>
          <w:rFonts w:ascii="Times New Roman" w:cs="Times New Roman" w:eastAsia="Times New Roman" w:hAnsi="Times New Roman"/>
          <w:sz w:val="20"/>
          <w:szCs w:val="20"/>
          <w:color w:val="070707"/>
        </w:rPr>
        <w:t>ti</w:t>
      </w:r>
      <w:r>
        <w:rPr>
          <w:rFonts w:ascii="Times New Roman" w:cs="Times New Roman" w:eastAsia="Times New Roman" w:hAnsi="Times New Roman"/>
          <w:sz w:val="20"/>
          <w:szCs w:val="20"/>
          <w:color w:val="171717"/>
        </w:rPr>
        <w:t>sfact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o</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 xml:space="preserve"> by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he P</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an</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71717"/>
        </w:rPr>
        <w:t xml:space="preserve"> </w:t>
      </w:r>
      <w:r>
        <w:rPr>
          <w:rFonts w:ascii="Times New Roman" w:cs="Times New Roman" w:eastAsia="Times New Roman" w:hAnsi="Times New Roman"/>
          <w:sz w:val="21"/>
          <w:szCs w:val="21"/>
          <w:color w:val="070707"/>
        </w:rPr>
        <w:t>If</w:t>
      </w:r>
      <w:r>
        <w:rPr>
          <w:rFonts w:ascii="Times New Roman" w:cs="Times New Roman" w:eastAsia="Times New Roman" w:hAnsi="Times New Roman"/>
          <w:sz w:val="20"/>
          <w:szCs w:val="20"/>
          <w:color w:val="171717"/>
        </w:rPr>
        <w:t xml:space="preserve"> any </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ispute shall arise regar</w:t>
      </w:r>
      <w:r>
        <w:rPr>
          <w:rFonts w:ascii="Times New Roman" w:cs="Times New Roman" w:eastAsia="Times New Roman" w:hAnsi="Times New Roman"/>
          <w:sz w:val="20"/>
          <w:szCs w:val="20"/>
          <w:color w:val="2F2F2F"/>
        </w:rPr>
        <w:t>d</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 xml:space="preserve">ng the </w:t>
      </w:r>
      <w:r>
        <w:rPr>
          <w:rFonts w:ascii="Times New Roman" w:cs="Times New Roman" w:eastAsia="Times New Roman" w:hAnsi="Times New Roman"/>
          <w:sz w:val="20"/>
          <w:szCs w:val="20"/>
          <w:color w:val="070707"/>
        </w:rPr>
        <w:t>p</w:t>
      </w:r>
      <w:r>
        <w:rPr>
          <w:rFonts w:ascii="Times New Roman" w:cs="Times New Roman" w:eastAsia="Times New Roman" w:hAnsi="Times New Roman"/>
          <w:sz w:val="20"/>
          <w:szCs w:val="20"/>
          <w:color w:val="171717"/>
        </w:rPr>
        <w:t>erson to whom payment o</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 xml:space="preserve"> del</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ve</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y of 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y s</w:t>
      </w:r>
      <w:r>
        <w:rPr>
          <w:rFonts w:ascii="Times New Roman" w:cs="Times New Roman" w:eastAsia="Times New Roman" w:hAnsi="Times New Roman"/>
          <w:sz w:val="20"/>
          <w:szCs w:val="20"/>
          <w:color w:val="070707"/>
        </w:rPr>
        <w:t>um</w:t>
      </w:r>
      <w:r>
        <w:rPr>
          <w:rFonts w:ascii="Times New Roman" w:cs="Times New Roman" w:eastAsia="Times New Roman" w:hAnsi="Times New Roman"/>
          <w:sz w:val="20"/>
          <w:szCs w:val="20"/>
          <w:color w:val="171717"/>
        </w:rPr>
        <w:t>s o</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 xml:space="preserve"> pro</w:t>
      </w:r>
      <w:r>
        <w:rPr>
          <w:rFonts w:ascii="Times New Roman" w:cs="Times New Roman" w:eastAsia="Times New Roman" w:hAnsi="Times New Roman"/>
          <w:sz w:val="20"/>
          <w:szCs w:val="20"/>
          <w:color w:val="070707"/>
        </w:rPr>
        <w:t>p</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ty shoul</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 xml:space="preserve"> be made by 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e Co</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pany, o</w:t>
      </w:r>
      <w:r>
        <w:rPr>
          <w:rFonts w:ascii="Times New Roman" w:cs="Times New Roman" w:eastAsia="Times New Roman" w:hAnsi="Times New Roman"/>
          <w:sz w:val="20"/>
          <w:szCs w:val="20"/>
          <w:color w:val="070707"/>
        </w:rPr>
        <w:t>r r</w:t>
      </w:r>
      <w:r>
        <w:rPr>
          <w:rFonts w:ascii="Times New Roman" w:cs="Times New Roman" w:eastAsia="Times New Roman" w:hAnsi="Times New Roman"/>
          <w:sz w:val="20"/>
          <w:szCs w:val="20"/>
          <w:color w:val="171717"/>
        </w:rPr>
        <w:t>ega</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d</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ng any act to be pe</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fo</w:t>
      </w:r>
      <w:r>
        <w:rPr>
          <w:rFonts w:ascii="Times New Roman" w:cs="Times New Roman" w:eastAsia="Times New Roman" w:hAnsi="Times New Roman"/>
          <w:sz w:val="20"/>
          <w:szCs w:val="20"/>
          <w:color w:val="070707"/>
        </w:rPr>
        <w:t>rm</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2F2F2F"/>
        </w:rPr>
        <w:t>,</w:t>
      </w:r>
      <w:r>
        <w:rPr>
          <w:rFonts w:ascii="Times New Roman" w:cs="Times New Roman" w:eastAsia="Times New Roman" w:hAnsi="Times New Roman"/>
          <w:sz w:val="20"/>
          <w:szCs w:val="20"/>
          <w:color w:val="171717"/>
        </w:rPr>
        <w:t xml:space="preserve"> the Compa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 xml:space="preserve">y </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ay, in its s</w:t>
      </w:r>
      <w:r>
        <w:rPr>
          <w:rFonts w:ascii="Times New Roman" w:cs="Times New Roman" w:eastAsia="Times New Roman" w:hAnsi="Times New Roman"/>
          <w:sz w:val="20"/>
          <w:szCs w:val="20"/>
          <w:color w:val="070707"/>
        </w:rPr>
        <w:t>ol</w:t>
      </w:r>
      <w:r>
        <w:rPr>
          <w:rFonts w:ascii="Times New Roman" w:cs="Times New Roman" w:eastAsia="Times New Roman" w:hAnsi="Times New Roman"/>
          <w:sz w:val="20"/>
          <w:szCs w:val="20"/>
          <w:color w:val="171717"/>
        </w:rPr>
        <w:t>e d</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scre</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ion</w:t>
      </w:r>
      <w:r>
        <w:rPr>
          <w:rFonts w:ascii="Times New Roman" w:cs="Times New Roman" w:eastAsia="Times New Roman" w:hAnsi="Times New Roman"/>
          <w:sz w:val="20"/>
          <w:szCs w:val="20"/>
          <w:color w:val="2F2F2F"/>
        </w:rPr>
        <w:t>,</w:t>
      </w:r>
      <w:r>
        <w:rPr>
          <w:rFonts w:ascii="Times New Roman" w:cs="Times New Roman" w:eastAsia="Times New Roman" w:hAnsi="Times New Roman"/>
          <w:sz w:val="20"/>
          <w:szCs w:val="20"/>
          <w:color w:val="171717"/>
        </w:rPr>
        <w:t xml:space="preserve"> </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eta</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n suc</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 xml:space="preserve"> pay</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t a</w:t>
      </w:r>
      <w:r>
        <w:rPr>
          <w:rFonts w:ascii="Times New Roman" w:cs="Times New Roman" w:eastAsia="Times New Roman" w:hAnsi="Times New Roman"/>
          <w:sz w:val="20"/>
          <w:szCs w:val="20"/>
          <w:color w:val="070707"/>
        </w:rPr>
        <w:t>nd</w:t>
      </w:r>
      <w:r>
        <w:rPr>
          <w:rFonts w:ascii="Times New Roman" w:cs="Times New Roman" w:eastAsia="Times New Roman" w:hAnsi="Times New Roman"/>
          <w:sz w:val="20"/>
          <w:szCs w:val="20"/>
          <w:color w:val="171717"/>
        </w:rPr>
        <w:t xml:space="preserve"> pos</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po</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e the perform</w:t>
      </w:r>
      <w:r>
        <w:rPr>
          <w:rFonts w:ascii="Times New Roman" w:cs="Times New Roman" w:eastAsia="Times New Roman" w:hAnsi="Times New Roman"/>
          <w:sz w:val="20"/>
          <w:szCs w:val="20"/>
          <w:color w:val="070707"/>
        </w:rPr>
        <w:t>in</w:t>
      </w:r>
      <w:r>
        <w:rPr>
          <w:rFonts w:ascii="Times New Roman" w:cs="Times New Roman" w:eastAsia="Times New Roman" w:hAnsi="Times New Roman"/>
          <w:sz w:val="20"/>
          <w:szCs w:val="20"/>
          <w:color w:val="171717"/>
        </w:rPr>
        <w:t>g of s</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 xml:space="preserve">ch act </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n</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 xml:space="preserve"> fi</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 xml:space="preserve"> adj</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d</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catio</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 xml:space="preserve"> of s</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ch dispute s</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ll h</w:t>
      </w:r>
      <w:r>
        <w:rPr>
          <w:rFonts w:ascii="Times New Roman" w:cs="Times New Roman" w:eastAsia="Times New Roman" w:hAnsi="Times New Roman"/>
          <w:sz w:val="20"/>
          <w:szCs w:val="20"/>
          <w:color w:val="171717"/>
        </w:rPr>
        <w:t>ave bee</w:t>
      </w:r>
      <w:r>
        <w:rPr>
          <w:rFonts w:ascii="Times New Roman" w:cs="Times New Roman" w:eastAsia="Times New Roman" w:hAnsi="Times New Roman"/>
          <w:sz w:val="20"/>
          <w:szCs w:val="20"/>
          <w:color w:val="070707"/>
        </w:rPr>
        <w:t>n m</w:t>
      </w:r>
      <w:r>
        <w:rPr>
          <w:rFonts w:ascii="Times New Roman" w:cs="Times New Roman" w:eastAsia="Times New Roman" w:hAnsi="Times New Roman"/>
          <w:sz w:val="20"/>
          <w:szCs w:val="20"/>
          <w:color w:val="171717"/>
        </w:rPr>
        <w:t xml:space="preserve">ade </w:t>
      </w:r>
      <w:r>
        <w:rPr>
          <w:rFonts w:ascii="Times New Roman" w:cs="Times New Roman" w:eastAsia="Times New Roman" w:hAnsi="Times New Roman"/>
          <w:sz w:val="20"/>
          <w:szCs w:val="20"/>
          <w:color w:val="070707"/>
        </w:rPr>
        <w:t>in</w:t>
      </w:r>
      <w:r>
        <w:rPr>
          <w:rFonts w:ascii="Times New Roman" w:cs="Times New Roman" w:eastAsia="Times New Roman" w:hAnsi="Times New Roman"/>
          <w:sz w:val="20"/>
          <w:szCs w:val="20"/>
          <w:color w:val="171717"/>
        </w:rPr>
        <w:t xml:space="preserve"> a co</w:t>
      </w:r>
      <w:r>
        <w:rPr>
          <w:rFonts w:ascii="Times New Roman" w:cs="Times New Roman" w:eastAsia="Times New Roman" w:hAnsi="Times New Roman"/>
          <w:sz w:val="20"/>
          <w:szCs w:val="20"/>
          <w:color w:val="070707"/>
        </w:rPr>
        <w:t>urt</w:t>
      </w:r>
      <w:r>
        <w:rPr>
          <w:rFonts w:ascii="Times New Roman" w:cs="Times New Roman" w:eastAsia="Times New Roman" w:hAnsi="Times New Roman"/>
          <w:sz w:val="20"/>
          <w:szCs w:val="20"/>
          <w:color w:val="171717"/>
        </w:rPr>
        <w:t xml:space="preserve"> of compete</w:t>
      </w:r>
      <w:r>
        <w:rPr>
          <w:rFonts w:ascii="Times New Roman" w:cs="Times New Roman" w:eastAsia="Times New Roman" w:hAnsi="Times New Roman"/>
          <w:sz w:val="20"/>
          <w:szCs w:val="20"/>
          <w:color w:val="070707"/>
        </w:rPr>
        <w:t>nt</w:t>
      </w:r>
      <w:r>
        <w:rPr>
          <w:rFonts w:ascii="Times New Roman" w:cs="Times New Roman" w:eastAsia="Times New Roman" w:hAnsi="Times New Roman"/>
          <w:sz w:val="20"/>
          <w:szCs w:val="20"/>
          <w:color w:val="171717"/>
        </w:rPr>
        <w:t xml:space="preserve"> juris</w:t>
      </w:r>
      <w:r>
        <w:rPr>
          <w:rFonts w:ascii="Times New Roman" w:cs="Times New Roman" w:eastAsia="Times New Roman" w:hAnsi="Times New Roman"/>
          <w:sz w:val="20"/>
          <w:szCs w:val="20"/>
          <w:color w:val="070707"/>
        </w:rPr>
        <w:t>di</w:t>
      </w:r>
      <w:r>
        <w:rPr>
          <w:rFonts w:ascii="Times New Roman" w:cs="Times New Roman" w:eastAsia="Times New Roman" w:hAnsi="Times New Roman"/>
          <w:sz w:val="20"/>
          <w:szCs w:val="20"/>
          <w:color w:val="171717"/>
        </w:rPr>
        <w:t>c</w:t>
      </w:r>
      <w:r>
        <w:rPr>
          <w:rFonts w:ascii="Times New Roman" w:cs="Times New Roman" w:eastAsia="Times New Roman" w:hAnsi="Times New Roman"/>
          <w:sz w:val="20"/>
          <w:szCs w:val="20"/>
          <w:color w:val="070707"/>
        </w:rPr>
        <w:t>ti</w:t>
      </w:r>
      <w:r>
        <w:rPr>
          <w:rFonts w:ascii="Times New Roman" w:cs="Times New Roman" w:eastAsia="Times New Roman" w:hAnsi="Times New Roman"/>
          <w:sz w:val="20"/>
          <w:szCs w:val="20"/>
          <w:color w:val="171717"/>
        </w:rPr>
        <w:t>on o</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 xml:space="preserve"> o</w:t>
      </w:r>
      <w:r>
        <w:rPr>
          <w:rFonts w:ascii="Times New Roman" w:cs="Times New Roman" w:eastAsia="Times New Roman" w:hAnsi="Times New Roman"/>
          <w:sz w:val="20"/>
          <w:szCs w:val="20"/>
          <w:color w:val="070707"/>
        </w:rPr>
        <w:t>th</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wise to 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e satisfact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o</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 xml:space="preserve"> of 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e Co</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pany o</w:t>
      </w:r>
      <w:r>
        <w:rPr>
          <w:rFonts w:ascii="Times New Roman" w:cs="Times New Roman" w:eastAsia="Times New Roman" w:hAnsi="Times New Roman"/>
          <w:sz w:val="20"/>
          <w:szCs w:val="20"/>
          <w:color w:val="070707"/>
        </w:rPr>
        <w:t>r un</w:t>
      </w:r>
      <w:r>
        <w:rPr>
          <w:rFonts w:ascii="Times New Roman" w:cs="Times New Roman" w:eastAsia="Times New Roman" w:hAnsi="Times New Roman"/>
          <w:sz w:val="20"/>
          <w:szCs w:val="20"/>
          <w:color w:val="171717"/>
        </w:rPr>
        <w:t xml:space="preserve">til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he Co</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pa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y s</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ll</w:t>
      </w:r>
      <w:r>
        <w:rPr>
          <w:rFonts w:ascii="Times New Roman" w:cs="Times New Roman" w:eastAsia="Times New Roman" w:hAnsi="Times New Roman"/>
          <w:sz w:val="20"/>
          <w:szCs w:val="20"/>
          <w:color w:val="171717"/>
        </w:rPr>
        <w:t xml:space="preserve"> have bee</w:t>
      </w:r>
      <w:r>
        <w:rPr>
          <w:rFonts w:ascii="Times New Roman" w:cs="Times New Roman" w:eastAsia="Times New Roman" w:hAnsi="Times New Roman"/>
          <w:sz w:val="20"/>
          <w:szCs w:val="20"/>
          <w:color w:val="070707"/>
        </w:rPr>
        <w:t>n i</w:t>
      </w:r>
      <w:r>
        <w:rPr>
          <w:rFonts w:ascii="Times New Roman" w:cs="Times New Roman" w:eastAsia="Times New Roman" w:hAnsi="Times New Roman"/>
          <w:sz w:val="20"/>
          <w:szCs w:val="20"/>
          <w:color w:val="171717"/>
        </w:rPr>
        <w:t>nde</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n</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fie</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 xml:space="preserve"> aga</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ns</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 xml:space="preserve"> loss to </w:t>
      </w:r>
      <w:r>
        <w:rPr>
          <w:rFonts w:ascii="Times New Roman" w:cs="Times New Roman" w:eastAsia="Times New Roman" w:hAnsi="Times New Roman"/>
          <w:sz w:val="20"/>
          <w:szCs w:val="20"/>
          <w:color w:val="070707"/>
        </w:rPr>
        <w:t>it</w:t>
      </w:r>
      <w:r>
        <w:rPr>
          <w:rFonts w:ascii="Times New Roman" w:cs="Times New Roman" w:eastAsia="Times New Roman" w:hAnsi="Times New Roman"/>
          <w:sz w:val="20"/>
          <w:szCs w:val="20"/>
          <w:color w:val="171717"/>
        </w:rPr>
        <w:t>s sat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sfaction.</w:t>
      </w:r>
    </w:p>
    <w:p>
      <w:pPr>
        <w:spacing w:after="0" w:line="215" w:lineRule="exact"/>
        <w:rPr>
          <w:sz w:val="20"/>
          <w:szCs w:val="20"/>
          <w:color w:val="auto"/>
        </w:rPr>
      </w:pPr>
    </w:p>
    <w:p>
      <w:pPr>
        <w:jc w:val="both"/>
        <w:ind w:left="100" w:right="80" w:firstLine="648"/>
        <w:spacing w:after="0" w:line="274" w:lineRule="auto"/>
        <w:rPr>
          <w:sz w:val="20"/>
          <w:szCs w:val="20"/>
          <w:color w:val="auto"/>
        </w:rPr>
      </w:pPr>
      <w:r>
        <w:rPr>
          <w:rFonts w:ascii="Times New Roman" w:cs="Times New Roman" w:eastAsia="Times New Roman" w:hAnsi="Times New Roman"/>
          <w:sz w:val="20"/>
          <w:szCs w:val="20"/>
          <w:b w:val="1"/>
          <w:bCs w:val="1"/>
          <w:color w:val="070707"/>
        </w:rPr>
        <w:t>9</w:t>
      </w:r>
      <w:r>
        <w:rPr>
          <w:rFonts w:ascii="Times New Roman" w:cs="Times New Roman" w:eastAsia="Times New Roman" w:hAnsi="Times New Roman"/>
          <w:sz w:val="20"/>
          <w:szCs w:val="20"/>
          <w:b w:val="1"/>
          <w:bCs w:val="1"/>
          <w:color w:val="171717"/>
        </w:rPr>
        <w:t>.</w:t>
      </w:r>
      <w:r>
        <w:rPr>
          <w:rFonts w:ascii="Times New Roman" w:cs="Times New Roman" w:eastAsia="Times New Roman" w:hAnsi="Times New Roman"/>
          <w:sz w:val="20"/>
          <w:szCs w:val="20"/>
          <w:b w:val="1"/>
          <w:bCs w:val="1"/>
          <w:color w:val="070707"/>
        </w:rPr>
        <w:t>5 Di</w:t>
      </w:r>
      <w:r>
        <w:rPr>
          <w:rFonts w:ascii="Times New Roman" w:cs="Times New Roman" w:eastAsia="Times New Roman" w:hAnsi="Times New Roman"/>
          <w:sz w:val="20"/>
          <w:szCs w:val="20"/>
          <w:b w:val="1"/>
          <w:bCs w:val="1"/>
          <w:color w:val="171717"/>
        </w:rPr>
        <w:t>s</w:t>
      </w:r>
      <w:r>
        <w:rPr>
          <w:rFonts w:ascii="Times New Roman" w:cs="Times New Roman" w:eastAsia="Times New Roman" w:hAnsi="Times New Roman"/>
          <w:sz w:val="20"/>
          <w:szCs w:val="20"/>
          <w:b w:val="1"/>
          <w:bCs w:val="1"/>
          <w:color w:val="070707"/>
        </w:rPr>
        <w:t>put</w:t>
      </w:r>
      <w:r>
        <w:rPr>
          <w:rFonts w:ascii="Times New Roman" w:cs="Times New Roman" w:eastAsia="Times New Roman" w:hAnsi="Times New Roman"/>
          <w:sz w:val="20"/>
          <w:szCs w:val="20"/>
          <w:b w:val="1"/>
          <w:bCs w:val="1"/>
          <w:color w:val="171717"/>
        </w:rPr>
        <w:t>e</w:t>
      </w:r>
      <w:r>
        <w:rPr>
          <w:rFonts w:ascii="Times New Roman" w:cs="Times New Roman" w:eastAsia="Times New Roman" w:hAnsi="Times New Roman"/>
          <w:sz w:val="20"/>
          <w:szCs w:val="20"/>
          <w:b w:val="1"/>
          <w:bCs w:val="1"/>
          <w:color w:val="070707"/>
        </w:rPr>
        <w:t xml:space="preserve">d </w:t>
      </w:r>
      <w:r>
        <w:rPr>
          <w:rFonts w:ascii="Times New Roman" w:cs="Times New Roman" w:eastAsia="Times New Roman" w:hAnsi="Times New Roman"/>
          <w:sz w:val="20"/>
          <w:szCs w:val="20"/>
          <w:b w:val="1"/>
          <w:bCs w:val="1"/>
          <w:color w:val="171717"/>
        </w:rPr>
        <w:t>P</w:t>
      </w:r>
      <w:r>
        <w:rPr>
          <w:rFonts w:ascii="Times New Roman" w:cs="Times New Roman" w:eastAsia="Times New Roman" w:hAnsi="Times New Roman"/>
          <w:sz w:val="20"/>
          <w:szCs w:val="20"/>
          <w:b w:val="1"/>
          <w:bCs w:val="1"/>
          <w:color w:val="070707"/>
        </w:rPr>
        <w:t>a</w:t>
      </w:r>
      <w:r>
        <w:rPr>
          <w:rFonts w:ascii="Times New Roman" w:cs="Times New Roman" w:eastAsia="Times New Roman" w:hAnsi="Times New Roman"/>
          <w:sz w:val="20"/>
          <w:szCs w:val="20"/>
          <w:b w:val="1"/>
          <w:bCs w:val="1"/>
          <w:color w:val="171717"/>
        </w:rPr>
        <w:t>yee</w:t>
      </w:r>
      <w:r>
        <w:rPr>
          <w:rFonts w:ascii="Times New Roman" w:cs="Times New Roman" w:eastAsia="Times New Roman" w:hAnsi="Times New Roman"/>
          <w:sz w:val="20"/>
          <w:szCs w:val="20"/>
          <w:b w:val="1"/>
          <w:bCs w:val="1"/>
          <w:color w:val="070707"/>
        </w:rPr>
        <w:t xml:space="preserve"> or </w:t>
      </w:r>
      <w:r>
        <w:rPr>
          <w:rFonts w:ascii="Times New Roman" w:cs="Times New Roman" w:eastAsia="Times New Roman" w:hAnsi="Times New Roman"/>
          <w:sz w:val="20"/>
          <w:szCs w:val="20"/>
          <w:b w:val="1"/>
          <w:bCs w:val="1"/>
          <w:color w:val="171717"/>
        </w:rPr>
        <w:t>A</w:t>
      </w:r>
      <w:r>
        <w:rPr>
          <w:rFonts w:ascii="Times New Roman" w:cs="Times New Roman" w:eastAsia="Times New Roman" w:hAnsi="Times New Roman"/>
          <w:sz w:val="20"/>
          <w:szCs w:val="20"/>
          <w:b w:val="1"/>
          <w:bCs w:val="1"/>
          <w:color w:val="070707"/>
        </w:rPr>
        <w:t>ct</w:t>
      </w:r>
      <w:r>
        <w:rPr>
          <w:rFonts w:ascii="Times New Roman" w:cs="Times New Roman" w:eastAsia="Times New Roman" w:hAnsi="Times New Roman"/>
          <w:sz w:val="20"/>
          <w:szCs w:val="20"/>
          <w:b w:val="1"/>
          <w:bCs w:val="1"/>
          <w:color w:val="171717"/>
        </w:rPr>
        <w:t>.</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If any</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ispute ar</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ses regarding the person to w</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om payment or delivery of 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y s</w:t>
      </w:r>
      <w:r>
        <w:rPr>
          <w:rFonts w:ascii="Times New Roman" w:cs="Times New Roman" w:eastAsia="Times New Roman" w:hAnsi="Times New Roman"/>
          <w:sz w:val="20"/>
          <w:szCs w:val="20"/>
          <w:color w:val="070707"/>
        </w:rPr>
        <w:t>um</w:t>
      </w:r>
      <w:r>
        <w:rPr>
          <w:rFonts w:ascii="Times New Roman" w:cs="Times New Roman" w:eastAsia="Times New Roman" w:hAnsi="Times New Roman"/>
          <w:sz w:val="20"/>
          <w:szCs w:val="20"/>
          <w:color w:val="171717"/>
        </w:rPr>
        <w:t>s o</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prope</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ty</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s</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o</w:t>
      </w:r>
      <w:r>
        <w:rPr>
          <w:rFonts w:ascii="Times New Roman" w:cs="Times New Roman" w:eastAsia="Times New Roman" w:hAnsi="Times New Roman"/>
          <w:sz w:val="20"/>
          <w:szCs w:val="20"/>
          <w:color w:val="070707"/>
        </w:rPr>
        <w:t>uld be m</w:t>
      </w:r>
      <w:r>
        <w:rPr>
          <w:rFonts w:ascii="Times New Roman" w:cs="Times New Roman" w:eastAsia="Times New Roman" w:hAnsi="Times New Roman"/>
          <w:sz w:val="20"/>
          <w:szCs w:val="20"/>
          <w:color w:val="171717"/>
        </w:rPr>
        <w:t>ad</w:t>
      </w:r>
      <w:r>
        <w:rPr>
          <w:rFonts w:ascii="Times New Roman" w:cs="Times New Roman" w:eastAsia="Times New Roman" w:hAnsi="Times New Roman"/>
          <w:sz w:val="20"/>
          <w:szCs w:val="20"/>
          <w:color w:val="070707"/>
        </w:rPr>
        <w:t>e b</w:t>
      </w:r>
      <w:r>
        <w:rPr>
          <w:rFonts w:ascii="Times New Roman" w:cs="Times New Roman" w:eastAsia="Times New Roman" w:hAnsi="Times New Roman"/>
          <w:sz w:val="20"/>
          <w:szCs w:val="20"/>
          <w:color w:val="171717"/>
        </w:rPr>
        <w:t xml:space="preserve">y </w:t>
      </w:r>
      <w:r>
        <w:rPr>
          <w:rFonts w:ascii="Times New Roman" w:cs="Times New Roman" w:eastAsia="Times New Roman" w:hAnsi="Times New Roman"/>
          <w:sz w:val="20"/>
          <w:szCs w:val="20"/>
          <w:color w:val="070707"/>
        </w:rPr>
        <w:t>th</w:t>
      </w:r>
      <w:r>
        <w:rPr>
          <w:rFonts w:ascii="Times New Roman" w:cs="Times New Roman" w:eastAsia="Times New Roman" w:hAnsi="Times New Roman"/>
          <w:sz w:val="20"/>
          <w:szCs w:val="20"/>
          <w:color w:val="171717"/>
        </w:rPr>
        <w:t>e Co</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pa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y, o</w:t>
      </w:r>
      <w:r>
        <w:rPr>
          <w:rFonts w:ascii="Times New Roman" w:cs="Times New Roman" w:eastAsia="Times New Roman" w:hAnsi="Times New Roman"/>
          <w:sz w:val="20"/>
          <w:szCs w:val="20"/>
          <w:color w:val="070707"/>
        </w:rPr>
        <w:t>r re</w:t>
      </w:r>
      <w:r>
        <w:rPr>
          <w:rFonts w:ascii="Times New Roman" w:cs="Times New Roman" w:eastAsia="Times New Roman" w:hAnsi="Times New Roman"/>
          <w:sz w:val="20"/>
          <w:szCs w:val="20"/>
          <w:color w:val="171717"/>
        </w:rPr>
        <w:t>ga</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d</w:t>
      </w:r>
      <w:r>
        <w:rPr>
          <w:rFonts w:ascii="Times New Roman" w:cs="Times New Roman" w:eastAsia="Times New Roman" w:hAnsi="Times New Roman"/>
          <w:sz w:val="20"/>
          <w:szCs w:val="20"/>
          <w:color w:val="070707"/>
        </w:rPr>
        <w:t>in</w:t>
      </w:r>
      <w:r>
        <w:rPr>
          <w:rFonts w:ascii="Times New Roman" w:cs="Times New Roman" w:eastAsia="Times New Roman" w:hAnsi="Times New Roman"/>
          <w:sz w:val="20"/>
          <w:szCs w:val="20"/>
          <w:color w:val="171717"/>
        </w:rPr>
        <w:t>g a</w:t>
      </w:r>
      <w:r>
        <w:rPr>
          <w:rFonts w:ascii="Times New Roman" w:cs="Times New Roman" w:eastAsia="Times New Roman" w:hAnsi="Times New Roman"/>
          <w:sz w:val="20"/>
          <w:szCs w:val="20"/>
          <w:color w:val="070707"/>
        </w:rPr>
        <w:t>ny</w:t>
      </w:r>
      <w:r>
        <w:rPr>
          <w:rFonts w:ascii="Times New Roman" w:cs="Times New Roman" w:eastAsia="Times New Roman" w:hAnsi="Times New Roman"/>
          <w:sz w:val="20"/>
          <w:szCs w:val="20"/>
          <w:color w:val="171717"/>
        </w:rPr>
        <w:t xml:space="preserve"> ac</w:t>
      </w:r>
      <w:r>
        <w:rPr>
          <w:rFonts w:ascii="Times New Roman" w:cs="Times New Roman" w:eastAsia="Times New Roman" w:hAnsi="Times New Roman"/>
          <w:sz w:val="20"/>
          <w:szCs w:val="20"/>
          <w:color w:val="070707"/>
        </w:rPr>
        <w:t>t t</w:t>
      </w:r>
      <w:r>
        <w:rPr>
          <w:rFonts w:ascii="Times New Roman" w:cs="Times New Roman" w:eastAsia="Times New Roman" w:hAnsi="Times New Roman"/>
          <w:sz w:val="20"/>
          <w:szCs w:val="20"/>
          <w:color w:val="171717"/>
        </w:rPr>
        <w:t xml:space="preserve">o </w:t>
      </w:r>
      <w:r>
        <w:rPr>
          <w:rFonts w:ascii="Times New Roman" w:cs="Times New Roman" w:eastAsia="Times New Roman" w:hAnsi="Times New Roman"/>
          <w:sz w:val="20"/>
          <w:szCs w:val="20"/>
          <w:color w:val="070707"/>
        </w:rPr>
        <w:t>be</w:t>
      </w:r>
      <w:r>
        <w:rPr>
          <w:rFonts w:ascii="Times New Roman" w:cs="Times New Roman" w:eastAsia="Times New Roman" w:hAnsi="Times New Roman"/>
          <w:sz w:val="20"/>
          <w:szCs w:val="20"/>
          <w:color w:val="171717"/>
        </w:rPr>
        <w:t xml:space="preserve"> performe</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 xml:space="preserve">,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he Compa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 xml:space="preserve">y </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ay, in its so</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 xml:space="preserve">e </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is</w:t>
      </w:r>
      <w:r>
        <w:rPr>
          <w:rFonts w:ascii="Times New Roman" w:cs="Times New Roman" w:eastAsia="Times New Roman" w:hAnsi="Times New Roman"/>
          <w:sz w:val="20"/>
          <w:szCs w:val="20"/>
          <w:color w:val="070707"/>
        </w:rPr>
        <w:t>c</w:t>
      </w:r>
      <w:r>
        <w:rPr>
          <w:rFonts w:ascii="Times New Roman" w:cs="Times New Roman" w:eastAsia="Times New Roman" w:hAnsi="Times New Roman"/>
          <w:sz w:val="20"/>
          <w:szCs w:val="20"/>
          <w:color w:val="171717"/>
        </w:rPr>
        <w:t>ret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o</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 xml:space="preserve">, </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in</w:t>
      </w:r>
      <w:r>
        <w:rPr>
          <w:rFonts w:ascii="Times New Roman" w:cs="Times New Roman" w:eastAsia="Times New Roman" w:hAnsi="Times New Roman"/>
          <w:sz w:val="20"/>
          <w:szCs w:val="20"/>
          <w:color w:val="171717"/>
        </w:rPr>
        <w:t xml:space="preserve"> such paymen</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 xml:space="preserve"> a</w:t>
      </w:r>
      <w:r>
        <w:rPr>
          <w:rFonts w:ascii="Times New Roman" w:cs="Times New Roman" w:eastAsia="Times New Roman" w:hAnsi="Times New Roman"/>
          <w:sz w:val="20"/>
          <w:szCs w:val="20"/>
          <w:color w:val="070707"/>
        </w:rPr>
        <w:t>nd</w:t>
      </w:r>
      <w:r>
        <w:rPr>
          <w:rFonts w:ascii="Times New Roman" w:cs="Times New Roman" w:eastAsia="Times New Roman" w:hAnsi="Times New Roman"/>
          <w:sz w:val="20"/>
          <w:szCs w:val="20"/>
          <w:color w:val="171717"/>
        </w:rPr>
        <w:t xml:space="preserve"> pos</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pone the performing of such act until final a</w:t>
      </w:r>
      <w:r>
        <w:rPr>
          <w:rFonts w:ascii="Times New Roman" w:cs="Times New Roman" w:eastAsia="Times New Roman" w:hAnsi="Times New Roman"/>
          <w:sz w:val="20"/>
          <w:szCs w:val="20"/>
          <w:color w:val="070707"/>
        </w:rPr>
        <w:t>djud</w:t>
      </w:r>
      <w:r>
        <w:rPr>
          <w:rFonts w:ascii="Times New Roman" w:cs="Times New Roman" w:eastAsia="Times New Roman" w:hAnsi="Times New Roman"/>
          <w:sz w:val="20"/>
          <w:szCs w:val="20"/>
          <w:color w:val="171717"/>
        </w:rPr>
        <w:t xml:space="preserve">ication </w:t>
      </w:r>
      <w:r>
        <w:rPr>
          <w:rFonts w:ascii="Times New Roman" w:cs="Times New Roman" w:eastAsia="Times New Roman" w:hAnsi="Times New Roman"/>
          <w:sz w:val="20"/>
          <w:szCs w:val="20"/>
          <w:color w:val="070707"/>
        </w:rPr>
        <w:t>o</w:t>
      </w:r>
      <w:r>
        <w:rPr>
          <w:rFonts w:ascii="Times New Roman" w:cs="Times New Roman" w:eastAsia="Times New Roman" w:hAnsi="Times New Roman"/>
          <w:sz w:val="20"/>
          <w:szCs w:val="20"/>
          <w:color w:val="171717"/>
        </w:rPr>
        <w:t>f s</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 xml:space="preserve">ch </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is</w:t>
      </w:r>
      <w:r>
        <w:rPr>
          <w:rFonts w:ascii="Times New Roman" w:cs="Times New Roman" w:eastAsia="Times New Roman" w:hAnsi="Times New Roman"/>
          <w:sz w:val="20"/>
          <w:szCs w:val="20"/>
          <w:color w:val="070707"/>
        </w:rPr>
        <w:t>pu</w:t>
      </w:r>
      <w:r>
        <w:rPr>
          <w:rFonts w:ascii="Times New Roman" w:cs="Times New Roman" w:eastAsia="Times New Roman" w:hAnsi="Times New Roman"/>
          <w:sz w:val="20"/>
          <w:szCs w:val="20"/>
          <w:color w:val="171717"/>
        </w:rPr>
        <w:t xml:space="preserve">te </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 xml:space="preserve">as </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71717"/>
        </w:rPr>
        <w:t>een made in a co</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r</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 xml:space="preserve"> of compete</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 xml:space="preserve">t </w:t>
      </w:r>
      <w:r>
        <w:rPr>
          <w:rFonts w:ascii="Times New Roman" w:cs="Times New Roman" w:eastAsia="Times New Roman" w:hAnsi="Times New Roman"/>
          <w:sz w:val="20"/>
          <w:szCs w:val="20"/>
          <w:color w:val="070707"/>
        </w:rPr>
        <w:t>ju</w:t>
      </w:r>
      <w:r>
        <w:rPr>
          <w:rFonts w:ascii="Times New Roman" w:cs="Times New Roman" w:eastAsia="Times New Roman" w:hAnsi="Times New Roman"/>
          <w:sz w:val="20"/>
          <w:szCs w:val="20"/>
          <w:color w:val="171717"/>
        </w:rPr>
        <w:t>ris</w:t>
      </w:r>
      <w:r>
        <w:rPr>
          <w:rFonts w:ascii="Times New Roman" w:cs="Times New Roman" w:eastAsia="Times New Roman" w:hAnsi="Times New Roman"/>
          <w:sz w:val="20"/>
          <w:szCs w:val="20"/>
          <w:color w:val="070707"/>
        </w:rPr>
        <w:t>diction</w:t>
      </w:r>
      <w:r>
        <w:rPr>
          <w:rFonts w:ascii="Times New Roman" w:cs="Times New Roman" w:eastAsia="Times New Roman" w:hAnsi="Times New Roman"/>
          <w:sz w:val="20"/>
          <w:szCs w:val="20"/>
          <w:color w:val="171717"/>
        </w:rPr>
        <w:t xml:space="preserve"> o</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 xml:space="preserve"> o</w:t>
      </w:r>
      <w:r>
        <w:rPr>
          <w:rFonts w:ascii="Times New Roman" w:cs="Times New Roman" w:eastAsia="Times New Roman" w:hAnsi="Times New Roman"/>
          <w:sz w:val="20"/>
          <w:szCs w:val="20"/>
          <w:color w:val="070707"/>
        </w:rPr>
        <w:t>th</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w</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s</w:t>
      </w:r>
      <w:r>
        <w:rPr>
          <w:rFonts w:ascii="Times New Roman" w:cs="Times New Roman" w:eastAsia="Times New Roman" w:hAnsi="Times New Roman"/>
          <w:sz w:val="20"/>
          <w:szCs w:val="20"/>
          <w:color w:val="070707"/>
        </w:rPr>
        <w:t>e t</w:t>
      </w:r>
      <w:r>
        <w:rPr>
          <w:rFonts w:ascii="Times New Roman" w:cs="Times New Roman" w:eastAsia="Times New Roman" w:hAnsi="Times New Roman"/>
          <w:sz w:val="20"/>
          <w:szCs w:val="20"/>
          <w:color w:val="171717"/>
        </w:rPr>
        <w:t xml:space="preserve">o </w:t>
      </w:r>
      <w:r>
        <w:rPr>
          <w:rFonts w:ascii="Times New Roman" w:cs="Times New Roman" w:eastAsia="Times New Roman" w:hAnsi="Times New Roman"/>
          <w:sz w:val="20"/>
          <w:szCs w:val="20"/>
          <w:color w:val="070707"/>
        </w:rPr>
        <w:t>th</w:t>
      </w:r>
      <w:r>
        <w:rPr>
          <w:rFonts w:ascii="Times New Roman" w:cs="Times New Roman" w:eastAsia="Times New Roman" w:hAnsi="Times New Roman"/>
          <w:sz w:val="20"/>
          <w:szCs w:val="20"/>
          <w:color w:val="171717"/>
        </w:rPr>
        <w:t>e sat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sfa</w:t>
      </w:r>
      <w:r>
        <w:rPr>
          <w:rFonts w:ascii="Times New Roman" w:cs="Times New Roman" w:eastAsia="Times New Roman" w:hAnsi="Times New Roman"/>
          <w:sz w:val="20"/>
          <w:szCs w:val="20"/>
          <w:color w:val="070707"/>
        </w:rPr>
        <w:t>ction</w:t>
      </w:r>
      <w:r>
        <w:rPr>
          <w:rFonts w:ascii="Times New Roman" w:cs="Times New Roman" w:eastAsia="Times New Roman" w:hAnsi="Times New Roman"/>
          <w:sz w:val="20"/>
          <w:szCs w:val="20"/>
          <w:color w:val="171717"/>
        </w:rPr>
        <w:t xml:space="preserve"> of </w:t>
      </w:r>
      <w:r>
        <w:rPr>
          <w:rFonts w:ascii="Times New Roman" w:cs="Times New Roman" w:eastAsia="Times New Roman" w:hAnsi="Times New Roman"/>
          <w:sz w:val="20"/>
          <w:szCs w:val="20"/>
          <w:color w:val="070707"/>
        </w:rPr>
        <w:t>the</w:t>
      </w:r>
      <w:r>
        <w:rPr>
          <w:rFonts w:ascii="Times New Roman" w:cs="Times New Roman" w:eastAsia="Times New Roman" w:hAnsi="Times New Roman"/>
          <w:sz w:val="20"/>
          <w:szCs w:val="20"/>
          <w:color w:val="171717"/>
        </w:rPr>
        <w:t xml:space="preserve"> Co</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pa</w:t>
      </w:r>
      <w:r>
        <w:rPr>
          <w:rFonts w:ascii="Times New Roman" w:cs="Times New Roman" w:eastAsia="Times New Roman" w:hAnsi="Times New Roman"/>
          <w:sz w:val="20"/>
          <w:szCs w:val="20"/>
          <w:color w:val="070707"/>
        </w:rPr>
        <w:t>ny or u</w:t>
      </w:r>
      <w:r>
        <w:rPr>
          <w:rFonts w:ascii="Times New Roman" w:cs="Times New Roman" w:eastAsia="Times New Roman" w:hAnsi="Times New Roman"/>
          <w:sz w:val="20"/>
          <w:szCs w:val="20"/>
          <w:color w:val="171717"/>
        </w:rPr>
        <w:t>n</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 xml:space="preserve"> t</w:t>
      </w:r>
      <w:r>
        <w:rPr>
          <w:rFonts w:ascii="Times New Roman" w:cs="Times New Roman" w:eastAsia="Times New Roman" w:hAnsi="Times New Roman"/>
          <w:sz w:val="20"/>
          <w:szCs w:val="20"/>
          <w:color w:val="070707"/>
        </w:rPr>
        <w:t>he</w:t>
      </w:r>
      <w:r>
        <w:rPr>
          <w:rFonts w:ascii="Times New Roman" w:cs="Times New Roman" w:eastAsia="Times New Roman" w:hAnsi="Times New Roman"/>
          <w:sz w:val="20"/>
          <w:szCs w:val="20"/>
          <w:color w:val="171717"/>
        </w:rPr>
        <w:t xml:space="preserve"> Co</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pan</w:t>
      </w:r>
      <w:r>
        <w:rPr>
          <w:rFonts w:ascii="Times New Roman" w:cs="Times New Roman" w:eastAsia="Times New Roman" w:hAnsi="Times New Roman"/>
          <w:sz w:val="20"/>
          <w:szCs w:val="20"/>
          <w:color w:val="070707"/>
        </w:rPr>
        <w:t>y ha</w:t>
      </w:r>
      <w:r>
        <w:rPr>
          <w:rFonts w:ascii="Times New Roman" w:cs="Times New Roman" w:eastAsia="Times New Roman" w:hAnsi="Times New Roman"/>
          <w:sz w:val="20"/>
          <w:szCs w:val="20"/>
          <w:color w:val="171717"/>
        </w:rPr>
        <w:t xml:space="preserve">s </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71717"/>
        </w:rPr>
        <w:t>een in</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emn</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fie</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 xml:space="preserve"> agains</w:t>
      </w:r>
      <w:r>
        <w:rPr>
          <w:rFonts w:ascii="Times New Roman" w:cs="Times New Roman" w:eastAsia="Times New Roman" w:hAnsi="Times New Roman"/>
          <w:sz w:val="20"/>
          <w:szCs w:val="20"/>
          <w:color w:val="070707"/>
        </w:rPr>
        <w:t>t l</w:t>
      </w:r>
      <w:r>
        <w:rPr>
          <w:rFonts w:ascii="Times New Roman" w:cs="Times New Roman" w:eastAsia="Times New Roman" w:hAnsi="Times New Roman"/>
          <w:sz w:val="20"/>
          <w:szCs w:val="20"/>
          <w:color w:val="171717"/>
        </w:rPr>
        <w:t>oss to it</w:t>
      </w:r>
      <w:r>
        <w:rPr>
          <w:rFonts w:ascii="Times New Roman" w:cs="Times New Roman" w:eastAsia="Times New Roman" w:hAnsi="Times New Roman"/>
          <w:sz w:val="20"/>
          <w:szCs w:val="20"/>
          <w:color w:val="070707"/>
        </w:rPr>
        <w:t>s</w:t>
      </w:r>
      <w:r>
        <w:rPr>
          <w:rFonts w:ascii="Times New Roman" w:cs="Times New Roman" w:eastAsia="Times New Roman" w:hAnsi="Times New Roman"/>
          <w:sz w:val="20"/>
          <w:szCs w:val="20"/>
          <w:color w:val="171717"/>
        </w:rPr>
        <w:t xml:space="preserve"> sat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sfa</w:t>
      </w:r>
      <w:r>
        <w:rPr>
          <w:rFonts w:ascii="Times New Roman" w:cs="Times New Roman" w:eastAsia="Times New Roman" w:hAnsi="Times New Roman"/>
          <w:sz w:val="20"/>
          <w:szCs w:val="20"/>
          <w:color w:val="070707"/>
        </w:rPr>
        <w:t>ct</w:t>
      </w:r>
      <w:r>
        <w:rPr>
          <w:rFonts w:ascii="Times New Roman" w:cs="Times New Roman" w:eastAsia="Times New Roman" w:hAnsi="Times New Roman"/>
          <w:sz w:val="20"/>
          <w:szCs w:val="20"/>
          <w:color w:val="171717"/>
        </w:rPr>
        <w:t>ion</w:t>
      </w:r>
      <w:r>
        <w:rPr>
          <w:rFonts w:ascii="Times New Roman" w:cs="Times New Roman" w:eastAsia="Times New Roman" w:hAnsi="Times New Roman"/>
          <w:sz w:val="20"/>
          <w:szCs w:val="20"/>
          <w:color w:val="070707"/>
        </w:rPr>
        <w:t>.</w:t>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070707"/>
        </w:rPr>
        <w:t>9.6 Claims Procedure.</w:t>
      </w:r>
    </w:p>
    <w:p>
      <w:pPr>
        <w:spacing w:after="0" w:line="233" w:lineRule="exact"/>
        <w:rPr>
          <w:sz w:val="20"/>
          <w:szCs w:val="20"/>
          <w:color w:val="auto"/>
        </w:rPr>
      </w:pPr>
    </w:p>
    <w:p>
      <w:pPr>
        <w:jc w:val="both"/>
        <w:ind w:left="100" w:right="60" w:firstLine="1941"/>
        <w:spacing w:after="0" w:line="268" w:lineRule="auto"/>
        <w:tabs>
          <w:tab w:leader="none" w:pos="2317" w:val="left"/>
        </w:tabs>
        <w:numPr>
          <w:ilvl w:val="0"/>
          <w:numId w:val="103"/>
        </w:numPr>
        <w:rPr>
          <w:rFonts w:ascii="Times New Roman" w:cs="Times New Roman" w:eastAsia="Times New Roman" w:hAnsi="Times New Roman"/>
          <w:sz w:val="20"/>
          <w:szCs w:val="20"/>
          <w:color w:val="070707"/>
        </w:rPr>
      </w:pPr>
      <w:r>
        <w:rPr>
          <w:rFonts w:ascii="Times New Roman" w:cs="Times New Roman" w:eastAsia="Times New Roman" w:hAnsi="Times New Roman"/>
          <w:sz w:val="20"/>
          <w:szCs w:val="20"/>
          <w:u w:val="single" w:color="auto"/>
          <w:color w:val="171717"/>
        </w:rPr>
        <w:t>Fili</w:t>
      </w:r>
      <w:r>
        <w:rPr>
          <w:rFonts w:ascii="Times New Roman" w:cs="Times New Roman" w:eastAsia="Times New Roman" w:hAnsi="Times New Roman"/>
          <w:sz w:val="20"/>
          <w:szCs w:val="20"/>
          <w:u w:val="single" w:color="auto"/>
          <w:color w:val="070707"/>
        </w:rPr>
        <w:t>ng a C</w:t>
      </w:r>
      <w:r>
        <w:rPr>
          <w:rFonts w:ascii="Times New Roman" w:cs="Times New Roman" w:eastAsia="Times New Roman" w:hAnsi="Times New Roman"/>
          <w:sz w:val="20"/>
          <w:szCs w:val="20"/>
          <w:u w:val="single" w:color="auto"/>
          <w:color w:val="171717"/>
        </w:rPr>
        <w:t>l</w:t>
      </w:r>
      <w:r>
        <w:rPr>
          <w:rFonts w:ascii="Times New Roman" w:cs="Times New Roman" w:eastAsia="Times New Roman" w:hAnsi="Times New Roman"/>
          <w:sz w:val="20"/>
          <w:szCs w:val="20"/>
          <w:u w:val="single" w:color="auto"/>
          <w:color w:val="070707"/>
        </w:rPr>
        <w:t>a</w:t>
      </w:r>
      <w:r>
        <w:rPr>
          <w:rFonts w:ascii="Times New Roman" w:cs="Times New Roman" w:eastAsia="Times New Roman" w:hAnsi="Times New Roman"/>
          <w:sz w:val="20"/>
          <w:szCs w:val="20"/>
          <w:u w:val="single" w:color="auto"/>
          <w:color w:val="171717"/>
        </w:rPr>
        <w:t>i</w:t>
      </w:r>
      <w:r>
        <w:rPr>
          <w:rFonts w:ascii="Times New Roman" w:cs="Times New Roman" w:eastAsia="Times New Roman" w:hAnsi="Times New Roman"/>
          <w:sz w:val="20"/>
          <w:szCs w:val="20"/>
          <w:u w:val="single" w:color="auto"/>
          <w:color w:val="070707"/>
        </w:rPr>
        <w:t>m</w:t>
      </w:r>
      <w:r>
        <w:rPr>
          <w:rFonts w:ascii="Times New Roman" w:cs="Times New Roman" w:eastAsia="Times New Roman" w:hAnsi="Times New Roman"/>
          <w:sz w:val="20"/>
          <w:szCs w:val="20"/>
          <w:color w:val="171717"/>
        </w:rPr>
        <w:t xml:space="preserve">. </w:t>
      </w:r>
      <w:r>
        <w:rPr>
          <w:rFonts w:ascii="Times New Roman" w:cs="Times New Roman" w:eastAsia="Times New Roman" w:hAnsi="Times New Roman"/>
          <w:sz w:val="20"/>
          <w:szCs w:val="20"/>
          <w:color w:val="070707"/>
        </w:rPr>
        <w:t>Bene</w:t>
      </w:r>
      <w:r>
        <w:rPr>
          <w:rFonts w:ascii="Times New Roman" w:cs="Times New Roman" w:eastAsia="Times New Roman" w:hAnsi="Times New Roman"/>
          <w:sz w:val="20"/>
          <w:szCs w:val="20"/>
          <w:color w:val="171717"/>
        </w:rPr>
        <w:t>fi</w:t>
      </w:r>
      <w:r>
        <w:rPr>
          <w:rFonts w:ascii="Times New Roman" w:cs="Times New Roman" w:eastAsia="Times New Roman" w:hAnsi="Times New Roman"/>
          <w:sz w:val="20"/>
          <w:szCs w:val="20"/>
          <w:color w:val="070707"/>
        </w:rPr>
        <w:t>ts u</w:t>
      </w:r>
      <w:r>
        <w:rPr>
          <w:rFonts w:ascii="Times New Roman" w:cs="Times New Roman" w:eastAsia="Times New Roman" w:hAnsi="Times New Roman"/>
          <w:sz w:val="20"/>
          <w:szCs w:val="20"/>
          <w:color w:val="171717"/>
        </w:rPr>
        <w:t>n</w:t>
      </w:r>
      <w:r>
        <w:rPr>
          <w:rFonts w:ascii="Times New Roman" w:cs="Times New Roman" w:eastAsia="Times New Roman" w:hAnsi="Times New Roman"/>
          <w:sz w:val="20"/>
          <w:szCs w:val="20"/>
          <w:color w:val="070707"/>
        </w:rPr>
        <w:t>der th</w:t>
      </w:r>
      <w:r>
        <w:rPr>
          <w:rFonts w:ascii="Times New Roman" w:cs="Times New Roman" w:eastAsia="Times New Roman" w:hAnsi="Times New Roman"/>
          <w:sz w:val="20"/>
          <w:szCs w:val="20"/>
          <w:color w:val="171717"/>
        </w:rPr>
        <w:t xml:space="preserve">e </w:t>
      </w:r>
      <w:r>
        <w:rPr>
          <w:rFonts w:ascii="Times New Roman" w:cs="Times New Roman" w:eastAsia="Times New Roman" w:hAnsi="Times New Roman"/>
          <w:sz w:val="20"/>
          <w:szCs w:val="20"/>
          <w:color w:val="070707"/>
        </w:rPr>
        <w:t>Pl</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n s</w:t>
      </w:r>
      <w:r>
        <w:rPr>
          <w:rFonts w:ascii="Times New Roman" w:cs="Times New Roman" w:eastAsia="Times New Roman" w:hAnsi="Times New Roman"/>
          <w:sz w:val="20"/>
          <w:szCs w:val="20"/>
          <w:color w:val="171717"/>
        </w:rPr>
        <w:t>ha</w:t>
      </w:r>
      <w:r>
        <w:rPr>
          <w:rFonts w:ascii="Times New Roman" w:cs="Times New Roman" w:eastAsia="Times New Roman" w:hAnsi="Times New Roman"/>
          <w:sz w:val="20"/>
          <w:szCs w:val="20"/>
          <w:color w:val="070707"/>
        </w:rPr>
        <w:t>ll b</w:t>
      </w:r>
      <w:r>
        <w:rPr>
          <w:rFonts w:ascii="Times New Roman" w:cs="Times New Roman" w:eastAsia="Times New Roman" w:hAnsi="Times New Roman"/>
          <w:sz w:val="20"/>
          <w:szCs w:val="20"/>
          <w:color w:val="171717"/>
        </w:rPr>
        <w:t xml:space="preserve">e </w:t>
      </w:r>
      <w:r>
        <w:rPr>
          <w:rFonts w:ascii="Times New Roman" w:cs="Times New Roman" w:eastAsia="Times New Roman" w:hAnsi="Times New Roman"/>
          <w:sz w:val="20"/>
          <w:szCs w:val="20"/>
          <w:color w:val="070707"/>
        </w:rPr>
        <w:t>p</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id on</w:t>
      </w:r>
      <w:r>
        <w:rPr>
          <w:rFonts w:ascii="Times New Roman" w:cs="Times New Roman" w:eastAsia="Times New Roman" w:hAnsi="Times New Roman"/>
          <w:sz w:val="20"/>
          <w:szCs w:val="20"/>
          <w:color w:val="171717"/>
        </w:rPr>
        <w:t>l</w:t>
      </w:r>
      <w:r>
        <w:rPr>
          <w:rFonts w:ascii="Times New Roman" w:cs="Times New Roman" w:eastAsia="Times New Roman" w:hAnsi="Times New Roman"/>
          <w:sz w:val="20"/>
          <w:szCs w:val="20"/>
          <w:color w:val="070707"/>
        </w:rPr>
        <w:t>y if</w:t>
      </w:r>
      <w:r>
        <w:rPr>
          <w:rFonts w:ascii="Times New Roman" w:cs="Times New Roman" w:eastAsia="Times New Roman" w:hAnsi="Times New Roman"/>
          <w:sz w:val="20"/>
          <w:szCs w:val="20"/>
          <w:color w:val="171717"/>
        </w:rPr>
        <w:t xml:space="preserve"> 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 xml:space="preserve">e </w:t>
      </w:r>
      <w:r>
        <w:rPr>
          <w:rFonts w:ascii="Times New Roman" w:cs="Times New Roman" w:eastAsia="Times New Roman" w:hAnsi="Times New Roman"/>
          <w:sz w:val="20"/>
          <w:szCs w:val="20"/>
          <w:color w:val="070707"/>
        </w:rPr>
        <w:t>Administrato</w:t>
      </w:r>
      <w:r>
        <w:rPr>
          <w:rFonts w:ascii="Times New Roman" w:cs="Times New Roman" w:eastAsia="Times New Roman" w:hAnsi="Times New Roman"/>
          <w:sz w:val="20"/>
          <w:szCs w:val="20"/>
          <w:color w:val="171717"/>
        </w:rPr>
        <w:t xml:space="preserve">r </w:t>
      </w:r>
      <w:r>
        <w:rPr>
          <w:rFonts w:ascii="Times New Roman" w:cs="Times New Roman" w:eastAsia="Times New Roman" w:hAnsi="Times New Roman"/>
          <w:sz w:val="20"/>
          <w:szCs w:val="20"/>
          <w:color w:val="070707"/>
        </w:rPr>
        <w:t>or the Compensation Committee</w:t>
      </w:r>
      <w:r>
        <w:rPr>
          <w:rFonts w:ascii="Times New Roman" w:cs="Times New Roman" w:eastAsia="Times New Roman" w:hAnsi="Times New Roman"/>
          <w:sz w:val="20"/>
          <w:szCs w:val="20"/>
          <w:color w:val="171717"/>
        </w:rPr>
        <w:t xml:space="preserve"> </w:t>
      </w:r>
      <w:r>
        <w:rPr>
          <w:rFonts w:ascii="Times New Roman" w:cs="Times New Roman" w:eastAsia="Times New Roman" w:hAnsi="Times New Roman"/>
          <w:sz w:val="20"/>
          <w:szCs w:val="20"/>
          <w:color w:val="070707"/>
        </w:rPr>
        <w:t xml:space="preserve">decides, in its sole and absolute discretion, that the Participant or Beneficiary, as </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pplicable (</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he "Claimant") is entitled to them. A Participant or a Beneficiary (the "Claimant")</w:t>
      </w:r>
      <w:r>
        <w:rPr>
          <w:rFonts w:ascii="Times New Roman" w:cs="Times New Roman" w:eastAsia="Times New Roman" w:hAnsi="Times New Roman"/>
          <w:sz w:val="20"/>
          <w:szCs w:val="20"/>
          <w:color w:val="171717"/>
        </w:rPr>
        <w:t>,</w:t>
      </w:r>
      <w:r>
        <w:rPr>
          <w:rFonts w:ascii="Times New Roman" w:cs="Times New Roman" w:eastAsia="Times New Roman" w:hAnsi="Times New Roman"/>
          <w:sz w:val="20"/>
          <w:szCs w:val="20"/>
          <w:color w:val="070707"/>
        </w:rPr>
        <w:t xml:space="preserve"> or the authorized representative of either, shall file a claim for benefits under the Plan with the Administrator in writing. The Administrator may prescribed a particular form for filing such claims, and, if it does so, a claim will not be deemed properly filed unless such form is used, but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tabs>
          <w:tab w:leader="none" w:pos="1060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8"/>
          <w:szCs w:val="18"/>
          <w:color w:val="151515"/>
        </w:rPr>
        <w:t>Page 13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200"/>
          </w:cols>
          <w:pgMar w:left="340" w:top="1440" w:right="359" w:bottom="1440" w:gutter="0" w:footer="0" w:header="0"/>
        </w:sectPr>
      </w:pPr>
    </w:p>
    <w:bookmarkStart w:id="176" w:name="page177"/>
    <w:bookmarkEnd w:id="176"/>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E0E0E"/>
        </w:rPr>
        <w:t>shall provide a copy of such form to any person whose claim for benefits is improper solely for this reason.</w:t>
      </w:r>
    </w:p>
    <w:p>
      <w:pPr>
        <w:spacing w:after="0" w:line="270" w:lineRule="exact"/>
        <w:rPr>
          <w:sz w:val="20"/>
          <w:szCs w:val="20"/>
          <w:color w:val="auto"/>
        </w:rPr>
      </w:pPr>
    </w:p>
    <w:p>
      <w:pPr>
        <w:jc w:val="both"/>
        <w:ind w:left="120" w:right="40" w:firstLine="1942"/>
        <w:spacing w:after="0" w:line="263" w:lineRule="auto"/>
        <w:tabs>
          <w:tab w:leader="none" w:pos="2376" w:val="left"/>
        </w:tabs>
        <w:numPr>
          <w:ilvl w:val="0"/>
          <w:numId w:val="104"/>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u w:val="single" w:color="auto"/>
          <w:color w:val="0E0E0E"/>
        </w:rPr>
        <w:t>Claim Review</w:t>
      </w:r>
      <w:r>
        <w:rPr>
          <w:rFonts w:ascii="Times New Roman" w:cs="Times New Roman" w:eastAsia="Times New Roman" w:hAnsi="Times New Roman"/>
          <w:sz w:val="20"/>
          <w:szCs w:val="20"/>
          <w:color w:val="0E0E0E"/>
        </w:rPr>
        <w:t>. Claims will be decided by the Administrator (or, if the Administrator is the Compensation Committee, the senior human resources officer of Itron, Inc., or another individual designa</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ed by the Compensation Committee), which will make its decision with respect to a claim and notify the Claimant (or his or her authori</w:t>
      </w:r>
      <w:r>
        <w:rPr>
          <w:rFonts w:ascii="Times New Roman" w:cs="Times New Roman" w:eastAsia="Times New Roman" w:hAnsi="Times New Roman"/>
          <w:sz w:val="20"/>
          <w:szCs w:val="20"/>
          <w:color w:val="1F1F1F"/>
        </w:rPr>
        <w:t>z</w:t>
      </w:r>
      <w:r>
        <w:rPr>
          <w:rFonts w:ascii="Times New Roman" w:cs="Times New Roman" w:eastAsia="Times New Roman" w:hAnsi="Times New Roman"/>
          <w:sz w:val="20"/>
          <w:szCs w:val="20"/>
          <w:color w:val="0E0E0E"/>
        </w:rPr>
        <w:t>ed representative) in writing of such decision within ninety (90) days after receiving the claim. The Administrator (or the designee) may extend this ninety-d</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y (90-day) period for an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dditional ninety (90) days if it det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rmines that special ci</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cumst</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nces require addition</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l time to process the claim. Th</w:t>
      </w:r>
      <w:r>
        <w:rPr>
          <w:rFonts w:ascii="Times New Roman" w:cs="Times New Roman" w:eastAsia="Times New Roman" w:hAnsi="Times New Roman"/>
          <w:sz w:val="20"/>
          <w:szCs w:val="20"/>
          <w:color w:val="1F1F1F"/>
        </w:rPr>
        <w:t xml:space="preserve">e </w:t>
      </w:r>
      <w:r>
        <w:rPr>
          <w:rFonts w:ascii="Times New Roman" w:cs="Times New Roman" w:eastAsia="Times New Roman" w:hAnsi="Times New Roman"/>
          <w:sz w:val="20"/>
          <w:szCs w:val="20"/>
          <w:color w:val="0E0E0E"/>
        </w:rPr>
        <w:t>Adm</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nistrator ( or</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0E0E0E"/>
        </w:rPr>
        <w:t>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de</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ign</w:t>
      </w:r>
      <w:r>
        <w:rPr>
          <w:rFonts w:ascii="Times New Roman" w:cs="Times New Roman" w:eastAsia="Times New Roman" w:hAnsi="Times New Roman"/>
          <w:sz w:val="20"/>
          <w:szCs w:val="20"/>
          <w:color w:val="1F1F1F"/>
        </w:rPr>
        <w:t>ee</w:t>
      </w:r>
      <w:r>
        <w:rPr>
          <w:rFonts w:ascii="Times New Roman" w:cs="Times New Roman" w:eastAsia="Times New Roman" w:hAnsi="Times New Roman"/>
          <w:sz w:val="20"/>
          <w:szCs w:val="20"/>
          <w:color w:val="0E0E0E"/>
        </w:rPr>
        <w:t>) will noti</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E0E0E"/>
        </w:rPr>
        <w:t>y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Claim</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nt (or his or 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r authori</w:t>
      </w:r>
      <w:r>
        <w:rPr>
          <w:rFonts w:ascii="Times New Roman" w:cs="Times New Roman" w:eastAsia="Times New Roman" w:hAnsi="Times New Roman"/>
          <w:sz w:val="20"/>
          <w:szCs w:val="20"/>
          <w:color w:val="1F1F1F"/>
        </w:rPr>
        <w:t>z</w:t>
      </w:r>
      <w:r>
        <w:rPr>
          <w:rFonts w:ascii="Times New Roman" w:cs="Times New Roman" w:eastAsia="Times New Roman" w:hAnsi="Times New Roman"/>
          <w:sz w:val="20"/>
          <w:szCs w:val="20"/>
          <w:color w:val="0E0E0E"/>
        </w:rPr>
        <w:t>ed represe</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tive) in writing of any such e</w:t>
      </w:r>
      <w:r>
        <w:rPr>
          <w:rFonts w:ascii="Times New Roman" w:cs="Times New Roman" w:eastAsia="Times New Roman" w:hAnsi="Times New Roman"/>
          <w:sz w:val="20"/>
          <w:szCs w:val="20"/>
          <w:color w:val="1F1F1F"/>
        </w:rPr>
        <w:t>x</w:t>
      </w:r>
      <w:r>
        <w:rPr>
          <w:rFonts w:ascii="Times New Roman" w:cs="Times New Roman" w:eastAsia="Times New Roman" w:hAnsi="Times New Roman"/>
          <w:sz w:val="20"/>
          <w:szCs w:val="20"/>
          <w:color w:val="0E0E0E"/>
        </w:rPr>
        <w:t>te</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s</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on withi</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 xml:space="preserve"> n</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nety (90) days of receiving the claim. The notice will incl</w:t>
      </w:r>
      <w:r>
        <w:rPr>
          <w:rFonts w:ascii="Times New Roman" w:cs="Times New Roman" w:eastAsia="Times New Roman" w:hAnsi="Times New Roman"/>
          <w:sz w:val="20"/>
          <w:szCs w:val="20"/>
          <w:color w:val="1F1F1F"/>
        </w:rPr>
        <w:t>u</w:t>
      </w:r>
      <w:r>
        <w:rPr>
          <w:rFonts w:ascii="Times New Roman" w:cs="Times New Roman" w:eastAsia="Times New Roman" w:hAnsi="Times New Roman"/>
          <w:sz w:val="20"/>
          <w:szCs w:val="20"/>
          <w:color w:val="0E0E0E"/>
        </w:rPr>
        <w:t>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d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re</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son(s) </w:t>
      </w:r>
      <w:r>
        <w:rPr>
          <w:rFonts w:ascii="Times New Roman" w:cs="Times New Roman" w:eastAsia="Times New Roman" w:hAnsi="Times New Roman"/>
          <w:sz w:val="20"/>
          <w:szCs w:val="20"/>
          <w:color w:val="1F1F1F"/>
        </w:rPr>
        <w:t>w</w:t>
      </w:r>
      <w:r>
        <w:rPr>
          <w:rFonts w:ascii="Times New Roman" w:cs="Times New Roman" w:eastAsia="Times New Roman" w:hAnsi="Times New Roman"/>
          <w:sz w:val="20"/>
          <w:szCs w:val="20"/>
          <w:color w:val="0E0E0E"/>
        </w:rPr>
        <w:t>h</w:t>
      </w:r>
      <w:r>
        <w:rPr>
          <w:rFonts w:ascii="Times New Roman" w:cs="Times New Roman" w:eastAsia="Times New Roman" w:hAnsi="Times New Roman"/>
          <w:sz w:val="20"/>
          <w:szCs w:val="20"/>
          <w:color w:val="1F1F1F"/>
        </w:rPr>
        <w:t>y</w:t>
      </w:r>
      <w:r>
        <w:rPr>
          <w:rFonts w:ascii="Times New Roman" w:cs="Times New Roman" w:eastAsia="Times New Roman" w:hAnsi="Times New Roman"/>
          <w:sz w:val="20"/>
          <w:szCs w:val="20"/>
          <w:color w:val="0E0E0E"/>
        </w:rPr>
        <w:t xml:space="preserve"> th</w:t>
      </w:r>
      <w:r>
        <w:rPr>
          <w:rFonts w:ascii="Times New Roman" w:cs="Times New Roman" w:eastAsia="Times New Roman" w:hAnsi="Times New Roman"/>
          <w:sz w:val="20"/>
          <w:szCs w:val="20"/>
          <w:color w:val="1F1F1F"/>
        </w:rPr>
        <w:t>e ex</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nsion is n</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ss</w:t>
      </w:r>
      <w:r>
        <w:rPr>
          <w:rFonts w:ascii="Times New Roman" w:cs="Times New Roman" w:eastAsia="Times New Roman" w:hAnsi="Times New Roman"/>
          <w:sz w:val="20"/>
          <w:szCs w:val="20"/>
          <w:color w:val="1F1F1F"/>
        </w:rPr>
        <w:t>ar</w:t>
      </w:r>
      <w:r>
        <w:rPr>
          <w:rFonts w:ascii="Times New Roman" w:cs="Times New Roman" w:eastAsia="Times New Roman" w:hAnsi="Times New Roman"/>
          <w:sz w:val="20"/>
          <w:szCs w:val="20"/>
          <w:color w:val="0E0E0E"/>
        </w:rPr>
        <w:t xml:space="preserve">y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nd the date by which the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d</w:t>
      </w:r>
      <w:r>
        <w:rPr>
          <w:rFonts w:ascii="Times New Roman" w:cs="Times New Roman" w:eastAsia="Times New Roman" w:hAnsi="Times New Roman"/>
          <w:sz w:val="20"/>
          <w:szCs w:val="20"/>
          <w:color w:val="1F1F1F"/>
        </w:rPr>
        <w:t>mi</w:t>
      </w:r>
      <w:r>
        <w:rPr>
          <w:rFonts w:ascii="Times New Roman" w:cs="Times New Roman" w:eastAsia="Times New Roman" w:hAnsi="Times New Roman"/>
          <w:sz w:val="20"/>
          <w:szCs w:val="20"/>
          <w:color w:val="0E0E0E"/>
        </w:rPr>
        <w:t>nist</w:t>
      </w:r>
      <w:r>
        <w:rPr>
          <w:rFonts w:ascii="Times New Roman" w:cs="Times New Roman" w:eastAsia="Times New Roman" w:hAnsi="Times New Roman"/>
          <w:sz w:val="20"/>
          <w:szCs w:val="20"/>
          <w:color w:val="1F1F1F"/>
        </w:rPr>
        <w:t>ra</w:t>
      </w:r>
      <w:r>
        <w:rPr>
          <w:rFonts w:ascii="Times New Roman" w:cs="Times New Roman" w:eastAsia="Times New Roman" w:hAnsi="Times New Roman"/>
          <w:sz w:val="20"/>
          <w:szCs w:val="20"/>
          <w:color w:val="0E0E0E"/>
        </w:rPr>
        <w:t>tor (o</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 xml:space="preserve"> the de</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i</w:t>
      </w:r>
      <w:r>
        <w:rPr>
          <w:rFonts w:ascii="Times New Roman" w:cs="Times New Roman" w:eastAsia="Times New Roman" w:hAnsi="Times New Roman"/>
          <w:sz w:val="20"/>
          <w:szCs w:val="20"/>
          <w:color w:val="1F1F1F"/>
        </w:rPr>
        <w:t>g</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e) e</w:t>
      </w:r>
      <w:r>
        <w:rPr>
          <w:rFonts w:ascii="Times New Roman" w:cs="Times New Roman" w:eastAsia="Times New Roman" w:hAnsi="Times New Roman"/>
          <w:sz w:val="20"/>
          <w:szCs w:val="20"/>
          <w:color w:val="1F1F1F"/>
        </w:rPr>
        <w:t>x</w:t>
      </w:r>
      <w:r>
        <w:rPr>
          <w:rFonts w:ascii="Times New Roman" w:cs="Times New Roman" w:eastAsia="Times New Roman" w:hAnsi="Times New Roman"/>
          <w:sz w:val="20"/>
          <w:szCs w:val="20"/>
          <w:color w:val="0E0E0E"/>
        </w:rPr>
        <w:t>pects to 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nder its decisi</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E0E0E"/>
        </w:rPr>
        <w:t>n on the cl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im.</w:t>
      </w:r>
    </w:p>
    <w:p>
      <w:pPr>
        <w:spacing w:after="0" w:line="2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1F1F1F"/>
        </w:rPr>
        <w:t xml:space="preserve">If a </w:t>
      </w:r>
      <w:r>
        <w:rPr>
          <w:rFonts w:ascii="Times New Roman" w:cs="Times New Roman" w:eastAsia="Times New Roman" w:hAnsi="Times New Roman"/>
          <w:sz w:val="20"/>
          <w:szCs w:val="20"/>
          <w:color w:val="0E0E0E"/>
        </w:rPr>
        <w:t>cl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im</w:t>
      </w:r>
      <w:r>
        <w:rPr>
          <w:rFonts w:ascii="Times New Roman" w:cs="Times New Roman" w:eastAsia="Times New Roman" w:hAnsi="Times New Roman"/>
          <w:sz w:val="20"/>
          <w:szCs w:val="20"/>
          <w:color w:val="1F1F1F"/>
        </w:rPr>
        <w:t xml:space="preserve"> is </w:t>
      </w:r>
      <w:r>
        <w:rPr>
          <w:rFonts w:ascii="Times New Roman" w:cs="Times New Roman" w:eastAsia="Times New Roman" w:hAnsi="Times New Roman"/>
          <w:sz w:val="20"/>
          <w:szCs w:val="20"/>
          <w:color w:val="0E0E0E"/>
        </w:rPr>
        <w:t>p</w:t>
      </w:r>
      <w:r>
        <w:rPr>
          <w:rFonts w:ascii="Times New Roman" w:cs="Times New Roman" w:eastAsia="Times New Roman" w:hAnsi="Times New Roman"/>
          <w:sz w:val="20"/>
          <w:szCs w:val="20"/>
          <w:color w:val="1F1F1F"/>
        </w:rPr>
        <w:t>ar</w:t>
      </w:r>
      <w:r>
        <w:rPr>
          <w:rFonts w:ascii="Times New Roman" w:cs="Times New Roman" w:eastAsia="Times New Roman" w:hAnsi="Times New Roman"/>
          <w:sz w:val="20"/>
          <w:szCs w:val="20"/>
          <w:color w:val="0E0E0E"/>
        </w:rPr>
        <w:t>tially o</w:t>
      </w:r>
      <w:r>
        <w:rPr>
          <w:rFonts w:ascii="Times New Roman" w:cs="Times New Roman" w:eastAsia="Times New Roman" w:hAnsi="Times New Roman"/>
          <w:sz w:val="20"/>
          <w:szCs w:val="20"/>
          <w:color w:val="1F1F1F"/>
        </w:rPr>
        <w:t xml:space="preserve">r </w:t>
      </w:r>
      <w:r>
        <w:rPr>
          <w:rFonts w:ascii="Times New Roman" w:cs="Times New Roman" w:eastAsia="Times New Roman" w:hAnsi="Times New Roman"/>
          <w:sz w:val="20"/>
          <w:szCs w:val="20"/>
          <w:color w:val="0E0E0E"/>
        </w:rPr>
        <w:t>co</w:t>
      </w:r>
      <w:r>
        <w:rPr>
          <w:rFonts w:ascii="Times New Roman" w:cs="Times New Roman" w:eastAsia="Times New Roman" w:hAnsi="Times New Roman"/>
          <w:sz w:val="20"/>
          <w:szCs w:val="20"/>
          <w:color w:val="1F1F1F"/>
        </w:rPr>
        <w:t>m</w:t>
      </w:r>
      <w:r>
        <w:rPr>
          <w:rFonts w:ascii="Times New Roman" w:cs="Times New Roman" w:eastAsia="Times New Roman" w:hAnsi="Times New Roman"/>
          <w:sz w:val="20"/>
          <w:szCs w:val="20"/>
          <w:color w:val="0E0E0E"/>
        </w:rPr>
        <w:t>pl</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 xml:space="preserve">ely </w:t>
      </w:r>
      <w:r>
        <w:rPr>
          <w:rFonts w:ascii="Times New Roman" w:cs="Times New Roman" w:eastAsia="Times New Roman" w:hAnsi="Times New Roman"/>
          <w:sz w:val="20"/>
          <w:szCs w:val="20"/>
          <w:color w:val="0E0E0E"/>
        </w:rPr>
        <w:t>denied, th</w:t>
      </w:r>
      <w:r>
        <w:rPr>
          <w:rFonts w:ascii="Times New Roman" w:cs="Times New Roman" w:eastAsia="Times New Roman" w:hAnsi="Times New Roman"/>
          <w:sz w:val="20"/>
          <w:szCs w:val="20"/>
          <w:color w:val="1F1F1F"/>
        </w:rPr>
        <w:t xml:space="preserve">e </w:t>
      </w:r>
      <w:r>
        <w:rPr>
          <w:rFonts w:ascii="Times New Roman" w:cs="Times New Roman" w:eastAsia="Times New Roman" w:hAnsi="Times New Roman"/>
          <w:sz w:val="20"/>
          <w:szCs w:val="20"/>
          <w:color w:val="0E0E0E"/>
        </w:rPr>
        <w:t>w</w:t>
      </w:r>
      <w:r>
        <w:rPr>
          <w:rFonts w:ascii="Times New Roman" w:cs="Times New Roman" w:eastAsia="Times New Roman" w:hAnsi="Times New Roman"/>
          <w:sz w:val="20"/>
          <w:szCs w:val="20"/>
          <w:color w:val="1F1F1F"/>
        </w:rPr>
        <w:t>ri</w:t>
      </w:r>
      <w:r>
        <w:rPr>
          <w:rFonts w:ascii="Times New Roman" w:cs="Times New Roman" w:eastAsia="Times New Roman" w:hAnsi="Times New Roman"/>
          <w:sz w:val="20"/>
          <w:szCs w:val="20"/>
          <w:color w:val="0E0E0E"/>
        </w:rPr>
        <w:t>tten not</w:t>
      </w:r>
      <w:r>
        <w:rPr>
          <w:rFonts w:ascii="Times New Roman" w:cs="Times New Roman" w:eastAsia="Times New Roman" w:hAnsi="Times New Roman"/>
          <w:sz w:val="20"/>
          <w:szCs w:val="20"/>
          <w:color w:val="1F1F1F"/>
        </w:rPr>
        <w:t>ic</w:t>
      </w:r>
      <w:r>
        <w:rPr>
          <w:rFonts w:ascii="Times New Roman" w:cs="Times New Roman" w:eastAsia="Times New Roman" w:hAnsi="Times New Roman"/>
          <w:sz w:val="20"/>
          <w:szCs w:val="20"/>
          <w:color w:val="0E0E0E"/>
        </w:rPr>
        <w:t>e to the</w:t>
      </w:r>
      <w:r>
        <w:rPr>
          <w:rFonts w:ascii="Times New Roman" w:cs="Times New Roman" w:eastAsia="Times New Roman" w:hAnsi="Times New Roman"/>
          <w:sz w:val="20"/>
          <w:szCs w:val="20"/>
          <w:color w:val="1F1F1F"/>
        </w:rPr>
        <w:t xml:space="preserve"> C</w:t>
      </w:r>
      <w:r>
        <w:rPr>
          <w:rFonts w:ascii="Times New Roman" w:cs="Times New Roman" w:eastAsia="Times New Roman" w:hAnsi="Times New Roman"/>
          <w:sz w:val="20"/>
          <w:szCs w:val="20"/>
          <w:color w:val="0E0E0E"/>
        </w:rPr>
        <w:t>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iman</w:t>
      </w:r>
      <w:r>
        <w:rPr>
          <w:rFonts w:ascii="Times New Roman" w:cs="Times New Roman" w:eastAsia="Times New Roman" w:hAnsi="Times New Roman"/>
          <w:sz w:val="20"/>
          <w:szCs w:val="20"/>
          <w:color w:val="1F1F1F"/>
        </w:rPr>
        <w:t xml:space="preserve">t </w:t>
      </w:r>
      <w:r>
        <w:rPr>
          <w:rFonts w:ascii="Times New Roman" w:cs="Times New Roman" w:eastAsia="Times New Roman" w:hAnsi="Times New Roman"/>
          <w:sz w:val="20"/>
          <w:szCs w:val="20"/>
          <w:color w:val="0E0E0E"/>
        </w:rPr>
        <w:t>(or his or her</w:t>
      </w:r>
      <w:r>
        <w:rPr>
          <w:rFonts w:ascii="Times New Roman" w:cs="Times New Roman" w:eastAsia="Times New Roman" w:hAnsi="Times New Roman"/>
          <w:sz w:val="20"/>
          <w:szCs w:val="20"/>
          <w:color w:val="1F1F1F"/>
        </w:rPr>
        <w:t xml:space="preserve"> a</w:t>
      </w:r>
      <w:r>
        <w:rPr>
          <w:rFonts w:ascii="Times New Roman" w:cs="Times New Roman" w:eastAsia="Times New Roman" w:hAnsi="Times New Roman"/>
          <w:sz w:val="20"/>
          <w:szCs w:val="20"/>
          <w:color w:val="0E0E0E"/>
        </w:rPr>
        <w:t>uthorized repres</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nt</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tive) will</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E0E0E"/>
        </w:rPr>
        <w:t>incl</w:t>
      </w:r>
      <w:r>
        <w:rPr>
          <w:rFonts w:ascii="Times New Roman" w:cs="Times New Roman" w:eastAsia="Times New Roman" w:hAnsi="Times New Roman"/>
          <w:sz w:val="20"/>
          <w:szCs w:val="20"/>
          <w:color w:val="1F1F1F"/>
        </w:rPr>
        <w:t>u</w:t>
      </w:r>
      <w:r>
        <w:rPr>
          <w:rFonts w:ascii="Times New Roman" w:cs="Times New Roman" w:eastAsia="Times New Roman" w:hAnsi="Times New Roman"/>
          <w:sz w:val="20"/>
          <w:szCs w:val="20"/>
          <w:color w:val="0E0E0E"/>
        </w:rPr>
        <w:t>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1F1F1F"/>
        </w:rPr>
        <w:t>(1</w:t>
      </w:r>
      <w:r>
        <w:rPr>
          <w:rFonts w:ascii="Times New Roman" w:cs="Times New Roman" w:eastAsia="Times New Roman" w:hAnsi="Times New Roman"/>
          <w:sz w:val="20"/>
          <w:szCs w:val="20"/>
          <w:color w:val="0E0E0E"/>
        </w:rPr>
        <w:t>)</w:t>
      </w:r>
      <w:r>
        <w:rPr>
          <w:rFonts w:ascii="Times New Roman" w:cs="Times New Roman" w:eastAsia="Times New Roman" w:hAnsi="Times New Roman"/>
          <w:sz w:val="20"/>
          <w:szCs w:val="20"/>
          <w:color w:val="1F1F1F"/>
        </w:rPr>
        <w:t xml:space="preserve"> T</w:t>
      </w:r>
      <w:r>
        <w:rPr>
          <w:rFonts w:ascii="Times New Roman" w:cs="Times New Roman" w:eastAsia="Times New Roman" w:hAnsi="Times New Roman"/>
          <w:sz w:val="20"/>
          <w:szCs w:val="20"/>
          <w:color w:val="0E0E0E"/>
        </w:rPr>
        <w:t>he s</w:t>
      </w:r>
      <w:r>
        <w:rPr>
          <w:rFonts w:ascii="Times New Roman" w:cs="Times New Roman" w:eastAsia="Times New Roman" w:hAnsi="Times New Roman"/>
          <w:sz w:val="20"/>
          <w:szCs w:val="20"/>
          <w:color w:val="1F1F1F"/>
        </w:rPr>
        <w:t>p</w:t>
      </w:r>
      <w:r>
        <w:rPr>
          <w:rFonts w:ascii="Times New Roman" w:cs="Times New Roman" w:eastAsia="Times New Roman" w:hAnsi="Times New Roman"/>
          <w:sz w:val="20"/>
          <w:szCs w:val="20"/>
          <w:color w:val="0E0E0E"/>
        </w:rPr>
        <w:t>ec</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fic re</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son o</w:t>
      </w:r>
      <w:r>
        <w:rPr>
          <w:rFonts w:ascii="Times New Roman" w:cs="Times New Roman" w:eastAsia="Times New Roman" w:hAnsi="Times New Roman"/>
          <w:sz w:val="20"/>
          <w:szCs w:val="20"/>
          <w:color w:val="1F1F1F"/>
        </w:rPr>
        <w:t xml:space="preserve">r </w:t>
      </w:r>
      <w:r>
        <w:rPr>
          <w:rFonts w:ascii="Times New Roman" w:cs="Times New Roman" w:eastAsia="Times New Roman" w:hAnsi="Times New Roman"/>
          <w:sz w:val="20"/>
          <w:szCs w:val="20"/>
          <w:color w:val="0E0E0E"/>
        </w:rPr>
        <w:t>re</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son</w:t>
      </w:r>
      <w:r>
        <w:rPr>
          <w:rFonts w:ascii="Times New Roman" w:cs="Times New Roman" w:eastAsia="Times New Roman" w:hAnsi="Times New Roman"/>
          <w:sz w:val="20"/>
          <w:szCs w:val="20"/>
          <w:color w:val="1F1F1F"/>
        </w:rPr>
        <w:t xml:space="preserve">s for </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 xml:space="preserve">he </w:t>
      </w:r>
      <w:r>
        <w:rPr>
          <w:rFonts w:ascii="Times New Roman" w:cs="Times New Roman" w:eastAsia="Times New Roman" w:hAnsi="Times New Roman"/>
          <w:sz w:val="20"/>
          <w:szCs w:val="20"/>
          <w:color w:val="0E0E0E"/>
        </w:rPr>
        <w:t>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ni</w:t>
      </w:r>
      <w:r>
        <w:rPr>
          <w:rFonts w:ascii="Times New Roman" w:cs="Times New Roman" w:eastAsia="Times New Roman" w:hAnsi="Times New Roman"/>
          <w:sz w:val="20"/>
          <w:szCs w:val="20"/>
          <w:color w:val="1F1F1F"/>
        </w:rPr>
        <w:t>al</w:t>
      </w:r>
      <w:r>
        <w:rPr>
          <w:rFonts w:ascii="Times New Roman" w:cs="Times New Roman" w:eastAsia="Times New Roman" w:hAnsi="Times New Roman"/>
          <w:sz w:val="20"/>
          <w:szCs w:val="20"/>
          <w:color w:val="0E0E0E"/>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0E0E0E"/>
        </w:rPr>
        <w:t>(2) Refe</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e</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ce t</w:t>
      </w:r>
      <w:r>
        <w:rPr>
          <w:rFonts w:ascii="Times New Roman" w:cs="Times New Roman" w:eastAsia="Times New Roman" w:hAnsi="Times New Roman"/>
          <w:sz w:val="20"/>
          <w:szCs w:val="20"/>
          <w:color w:val="1F1F1F"/>
        </w:rPr>
        <w:t>o t</w:t>
      </w:r>
      <w:r>
        <w:rPr>
          <w:rFonts w:ascii="Times New Roman" w:cs="Times New Roman" w:eastAsia="Times New Roman" w:hAnsi="Times New Roman"/>
          <w:sz w:val="20"/>
          <w:szCs w:val="20"/>
          <w:color w:val="0E0E0E"/>
        </w:rPr>
        <w:t xml:space="preserve">he </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pecific P</w:t>
      </w:r>
      <w:r>
        <w:rPr>
          <w:rFonts w:ascii="Times New Roman" w:cs="Times New Roman" w:eastAsia="Times New Roman" w:hAnsi="Times New Roman"/>
          <w:sz w:val="20"/>
          <w:szCs w:val="20"/>
          <w:color w:val="1F1F1F"/>
        </w:rPr>
        <w:t>la</w:t>
      </w:r>
      <w:r>
        <w:rPr>
          <w:rFonts w:ascii="Times New Roman" w:cs="Times New Roman" w:eastAsia="Times New Roman" w:hAnsi="Times New Roman"/>
          <w:sz w:val="20"/>
          <w:szCs w:val="20"/>
          <w:color w:val="0E0E0E"/>
        </w:rPr>
        <w:t>n provisi</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E0E0E"/>
        </w:rPr>
        <w:t>ns on whi</w:t>
      </w:r>
      <w:r>
        <w:rPr>
          <w:rFonts w:ascii="Times New Roman" w:cs="Times New Roman" w:eastAsia="Times New Roman" w:hAnsi="Times New Roman"/>
          <w:sz w:val="20"/>
          <w:szCs w:val="20"/>
          <w:color w:val="1F1F1F"/>
        </w:rPr>
        <w:t>ch t</w:t>
      </w:r>
      <w:r>
        <w:rPr>
          <w:rFonts w:ascii="Times New Roman" w:cs="Times New Roman" w:eastAsia="Times New Roman" w:hAnsi="Times New Roman"/>
          <w:sz w:val="20"/>
          <w:szCs w:val="20"/>
          <w:color w:val="0E0E0E"/>
        </w:rPr>
        <w: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d</w:t>
      </w:r>
      <w:r>
        <w:rPr>
          <w:rFonts w:ascii="Times New Roman" w:cs="Times New Roman" w:eastAsia="Times New Roman" w:hAnsi="Times New Roman"/>
          <w:sz w:val="20"/>
          <w:szCs w:val="20"/>
          <w:color w:val="1F1F1F"/>
        </w:rPr>
        <w:t>en</w:t>
      </w:r>
      <w:r>
        <w:rPr>
          <w:rFonts w:ascii="Times New Roman" w:cs="Times New Roman" w:eastAsia="Times New Roman" w:hAnsi="Times New Roman"/>
          <w:sz w:val="20"/>
          <w:szCs w:val="20"/>
          <w:color w:val="0E0E0E"/>
        </w:rPr>
        <w:t>i</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l </w:t>
      </w:r>
      <w:r>
        <w:rPr>
          <w:rFonts w:ascii="Times New Roman" w:cs="Times New Roman" w:eastAsia="Times New Roman" w:hAnsi="Times New Roman"/>
          <w:sz w:val="20"/>
          <w:szCs w:val="20"/>
          <w:color w:val="1F1F1F"/>
        </w:rPr>
        <w:t>is</w:t>
      </w:r>
      <w:r>
        <w:rPr>
          <w:rFonts w:ascii="Times New Roman" w:cs="Times New Roman" w:eastAsia="Times New Roman" w:hAnsi="Times New Roman"/>
          <w:sz w:val="20"/>
          <w:szCs w:val="20"/>
          <w:color w:val="0E0E0E"/>
        </w:rPr>
        <w:t xml:space="preserve"> b</w:t>
      </w:r>
      <w:r>
        <w:rPr>
          <w:rFonts w:ascii="Times New Roman" w:cs="Times New Roman" w:eastAsia="Times New Roman" w:hAnsi="Times New Roman"/>
          <w:sz w:val="20"/>
          <w:szCs w:val="20"/>
          <w:color w:val="1F1F1F"/>
        </w:rPr>
        <w:t>as</w:t>
      </w:r>
      <w:r>
        <w:rPr>
          <w:rFonts w:ascii="Times New Roman" w:cs="Times New Roman" w:eastAsia="Times New Roman" w:hAnsi="Times New Roman"/>
          <w:sz w:val="20"/>
          <w:szCs w:val="20"/>
          <w:color w:val="0E0E0E"/>
        </w:rPr>
        <w:t>ed</w:t>
      </w:r>
      <w:r>
        <w:rPr>
          <w:rFonts w:ascii="Times New Roman" w:cs="Times New Roman" w:eastAsia="Times New Roman" w:hAnsi="Times New Roman"/>
          <w:sz w:val="20"/>
          <w:szCs w:val="20"/>
          <w:color w:val="1F1F1F"/>
        </w:rPr>
        <w:t>;</w:t>
      </w:r>
    </w:p>
    <w:p>
      <w:pPr>
        <w:spacing w:after="0" w:line="229" w:lineRule="exact"/>
        <w:rPr>
          <w:sz w:val="20"/>
          <w:szCs w:val="20"/>
          <w:color w:val="auto"/>
        </w:rPr>
      </w:pPr>
    </w:p>
    <w:p>
      <w:pPr>
        <w:ind w:left="1380" w:right="80" w:hanging="634"/>
        <w:spacing w:after="0" w:line="297" w:lineRule="auto"/>
        <w:rPr>
          <w:sz w:val="20"/>
          <w:szCs w:val="20"/>
          <w:color w:val="auto"/>
        </w:rPr>
      </w:pP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3) A desc</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i</w:t>
      </w:r>
      <w:r>
        <w:rPr>
          <w:rFonts w:ascii="Times New Roman" w:cs="Times New Roman" w:eastAsia="Times New Roman" w:hAnsi="Times New Roman"/>
          <w:sz w:val="20"/>
          <w:szCs w:val="20"/>
          <w:color w:val="1F1F1F"/>
        </w:rPr>
        <w:t>p</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io</w:t>
      </w:r>
      <w:r>
        <w:rPr>
          <w:rFonts w:ascii="Times New Roman" w:cs="Times New Roman" w:eastAsia="Times New Roman" w:hAnsi="Times New Roman"/>
          <w:sz w:val="20"/>
          <w:szCs w:val="20"/>
          <w:color w:val="0E0E0E"/>
        </w:rPr>
        <w:t>n o</w:t>
      </w:r>
      <w:r>
        <w:rPr>
          <w:rFonts w:ascii="Times New Roman" w:cs="Times New Roman" w:eastAsia="Times New Roman" w:hAnsi="Times New Roman"/>
          <w:sz w:val="20"/>
          <w:szCs w:val="20"/>
          <w:color w:val="1F1F1F"/>
        </w:rPr>
        <w:t>f a</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y a</w:t>
      </w:r>
      <w:r>
        <w:rPr>
          <w:rFonts w:ascii="Times New Roman" w:cs="Times New Roman" w:eastAsia="Times New Roman" w:hAnsi="Times New Roman"/>
          <w:sz w:val="20"/>
          <w:szCs w:val="20"/>
          <w:color w:val="0E0E0E"/>
        </w:rPr>
        <w:t>ddit</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on</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l m</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ri</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l or</w:t>
      </w:r>
      <w:r>
        <w:rPr>
          <w:rFonts w:ascii="Times New Roman" w:cs="Times New Roman" w:eastAsia="Times New Roman" w:hAnsi="Times New Roman"/>
          <w:sz w:val="20"/>
          <w:szCs w:val="20"/>
          <w:color w:val="1F1F1F"/>
        </w:rPr>
        <w:t xml:space="preserve"> info</w:t>
      </w:r>
      <w:r>
        <w:rPr>
          <w:rFonts w:ascii="Times New Roman" w:cs="Times New Roman" w:eastAsia="Times New Roman" w:hAnsi="Times New Roman"/>
          <w:sz w:val="20"/>
          <w:szCs w:val="20"/>
          <w:color w:val="0E0E0E"/>
        </w:rPr>
        <w:t>rm</w:t>
      </w:r>
      <w:r>
        <w:rPr>
          <w:rFonts w:ascii="Times New Roman" w:cs="Times New Roman" w:eastAsia="Times New Roman" w:hAnsi="Times New Roman"/>
          <w:sz w:val="20"/>
          <w:szCs w:val="20"/>
          <w:color w:val="1F1F1F"/>
        </w:rPr>
        <w:t>ati</w:t>
      </w:r>
      <w:r>
        <w:rPr>
          <w:rFonts w:ascii="Times New Roman" w:cs="Times New Roman" w:eastAsia="Times New Roman" w:hAnsi="Times New Roman"/>
          <w:sz w:val="20"/>
          <w:szCs w:val="20"/>
          <w:color w:val="0E0E0E"/>
        </w:rPr>
        <w:t>on n</w:t>
      </w:r>
      <w:r>
        <w:rPr>
          <w:rFonts w:ascii="Times New Roman" w:cs="Times New Roman" w:eastAsia="Times New Roman" w:hAnsi="Times New Roman"/>
          <w:sz w:val="20"/>
          <w:szCs w:val="20"/>
          <w:color w:val="1F1F1F"/>
        </w:rPr>
        <w:t>eces</w:t>
      </w:r>
      <w:r>
        <w:rPr>
          <w:rFonts w:ascii="Times New Roman" w:cs="Times New Roman" w:eastAsia="Times New Roman" w:hAnsi="Times New Roman"/>
          <w:sz w:val="20"/>
          <w:szCs w:val="20"/>
          <w:color w:val="0E0E0E"/>
        </w:rPr>
        <w:t>s</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ry</w:t>
      </w:r>
      <w:r>
        <w:rPr>
          <w:rFonts w:ascii="Times New Roman" w:cs="Times New Roman" w:eastAsia="Times New Roman" w:hAnsi="Times New Roman"/>
          <w:sz w:val="20"/>
          <w:szCs w:val="20"/>
          <w:color w:val="1F1F1F"/>
        </w:rPr>
        <w:t xml:space="preserve"> fo</w:t>
      </w:r>
      <w:r>
        <w:rPr>
          <w:rFonts w:ascii="Times New Roman" w:cs="Times New Roman" w:eastAsia="Times New Roman" w:hAnsi="Times New Roman"/>
          <w:sz w:val="20"/>
          <w:szCs w:val="20"/>
          <w:color w:val="0E0E0E"/>
        </w:rPr>
        <w:t>r</w:t>
      </w:r>
      <w:r>
        <w:rPr>
          <w:rFonts w:ascii="Times New Roman" w:cs="Times New Roman" w:eastAsia="Times New Roman" w:hAnsi="Times New Roman"/>
          <w:sz w:val="20"/>
          <w:szCs w:val="20"/>
          <w:color w:val="1F1F1F"/>
        </w:rPr>
        <w:t xml:space="preserve"> t</w:t>
      </w:r>
      <w:r>
        <w:rPr>
          <w:rFonts w:ascii="Times New Roman" w:cs="Times New Roman" w:eastAsia="Times New Roman" w:hAnsi="Times New Roman"/>
          <w:sz w:val="20"/>
          <w:szCs w:val="20"/>
          <w:color w:val="0E0E0E"/>
        </w:rPr>
        <w:t>h</w:t>
      </w:r>
      <w:r>
        <w:rPr>
          <w:rFonts w:ascii="Times New Roman" w:cs="Times New Roman" w:eastAsia="Times New Roman" w:hAnsi="Times New Roman"/>
          <w:sz w:val="20"/>
          <w:szCs w:val="20"/>
          <w:color w:val="1F1F1F"/>
        </w:rPr>
        <w:t>e C</w:t>
      </w:r>
      <w:r>
        <w:rPr>
          <w:rFonts w:ascii="Times New Roman" w:cs="Times New Roman" w:eastAsia="Times New Roman" w:hAnsi="Times New Roman"/>
          <w:sz w:val="20"/>
          <w:szCs w:val="20"/>
          <w:color w:val="0E0E0E"/>
        </w:rPr>
        <w:t>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i</w:t>
      </w:r>
      <w:r>
        <w:rPr>
          <w:rFonts w:ascii="Times New Roman" w:cs="Times New Roman" w:eastAsia="Times New Roman" w:hAnsi="Times New Roman"/>
          <w:sz w:val="20"/>
          <w:szCs w:val="20"/>
          <w:color w:val="1F1F1F"/>
        </w:rPr>
        <w:t>man</w:t>
      </w:r>
      <w:r>
        <w:rPr>
          <w:rFonts w:ascii="Times New Roman" w:cs="Times New Roman" w:eastAsia="Times New Roman" w:hAnsi="Times New Roman"/>
          <w:sz w:val="20"/>
          <w:szCs w:val="20"/>
          <w:color w:val="0E0E0E"/>
        </w:rPr>
        <w:t>t to p</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r</w:t>
      </w:r>
      <w:r>
        <w:rPr>
          <w:rFonts w:ascii="Times New Roman" w:cs="Times New Roman" w:eastAsia="Times New Roman" w:hAnsi="Times New Roman"/>
          <w:sz w:val="20"/>
          <w:szCs w:val="20"/>
          <w:color w:val="1F1F1F"/>
        </w:rPr>
        <w:t>fe</w:t>
      </w:r>
      <w:r>
        <w:rPr>
          <w:rFonts w:ascii="Times New Roman" w:cs="Times New Roman" w:eastAsia="Times New Roman" w:hAnsi="Times New Roman"/>
          <w:sz w:val="20"/>
          <w:szCs w:val="20"/>
          <w:color w:val="0E0E0E"/>
        </w:rPr>
        <w:t>ct</w:t>
      </w:r>
      <w:r>
        <w:rPr>
          <w:rFonts w:ascii="Times New Roman" w:cs="Times New Roman" w:eastAsia="Times New Roman" w:hAnsi="Times New Roman"/>
          <w:sz w:val="20"/>
          <w:szCs w:val="20"/>
          <w:color w:val="1F1F1F"/>
        </w:rPr>
        <w:t xml:space="preserve"> the </w:t>
      </w:r>
      <w:r>
        <w:rPr>
          <w:rFonts w:ascii="Times New Roman" w:cs="Times New Roman" w:eastAsia="Times New Roman" w:hAnsi="Times New Roman"/>
          <w:sz w:val="20"/>
          <w:szCs w:val="20"/>
          <w:color w:val="0E0E0E"/>
        </w:rPr>
        <w:t>cla</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m and an expl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tion of</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0E0E0E"/>
        </w:rPr>
        <w:t xml:space="preserve">why such </w:t>
      </w:r>
      <w:r>
        <w:rPr>
          <w:rFonts w:ascii="Times New Roman" w:cs="Times New Roman" w:eastAsia="Times New Roman" w:hAnsi="Times New Roman"/>
          <w:sz w:val="20"/>
          <w:szCs w:val="20"/>
          <w:color w:val="1F1F1F"/>
        </w:rPr>
        <w:t>ma</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r</w:t>
      </w:r>
      <w:r>
        <w:rPr>
          <w:rFonts w:ascii="Times New Roman" w:cs="Times New Roman" w:eastAsia="Times New Roman" w:hAnsi="Times New Roman"/>
          <w:sz w:val="20"/>
          <w:szCs w:val="20"/>
          <w:color w:val="1F1F1F"/>
        </w:rPr>
        <w:t>ia</w:t>
      </w:r>
      <w:r>
        <w:rPr>
          <w:rFonts w:ascii="Times New Roman" w:cs="Times New Roman" w:eastAsia="Times New Roman" w:hAnsi="Times New Roman"/>
          <w:sz w:val="20"/>
          <w:szCs w:val="20"/>
          <w:color w:val="0E0E0E"/>
        </w:rPr>
        <w:t xml:space="preserve">l </w:t>
      </w:r>
      <w:r>
        <w:rPr>
          <w:rFonts w:ascii="Times New Roman" w:cs="Times New Roman" w:eastAsia="Times New Roman" w:hAnsi="Times New Roman"/>
          <w:sz w:val="20"/>
          <w:szCs w:val="20"/>
          <w:color w:val="1F1F1F"/>
        </w:rPr>
        <w:t>or info</w:t>
      </w:r>
      <w:r>
        <w:rPr>
          <w:rFonts w:ascii="Times New Roman" w:cs="Times New Roman" w:eastAsia="Times New Roman" w:hAnsi="Times New Roman"/>
          <w:sz w:val="20"/>
          <w:szCs w:val="20"/>
          <w:color w:val="0E0E0E"/>
        </w:rPr>
        <w:t>r</w:t>
      </w:r>
      <w:r>
        <w:rPr>
          <w:rFonts w:ascii="Times New Roman" w:cs="Times New Roman" w:eastAsia="Times New Roman" w:hAnsi="Times New Roman"/>
          <w:sz w:val="20"/>
          <w:szCs w:val="20"/>
          <w:color w:val="1F1F1F"/>
        </w:rPr>
        <w:t>mation i</w:t>
      </w:r>
      <w:r>
        <w:rPr>
          <w:rFonts w:ascii="Times New Roman" w:cs="Times New Roman" w:eastAsia="Times New Roman" w:hAnsi="Times New Roman"/>
          <w:sz w:val="20"/>
          <w:szCs w:val="20"/>
          <w:color w:val="0E0E0E"/>
        </w:rPr>
        <w:t>s n</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w:t>
      </w:r>
      <w:r>
        <w:rPr>
          <w:rFonts w:ascii="Times New Roman" w:cs="Times New Roman" w:eastAsia="Times New Roman" w:hAnsi="Times New Roman"/>
          <w:sz w:val="20"/>
          <w:szCs w:val="20"/>
          <w:color w:val="1F1F1F"/>
        </w:rPr>
        <w:t>essar</w:t>
      </w:r>
      <w:r>
        <w:rPr>
          <w:rFonts w:ascii="Times New Roman" w:cs="Times New Roman" w:eastAsia="Times New Roman" w:hAnsi="Times New Roman"/>
          <w:sz w:val="20"/>
          <w:szCs w:val="20"/>
          <w:color w:val="0E0E0E"/>
        </w:rPr>
        <w:t xml:space="preserve">y; </w:t>
      </w:r>
      <w:r>
        <w:rPr>
          <w:rFonts w:ascii="Times New Roman" w:cs="Times New Roman" w:eastAsia="Times New Roman" w:hAnsi="Times New Roman"/>
          <w:sz w:val="20"/>
          <w:szCs w:val="20"/>
          <w:color w:val="1F1F1F"/>
        </w:rPr>
        <w:t>and</w:t>
      </w:r>
    </w:p>
    <w:p>
      <w:pPr>
        <w:spacing w:after="0" w:line="187" w:lineRule="exact"/>
        <w:rPr>
          <w:sz w:val="20"/>
          <w:szCs w:val="20"/>
          <w:color w:val="auto"/>
        </w:rPr>
      </w:pPr>
    </w:p>
    <w:p>
      <w:pPr>
        <w:ind w:left="1380" w:right="80" w:hanging="636"/>
        <w:spacing w:after="0" w:line="297" w:lineRule="auto"/>
        <w:tabs>
          <w:tab w:leader="none" w:pos="1048" w:val="left"/>
        </w:tabs>
        <w:numPr>
          <w:ilvl w:val="0"/>
          <w:numId w:val="105"/>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A de</w:t>
      </w:r>
      <w:r>
        <w:rPr>
          <w:rFonts w:ascii="Times New Roman" w:cs="Times New Roman" w:eastAsia="Times New Roman" w:hAnsi="Times New Roman"/>
          <w:sz w:val="20"/>
          <w:szCs w:val="20"/>
          <w:color w:val="1F1F1F"/>
        </w:rPr>
        <w:t>sc</w:t>
      </w:r>
      <w:r>
        <w:rPr>
          <w:rFonts w:ascii="Times New Roman" w:cs="Times New Roman" w:eastAsia="Times New Roman" w:hAnsi="Times New Roman"/>
          <w:sz w:val="20"/>
          <w:szCs w:val="20"/>
          <w:color w:val="0E0E0E"/>
        </w:rPr>
        <w:t>ription o</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E0E0E"/>
        </w:rPr>
        <w:t xml:space="preserve"> the Pl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n's </w:t>
      </w:r>
      <w:r>
        <w:rPr>
          <w:rFonts w:ascii="Times New Roman" w:cs="Times New Roman" w:eastAsia="Times New Roman" w:hAnsi="Times New Roman"/>
          <w:sz w:val="20"/>
          <w:szCs w:val="20"/>
          <w:color w:val="1F1F1F"/>
        </w:rPr>
        <w:t>cla</w:t>
      </w:r>
      <w:r>
        <w:rPr>
          <w:rFonts w:ascii="Times New Roman" w:cs="Times New Roman" w:eastAsia="Times New Roman" w:hAnsi="Times New Roman"/>
          <w:sz w:val="20"/>
          <w:szCs w:val="20"/>
          <w:color w:val="0E0E0E"/>
        </w:rPr>
        <w:t xml:space="preserve">im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pp</w:t>
      </w:r>
      <w:r>
        <w:rPr>
          <w:rFonts w:ascii="Times New Roman" w:cs="Times New Roman" w:eastAsia="Times New Roman" w:hAnsi="Times New Roman"/>
          <w:sz w:val="20"/>
          <w:szCs w:val="20"/>
          <w:color w:val="1F1F1F"/>
        </w:rPr>
        <w:t>eal</w:t>
      </w:r>
      <w:r>
        <w:rPr>
          <w:rFonts w:ascii="Times New Roman" w:cs="Times New Roman" w:eastAsia="Times New Roman" w:hAnsi="Times New Roman"/>
          <w:sz w:val="20"/>
          <w:szCs w:val="20"/>
          <w:color w:val="0E0E0E"/>
        </w:rPr>
        <w:t xml:space="preserve"> proc</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dur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nd t</w:t>
      </w:r>
      <w:r>
        <w:rPr>
          <w:rFonts w:ascii="Times New Roman" w:cs="Times New Roman" w:eastAsia="Times New Roman" w:hAnsi="Times New Roman"/>
          <w:sz w:val="20"/>
          <w:szCs w:val="20"/>
          <w:color w:val="1F1F1F"/>
        </w:rPr>
        <w:t>he ti</w:t>
      </w:r>
      <w:r>
        <w:rPr>
          <w:rFonts w:ascii="Times New Roman" w:cs="Times New Roman" w:eastAsia="Times New Roman" w:hAnsi="Times New Roman"/>
          <w:sz w:val="20"/>
          <w:szCs w:val="20"/>
          <w:color w:val="0E0E0E"/>
        </w:rPr>
        <w:t>m</w:t>
      </w:r>
      <w:r>
        <w:rPr>
          <w:rFonts w:ascii="Times New Roman" w:cs="Times New Roman" w:eastAsia="Times New Roman" w:hAnsi="Times New Roman"/>
          <w:sz w:val="20"/>
          <w:szCs w:val="20"/>
          <w:color w:val="1F1F1F"/>
        </w:rPr>
        <w:t>e l</w:t>
      </w:r>
      <w:r>
        <w:rPr>
          <w:rFonts w:ascii="Times New Roman" w:cs="Times New Roman" w:eastAsia="Times New Roman" w:hAnsi="Times New Roman"/>
          <w:sz w:val="20"/>
          <w:szCs w:val="20"/>
          <w:color w:val="0E0E0E"/>
        </w:rPr>
        <w:t>im</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s a</w:t>
      </w:r>
      <w:r>
        <w:rPr>
          <w:rFonts w:ascii="Times New Roman" w:cs="Times New Roman" w:eastAsia="Times New Roman" w:hAnsi="Times New Roman"/>
          <w:sz w:val="20"/>
          <w:szCs w:val="20"/>
          <w:color w:val="0E0E0E"/>
        </w:rPr>
        <w:t>pp</w:t>
      </w:r>
      <w:r>
        <w:rPr>
          <w:rFonts w:ascii="Times New Roman" w:cs="Times New Roman" w:eastAsia="Times New Roman" w:hAnsi="Times New Roman"/>
          <w:sz w:val="20"/>
          <w:szCs w:val="20"/>
          <w:color w:val="1F1F1F"/>
        </w:rPr>
        <w:t>li</w:t>
      </w:r>
      <w:r>
        <w:rPr>
          <w:rFonts w:ascii="Times New Roman" w:cs="Times New Roman" w:eastAsia="Times New Roman" w:hAnsi="Times New Roman"/>
          <w:sz w:val="20"/>
          <w:szCs w:val="20"/>
          <w:color w:val="0E0E0E"/>
        </w:rPr>
        <w:t>c</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bl</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r</w:t>
      </w:r>
      <w:r>
        <w:rPr>
          <w:rFonts w:ascii="Times New Roman" w:cs="Times New Roman" w:eastAsia="Times New Roman" w:hAnsi="Times New Roman"/>
          <w:sz w:val="20"/>
          <w:szCs w:val="20"/>
          <w:color w:val="1F1F1F"/>
        </w:rPr>
        <w:t>et</w:t>
      </w:r>
      <w:r>
        <w:rPr>
          <w:rFonts w:ascii="Times New Roman" w:cs="Times New Roman" w:eastAsia="Times New Roman" w:hAnsi="Times New Roman"/>
          <w:sz w:val="20"/>
          <w:szCs w:val="20"/>
          <w:color w:val="0E0E0E"/>
        </w:rPr>
        <w:t>o)</w:t>
      </w:r>
      <w:r>
        <w:rPr>
          <w:rFonts w:ascii="Times New Roman" w:cs="Times New Roman" w:eastAsia="Times New Roman" w:hAnsi="Times New Roman"/>
          <w:sz w:val="20"/>
          <w:szCs w:val="20"/>
          <w:color w:val="1F1F1F"/>
        </w:rPr>
        <w:t>, i</w:t>
      </w:r>
      <w:r>
        <w:rPr>
          <w:rFonts w:ascii="Times New Roman" w:cs="Times New Roman" w:eastAsia="Times New Roman" w:hAnsi="Times New Roman"/>
          <w:sz w:val="20"/>
          <w:szCs w:val="20"/>
          <w:color w:val="0E0E0E"/>
        </w:rPr>
        <w:t>ncludi</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 xml:space="preserve">g a </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te</w:t>
      </w:r>
      <w:r>
        <w:rPr>
          <w:rFonts w:ascii="Times New Roman" w:cs="Times New Roman" w:eastAsia="Times New Roman" w:hAnsi="Times New Roman"/>
          <w:sz w:val="20"/>
          <w:szCs w:val="20"/>
          <w:color w:val="1F1F1F"/>
        </w:rPr>
        <w:t>me</w:t>
      </w:r>
      <w:r>
        <w:rPr>
          <w:rFonts w:ascii="Times New Roman" w:cs="Times New Roman" w:eastAsia="Times New Roman" w:hAnsi="Times New Roman"/>
          <w:sz w:val="20"/>
          <w:szCs w:val="20"/>
          <w:color w:val="0E0E0E"/>
        </w:rPr>
        <w:t xml:space="preserve">nt </w:t>
      </w:r>
      <w:r>
        <w:rPr>
          <w:rFonts w:ascii="Times New Roman" w:cs="Times New Roman" w:eastAsia="Times New Roman" w:hAnsi="Times New Roman"/>
          <w:sz w:val="20"/>
          <w:szCs w:val="20"/>
          <w:color w:val="1F1F1F"/>
        </w:rPr>
        <w:t>of</w:t>
      </w:r>
      <w:r>
        <w:rPr>
          <w:rFonts w:ascii="Times New Roman" w:cs="Times New Roman" w:eastAsia="Times New Roman" w:hAnsi="Times New Roman"/>
          <w:sz w:val="20"/>
          <w:szCs w:val="20"/>
          <w:color w:val="0E0E0E"/>
        </w:rPr>
        <w:t xml:space="preserve"> the Cl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im</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nt</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 xml:space="preserve">s right to bring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 civil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ction unde</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 xml:space="preserve"> S</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ct</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o</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 xml:space="preserve"> 502(</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F1F1F"/>
        </w:rPr>
        <w:t>of E</w:t>
      </w:r>
      <w:r>
        <w:rPr>
          <w:rFonts w:ascii="Times New Roman" w:cs="Times New Roman" w:eastAsia="Times New Roman" w:hAnsi="Times New Roman"/>
          <w:sz w:val="20"/>
          <w:szCs w:val="20"/>
          <w:color w:val="0E0E0E"/>
        </w:rPr>
        <w:t>RIS</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F1F1F"/>
        </w:rPr>
        <w:t>foll</w:t>
      </w:r>
      <w:r>
        <w:rPr>
          <w:rFonts w:ascii="Times New Roman" w:cs="Times New Roman" w:eastAsia="Times New Roman" w:hAnsi="Times New Roman"/>
          <w:sz w:val="20"/>
          <w:szCs w:val="20"/>
          <w:color w:val="0E0E0E"/>
        </w:rPr>
        <w:t>ow</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g a</w:t>
      </w:r>
      <w:r>
        <w:rPr>
          <w:rFonts w:ascii="Times New Roman" w:cs="Times New Roman" w:eastAsia="Times New Roman" w:hAnsi="Times New Roman"/>
          <w:sz w:val="20"/>
          <w:szCs w:val="20"/>
          <w:color w:val="0E0E0E"/>
        </w:rPr>
        <w:t>n advers</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determination on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ppeal.</w:t>
      </w:r>
    </w:p>
    <w:p>
      <w:pPr>
        <w:spacing w:after="0" w:line="187" w:lineRule="exact"/>
        <w:rPr>
          <w:sz w:val="20"/>
          <w:szCs w:val="20"/>
          <w:color w:val="auto"/>
        </w:rPr>
      </w:pPr>
    </w:p>
    <w:p>
      <w:pPr>
        <w:ind w:left="100" w:right="100" w:firstLine="639"/>
        <w:spacing w:after="0" w:line="297" w:lineRule="auto"/>
        <w:rPr>
          <w:sz w:val="20"/>
          <w:szCs w:val="20"/>
          <w:color w:val="auto"/>
        </w:rPr>
      </w:pPr>
      <w:r>
        <w:rPr>
          <w:rFonts w:ascii="Times New Roman" w:cs="Times New Roman" w:eastAsia="Times New Roman" w:hAnsi="Times New Roman"/>
          <w:sz w:val="20"/>
          <w:szCs w:val="20"/>
          <w:color w:val="1F1F1F"/>
        </w:rPr>
        <w:t xml:space="preserve">If </w:t>
      </w:r>
      <w:r>
        <w:rPr>
          <w:rFonts w:ascii="Times New Roman" w:cs="Times New Roman" w:eastAsia="Times New Roman" w:hAnsi="Times New Roman"/>
          <w:sz w:val="20"/>
          <w:szCs w:val="20"/>
          <w:color w:val="0E0E0E"/>
        </w:rPr>
        <w:t>a Cl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im</w:t>
      </w:r>
      <w:r>
        <w:rPr>
          <w:rFonts w:ascii="Times New Roman" w:cs="Times New Roman" w:eastAsia="Times New Roman" w:hAnsi="Times New Roman"/>
          <w:sz w:val="20"/>
          <w:szCs w:val="20"/>
          <w:color w:val="1F1F1F"/>
        </w:rPr>
        <w:t>an</w:t>
      </w:r>
      <w:r>
        <w:rPr>
          <w:rFonts w:ascii="Times New Roman" w:cs="Times New Roman" w:eastAsia="Times New Roman" w:hAnsi="Times New Roman"/>
          <w:sz w:val="20"/>
          <w:szCs w:val="20"/>
          <w:color w:val="0E0E0E"/>
        </w:rPr>
        <w:t>t subm</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ts a cl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im in accordance wi</w:t>
      </w:r>
      <w:r>
        <w:rPr>
          <w:rFonts w:ascii="Times New Roman" w:cs="Times New Roman" w:eastAsia="Times New Roman" w:hAnsi="Times New Roman"/>
          <w:sz w:val="20"/>
          <w:szCs w:val="20"/>
          <w:color w:val="1F1F1F"/>
        </w:rPr>
        <w:t xml:space="preserve">th </w:t>
      </w:r>
      <w:r>
        <w:rPr>
          <w:rFonts w:ascii="Times New Roman" w:cs="Times New Roman" w:eastAsia="Times New Roman" w:hAnsi="Times New Roman"/>
          <w:sz w:val="20"/>
          <w:szCs w:val="20"/>
          <w:color w:val="0E0E0E"/>
        </w:rPr>
        <w:t>th</w:t>
      </w:r>
      <w:r>
        <w:rPr>
          <w:rFonts w:ascii="Times New Roman" w:cs="Times New Roman" w:eastAsia="Times New Roman" w:hAnsi="Times New Roman"/>
          <w:sz w:val="20"/>
          <w:szCs w:val="20"/>
          <w:color w:val="1F1F1F"/>
        </w:rPr>
        <w:t xml:space="preserve">e </w:t>
      </w:r>
      <w:r>
        <w:rPr>
          <w:rFonts w:ascii="Times New Roman" w:cs="Times New Roman" w:eastAsia="Times New Roman" w:hAnsi="Times New Roman"/>
          <w:sz w:val="20"/>
          <w:szCs w:val="20"/>
          <w:color w:val="0E0E0E"/>
        </w:rPr>
        <w:t>proc</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dure 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scrib</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d</w:t>
      </w:r>
      <w:r>
        <w:rPr>
          <w:rFonts w:ascii="Times New Roman" w:cs="Times New Roman" w:eastAsia="Times New Roman" w:hAnsi="Times New Roman"/>
          <w:sz w:val="20"/>
          <w:szCs w:val="20"/>
          <w:color w:val="1F1F1F"/>
        </w:rPr>
        <w:t xml:space="preserve"> a</w:t>
      </w:r>
      <w:r>
        <w:rPr>
          <w:rFonts w:ascii="Times New Roman" w:cs="Times New Roman" w:eastAsia="Times New Roman" w:hAnsi="Times New Roman"/>
          <w:sz w:val="20"/>
          <w:szCs w:val="20"/>
          <w:color w:val="0E0E0E"/>
        </w:rPr>
        <w:t>bove and does not he</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r from the Administrato</w:t>
      </w:r>
      <w:r>
        <w:rPr>
          <w:rFonts w:ascii="Times New Roman" w:cs="Times New Roman" w:eastAsia="Times New Roman" w:hAnsi="Times New Roman"/>
          <w:sz w:val="20"/>
          <w:szCs w:val="20"/>
          <w:color w:val="1F1F1F"/>
        </w:rPr>
        <w:t xml:space="preserve">r </w:t>
      </w:r>
      <w:r>
        <w:rPr>
          <w:rFonts w:ascii="Times New Roman" w:cs="Times New Roman" w:eastAsia="Times New Roman" w:hAnsi="Times New Roman"/>
          <w:sz w:val="20"/>
          <w:szCs w:val="20"/>
          <w:color w:val="0E0E0E"/>
        </w:rPr>
        <w:t>(or the</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0E0E0E"/>
        </w:rPr>
        <w:t>designee) within ninety (90) days, the Claimant ma</w:t>
      </w:r>
      <w:r>
        <w:rPr>
          <w:rFonts w:ascii="Times New Roman" w:cs="Times New Roman" w:eastAsia="Times New Roman" w:hAnsi="Times New Roman"/>
          <w:sz w:val="20"/>
          <w:szCs w:val="20"/>
          <w:color w:val="1F1F1F"/>
        </w:rPr>
        <w:t>y</w:t>
      </w:r>
      <w:r>
        <w:rPr>
          <w:rFonts w:ascii="Times New Roman" w:cs="Times New Roman" w:eastAsia="Times New Roman" w:hAnsi="Times New Roman"/>
          <w:sz w:val="20"/>
          <w:szCs w:val="20"/>
          <w:color w:val="0E0E0E"/>
        </w:rPr>
        <w:t xml:space="preserve"> consid</w:t>
      </w:r>
      <w:r>
        <w:rPr>
          <w:rFonts w:ascii="Times New Roman" w:cs="Times New Roman" w:eastAsia="Times New Roman" w:hAnsi="Times New Roman"/>
          <w:sz w:val="20"/>
          <w:szCs w:val="20"/>
          <w:color w:val="1F1F1F"/>
        </w:rPr>
        <w:t>er</w:t>
      </w:r>
      <w:r>
        <w:rPr>
          <w:rFonts w:ascii="Times New Roman" w:cs="Times New Roman" w:eastAsia="Times New Roman" w:hAnsi="Times New Roman"/>
          <w:sz w:val="20"/>
          <w:szCs w:val="20"/>
          <w:color w:val="0E0E0E"/>
        </w:rPr>
        <w:t xml:space="preserve"> the claim denied.</w:t>
      </w:r>
    </w:p>
    <w:p>
      <w:pPr>
        <w:spacing w:after="0" w:line="187" w:lineRule="exact"/>
        <w:rPr>
          <w:sz w:val="20"/>
          <w:szCs w:val="20"/>
          <w:color w:val="auto"/>
        </w:rPr>
      </w:pPr>
    </w:p>
    <w:p>
      <w:pPr>
        <w:jc w:val="both"/>
        <w:ind w:left="80" w:right="100" w:firstLine="1946"/>
        <w:spacing w:after="0" w:line="268" w:lineRule="auto"/>
        <w:tabs>
          <w:tab w:leader="none" w:pos="2288" w:val="left"/>
        </w:tabs>
        <w:numPr>
          <w:ilvl w:val="1"/>
          <w:numId w:val="106"/>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u w:val="single" w:color="auto"/>
          <w:color w:val="0E0E0E"/>
        </w:rPr>
        <w:t>Appealing a Claim Denial</w:t>
      </w:r>
      <w:r>
        <w:rPr>
          <w:rFonts w:ascii="Times New Roman" w:cs="Times New Roman" w:eastAsia="Times New Roman" w:hAnsi="Times New Roman"/>
          <w:sz w:val="20"/>
          <w:szCs w:val="20"/>
          <w:color w:val="0E0E0E"/>
        </w:rPr>
        <w:t>. If a claim is partially or completely denied, the Claimant has the right to appeal the denial. To appeal a claim denial,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Claimant ( or his o</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 xml:space="preserve"> her authorized representative) must file a written request for appeal with the Compensation Committee within sixty (60) days after receiving written notice of the claim denial. This written request for appeal should include:</w:t>
      </w:r>
    </w:p>
    <w:p>
      <w:pPr>
        <w:spacing w:after="0" w:line="187" w:lineRule="exact"/>
        <w:rPr>
          <w:rFonts w:ascii="Times New Roman" w:cs="Times New Roman" w:eastAsia="Times New Roman" w:hAnsi="Times New Roman"/>
          <w:sz w:val="20"/>
          <w:szCs w:val="20"/>
          <w:color w:val="0E0E0E"/>
        </w:rPr>
      </w:pPr>
    </w:p>
    <w:p>
      <w:pPr>
        <w:ind w:left="1020" w:hanging="289"/>
        <w:spacing w:after="0"/>
        <w:tabs>
          <w:tab w:leader="none" w:pos="1020" w:val="left"/>
        </w:tabs>
        <w:numPr>
          <w:ilvl w:val="0"/>
          <w:numId w:val="107"/>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A statement of the grounds on which the appeal is based;</w:t>
      </w:r>
    </w:p>
    <w:p>
      <w:pPr>
        <w:spacing w:after="0" w:line="229" w:lineRule="exact"/>
        <w:rPr>
          <w:rFonts w:ascii="Times New Roman" w:cs="Times New Roman" w:eastAsia="Times New Roman" w:hAnsi="Times New Roman"/>
          <w:sz w:val="20"/>
          <w:szCs w:val="20"/>
          <w:color w:val="0E0E0E"/>
        </w:rPr>
      </w:pPr>
    </w:p>
    <w:p>
      <w:pPr>
        <w:ind w:left="1000" w:hanging="273"/>
        <w:spacing w:after="0"/>
        <w:tabs>
          <w:tab w:leader="none" w:pos="1000" w:val="left"/>
        </w:tabs>
        <w:numPr>
          <w:ilvl w:val="0"/>
          <w:numId w:val="107"/>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Reference to the specific Plan provisions that support your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974090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1060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8"/>
          <w:szCs w:val="18"/>
          <w:color w:val="151515"/>
        </w:rPr>
        <w:t>Page 14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200"/>
          </w:cols>
          <w:pgMar w:left="340" w:top="1440" w:right="359" w:bottom="1440" w:gutter="0" w:footer="0" w:header="0"/>
        </w:sectPr>
      </w:pPr>
    </w:p>
    <w:bookmarkStart w:id="177" w:name="page178"/>
    <w:bookmarkEnd w:id="177"/>
    <w:p>
      <w:pPr>
        <w:spacing w:after="0" w:line="41" w:lineRule="exact"/>
        <w:rPr>
          <w:sz w:val="20"/>
          <w:szCs w:val="20"/>
          <w:color w:val="auto"/>
        </w:rPr>
      </w:pPr>
    </w:p>
    <w:p>
      <w:pPr>
        <w:ind w:left="1420" w:right="60" w:hanging="645"/>
        <w:spacing w:after="0" w:line="283" w:lineRule="auto"/>
        <w:tabs>
          <w:tab w:leader="none" w:pos="1065" w:val="left"/>
        </w:tabs>
        <w:numPr>
          <w:ilvl w:val="0"/>
          <w:numId w:val="108"/>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The reason(s) or argument(s) why the Claimant believes the claim should be granted and the evidence supporting each reason or argument; and</w:t>
      </w:r>
    </w:p>
    <w:p>
      <w:pPr>
        <w:spacing w:after="0" w:line="213" w:lineRule="exact"/>
        <w:rPr>
          <w:rFonts w:ascii="Times New Roman" w:cs="Times New Roman" w:eastAsia="Times New Roman" w:hAnsi="Times New Roman"/>
          <w:sz w:val="20"/>
          <w:szCs w:val="20"/>
          <w:color w:val="0E0E0E"/>
        </w:rPr>
      </w:pPr>
    </w:p>
    <w:p>
      <w:pPr>
        <w:ind w:left="1060" w:hanging="289"/>
        <w:spacing w:after="0"/>
        <w:tabs>
          <w:tab w:leader="none" w:pos="1060" w:val="left"/>
        </w:tabs>
        <w:numPr>
          <w:ilvl w:val="0"/>
          <w:numId w:val="108"/>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Any other comments, documents, records or information relating to the claim that the Claimant wishes to submit.</w:t>
      </w:r>
    </w:p>
    <w:p>
      <w:pPr>
        <w:spacing w:after="0" w:line="270" w:lineRule="exact"/>
        <w:rPr>
          <w:sz w:val="20"/>
          <w:szCs w:val="20"/>
          <w:color w:val="auto"/>
        </w:rPr>
      </w:pPr>
    </w:p>
    <w:p>
      <w:pPr>
        <w:ind w:left="120" w:right="60" w:firstLine="643"/>
        <w:spacing w:after="0" w:line="290" w:lineRule="auto"/>
        <w:rPr>
          <w:sz w:val="20"/>
          <w:szCs w:val="20"/>
          <w:color w:val="auto"/>
        </w:rPr>
      </w:pPr>
      <w:r>
        <w:rPr>
          <w:rFonts w:ascii="Times New Roman" w:cs="Times New Roman" w:eastAsia="Times New Roman" w:hAnsi="Times New Roman"/>
          <w:sz w:val="19"/>
          <w:szCs w:val="19"/>
          <w:color w:val="1F1F1F"/>
        </w:rPr>
        <w:t>T</w:t>
      </w:r>
      <w:r>
        <w:rPr>
          <w:rFonts w:ascii="Times New Roman" w:cs="Times New Roman" w:eastAsia="Times New Roman" w:hAnsi="Times New Roman"/>
          <w:sz w:val="19"/>
          <w:szCs w:val="19"/>
          <w:color w:val="0E0E0E"/>
        </w:rPr>
        <w:t>he Claimant (or his or her authorized representative) will be provided, upon request and free of charge, reasonable access to, and</w:t>
      </w:r>
      <w:r>
        <w:rPr>
          <w:rFonts w:ascii="Times New Roman" w:cs="Times New Roman" w:eastAsia="Times New Roman" w:hAnsi="Times New Roman"/>
          <w:sz w:val="19"/>
          <w:szCs w:val="19"/>
          <w:color w:val="1F1F1F"/>
        </w:rPr>
        <w:t xml:space="preserve"> </w:t>
      </w:r>
      <w:r>
        <w:rPr>
          <w:rFonts w:ascii="Times New Roman" w:cs="Times New Roman" w:eastAsia="Times New Roman" w:hAnsi="Times New Roman"/>
          <w:sz w:val="19"/>
          <w:szCs w:val="19"/>
          <w:color w:val="0E0E0E"/>
        </w:rPr>
        <w:t xml:space="preserve">copies of, all documents, records and other information relevant (within the meaning of 29 CF.R. </w:t>
      </w:r>
      <w:r>
        <w:rPr>
          <w:rFonts w:ascii="Times New Roman" w:cs="Times New Roman" w:eastAsia="Times New Roman" w:hAnsi="Times New Roman"/>
          <w:sz w:val="22"/>
          <w:szCs w:val="22"/>
          <w:color w:val="0E0E0E"/>
        </w:rPr>
        <w:t>§</w:t>
      </w:r>
      <w:r>
        <w:rPr>
          <w:rFonts w:ascii="Times New Roman" w:cs="Times New Roman" w:eastAsia="Times New Roman" w:hAnsi="Times New Roman"/>
          <w:sz w:val="19"/>
          <w:szCs w:val="19"/>
          <w:color w:val="0E0E0E"/>
        </w:rPr>
        <w:t xml:space="preserve"> 2560.503-1(m)(8)) to his or her claim.</w:t>
      </w:r>
    </w:p>
    <w:p>
      <w:pPr>
        <w:spacing w:after="0" w:line="213" w:lineRule="exact"/>
        <w:rPr>
          <w:sz w:val="20"/>
          <w:szCs w:val="20"/>
          <w:color w:val="auto"/>
        </w:rPr>
      </w:pPr>
    </w:p>
    <w:p>
      <w:pPr>
        <w:jc w:val="both"/>
        <w:ind w:left="100" w:right="60" w:firstLine="1958"/>
        <w:spacing w:after="0" w:line="262" w:lineRule="auto"/>
        <w:tabs>
          <w:tab w:leader="none" w:pos="2329" w:val="left"/>
        </w:tabs>
        <w:numPr>
          <w:ilvl w:val="0"/>
          <w:numId w:val="109"/>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u w:val="single" w:color="auto"/>
          <w:color w:val="0E0E0E"/>
        </w:rPr>
        <w:t>Decision on Appeal</w:t>
      </w:r>
      <w:r>
        <w:rPr>
          <w:rFonts w:ascii="Times New Roman" w:cs="Times New Roman" w:eastAsia="Times New Roman" w:hAnsi="Times New Roman"/>
          <w:sz w:val="20"/>
          <w:szCs w:val="20"/>
          <w:color w:val="0E0E0E"/>
        </w:rPr>
        <w:t>. App</w:t>
      </w:r>
      <w:r>
        <w:rPr>
          <w:rFonts w:ascii="Times New Roman" w:cs="Times New Roman" w:eastAsia="Times New Roman" w:hAnsi="Times New Roman"/>
          <w:sz w:val="20"/>
          <w:szCs w:val="20"/>
          <w:color w:val="1F1F1F"/>
        </w:rPr>
        <w:t>ea</w:t>
      </w:r>
      <w:r>
        <w:rPr>
          <w:rFonts w:ascii="Times New Roman" w:cs="Times New Roman" w:eastAsia="Times New Roman" w:hAnsi="Times New Roman"/>
          <w:sz w:val="20"/>
          <w:szCs w:val="20"/>
          <w:color w:val="0E0E0E"/>
        </w:rPr>
        <w:t>ls will b</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cid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d by th</w:t>
      </w:r>
      <w:r>
        <w:rPr>
          <w:rFonts w:ascii="Times New Roman" w:cs="Times New Roman" w:eastAsia="Times New Roman" w:hAnsi="Times New Roman"/>
          <w:sz w:val="20"/>
          <w:szCs w:val="20"/>
          <w:color w:val="1F1F1F"/>
        </w:rPr>
        <w:t>e C</w:t>
      </w:r>
      <w:r>
        <w:rPr>
          <w:rFonts w:ascii="Times New Roman" w:cs="Times New Roman" w:eastAsia="Times New Roman" w:hAnsi="Times New Roman"/>
          <w:sz w:val="20"/>
          <w:szCs w:val="20"/>
          <w:color w:val="0E0E0E"/>
        </w:rPr>
        <w:t>omp</w:t>
      </w:r>
      <w:r>
        <w:rPr>
          <w:rFonts w:ascii="Times New Roman" w:cs="Times New Roman" w:eastAsia="Times New Roman" w:hAnsi="Times New Roman"/>
          <w:sz w:val="20"/>
          <w:szCs w:val="20"/>
          <w:color w:val="1F1F1F"/>
        </w:rPr>
        <w:t>en</w:t>
      </w:r>
      <w:r>
        <w:rPr>
          <w:rFonts w:ascii="Times New Roman" w:cs="Times New Roman" w:eastAsia="Times New Roman" w:hAnsi="Times New Roman"/>
          <w:sz w:val="20"/>
          <w:szCs w:val="20"/>
          <w:color w:val="0E0E0E"/>
        </w:rPr>
        <w:t>s</w:t>
      </w:r>
      <w:r>
        <w:rPr>
          <w:rFonts w:ascii="Times New Roman" w:cs="Times New Roman" w:eastAsia="Times New Roman" w:hAnsi="Times New Roman"/>
          <w:sz w:val="20"/>
          <w:szCs w:val="20"/>
          <w:color w:val="1F1F1F"/>
        </w:rPr>
        <w:t>at</w:t>
      </w:r>
      <w:r>
        <w:rPr>
          <w:rFonts w:ascii="Times New Roman" w:cs="Times New Roman" w:eastAsia="Times New Roman" w:hAnsi="Times New Roman"/>
          <w:sz w:val="20"/>
          <w:szCs w:val="20"/>
          <w:color w:val="0E0E0E"/>
        </w:rPr>
        <w:t>ion Com</w:t>
      </w:r>
      <w:r>
        <w:rPr>
          <w:rFonts w:ascii="Times New Roman" w:cs="Times New Roman" w:eastAsia="Times New Roman" w:hAnsi="Times New Roman"/>
          <w:sz w:val="20"/>
          <w:szCs w:val="20"/>
          <w:color w:val="1F1F1F"/>
        </w:rPr>
        <w:t>m</w:t>
      </w:r>
      <w:r>
        <w:rPr>
          <w:rFonts w:ascii="Times New Roman" w:cs="Times New Roman" w:eastAsia="Times New Roman" w:hAnsi="Times New Roman"/>
          <w:sz w:val="20"/>
          <w:szCs w:val="20"/>
          <w:color w:val="0E0E0E"/>
        </w:rPr>
        <w:t>itte</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wh</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ch will 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nder i</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s 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cis</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o</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 xml:space="preserve"> with </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 xml:space="preserve">espect to an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pp</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al and noti</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E0E0E"/>
        </w:rPr>
        <w:t>y the Claim</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nt (or hi</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 xml:space="preserve"> or her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uthorize</w:t>
      </w:r>
      <w:r>
        <w:rPr>
          <w:rFonts w:ascii="Times New Roman" w:cs="Times New Roman" w:eastAsia="Times New Roman" w:hAnsi="Times New Roman"/>
          <w:sz w:val="20"/>
          <w:szCs w:val="20"/>
          <w:color w:val="1F1F1F"/>
        </w:rPr>
        <w:t>d</w:t>
      </w:r>
      <w:r>
        <w:rPr>
          <w:rFonts w:ascii="Times New Roman" w:cs="Times New Roman" w:eastAsia="Times New Roman" w:hAnsi="Times New Roman"/>
          <w:sz w:val="20"/>
          <w:szCs w:val="20"/>
          <w:color w:val="0E0E0E"/>
        </w:rPr>
        <w:t xml:space="preserve"> 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pres</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ta</w:t>
      </w:r>
      <w:r>
        <w:rPr>
          <w:rFonts w:ascii="Times New Roman" w:cs="Times New Roman" w:eastAsia="Times New Roman" w:hAnsi="Times New Roman"/>
          <w:sz w:val="20"/>
          <w:szCs w:val="20"/>
          <w:color w:val="0E0E0E"/>
        </w:rPr>
        <w:t>tive) in wr</w:t>
      </w:r>
      <w:r>
        <w:rPr>
          <w:rFonts w:ascii="Times New Roman" w:cs="Times New Roman" w:eastAsia="Times New Roman" w:hAnsi="Times New Roman"/>
          <w:sz w:val="20"/>
          <w:szCs w:val="20"/>
          <w:color w:val="1F1F1F"/>
        </w:rPr>
        <w:t>it</w:t>
      </w:r>
      <w:r>
        <w:rPr>
          <w:rFonts w:ascii="Times New Roman" w:cs="Times New Roman" w:eastAsia="Times New Roman" w:hAnsi="Times New Roman"/>
          <w:sz w:val="20"/>
          <w:szCs w:val="20"/>
          <w:color w:val="0E0E0E"/>
        </w:rPr>
        <w:t>ing o</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E0E0E"/>
        </w:rPr>
        <w:t xml:space="preserve"> such de</w:t>
      </w:r>
      <w:r>
        <w:rPr>
          <w:rFonts w:ascii="Times New Roman" w:cs="Times New Roman" w:eastAsia="Times New Roman" w:hAnsi="Times New Roman"/>
          <w:sz w:val="20"/>
          <w:szCs w:val="20"/>
          <w:color w:val="1F1F1F"/>
        </w:rPr>
        <w:t>ci</w:t>
      </w:r>
      <w:r>
        <w:rPr>
          <w:rFonts w:ascii="Times New Roman" w:cs="Times New Roman" w:eastAsia="Times New Roman" w:hAnsi="Times New Roman"/>
          <w:sz w:val="20"/>
          <w:szCs w:val="20"/>
          <w:color w:val="0E0E0E"/>
        </w:rPr>
        <w:t>sio</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 xml:space="preserve"> with</w:t>
      </w:r>
      <w:r>
        <w:rPr>
          <w:rFonts w:ascii="Times New Roman" w:cs="Times New Roman" w:eastAsia="Times New Roman" w:hAnsi="Times New Roman"/>
          <w:sz w:val="20"/>
          <w:szCs w:val="20"/>
          <w:color w:val="1F1F1F"/>
        </w:rPr>
        <w:t>in</w:t>
      </w:r>
      <w:r>
        <w:rPr>
          <w:rFonts w:ascii="Times New Roman" w:cs="Times New Roman" w:eastAsia="Times New Roman" w:hAnsi="Times New Roman"/>
          <w:sz w:val="20"/>
          <w:szCs w:val="20"/>
          <w:color w:val="0E0E0E"/>
        </w:rPr>
        <w:t xml:space="preserve"> s</w:t>
      </w:r>
      <w:r>
        <w:rPr>
          <w:rFonts w:ascii="Times New Roman" w:cs="Times New Roman" w:eastAsia="Times New Roman" w:hAnsi="Times New Roman"/>
          <w:sz w:val="20"/>
          <w:szCs w:val="20"/>
          <w:color w:val="1F1F1F"/>
        </w:rPr>
        <w:t>ix</w:t>
      </w:r>
      <w:r>
        <w:rPr>
          <w:rFonts w:ascii="Times New Roman" w:cs="Times New Roman" w:eastAsia="Times New Roman" w:hAnsi="Times New Roman"/>
          <w:sz w:val="20"/>
          <w:szCs w:val="20"/>
          <w:color w:val="0E0E0E"/>
        </w:rPr>
        <w:t>ty (60) d</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ys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ft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r</w:t>
      </w:r>
      <w:r>
        <w:rPr>
          <w:rFonts w:ascii="Times New Roman" w:cs="Times New Roman" w:eastAsia="Times New Roman" w:hAnsi="Times New Roman"/>
          <w:sz w:val="20"/>
          <w:szCs w:val="20"/>
          <w:color w:val="1F1F1F"/>
        </w:rPr>
        <w:t xml:space="preserve"> re</w:t>
      </w:r>
      <w:r>
        <w:rPr>
          <w:rFonts w:ascii="Times New Roman" w:cs="Times New Roman" w:eastAsia="Times New Roman" w:hAnsi="Times New Roman"/>
          <w:sz w:val="20"/>
          <w:szCs w:val="20"/>
          <w:color w:val="0E0E0E"/>
        </w:rPr>
        <w:t>c</w:t>
      </w:r>
      <w:r>
        <w:rPr>
          <w:rFonts w:ascii="Times New Roman" w:cs="Times New Roman" w:eastAsia="Times New Roman" w:hAnsi="Times New Roman"/>
          <w:sz w:val="20"/>
          <w:szCs w:val="20"/>
          <w:color w:val="1F1F1F"/>
        </w:rPr>
        <w:t>ei</w:t>
      </w:r>
      <w:r>
        <w:rPr>
          <w:rFonts w:ascii="Times New Roman" w:cs="Times New Roman" w:eastAsia="Times New Roman" w:hAnsi="Times New Roman"/>
          <w:sz w:val="20"/>
          <w:szCs w:val="20"/>
          <w:color w:val="0E0E0E"/>
        </w:rPr>
        <w:t>ving th</w:t>
      </w:r>
      <w:r>
        <w:rPr>
          <w:rFonts w:ascii="Times New Roman" w:cs="Times New Roman" w:eastAsia="Times New Roman" w:hAnsi="Times New Roman"/>
          <w:sz w:val="20"/>
          <w:szCs w:val="20"/>
          <w:color w:val="1F1F1F"/>
        </w:rPr>
        <w:t>e a</w:t>
      </w:r>
      <w:r>
        <w:rPr>
          <w:rFonts w:ascii="Times New Roman" w:cs="Times New Roman" w:eastAsia="Times New Roman" w:hAnsi="Times New Roman"/>
          <w:sz w:val="20"/>
          <w:szCs w:val="20"/>
          <w:color w:val="0E0E0E"/>
        </w:rPr>
        <w:t>p</w:t>
      </w:r>
      <w:r>
        <w:rPr>
          <w:rFonts w:ascii="Times New Roman" w:cs="Times New Roman" w:eastAsia="Times New Roman" w:hAnsi="Times New Roman"/>
          <w:sz w:val="20"/>
          <w:szCs w:val="20"/>
          <w:color w:val="1F1F1F"/>
        </w:rPr>
        <w:t>p</w:t>
      </w:r>
      <w:r>
        <w:rPr>
          <w:rFonts w:ascii="Times New Roman" w:cs="Times New Roman" w:eastAsia="Times New Roman" w:hAnsi="Times New Roman"/>
          <w:sz w:val="20"/>
          <w:szCs w:val="20"/>
          <w:color w:val="0E0E0E"/>
        </w:rPr>
        <w:t>eal. The Compen</w:t>
      </w:r>
      <w:r>
        <w:rPr>
          <w:rFonts w:ascii="Times New Roman" w:cs="Times New Roman" w:eastAsia="Times New Roman" w:hAnsi="Times New Roman"/>
          <w:sz w:val="20"/>
          <w:szCs w:val="20"/>
          <w:color w:val="1F1F1F"/>
        </w:rPr>
        <w:t>sa</w:t>
      </w:r>
      <w:r>
        <w:rPr>
          <w:rFonts w:ascii="Times New Roman" w:cs="Times New Roman" w:eastAsia="Times New Roman" w:hAnsi="Times New Roman"/>
          <w:sz w:val="20"/>
          <w:szCs w:val="20"/>
          <w:color w:val="0E0E0E"/>
        </w:rPr>
        <w:t>tion Comm</w:t>
      </w:r>
      <w:r>
        <w:rPr>
          <w:rFonts w:ascii="Times New Roman" w:cs="Times New Roman" w:eastAsia="Times New Roman" w:hAnsi="Times New Roman"/>
          <w:sz w:val="20"/>
          <w:szCs w:val="20"/>
          <w:color w:val="1F1F1F"/>
        </w:rPr>
        <w:t>it</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 xml:space="preserve">ee </w:t>
      </w:r>
      <w:r>
        <w:rPr>
          <w:rFonts w:ascii="Times New Roman" w:cs="Times New Roman" w:eastAsia="Times New Roman" w:hAnsi="Times New Roman"/>
          <w:sz w:val="20"/>
          <w:szCs w:val="20"/>
          <w:color w:val="0E0E0E"/>
        </w:rPr>
        <w:t>may ext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nd th</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s</w:t>
      </w:r>
      <w:r>
        <w:rPr>
          <w:rFonts w:ascii="Times New Roman" w:cs="Times New Roman" w:eastAsia="Times New Roman" w:hAnsi="Times New Roman"/>
          <w:sz w:val="20"/>
          <w:szCs w:val="20"/>
          <w:color w:val="1F1F1F"/>
        </w:rPr>
        <w:t xml:space="preserve"> si</w:t>
      </w:r>
      <w:r>
        <w:rPr>
          <w:rFonts w:ascii="Times New Roman" w:cs="Times New Roman" w:eastAsia="Times New Roman" w:hAnsi="Times New Roman"/>
          <w:sz w:val="20"/>
          <w:szCs w:val="20"/>
          <w:color w:val="0E0E0E"/>
        </w:rPr>
        <w:t>xty-d</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y (60-day) p</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riod</w:t>
      </w:r>
      <w:r>
        <w:rPr>
          <w:rFonts w:ascii="Times New Roman" w:cs="Times New Roman" w:eastAsia="Times New Roman" w:hAnsi="Times New Roman"/>
          <w:sz w:val="20"/>
          <w:szCs w:val="20"/>
          <w:color w:val="1F1F1F"/>
        </w:rPr>
        <w:t xml:space="preserve"> fo</w:t>
      </w:r>
      <w:r>
        <w:rPr>
          <w:rFonts w:ascii="Times New Roman" w:cs="Times New Roman" w:eastAsia="Times New Roman" w:hAnsi="Times New Roman"/>
          <w:sz w:val="20"/>
          <w:szCs w:val="20"/>
          <w:color w:val="0E0E0E"/>
        </w:rPr>
        <w:t>r</w:t>
      </w:r>
      <w:r>
        <w:rPr>
          <w:rFonts w:ascii="Times New Roman" w:cs="Times New Roman" w:eastAsia="Times New Roman" w:hAnsi="Times New Roman"/>
          <w:sz w:val="20"/>
          <w:szCs w:val="20"/>
          <w:color w:val="1F1F1F"/>
        </w:rPr>
        <w:t xml:space="preserve"> a</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 xml:space="preserve"> a</w:t>
      </w:r>
      <w:r>
        <w:rPr>
          <w:rFonts w:ascii="Times New Roman" w:cs="Times New Roman" w:eastAsia="Times New Roman" w:hAnsi="Times New Roman"/>
          <w:sz w:val="20"/>
          <w:szCs w:val="20"/>
          <w:color w:val="0E0E0E"/>
        </w:rPr>
        <w:t>dd</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tional s</w:t>
      </w:r>
      <w:r>
        <w:rPr>
          <w:rFonts w:ascii="Times New Roman" w:cs="Times New Roman" w:eastAsia="Times New Roman" w:hAnsi="Times New Roman"/>
          <w:sz w:val="20"/>
          <w:szCs w:val="20"/>
          <w:color w:val="1F1F1F"/>
        </w:rPr>
        <w:t>ix</w:t>
      </w:r>
      <w:r>
        <w:rPr>
          <w:rFonts w:ascii="Times New Roman" w:cs="Times New Roman" w:eastAsia="Times New Roman" w:hAnsi="Times New Roman"/>
          <w:sz w:val="20"/>
          <w:szCs w:val="20"/>
          <w:color w:val="0E0E0E"/>
        </w:rPr>
        <w:t>ty (60) d</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ys if it</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0E0E0E"/>
        </w:rPr>
        <w:t>determines th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t </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p</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al circum</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nce</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 xml:space="preserve"> require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dditi</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E0E0E"/>
        </w:rPr>
        <w:t>na</w:t>
      </w:r>
      <w:r>
        <w:rPr>
          <w:rFonts w:ascii="Times New Roman" w:cs="Times New Roman" w:eastAsia="Times New Roman" w:hAnsi="Times New Roman"/>
          <w:sz w:val="20"/>
          <w:szCs w:val="20"/>
          <w:color w:val="1F1F1F"/>
        </w:rPr>
        <w:t>l</w:t>
      </w:r>
      <w:r>
        <w:rPr>
          <w:rFonts w:ascii="Times New Roman" w:cs="Times New Roman" w:eastAsia="Times New Roman" w:hAnsi="Times New Roman"/>
          <w:sz w:val="20"/>
          <w:szCs w:val="20"/>
          <w:color w:val="0E0E0E"/>
        </w:rPr>
        <w:t xml:space="preserve"> time t</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E0E0E"/>
        </w:rPr>
        <w:t xml:space="preserve"> proc</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ss th</w:t>
      </w:r>
      <w:r>
        <w:rPr>
          <w:rFonts w:ascii="Times New Roman" w:cs="Times New Roman" w:eastAsia="Times New Roman" w:hAnsi="Times New Roman"/>
          <w:sz w:val="20"/>
          <w:szCs w:val="20"/>
          <w:color w:val="1F1F1F"/>
        </w:rPr>
        <w:t>e a</w:t>
      </w:r>
      <w:r>
        <w:rPr>
          <w:rFonts w:ascii="Times New Roman" w:cs="Times New Roman" w:eastAsia="Times New Roman" w:hAnsi="Times New Roman"/>
          <w:sz w:val="20"/>
          <w:szCs w:val="20"/>
          <w:color w:val="0E0E0E"/>
        </w:rPr>
        <w:t>pp</w:t>
      </w:r>
      <w:r>
        <w:rPr>
          <w:rFonts w:ascii="Times New Roman" w:cs="Times New Roman" w:eastAsia="Times New Roman" w:hAnsi="Times New Roman"/>
          <w:sz w:val="20"/>
          <w:szCs w:val="20"/>
          <w:color w:val="1F1F1F"/>
        </w:rPr>
        <w:t>ea</w:t>
      </w:r>
      <w:r>
        <w:rPr>
          <w:rFonts w:ascii="Times New Roman" w:cs="Times New Roman" w:eastAsia="Times New Roman" w:hAnsi="Times New Roman"/>
          <w:sz w:val="20"/>
          <w:szCs w:val="20"/>
          <w:color w:val="0E0E0E"/>
        </w:rPr>
        <w:t xml:space="preserve">l. </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Comp</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sat</w:t>
      </w:r>
      <w:r>
        <w:rPr>
          <w:rFonts w:ascii="Times New Roman" w:cs="Times New Roman" w:eastAsia="Times New Roman" w:hAnsi="Times New Roman"/>
          <w:sz w:val="20"/>
          <w:szCs w:val="20"/>
          <w:color w:val="0E0E0E"/>
        </w:rPr>
        <w:t xml:space="preserve">ion </w:t>
      </w:r>
      <w:r>
        <w:rPr>
          <w:rFonts w:ascii="Times New Roman" w:cs="Times New Roman" w:eastAsia="Times New Roman" w:hAnsi="Times New Roman"/>
          <w:sz w:val="20"/>
          <w:szCs w:val="20"/>
          <w:color w:val="1F1F1F"/>
        </w:rPr>
        <w:t>C</w:t>
      </w:r>
      <w:r>
        <w:rPr>
          <w:rFonts w:ascii="Times New Roman" w:cs="Times New Roman" w:eastAsia="Times New Roman" w:hAnsi="Times New Roman"/>
          <w:sz w:val="20"/>
          <w:szCs w:val="20"/>
          <w:color w:val="0E0E0E"/>
        </w:rPr>
        <w:t>ommitt</w:t>
      </w:r>
      <w:r>
        <w:rPr>
          <w:rFonts w:ascii="Times New Roman" w:cs="Times New Roman" w:eastAsia="Times New Roman" w:hAnsi="Times New Roman"/>
          <w:sz w:val="20"/>
          <w:szCs w:val="20"/>
          <w:color w:val="1F1F1F"/>
        </w:rPr>
        <w:t>ee</w:t>
      </w:r>
      <w:r>
        <w:rPr>
          <w:rFonts w:ascii="Times New Roman" w:cs="Times New Roman" w:eastAsia="Times New Roman" w:hAnsi="Times New Roman"/>
          <w:sz w:val="20"/>
          <w:szCs w:val="20"/>
          <w:color w:val="0E0E0E"/>
        </w:rPr>
        <w:t xml:space="preserve"> wi</w:t>
      </w:r>
      <w:r>
        <w:rPr>
          <w:rFonts w:ascii="Times New Roman" w:cs="Times New Roman" w:eastAsia="Times New Roman" w:hAnsi="Times New Roman"/>
          <w:sz w:val="20"/>
          <w:szCs w:val="20"/>
          <w:color w:val="1F1F1F"/>
        </w:rPr>
        <w:t>ll</w:t>
      </w:r>
      <w:r>
        <w:rPr>
          <w:rFonts w:ascii="Times New Roman" w:cs="Times New Roman" w:eastAsia="Times New Roman" w:hAnsi="Times New Roman"/>
          <w:sz w:val="20"/>
          <w:szCs w:val="20"/>
          <w:color w:val="0E0E0E"/>
        </w:rPr>
        <w:t xml:space="preserve"> noti</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E0E0E"/>
        </w:rPr>
        <w:t xml:space="preserve">y </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Cl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imant (o</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 xml:space="preserve"> his or 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r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ut</w:t>
      </w:r>
      <w:r>
        <w:rPr>
          <w:rFonts w:ascii="Times New Roman" w:cs="Times New Roman" w:eastAsia="Times New Roman" w:hAnsi="Times New Roman"/>
          <w:sz w:val="20"/>
          <w:szCs w:val="20"/>
          <w:color w:val="1F1F1F"/>
        </w:rPr>
        <w:t>h</w:t>
      </w:r>
      <w:r>
        <w:rPr>
          <w:rFonts w:ascii="Times New Roman" w:cs="Times New Roman" w:eastAsia="Times New Roman" w:hAnsi="Times New Roman"/>
          <w:sz w:val="20"/>
          <w:szCs w:val="20"/>
          <w:color w:val="0E0E0E"/>
        </w:rPr>
        <w:t>o</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i</w:t>
      </w:r>
      <w:r>
        <w:rPr>
          <w:rFonts w:ascii="Times New Roman" w:cs="Times New Roman" w:eastAsia="Times New Roman" w:hAnsi="Times New Roman"/>
          <w:sz w:val="20"/>
          <w:szCs w:val="20"/>
          <w:color w:val="1F1F1F"/>
        </w:rPr>
        <w:t>ze</w:t>
      </w:r>
      <w:r>
        <w:rPr>
          <w:rFonts w:ascii="Times New Roman" w:cs="Times New Roman" w:eastAsia="Times New Roman" w:hAnsi="Times New Roman"/>
          <w:sz w:val="20"/>
          <w:szCs w:val="20"/>
          <w:color w:val="0E0E0E"/>
        </w:rPr>
        <w:t xml:space="preserve">d </w:t>
      </w:r>
      <w:r>
        <w:rPr>
          <w:rFonts w:ascii="Times New Roman" w:cs="Times New Roman" w:eastAsia="Times New Roman" w:hAnsi="Times New Roman"/>
          <w:sz w:val="20"/>
          <w:szCs w:val="20"/>
          <w:color w:val="1F1F1F"/>
        </w:rPr>
        <w:t>re</w:t>
      </w:r>
      <w:r>
        <w:rPr>
          <w:rFonts w:ascii="Times New Roman" w:cs="Times New Roman" w:eastAsia="Times New Roman" w:hAnsi="Times New Roman"/>
          <w:sz w:val="20"/>
          <w:szCs w:val="20"/>
          <w:color w:val="0E0E0E"/>
        </w:rPr>
        <w:t>p</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es</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nt</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tive) in wr</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tin</w:t>
      </w:r>
      <w:r>
        <w:rPr>
          <w:rFonts w:ascii="Times New Roman" w:cs="Times New Roman" w:eastAsia="Times New Roman" w:hAnsi="Times New Roman"/>
          <w:sz w:val="20"/>
          <w:szCs w:val="20"/>
          <w:color w:val="1F1F1F"/>
        </w:rPr>
        <w:t>g</w:t>
      </w:r>
      <w:r>
        <w:rPr>
          <w:rFonts w:ascii="Times New Roman" w:cs="Times New Roman" w:eastAsia="Times New Roman" w:hAnsi="Times New Roman"/>
          <w:sz w:val="20"/>
          <w:szCs w:val="20"/>
          <w:color w:val="0E0E0E"/>
        </w:rPr>
        <w:t xml:space="preserve"> o</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E0E0E"/>
        </w:rPr>
        <w:t xml:space="preserve"> a</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 xml:space="preserve">y </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uch e</w:t>
      </w:r>
      <w:r>
        <w:rPr>
          <w:rFonts w:ascii="Times New Roman" w:cs="Times New Roman" w:eastAsia="Times New Roman" w:hAnsi="Times New Roman"/>
          <w:sz w:val="20"/>
          <w:szCs w:val="20"/>
          <w:color w:val="1F1F1F"/>
        </w:rPr>
        <w:t>xt</w:t>
      </w:r>
      <w:r>
        <w:rPr>
          <w:rFonts w:ascii="Times New Roman" w:cs="Times New Roman" w:eastAsia="Times New Roman" w:hAnsi="Times New Roman"/>
          <w:sz w:val="20"/>
          <w:szCs w:val="20"/>
          <w:color w:val="0E0E0E"/>
        </w:rPr>
        <w:t>ension within s</w:t>
      </w:r>
      <w:r>
        <w:rPr>
          <w:rFonts w:ascii="Times New Roman" w:cs="Times New Roman" w:eastAsia="Times New Roman" w:hAnsi="Times New Roman"/>
          <w:sz w:val="20"/>
          <w:szCs w:val="20"/>
          <w:color w:val="1F1F1F"/>
        </w:rPr>
        <w:t>ix</w:t>
      </w:r>
      <w:r>
        <w:rPr>
          <w:rFonts w:ascii="Times New Roman" w:cs="Times New Roman" w:eastAsia="Times New Roman" w:hAnsi="Times New Roman"/>
          <w:sz w:val="20"/>
          <w:szCs w:val="20"/>
          <w:color w:val="0E0E0E"/>
        </w:rPr>
        <w:t>ty (60) d</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y</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 xml:space="preserve"> of </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eceivi</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 xml:space="preserve">g </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h</w:t>
      </w:r>
      <w:r>
        <w:rPr>
          <w:rFonts w:ascii="Times New Roman" w:cs="Times New Roman" w:eastAsia="Times New Roman" w:hAnsi="Times New Roman"/>
          <w:sz w:val="20"/>
          <w:szCs w:val="20"/>
          <w:color w:val="1F1F1F"/>
        </w:rPr>
        <w:t>e a</w:t>
      </w:r>
      <w:r>
        <w:rPr>
          <w:rFonts w:ascii="Times New Roman" w:cs="Times New Roman" w:eastAsia="Times New Roman" w:hAnsi="Times New Roman"/>
          <w:sz w:val="20"/>
          <w:szCs w:val="20"/>
          <w:color w:val="0E0E0E"/>
        </w:rPr>
        <w:t>pp</w:t>
      </w:r>
      <w:r>
        <w:rPr>
          <w:rFonts w:ascii="Times New Roman" w:cs="Times New Roman" w:eastAsia="Times New Roman" w:hAnsi="Times New Roman"/>
          <w:sz w:val="20"/>
          <w:szCs w:val="20"/>
          <w:color w:val="1F1F1F"/>
        </w:rPr>
        <w:t>ea</w:t>
      </w:r>
      <w:r>
        <w:rPr>
          <w:rFonts w:ascii="Times New Roman" w:cs="Times New Roman" w:eastAsia="Times New Roman" w:hAnsi="Times New Roman"/>
          <w:sz w:val="20"/>
          <w:szCs w:val="20"/>
          <w:color w:val="0E0E0E"/>
        </w:rPr>
        <w:t xml:space="preserve">l. </w:t>
      </w:r>
      <w:r>
        <w:rPr>
          <w:rFonts w:ascii="Times New Roman" w:cs="Times New Roman" w:eastAsia="Times New Roman" w:hAnsi="Times New Roman"/>
          <w:sz w:val="20"/>
          <w:szCs w:val="20"/>
          <w:color w:val="1F1F1F"/>
        </w:rPr>
        <w:t>The</w:t>
      </w:r>
      <w:r>
        <w:rPr>
          <w:rFonts w:ascii="Times New Roman" w:cs="Times New Roman" w:eastAsia="Times New Roman" w:hAnsi="Times New Roman"/>
          <w:sz w:val="20"/>
          <w:szCs w:val="20"/>
          <w:color w:val="0E0E0E"/>
        </w:rPr>
        <w:t xml:space="preserve"> n</w:t>
      </w:r>
      <w:r>
        <w:rPr>
          <w:rFonts w:ascii="Times New Roman" w:cs="Times New Roman" w:eastAsia="Times New Roman" w:hAnsi="Times New Roman"/>
          <w:sz w:val="20"/>
          <w:szCs w:val="20"/>
          <w:color w:val="1F1F1F"/>
        </w:rPr>
        <w:t>ot</w:t>
      </w:r>
      <w:r>
        <w:rPr>
          <w:rFonts w:ascii="Times New Roman" w:cs="Times New Roman" w:eastAsia="Times New Roman" w:hAnsi="Times New Roman"/>
          <w:sz w:val="20"/>
          <w:szCs w:val="20"/>
          <w:color w:val="0E0E0E"/>
        </w:rPr>
        <w:t xml:space="preserve">ice will </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cl</w:t>
      </w:r>
      <w:r>
        <w:rPr>
          <w:rFonts w:ascii="Times New Roman" w:cs="Times New Roman" w:eastAsia="Times New Roman" w:hAnsi="Times New Roman"/>
          <w:sz w:val="20"/>
          <w:szCs w:val="20"/>
          <w:color w:val="0E0E0E"/>
        </w:rPr>
        <w:t>ud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d</w:t>
      </w:r>
      <w:r>
        <w:rPr>
          <w:rFonts w:ascii="Times New Roman" w:cs="Times New Roman" w:eastAsia="Times New Roman" w:hAnsi="Times New Roman"/>
          <w:sz w:val="20"/>
          <w:szCs w:val="20"/>
          <w:color w:val="1F1F1F"/>
        </w:rPr>
        <w:t xml:space="preserve"> t</w:t>
      </w:r>
      <w:r>
        <w:rPr>
          <w:rFonts w:ascii="Times New Roman" w:cs="Times New Roman" w:eastAsia="Times New Roman" w:hAnsi="Times New Roman"/>
          <w:sz w:val="20"/>
          <w:szCs w:val="20"/>
          <w:color w:val="0E0E0E"/>
        </w:rPr>
        <w:t>h</w:t>
      </w:r>
      <w:r>
        <w:rPr>
          <w:rFonts w:ascii="Times New Roman" w:cs="Times New Roman" w:eastAsia="Times New Roman" w:hAnsi="Times New Roman"/>
          <w:sz w:val="20"/>
          <w:szCs w:val="20"/>
          <w:color w:val="1F1F1F"/>
        </w:rPr>
        <w:t xml:space="preserve">e </w:t>
      </w:r>
      <w:r>
        <w:rPr>
          <w:rFonts w:ascii="Times New Roman" w:cs="Times New Roman" w:eastAsia="Times New Roman" w:hAnsi="Times New Roman"/>
          <w:sz w:val="20"/>
          <w:szCs w:val="20"/>
          <w:color w:val="0E0E0E"/>
        </w:rPr>
        <w:t>r</w:t>
      </w:r>
      <w:r>
        <w:rPr>
          <w:rFonts w:ascii="Times New Roman" w:cs="Times New Roman" w:eastAsia="Times New Roman" w:hAnsi="Times New Roman"/>
          <w:sz w:val="20"/>
          <w:szCs w:val="20"/>
          <w:color w:val="1F1F1F"/>
        </w:rPr>
        <w:t>eas</w:t>
      </w:r>
      <w:r>
        <w:rPr>
          <w:rFonts w:ascii="Times New Roman" w:cs="Times New Roman" w:eastAsia="Times New Roman" w:hAnsi="Times New Roman"/>
          <w:sz w:val="20"/>
          <w:szCs w:val="20"/>
          <w:color w:val="0E0E0E"/>
        </w:rPr>
        <w:t>o</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(s) why</w:t>
      </w:r>
      <w:r>
        <w:rPr>
          <w:rFonts w:ascii="Times New Roman" w:cs="Times New Roman" w:eastAsia="Times New Roman" w:hAnsi="Times New Roman"/>
          <w:sz w:val="20"/>
          <w:szCs w:val="20"/>
          <w:color w:val="1F1F1F"/>
        </w:rPr>
        <w:t xml:space="preserve"> t</w:t>
      </w:r>
      <w:r>
        <w:rPr>
          <w:rFonts w:ascii="Times New Roman" w:cs="Times New Roman" w:eastAsia="Times New Roman" w:hAnsi="Times New Roman"/>
          <w:sz w:val="20"/>
          <w:szCs w:val="20"/>
          <w:color w:val="0E0E0E"/>
        </w:rPr>
        <w:t>h</w:t>
      </w:r>
      <w:r>
        <w:rPr>
          <w:rFonts w:ascii="Times New Roman" w:cs="Times New Roman" w:eastAsia="Times New Roman" w:hAnsi="Times New Roman"/>
          <w:sz w:val="20"/>
          <w:szCs w:val="20"/>
          <w:color w:val="1F1F1F"/>
        </w:rPr>
        <w:t>e ex</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ion i</w:t>
      </w:r>
      <w:r>
        <w:rPr>
          <w:rFonts w:ascii="Times New Roman" w:cs="Times New Roman" w:eastAsia="Times New Roman" w:hAnsi="Times New Roman"/>
          <w:sz w:val="20"/>
          <w:szCs w:val="20"/>
          <w:color w:val="1F1F1F"/>
        </w:rPr>
        <w:t xml:space="preserve">s </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cessary</w:t>
      </w:r>
      <w:r>
        <w:rPr>
          <w:rFonts w:ascii="Times New Roman" w:cs="Times New Roman" w:eastAsia="Times New Roman" w:hAnsi="Times New Roman"/>
          <w:sz w:val="20"/>
          <w:szCs w:val="20"/>
          <w:color w:val="1F1F1F"/>
        </w:rPr>
        <w:t xml:space="preserve"> a</w:t>
      </w:r>
      <w:r>
        <w:rPr>
          <w:rFonts w:ascii="Times New Roman" w:cs="Times New Roman" w:eastAsia="Times New Roman" w:hAnsi="Times New Roman"/>
          <w:sz w:val="20"/>
          <w:szCs w:val="20"/>
          <w:color w:val="0E0E0E"/>
        </w:rPr>
        <w:t>nd the d</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te by which th</w:t>
      </w:r>
      <w:r>
        <w:rPr>
          <w:rFonts w:ascii="Times New Roman" w:cs="Times New Roman" w:eastAsia="Times New Roman" w:hAnsi="Times New Roman"/>
          <w:sz w:val="20"/>
          <w:szCs w:val="20"/>
          <w:color w:val="1F1F1F"/>
        </w:rPr>
        <w:t xml:space="preserve">e </w:t>
      </w:r>
      <w:r>
        <w:rPr>
          <w:rFonts w:ascii="Times New Roman" w:cs="Times New Roman" w:eastAsia="Times New Roman" w:hAnsi="Times New Roman"/>
          <w:sz w:val="20"/>
          <w:szCs w:val="20"/>
          <w:color w:val="0E0E0E"/>
        </w:rPr>
        <w:t>C</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E0E0E"/>
        </w:rPr>
        <w:t>m</w:t>
      </w:r>
      <w:r>
        <w:rPr>
          <w:rFonts w:ascii="Times New Roman" w:cs="Times New Roman" w:eastAsia="Times New Roman" w:hAnsi="Times New Roman"/>
          <w:sz w:val="20"/>
          <w:szCs w:val="20"/>
          <w:color w:val="1F1F1F"/>
        </w:rPr>
        <w:t>p</w:t>
      </w:r>
      <w:r>
        <w:rPr>
          <w:rFonts w:ascii="Times New Roman" w:cs="Times New Roman" w:eastAsia="Times New Roman" w:hAnsi="Times New Roman"/>
          <w:sz w:val="20"/>
          <w:szCs w:val="20"/>
          <w:color w:val="0E0E0E"/>
        </w:rPr>
        <w:t>en</w:t>
      </w:r>
      <w:r>
        <w:rPr>
          <w:rFonts w:ascii="Times New Roman" w:cs="Times New Roman" w:eastAsia="Times New Roman" w:hAnsi="Times New Roman"/>
          <w:sz w:val="20"/>
          <w:szCs w:val="20"/>
          <w:color w:val="1F1F1F"/>
        </w:rPr>
        <w:t>sa</w:t>
      </w:r>
      <w:r>
        <w:rPr>
          <w:rFonts w:ascii="Times New Roman" w:cs="Times New Roman" w:eastAsia="Times New Roman" w:hAnsi="Times New Roman"/>
          <w:sz w:val="20"/>
          <w:szCs w:val="20"/>
          <w:color w:val="0E0E0E"/>
        </w:rPr>
        <w:t>tio</w:t>
      </w:r>
      <w:r>
        <w:rPr>
          <w:rFonts w:ascii="Times New Roman" w:cs="Times New Roman" w:eastAsia="Times New Roman" w:hAnsi="Times New Roman"/>
          <w:sz w:val="20"/>
          <w:szCs w:val="20"/>
          <w:color w:val="1F1F1F"/>
        </w:rPr>
        <w:t xml:space="preserve">n </w:t>
      </w:r>
      <w:r>
        <w:rPr>
          <w:rFonts w:ascii="Times New Roman" w:cs="Times New Roman" w:eastAsia="Times New Roman" w:hAnsi="Times New Roman"/>
          <w:sz w:val="20"/>
          <w:szCs w:val="20"/>
          <w:color w:val="0E0E0E"/>
        </w:rPr>
        <w:t>C</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E0E0E"/>
        </w:rPr>
        <w:t>mmittee ex</w:t>
      </w:r>
      <w:r>
        <w:rPr>
          <w:rFonts w:ascii="Times New Roman" w:cs="Times New Roman" w:eastAsia="Times New Roman" w:hAnsi="Times New Roman"/>
          <w:sz w:val="20"/>
          <w:szCs w:val="20"/>
          <w:color w:val="1F1F1F"/>
        </w:rPr>
        <w:t>p</w:t>
      </w:r>
      <w:r>
        <w:rPr>
          <w:rFonts w:ascii="Times New Roman" w:cs="Times New Roman" w:eastAsia="Times New Roman" w:hAnsi="Times New Roman"/>
          <w:sz w:val="20"/>
          <w:szCs w:val="20"/>
          <w:color w:val="0E0E0E"/>
        </w:rPr>
        <w:t>ect</w:t>
      </w:r>
      <w:r>
        <w:rPr>
          <w:rFonts w:ascii="Times New Roman" w:cs="Times New Roman" w:eastAsia="Times New Roman" w:hAnsi="Times New Roman"/>
          <w:sz w:val="20"/>
          <w:szCs w:val="20"/>
          <w:color w:val="1F1F1F"/>
        </w:rPr>
        <w:t xml:space="preserve">s </w:t>
      </w:r>
      <w:r>
        <w:rPr>
          <w:rFonts w:ascii="Times New Roman" w:cs="Times New Roman" w:eastAsia="Times New Roman" w:hAnsi="Times New Roman"/>
          <w:sz w:val="20"/>
          <w:szCs w:val="20"/>
          <w:color w:val="0E0E0E"/>
        </w:rPr>
        <w:t>to render its 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cis</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on on</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0E0E0E"/>
        </w:rPr>
        <w:t>th</w:t>
      </w:r>
      <w:r>
        <w:rPr>
          <w:rFonts w:ascii="Times New Roman" w:cs="Times New Roman" w:eastAsia="Times New Roman" w:hAnsi="Times New Roman"/>
          <w:sz w:val="20"/>
          <w:szCs w:val="20"/>
          <w:color w:val="1F1F1F"/>
        </w:rPr>
        <w:t>e a</w:t>
      </w:r>
      <w:r>
        <w:rPr>
          <w:rFonts w:ascii="Times New Roman" w:cs="Times New Roman" w:eastAsia="Times New Roman" w:hAnsi="Times New Roman"/>
          <w:sz w:val="20"/>
          <w:szCs w:val="20"/>
          <w:color w:val="0E0E0E"/>
        </w:rPr>
        <w:t>ppe</w:t>
      </w:r>
      <w:r>
        <w:rPr>
          <w:rFonts w:ascii="Times New Roman" w:cs="Times New Roman" w:eastAsia="Times New Roman" w:hAnsi="Times New Roman"/>
          <w:sz w:val="20"/>
          <w:szCs w:val="20"/>
          <w:color w:val="1F1F1F"/>
        </w:rPr>
        <w:t>al.</w:t>
      </w:r>
      <w:r>
        <w:rPr>
          <w:rFonts w:ascii="Times New Roman" w:cs="Times New Roman" w:eastAsia="Times New Roman" w:hAnsi="Times New Roman"/>
          <w:sz w:val="20"/>
          <w:szCs w:val="20"/>
          <w:color w:val="0E0E0E"/>
        </w:rPr>
        <w:t xml:space="preserve"> I</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 xml:space="preserve"> reac</w:t>
      </w:r>
      <w:r>
        <w:rPr>
          <w:rFonts w:ascii="Times New Roman" w:cs="Times New Roman" w:eastAsia="Times New Roman" w:hAnsi="Times New Roman"/>
          <w:sz w:val="20"/>
          <w:szCs w:val="20"/>
          <w:color w:val="1F1F1F"/>
        </w:rPr>
        <w:t>hi</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g i</w:t>
      </w:r>
      <w:r>
        <w:rPr>
          <w:rFonts w:ascii="Times New Roman" w:cs="Times New Roman" w:eastAsia="Times New Roman" w:hAnsi="Times New Roman"/>
          <w:sz w:val="20"/>
          <w:szCs w:val="20"/>
          <w:color w:val="0E0E0E"/>
        </w:rPr>
        <w:t>ts 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ci</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313131"/>
        </w:rPr>
        <w:t>i</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E0E0E"/>
        </w:rPr>
        <w:t xml:space="preserve"> the Comp</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nsa</w:t>
      </w:r>
      <w:r>
        <w:rPr>
          <w:rFonts w:ascii="Times New Roman" w:cs="Times New Roman" w:eastAsia="Times New Roman" w:hAnsi="Times New Roman"/>
          <w:sz w:val="20"/>
          <w:szCs w:val="20"/>
          <w:color w:val="1F1F1F"/>
        </w:rPr>
        <w:t>ti</w:t>
      </w:r>
      <w:r>
        <w:rPr>
          <w:rFonts w:ascii="Times New Roman" w:cs="Times New Roman" w:eastAsia="Times New Roman" w:hAnsi="Times New Roman"/>
          <w:sz w:val="20"/>
          <w:szCs w:val="20"/>
          <w:color w:val="0E0E0E"/>
        </w:rPr>
        <w:t>on Co</w:t>
      </w:r>
      <w:r>
        <w:rPr>
          <w:rFonts w:ascii="Times New Roman" w:cs="Times New Roman" w:eastAsia="Times New Roman" w:hAnsi="Times New Roman"/>
          <w:sz w:val="20"/>
          <w:szCs w:val="20"/>
          <w:color w:val="1F1F1F"/>
        </w:rPr>
        <w:t>mm</w:t>
      </w:r>
      <w:r>
        <w:rPr>
          <w:rFonts w:ascii="Times New Roman" w:cs="Times New Roman" w:eastAsia="Times New Roman" w:hAnsi="Times New Roman"/>
          <w:sz w:val="20"/>
          <w:szCs w:val="20"/>
          <w:color w:val="0E0E0E"/>
        </w:rPr>
        <w:t>i</w:t>
      </w:r>
      <w:r>
        <w:rPr>
          <w:rFonts w:ascii="Times New Roman" w:cs="Times New Roman" w:eastAsia="Times New Roman" w:hAnsi="Times New Roman"/>
          <w:sz w:val="20"/>
          <w:szCs w:val="20"/>
          <w:color w:val="1F1F1F"/>
        </w:rPr>
        <w:t>tt</w:t>
      </w:r>
      <w:r>
        <w:rPr>
          <w:rFonts w:ascii="Times New Roman" w:cs="Times New Roman" w:eastAsia="Times New Roman" w:hAnsi="Times New Roman"/>
          <w:sz w:val="20"/>
          <w:szCs w:val="20"/>
          <w:color w:val="0E0E0E"/>
        </w:rPr>
        <w:t>e</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will t</w:t>
      </w:r>
      <w:r>
        <w:rPr>
          <w:rFonts w:ascii="Times New Roman" w:cs="Times New Roman" w:eastAsia="Times New Roman" w:hAnsi="Times New Roman"/>
          <w:sz w:val="20"/>
          <w:szCs w:val="20"/>
          <w:color w:val="1F1F1F"/>
        </w:rPr>
        <w:t>ak</w:t>
      </w:r>
      <w:r>
        <w:rPr>
          <w:rFonts w:ascii="Times New Roman" w:cs="Times New Roman" w:eastAsia="Times New Roman" w:hAnsi="Times New Roman"/>
          <w:sz w:val="20"/>
          <w:szCs w:val="20"/>
          <w:color w:val="0E0E0E"/>
        </w:rPr>
        <w:t xml:space="preserve">e into account </w:t>
      </w:r>
      <w:r>
        <w:rPr>
          <w:rFonts w:ascii="Times New Roman" w:cs="Times New Roman" w:eastAsia="Times New Roman" w:hAnsi="Times New Roman"/>
          <w:sz w:val="20"/>
          <w:szCs w:val="20"/>
          <w:color w:val="1F1F1F"/>
        </w:rPr>
        <w:t>all</w:t>
      </w:r>
      <w:r>
        <w:rPr>
          <w:rFonts w:ascii="Times New Roman" w:cs="Times New Roman" w:eastAsia="Times New Roman" w:hAnsi="Times New Roman"/>
          <w:sz w:val="20"/>
          <w:szCs w:val="20"/>
          <w:color w:val="0E0E0E"/>
        </w:rPr>
        <w:t xml:space="preserve"> o</w:t>
      </w:r>
      <w:r>
        <w:rPr>
          <w:rFonts w:ascii="Times New Roman" w:cs="Times New Roman" w:eastAsia="Times New Roman" w:hAnsi="Times New Roman"/>
          <w:sz w:val="20"/>
          <w:szCs w:val="20"/>
          <w:color w:val="1F1F1F"/>
        </w:rPr>
        <w:t>f t</w:t>
      </w:r>
      <w:r>
        <w:rPr>
          <w:rFonts w:ascii="Times New Roman" w:cs="Times New Roman" w:eastAsia="Times New Roman" w:hAnsi="Times New Roman"/>
          <w:sz w:val="20"/>
          <w:szCs w:val="20"/>
          <w:color w:val="0E0E0E"/>
        </w:rPr>
        <w:t>h</w:t>
      </w:r>
      <w:r>
        <w:rPr>
          <w:rFonts w:ascii="Times New Roman" w:cs="Times New Roman" w:eastAsia="Times New Roman" w:hAnsi="Times New Roman"/>
          <w:sz w:val="20"/>
          <w:szCs w:val="20"/>
          <w:color w:val="1F1F1F"/>
        </w:rPr>
        <w:t>e c</w:t>
      </w:r>
      <w:r>
        <w:rPr>
          <w:rFonts w:ascii="Times New Roman" w:cs="Times New Roman" w:eastAsia="Times New Roman" w:hAnsi="Times New Roman"/>
          <w:sz w:val="20"/>
          <w:szCs w:val="20"/>
          <w:color w:val="0E0E0E"/>
        </w:rPr>
        <w:t>omm</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nts</w:t>
      </w:r>
      <w:r>
        <w:rPr>
          <w:rFonts w:ascii="Times New Roman" w:cs="Times New Roman" w:eastAsia="Times New Roman" w:hAnsi="Times New Roman"/>
          <w:sz w:val="20"/>
          <w:szCs w:val="20"/>
          <w:color w:val="1F1F1F"/>
        </w:rPr>
        <w:t>, d</w:t>
      </w:r>
      <w:r>
        <w:rPr>
          <w:rFonts w:ascii="Times New Roman" w:cs="Times New Roman" w:eastAsia="Times New Roman" w:hAnsi="Times New Roman"/>
          <w:sz w:val="20"/>
          <w:szCs w:val="20"/>
          <w:color w:val="0E0E0E"/>
        </w:rPr>
        <w:t>ocu</w:t>
      </w:r>
      <w:r>
        <w:rPr>
          <w:rFonts w:ascii="Times New Roman" w:cs="Times New Roman" w:eastAsia="Times New Roman" w:hAnsi="Times New Roman"/>
          <w:sz w:val="20"/>
          <w:szCs w:val="20"/>
          <w:color w:val="1F1F1F"/>
        </w:rPr>
        <w:t>me</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 xml:space="preserve">s, </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0E0E0E"/>
        </w:rPr>
        <w:t xml:space="preserve">cords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nd oth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r in</w:t>
      </w:r>
      <w:r>
        <w:rPr>
          <w:rFonts w:ascii="Times New Roman" w:cs="Times New Roman" w:eastAsia="Times New Roman" w:hAnsi="Times New Roman"/>
          <w:sz w:val="20"/>
          <w:szCs w:val="20"/>
          <w:color w:val="1F1F1F"/>
        </w:rPr>
        <w:t>for</w:t>
      </w:r>
      <w:r>
        <w:rPr>
          <w:rFonts w:ascii="Times New Roman" w:cs="Times New Roman" w:eastAsia="Times New Roman" w:hAnsi="Times New Roman"/>
          <w:sz w:val="20"/>
          <w:szCs w:val="20"/>
          <w:color w:val="0E0E0E"/>
        </w:rPr>
        <w:t>m</w:t>
      </w:r>
      <w:r>
        <w:rPr>
          <w:rFonts w:ascii="Times New Roman" w:cs="Times New Roman" w:eastAsia="Times New Roman" w:hAnsi="Times New Roman"/>
          <w:sz w:val="20"/>
          <w:szCs w:val="20"/>
          <w:color w:val="1F1F1F"/>
        </w:rPr>
        <w:t>at</w:t>
      </w:r>
      <w:r>
        <w:rPr>
          <w:rFonts w:ascii="Times New Roman" w:cs="Times New Roman" w:eastAsia="Times New Roman" w:hAnsi="Times New Roman"/>
          <w:sz w:val="20"/>
          <w:szCs w:val="20"/>
          <w:color w:val="0E0E0E"/>
        </w:rPr>
        <w:t xml:space="preserve">ion </w:t>
      </w:r>
      <w:r>
        <w:rPr>
          <w:rFonts w:ascii="Times New Roman" w:cs="Times New Roman" w:eastAsia="Times New Roman" w:hAnsi="Times New Roman"/>
          <w:sz w:val="20"/>
          <w:szCs w:val="20"/>
          <w:color w:val="1F1F1F"/>
        </w:rPr>
        <w:t>tha</w:t>
      </w:r>
      <w:r>
        <w:rPr>
          <w:rFonts w:ascii="Times New Roman" w:cs="Times New Roman" w:eastAsia="Times New Roman" w:hAnsi="Times New Roman"/>
          <w:sz w:val="20"/>
          <w:szCs w:val="20"/>
          <w:color w:val="0E0E0E"/>
        </w:rPr>
        <w:t xml:space="preserve">t </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C</w:t>
      </w:r>
      <w:r>
        <w:rPr>
          <w:rFonts w:ascii="Times New Roman" w:cs="Times New Roman" w:eastAsia="Times New Roman" w:hAnsi="Times New Roman"/>
          <w:sz w:val="20"/>
          <w:szCs w:val="20"/>
          <w:color w:val="1F1F1F"/>
        </w:rPr>
        <w:t>laima</w:t>
      </w:r>
      <w:r>
        <w:rPr>
          <w:rFonts w:ascii="Times New Roman" w:cs="Times New Roman" w:eastAsia="Times New Roman" w:hAnsi="Times New Roman"/>
          <w:sz w:val="20"/>
          <w:szCs w:val="20"/>
          <w:color w:val="0E0E0E"/>
        </w:rPr>
        <w:t>nt (</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E0E0E"/>
        </w:rPr>
        <w:t>r hi</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 xml:space="preserve"> o</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E0E0E"/>
        </w:rPr>
        <w:t xml:space="preserve"> he</w:t>
      </w:r>
      <w:r>
        <w:rPr>
          <w:rFonts w:ascii="Times New Roman" w:cs="Times New Roman" w:eastAsia="Times New Roman" w:hAnsi="Times New Roman"/>
          <w:sz w:val="20"/>
          <w:szCs w:val="20"/>
          <w:color w:val="1F1F1F"/>
        </w:rPr>
        <w:t>r a</w:t>
      </w:r>
      <w:r>
        <w:rPr>
          <w:rFonts w:ascii="Times New Roman" w:cs="Times New Roman" w:eastAsia="Times New Roman" w:hAnsi="Times New Roman"/>
          <w:sz w:val="20"/>
          <w:szCs w:val="20"/>
          <w:color w:val="0E0E0E"/>
        </w:rPr>
        <w:t>uthorized repre</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ent</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tive) su</w:t>
      </w:r>
      <w:r>
        <w:rPr>
          <w:rFonts w:ascii="Times New Roman" w:cs="Times New Roman" w:eastAsia="Times New Roman" w:hAnsi="Times New Roman"/>
          <w:sz w:val="20"/>
          <w:szCs w:val="20"/>
          <w:color w:val="1F1F1F"/>
        </w:rPr>
        <w:t>bm</w:t>
      </w:r>
      <w:r>
        <w:rPr>
          <w:rFonts w:ascii="Times New Roman" w:cs="Times New Roman" w:eastAsia="Times New Roman" w:hAnsi="Times New Roman"/>
          <w:sz w:val="20"/>
          <w:szCs w:val="20"/>
          <w:color w:val="0E0E0E"/>
        </w:rPr>
        <w:t>itte</w:t>
      </w:r>
      <w:r>
        <w:rPr>
          <w:rFonts w:ascii="Times New Roman" w:cs="Times New Roman" w:eastAsia="Times New Roman" w:hAnsi="Times New Roman"/>
          <w:sz w:val="20"/>
          <w:szCs w:val="20"/>
          <w:color w:val="1F1F1F"/>
        </w:rPr>
        <w:t>d</w:t>
      </w:r>
      <w:r>
        <w:rPr>
          <w:rFonts w:ascii="Times New Roman" w:cs="Times New Roman" w:eastAsia="Times New Roman" w:hAnsi="Times New Roman"/>
          <w:sz w:val="20"/>
          <w:szCs w:val="20"/>
          <w:color w:val="313131"/>
        </w:rPr>
        <w:t>,</w:t>
      </w:r>
      <w:r>
        <w:rPr>
          <w:rFonts w:ascii="Times New Roman" w:cs="Times New Roman" w:eastAsia="Times New Roman" w:hAnsi="Times New Roman"/>
          <w:sz w:val="20"/>
          <w:szCs w:val="20"/>
          <w:color w:val="0E0E0E"/>
        </w:rPr>
        <w:t xml:space="preserve"> w</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th</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E0E0E"/>
        </w:rPr>
        <w:t>ut 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g</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rd to whether su</w:t>
      </w:r>
      <w:r>
        <w:rPr>
          <w:rFonts w:ascii="Times New Roman" w:cs="Times New Roman" w:eastAsia="Times New Roman" w:hAnsi="Times New Roman"/>
          <w:sz w:val="20"/>
          <w:szCs w:val="20"/>
          <w:color w:val="1F1F1F"/>
        </w:rPr>
        <w:t>c</w:t>
      </w:r>
      <w:r>
        <w:rPr>
          <w:rFonts w:ascii="Times New Roman" w:cs="Times New Roman" w:eastAsia="Times New Roman" w:hAnsi="Times New Roman"/>
          <w:sz w:val="20"/>
          <w:szCs w:val="20"/>
          <w:color w:val="0E0E0E"/>
        </w:rPr>
        <w:t>h in</w:t>
      </w:r>
      <w:r>
        <w:rPr>
          <w:rFonts w:ascii="Times New Roman" w:cs="Times New Roman" w:eastAsia="Times New Roman" w:hAnsi="Times New Roman"/>
          <w:sz w:val="20"/>
          <w:szCs w:val="20"/>
          <w:color w:val="1F1F1F"/>
        </w:rPr>
        <w:t>fo</w:t>
      </w:r>
      <w:r>
        <w:rPr>
          <w:rFonts w:ascii="Times New Roman" w:cs="Times New Roman" w:eastAsia="Times New Roman" w:hAnsi="Times New Roman"/>
          <w:sz w:val="20"/>
          <w:szCs w:val="20"/>
          <w:color w:val="0E0E0E"/>
        </w:rPr>
        <w:t>rm</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ti</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E0E0E"/>
        </w:rPr>
        <w:t>n w</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s </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ubmitt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d or con</w:t>
      </w:r>
      <w:r>
        <w:rPr>
          <w:rFonts w:ascii="Times New Roman" w:cs="Times New Roman" w:eastAsia="Times New Roman" w:hAnsi="Times New Roman"/>
          <w:sz w:val="20"/>
          <w:szCs w:val="20"/>
          <w:color w:val="1F1F1F"/>
        </w:rPr>
        <w:t>si</w:t>
      </w:r>
      <w:r>
        <w:rPr>
          <w:rFonts w:ascii="Times New Roman" w:cs="Times New Roman" w:eastAsia="Times New Roman" w:hAnsi="Times New Roman"/>
          <w:sz w:val="20"/>
          <w:szCs w:val="20"/>
          <w:color w:val="0E0E0E"/>
        </w:rPr>
        <w:t>d</w:t>
      </w:r>
      <w:r>
        <w:rPr>
          <w:rFonts w:ascii="Times New Roman" w:cs="Times New Roman" w:eastAsia="Times New Roman" w:hAnsi="Times New Roman"/>
          <w:sz w:val="20"/>
          <w:szCs w:val="20"/>
          <w:color w:val="1F1F1F"/>
        </w:rPr>
        <w:t xml:space="preserve">ered </w:t>
      </w:r>
      <w:r>
        <w:rPr>
          <w:rFonts w:ascii="Times New Roman" w:cs="Times New Roman" w:eastAsia="Times New Roman" w:hAnsi="Times New Roman"/>
          <w:sz w:val="20"/>
          <w:szCs w:val="20"/>
          <w:color w:val="0E0E0E"/>
        </w:rPr>
        <w:t>by</w:t>
      </w:r>
      <w:r>
        <w:rPr>
          <w:rFonts w:ascii="Times New Roman" w:cs="Times New Roman" w:eastAsia="Times New Roman" w:hAnsi="Times New Roman"/>
          <w:sz w:val="20"/>
          <w:szCs w:val="20"/>
          <w:color w:val="1F1F1F"/>
        </w:rPr>
        <w:t xml:space="preserve"> th</w:t>
      </w:r>
      <w:r>
        <w:rPr>
          <w:rFonts w:ascii="Times New Roman" w:cs="Times New Roman" w:eastAsia="Times New Roman" w:hAnsi="Times New Roman"/>
          <w:sz w:val="20"/>
          <w:szCs w:val="20"/>
          <w:color w:val="0E0E0E"/>
        </w:rPr>
        <w:t>e A</w:t>
      </w:r>
      <w:r>
        <w:rPr>
          <w:rFonts w:ascii="Times New Roman" w:cs="Times New Roman" w:eastAsia="Times New Roman" w:hAnsi="Times New Roman"/>
          <w:sz w:val="20"/>
          <w:szCs w:val="20"/>
          <w:color w:val="1F1F1F"/>
        </w:rPr>
        <w:t>dmi</w:t>
      </w:r>
      <w:r>
        <w:rPr>
          <w:rFonts w:ascii="Times New Roman" w:cs="Times New Roman" w:eastAsia="Times New Roman" w:hAnsi="Times New Roman"/>
          <w:sz w:val="20"/>
          <w:szCs w:val="20"/>
          <w:color w:val="0E0E0E"/>
        </w:rPr>
        <w:t>nis</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rator i</w:t>
      </w:r>
      <w:r>
        <w:rPr>
          <w:rFonts w:ascii="Times New Roman" w:cs="Times New Roman" w:eastAsia="Times New Roman" w:hAnsi="Times New Roman"/>
          <w:sz w:val="20"/>
          <w:szCs w:val="20"/>
          <w:color w:val="1F1F1F"/>
        </w:rPr>
        <w:t xml:space="preserve">n </w:t>
      </w:r>
      <w:r>
        <w:rPr>
          <w:rFonts w:ascii="Times New Roman" w:cs="Times New Roman" w:eastAsia="Times New Roman" w:hAnsi="Times New Roman"/>
          <w:sz w:val="20"/>
          <w:szCs w:val="20"/>
          <w:color w:val="0E0E0E"/>
        </w:rPr>
        <w:t>it</w:t>
      </w:r>
      <w:r>
        <w:rPr>
          <w:rFonts w:ascii="Times New Roman" w:cs="Times New Roman" w:eastAsia="Times New Roman" w:hAnsi="Times New Roman"/>
          <w:sz w:val="20"/>
          <w:szCs w:val="20"/>
          <w:color w:val="1F1F1F"/>
        </w:rPr>
        <w:t>s i</w:t>
      </w:r>
      <w:r>
        <w:rPr>
          <w:rFonts w:ascii="Times New Roman" w:cs="Times New Roman" w:eastAsia="Times New Roman" w:hAnsi="Times New Roman"/>
          <w:sz w:val="20"/>
          <w:szCs w:val="20"/>
          <w:color w:val="0E0E0E"/>
        </w:rPr>
        <w:t>n</w:t>
      </w:r>
      <w:r>
        <w:rPr>
          <w:rFonts w:ascii="Times New Roman" w:cs="Times New Roman" w:eastAsia="Times New Roman" w:hAnsi="Times New Roman"/>
          <w:sz w:val="20"/>
          <w:szCs w:val="20"/>
          <w:color w:val="1F1F1F"/>
        </w:rPr>
        <w:t>it</w:t>
      </w:r>
      <w:r>
        <w:rPr>
          <w:rFonts w:ascii="Times New Roman" w:cs="Times New Roman" w:eastAsia="Times New Roman" w:hAnsi="Times New Roman"/>
          <w:sz w:val="20"/>
          <w:szCs w:val="20"/>
          <w:color w:val="0E0E0E"/>
        </w:rPr>
        <w:t>ia</w:t>
      </w:r>
      <w:r>
        <w:rPr>
          <w:rFonts w:ascii="Times New Roman" w:cs="Times New Roman" w:eastAsia="Times New Roman" w:hAnsi="Times New Roman"/>
          <w:sz w:val="20"/>
          <w:szCs w:val="20"/>
          <w:color w:val="1F1F1F"/>
        </w:rPr>
        <w:t xml:space="preserve">l </w:t>
      </w:r>
      <w:r>
        <w:rPr>
          <w:rFonts w:ascii="Times New Roman" w:cs="Times New Roman" w:eastAsia="Times New Roman" w:hAnsi="Times New Roman"/>
          <w:sz w:val="20"/>
          <w:szCs w:val="20"/>
          <w:color w:val="0E0E0E"/>
        </w:rPr>
        <w:t>den</w:t>
      </w:r>
      <w:r>
        <w:rPr>
          <w:rFonts w:ascii="Times New Roman" w:cs="Times New Roman" w:eastAsia="Times New Roman" w:hAnsi="Times New Roman"/>
          <w:sz w:val="20"/>
          <w:szCs w:val="20"/>
          <w:color w:val="1F1F1F"/>
        </w:rPr>
        <w:t>ia</w:t>
      </w:r>
      <w:r>
        <w:rPr>
          <w:rFonts w:ascii="Times New Roman" w:cs="Times New Roman" w:eastAsia="Times New Roman" w:hAnsi="Times New Roman"/>
          <w:sz w:val="20"/>
          <w:szCs w:val="20"/>
          <w:color w:val="0E0E0E"/>
        </w:rPr>
        <w:t>l of the claim.</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1F1F1F"/>
        </w:rPr>
        <w:t xml:space="preserve">If a </w:t>
      </w:r>
      <w:r>
        <w:rPr>
          <w:rFonts w:ascii="Times New Roman" w:cs="Times New Roman" w:eastAsia="Times New Roman" w:hAnsi="Times New Roman"/>
          <w:sz w:val="20"/>
          <w:szCs w:val="20"/>
          <w:color w:val="0E0E0E"/>
        </w:rPr>
        <w:t>cl</w:t>
      </w:r>
      <w:r>
        <w:rPr>
          <w:rFonts w:ascii="Times New Roman" w:cs="Times New Roman" w:eastAsia="Times New Roman" w:hAnsi="Times New Roman"/>
          <w:sz w:val="20"/>
          <w:szCs w:val="20"/>
          <w:color w:val="1F1F1F"/>
        </w:rPr>
        <w:t>ai</w:t>
      </w:r>
      <w:r>
        <w:rPr>
          <w:rFonts w:ascii="Times New Roman" w:cs="Times New Roman" w:eastAsia="Times New Roman" w:hAnsi="Times New Roman"/>
          <w:sz w:val="20"/>
          <w:szCs w:val="20"/>
          <w:color w:val="0E0E0E"/>
        </w:rPr>
        <w:t>m i</w:t>
      </w:r>
      <w:r>
        <w:rPr>
          <w:rFonts w:ascii="Times New Roman" w:cs="Times New Roman" w:eastAsia="Times New Roman" w:hAnsi="Times New Roman"/>
          <w:sz w:val="20"/>
          <w:szCs w:val="20"/>
          <w:color w:val="1F1F1F"/>
        </w:rPr>
        <w:t xml:space="preserve">s </w:t>
      </w:r>
      <w:r>
        <w:rPr>
          <w:rFonts w:ascii="Times New Roman" w:cs="Times New Roman" w:eastAsia="Times New Roman" w:hAnsi="Times New Roman"/>
          <w:sz w:val="20"/>
          <w:szCs w:val="20"/>
          <w:color w:val="0E0E0E"/>
        </w:rPr>
        <w:t>p</w:t>
      </w:r>
      <w:r>
        <w:rPr>
          <w:rFonts w:ascii="Times New Roman" w:cs="Times New Roman" w:eastAsia="Times New Roman" w:hAnsi="Times New Roman"/>
          <w:sz w:val="20"/>
          <w:szCs w:val="20"/>
          <w:color w:val="1F1F1F"/>
        </w:rPr>
        <w:t>artiall</w:t>
      </w:r>
      <w:r>
        <w:rPr>
          <w:rFonts w:ascii="Times New Roman" w:cs="Times New Roman" w:eastAsia="Times New Roman" w:hAnsi="Times New Roman"/>
          <w:sz w:val="20"/>
          <w:szCs w:val="20"/>
          <w:color w:val="0E0E0E"/>
        </w:rPr>
        <w:t>y or</w:t>
      </w:r>
      <w:r>
        <w:rPr>
          <w:rFonts w:ascii="Times New Roman" w:cs="Times New Roman" w:eastAsia="Times New Roman" w:hAnsi="Times New Roman"/>
          <w:sz w:val="20"/>
          <w:szCs w:val="20"/>
          <w:color w:val="1F1F1F"/>
        </w:rPr>
        <w:t xml:space="preserve"> com</w:t>
      </w:r>
      <w:r>
        <w:rPr>
          <w:rFonts w:ascii="Times New Roman" w:cs="Times New Roman" w:eastAsia="Times New Roman" w:hAnsi="Times New Roman"/>
          <w:sz w:val="20"/>
          <w:szCs w:val="20"/>
          <w:color w:val="0E0E0E"/>
        </w:rPr>
        <w:t>p</w:t>
      </w:r>
      <w:r>
        <w:rPr>
          <w:rFonts w:ascii="Times New Roman" w:cs="Times New Roman" w:eastAsia="Times New Roman" w:hAnsi="Times New Roman"/>
          <w:sz w:val="20"/>
          <w:szCs w:val="20"/>
          <w:color w:val="1F1F1F"/>
        </w:rPr>
        <w:t>le</w:t>
      </w:r>
      <w:r>
        <w:rPr>
          <w:rFonts w:ascii="Times New Roman" w:cs="Times New Roman" w:eastAsia="Times New Roman" w:hAnsi="Times New Roman"/>
          <w:sz w:val="20"/>
          <w:szCs w:val="20"/>
          <w:color w:val="0E0E0E"/>
        </w:rPr>
        <w:t>t</w:t>
      </w:r>
      <w:r>
        <w:rPr>
          <w:rFonts w:ascii="Times New Roman" w:cs="Times New Roman" w:eastAsia="Times New Roman" w:hAnsi="Times New Roman"/>
          <w:sz w:val="20"/>
          <w:szCs w:val="20"/>
          <w:color w:val="1F1F1F"/>
        </w:rPr>
        <w:t>el</w:t>
      </w:r>
      <w:r>
        <w:rPr>
          <w:rFonts w:ascii="Times New Roman" w:cs="Times New Roman" w:eastAsia="Times New Roman" w:hAnsi="Times New Roman"/>
          <w:sz w:val="20"/>
          <w:szCs w:val="20"/>
          <w:color w:val="0E0E0E"/>
        </w:rPr>
        <w:t>y</w:t>
      </w:r>
      <w:r>
        <w:rPr>
          <w:rFonts w:ascii="Times New Roman" w:cs="Times New Roman" w:eastAsia="Times New Roman" w:hAnsi="Times New Roman"/>
          <w:sz w:val="20"/>
          <w:szCs w:val="20"/>
          <w:color w:val="1F1F1F"/>
        </w:rPr>
        <w:t xml:space="preserve"> denie</w:t>
      </w:r>
      <w:r>
        <w:rPr>
          <w:rFonts w:ascii="Times New Roman" w:cs="Times New Roman" w:eastAsia="Times New Roman" w:hAnsi="Times New Roman"/>
          <w:sz w:val="20"/>
          <w:szCs w:val="20"/>
          <w:color w:val="0E0E0E"/>
        </w:rPr>
        <w:t>d o</w:t>
      </w:r>
      <w:r>
        <w:rPr>
          <w:rFonts w:ascii="Times New Roman" w:cs="Times New Roman" w:eastAsia="Times New Roman" w:hAnsi="Times New Roman"/>
          <w:sz w:val="20"/>
          <w:szCs w:val="20"/>
          <w:color w:val="1F1F1F"/>
        </w:rPr>
        <w:t>n ap</w:t>
      </w:r>
      <w:r>
        <w:rPr>
          <w:rFonts w:ascii="Times New Roman" w:cs="Times New Roman" w:eastAsia="Times New Roman" w:hAnsi="Times New Roman"/>
          <w:sz w:val="20"/>
          <w:szCs w:val="20"/>
          <w:color w:val="0E0E0E"/>
        </w:rPr>
        <w:t>pe</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l</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0E0E0E"/>
        </w:rPr>
        <w:t>the written n</w:t>
      </w:r>
      <w:r>
        <w:rPr>
          <w:rFonts w:ascii="Times New Roman" w:cs="Times New Roman" w:eastAsia="Times New Roman" w:hAnsi="Times New Roman"/>
          <w:sz w:val="20"/>
          <w:szCs w:val="20"/>
          <w:color w:val="1F1F1F"/>
        </w:rPr>
        <w:t>ot</w:t>
      </w:r>
      <w:r>
        <w:rPr>
          <w:rFonts w:ascii="Times New Roman" w:cs="Times New Roman" w:eastAsia="Times New Roman" w:hAnsi="Times New Roman"/>
          <w:sz w:val="20"/>
          <w:szCs w:val="20"/>
          <w:color w:val="0E0E0E"/>
        </w:rPr>
        <w:t>ic</w:t>
      </w:r>
      <w:r>
        <w:rPr>
          <w:rFonts w:ascii="Times New Roman" w:cs="Times New Roman" w:eastAsia="Times New Roman" w:hAnsi="Times New Roman"/>
          <w:sz w:val="20"/>
          <w:szCs w:val="20"/>
          <w:color w:val="1F1F1F"/>
        </w:rPr>
        <w:t xml:space="preserve">e of </w:t>
      </w:r>
      <w:r>
        <w:rPr>
          <w:rFonts w:ascii="Times New Roman" w:cs="Times New Roman" w:eastAsia="Times New Roman" w:hAnsi="Times New Roman"/>
          <w:sz w:val="20"/>
          <w:szCs w:val="20"/>
          <w:color w:val="0E0E0E"/>
        </w:rPr>
        <w:t>cl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i</w:t>
      </w:r>
      <w:r>
        <w:rPr>
          <w:rFonts w:ascii="Times New Roman" w:cs="Times New Roman" w:eastAsia="Times New Roman" w:hAnsi="Times New Roman"/>
          <w:sz w:val="20"/>
          <w:szCs w:val="20"/>
          <w:color w:val="1F1F1F"/>
        </w:rPr>
        <w:t xml:space="preserve">m </w:t>
      </w:r>
      <w:r>
        <w:rPr>
          <w:rFonts w:ascii="Times New Roman" w:cs="Times New Roman" w:eastAsia="Times New Roman" w:hAnsi="Times New Roman"/>
          <w:sz w:val="20"/>
          <w:szCs w:val="20"/>
          <w:color w:val="0E0E0E"/>
        </w:rPr>
        <w:t>den</w:t>
      </w:r>
      <w:r>
        <w:rPr>
          <w:rFonts w:ascii="Times New Roman" w:cs="Times New Roman" w:eastAsia="Times New Roman" w:hAnsi="Times New Roman"/>
          <w:sz w:val="20"/>
          <w:szCs w:val="20"/>
          <w:color w:val="1F1F1F"/>
        </w:rPr>
        <w:t>ia</w:t>
      </w:r>
      <w:r>
        <w:rPr>
          <w:rFonts w:ascii="Times New Roman" w:cs="Times New Roman" w:eastAsia="Times New Roman" w:hAnsi="Times New Roman"/>
          <w:sz w:val="20"/>
          <w:szCs w:val="20"/>
          <w:color w:val="0E0E0E"/>
        </w:rPr>
        <w:t>l will in</w:t>
      </w:r>
      <w:r>
        <w:rPr>
          <w:rFonts w:ascii="Times New Roman" w:cs="Times New Roman" w:eastAsia="Times New Roman" w:hAnsi="Times New Roman"/>
          <w:sz w:val="20"/>
          <w:szCs w:val="20"/>
          <w:color w:val="1F1F1F"/>
        </w:rPr>
        <w:t>cl</w:t>
      </w:r>
      <w:r>
        <w:rPr>
          <w:rFonts w:ascii="Times New Roman" w:cs="Times New Roman" w:eastAsia="Times New Roman" w:hAnsi="Times New Roman"/>
          <w:sz w:val="20"/>
          <w:szCs w:val="20"/>
          <w:color w:val="0E0E0E"/>
        </w:rPr>
        <w:t>ud</w:t>
      </w:r>
      <w:r>
        <w:rPr>
          <w:rFonts w:ascii="Times New Roman" w:cs="Times New Roman" w:eastAsia="Times New Roman" w:hAnsi="Times New Roman"/>
          <w:sz w:val="20"/>
          <w:szCs w:val="20"/>
          <w:color w:val="1F1F1F"/>
        </w:rPr>
        <w:t xml:space="preserve">e </w:t>
      </w:r>
      <w:r>
        <w:rPr>
          <w:rFonts w:ascii="Times New Roman" w:cs="Times New Roman" w:eastAsia="Times New Roman" w:hAnsi="Times New Roman"/>
          <w:sz w:val="20"/>
          <w:szCs w:val="20"/>
          <w:color w:val="0E0E0E"/>
        </w:rPr>
        <w:t>th</w:t>
      </w:r>
      <w:r>
        <w:rPr>
          <w:rFonts w:ascii="Times New Roman" w:cs="Times New Roman" w:eastAsia="Times New Roman" w:hAnsi="Times New Roman"/>
          <w:sz w:val="20"/>
          <w:szCs w:val="20"/>
          <w:color w:val="1F1F1F"/>
        </w:rPr>
        <w:t>e foll</w:t>
      </w:r>
      <w:r>
        <w:rPr>
          <w:rFonts w:ascii="Times New Roman" w:cs="Times New Roman" w:eastAsia="Times New Roman" w:hAnsi="Times New Roman"/>
          <w:sz w:val="20"/>
          <w:szCs w:val="20"/>
          <w:color w:val="0E0E0E"/>
        </w:rPr>
        <w:t>owin</w:t>
      </w:r>
      <w:r>
        <w:rPr>
          <w:rFonts w:ascii="Times New Roman" w:cs="Times New Roman" w:eastAsia="Times New Roman" w:hAnsi="Times New Roman"/>
          <w:sz w:val="20"/>
          <w:szCs w:val="20"/>
          <w:color w:val="1F1F1F"/>
        </w:rPr>
        <w:t>g:</w:t>
      </w:r>
    </w:p>
    <w:p>
      <w:pPr>
        <w:spacing w:after="0" w:line="2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0E0E0E"/>
        </w:rPr>
        <w:t>(</w:t>
      </w:r>
      <w:r>
        <w:rPr>
          <w:rFonts w:ascii="Times New Roman" w:cs="Times New Roman" w:eastAsia="Times New Roman" w:hAnsi="Times New Roman"/>
          <w:sz w:val="20"/>
          <w:szCs w:val="20"/>
          <w:color w:val="1F1F1F"/>
        </w:rPr>
        <w:t>1</w:t>
      </w:r>
      <w:r>
        <w:rPr>
          <w:rFonts w:ascii="Times New Roman" w:cs="Times New Roman" w:eastAsia="Times New Roman" w:hAnsi="Times New Roman"/>
          <w:sz w:val="20"/>
          <w:szCs w:val="20"/>
          <w:color w:val="0E0E0E"/>
        </w:rPr>
        <w:t xml:space="preserve">) </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E0E0E"/>
        </w:rPr>
        <w: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sp</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ci</w:t>
      </w:r>
      <w:r>
        <w:rPr>
          <w:rFonts w:ascii="Times New Roman" w:cs="Times New Roman" w:eastAsia="Times New Roman" w:hAnsi="Times New Roman"/>
          <w:sz w:val="20"/>
          <w:szCs w:val="20"/>
          <w:color w:val="1F1F1F"/>
        </w:rPr>
        <w:t>fic</w:t>
      </w:r>
      <w:r>
        <w:rPr>
          <w:rFonts w:ascii="Times New Roman" w:cs="Times New Roman" w:eastAsia="Times New Roman" w:hAnsi="Times New Roman"/>
          <w:sz w:val="20"/>
          <w:szCs w:val="20"/>
          <w:color w:val="0E0E0E"/>
        </w:rPr>
        <w:t xml:space="preserve"> r</w:t>
      </w:r>
      <w:r>
        <w:rPr>
          <w:rFonts w:ascii="Times New Roman" w:cs="Times New Roman" w:eastAsia="Times New Roman" w:hAnsi="Times New Roman"/>
          <w:sz w:val="20"/>
          <w:szCs w:val="20"/>
          <w:color w:val="1F1F1F"/>
        </w:rPr>
        <w:t>eas</w:t>
      </w:r>
      <w:r>
        <w:rPr>
          <w:rFonts w:ascii="Times New Roman" w:cs="Times New Roman" w:eastAsia="Times New Roman" w:hAnsi="Times New Roman"/>
          <w:sz w:val="20"/>
          <w:szCs w:val="20"/>
          <w:color w:val="0E0E0E"/>
        </w:rPr>
        <w:t>o</w:t>
      </w:r>
      <w:r>
        <w:rPr>
          <w:rFonts w:ascii="Times New Roman" w:cs="Times New Roman" w:eastAsia="Times New Roman" w:hAnsi="Times New Roman"/>
          <w:sz w:val="20"/>
          <w:szCs w:val="20"/>
          <w:color w:val="1F1F1F"/>
        </w:rPr>
        <w:t>n or rea</w:t>
      </w:r>
      <w:r>
        <w:rPr>
          <w:rFonts w:ascii="Times New Roman" w:cs="Times New Roman" w:eastAsia="Times New Roman" w:hAnsi="Times New Roman"/>
          <w:sz w:val="20"/>
          <w:szCs w:val="20"/>
          <w:color w:val="0E0E0E"/>
        </w:rPr>
        <w:t>so</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E0E0E"/>
        </w:rPr>
        <w:t xml:space="preserve">s </w:t>
      </w:r>
      <w:r>
        <w:rPr>
          <w:rFonts w:ascii="Times New Roman" w:cs="Times New Roman" w:eastAsia="Times New Roman" w:hAnsi="Times New Roman"/>
          <w:sz w:val="20"/>
          <w:szCs w:val="20"/>
          <w:color w:val="1F1F1F"/>
        </w:rPr>
        <w:t>for</w:t>
      </w:r>
      <w:r>
        <w:rPr>
          <w:rFonts w:ascii="Times New Roman" w:cs="Times New Roman" w:eastAsia="Times New Roman" w:hAnsi="Times New Roman"/>
          <w:sz w:val="20"/>
          <w:szCs w:val="20"/>
          <w:color w:val="0E0E0E"/>
        </w:rPr>
        <w:t xml:space="preserve">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d</w:t>
      </w:r>
      <w:r>
        <w:rPr>
          <w:rFonts w:ascii="Times New Roman" w:cs="Times New Roman" w:eastAsia="Times New Roman" w:hAnsi="Times New Roman"/>
          <w:sz w:val="20"/>
          <w:szCs w:val="20"/>
          <w:color w:val="1F1F1F"/>
        </w:rPr>
        <w:t>en</w:t>
      </w:r>
      <w:r>
        <w:rPr>
          <w:rFonts w:ascii="Times New Roman" w:cs="Times New Roman" w:eastAsia="Times New Roman" w:hAnsi="Times New Roman"/>
          <w:sz w:val="20"/>
          <w:szCs w:val="20"/>
          <w:color w:val="0E0E0E"/>
        </w:rPr>
        <w:t>i</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l</w:t>
      </w:r>
      <w:r>
        <w:rPr>
          <w:rFonts w:ascii="Times New Roman" w:cs="Times New Roman" w:eastAsia="Times New Roman" w:hAnsi="Times New Roman"/>
          <w:sz w:val="20"/>
          <w:szCs w:val="20"/>
          <w:color w:val="1F1F1F"/>
        </w:rPr>
        <w:t>;</w:t>
      </w:r>
    </w:p>
    <w:p>
      <w:pPr>
        <w:spacing w:after="0" w:line="216" w:lineRule="exact"/>
        <w:rPr>
          <w:sz w:val="20"/>
          <w:szCs w:val="20"/>
          <w:color w:val="auto"/>
        </w:rPr>
      </w:pPr>
    </w:p>
    <w:p>
      <w:pPr>
        <w:ind w:left="1020" w:hanging="275"/>
        <w:spacing w:after="0"/>
        <w:tabs>
          <w:tab w:leader="none" w:pos="1020" w:val="left"/>
        </w:tabs>
        <w:numPr>
          <w:ilvl w:val="0"/>
          <w:numId w:val="110"/>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R</w:t>
      </w:r>
      <w:r>
        <w:rPr>
          <w:rFonts w:ascii="Times New Roman" w:cs="Times New Roman" w:eastAsia="Times New Roman" w:hAnsi="Times New Roman"/>
          <w:sz w:val="20"/>
          <w:szCs w:val="20"/>
          <w:color w:val="1F1F1F"/>
        </w:rPr>
        <w:t>efe</w:t>
      </w:r>
      <w:r>
        <w:rPr>
          <w:rFonts w:ascii="Times New Roman" w:cs="Times New Roman" w:eastAsia="Times New Roman" w:hAnsi="Times New Roman"/>
          <w:sz w:val="20"/>
          <w:szCs w:val="20"/>
          <w:color w:val="0E0E0E"/>
        </w:rPr>
        <w:t>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nc</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xml:space="preserve"> to th</w:t>
      </w:r>
      <w:r>
        <w:rPr>
          <w:rFonts w:ascii="Times New Roman" w:cs="Times New Roman" w:eastAsia="Times New Roman" w:hAnsi="Times New Roman"/>
          <w:sz w:val="20"/>
          <w:szCs w:val="20"/>
          <w:color w:val="1F1F1F"/>
        </w:rPr>
        <w:t>e s</w:t>
      </w:r>
      <w:r>
        <w:rPr>
          <w:rFonts w:ascii="Times New Roman" w:cs="Times New Roman" w:eastAsia="Times New Roman" w:hAnsi="Times New Roman"/>
          <w:sz w:val="20"/>
          <w:szCs w:val="20"/>
          <w:color w:val="0E0E0E"/>
        </w:rPr>
        <w:t>p</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w:t>
      </w:r>
      <w:r>
        <w:rPr>
          <w:rFonts w:ascii="Times New Roman" w:cs="Times New Roman" w:eastAsia="Times New Roman" w:hAnsi="Times New Roman"/>
          <w:sz w:val="20"/>
          <w:szCs w:val="20"/>
          <w:color w:val="1F1F1F"/>
        </w:rPr>
        <w:t>ifi</w:t>
      </w:r>
      <w:r>
        <w:rPr>
          <w:rFonts w:ascii="Times New Roman" w:cs="Times New Roman" w:eastAsia="Times New Roman" w:hAnsi="Times New Roman"/>
          <w:sz w:val="20"/>
          <w:szCs w:val="20"/>
          <w:color w:val="0E0E0E"/>
        </w:rPr>
        <w:t>c Pl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n provision</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 xml:space="preserve"> on whi</w:t>
      </w:r>
      <w:r>
        <w:rPr>
          <w:rFonts w:ascii="Times New Roman" w:cs="Times New Roman" w:eastAsia="Times New Roman" w:hAnsi="Times New Roman"/>
          <w:sz w:val="20"/>
          <w:szCs w:val="20"/>
          <w:color w:val="1F1F1F"/>
        </w:rPr>
        <w:t>c</w:t>
      </w:r>
      <w:r>
        <w:rPr>
          <w:rFonts w:ascii="Times New Roman" w:cs="Times New Roman" w:eastAsia="Times New Roman" w:hAnsi="Times New Roman"/>
          <w:sz w:val="20"/>
          <w:szCs w:val="20"/>
          <w:color w:val="0E0E0E"/>
        </w:rPr>
        <w:t>h t</w:t>
      </w:r>
      <w:r>
        <w:rPr>
          <w:rFonts w:ascii="Times New Roman" w:cs="Times New Roman" w:eastAsia="Times New Roman" w:hAnsi="Times New Roman"/>
          <w:sz w:val="20"/>
          <w:szCs w:val="20"/>
          <w:color w:val="1F1F1F"/>
        </w:rPr>
        <w:t>he</w:t>
      </w:r>
      <w:r>
        <w:rPr>
          <w:rFonts w:ascii="Times New Roman" w:cs="Times New Roman" w:eastAsia="Times New Roman" w:hAnsi="Times New Roman"/>
          <w:sz w:val="20"/>
          <w:szCs w:val="20"/>
          <w:color w:val="0E0E0E"/>
        </w:rPr>
        <w:t xml:space="preserve"> d</w:t>
      </w:r>
      <w:r>
        <w:rPr>
          <w:rFonts w:ascii="Times New Roman" w:cs="Times New Roman" w:eastAsia="Times New Roman" w:hAnsi="Times New Roman"/>
          <w:sz w:val="20"/>
          <w:szCs w:val="20"/>
          <w:color w:val="1F1F1F"/>
        </w:rPr>
        <w:t>en</w:t>
      </w:r>
      <w:r>
        <w:rPr>
          <w:rFonts w:ascii="Times New Roman" w:cs="Times New Roman" w:eastAsia="Times New Roman" w:hAnsi="Times New Roman"/>
          <w:sz w:val="20"/>
          <w:szCs w:val="20"/>
          <w:color w:val="0E0E0E"/>
        </w:rPr>
        <w:t>i</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l i</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E0E0E"/>
        </w:rPr>
        <w:t xml:space="preserve"> b</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s</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d;</w:t>
      </w:r>
    </w:p>
    <w:p>
      <w:pPr>
        <w:spacing w:after="0" w:line="229" w:lineRule="exact"/>
        <w:rPr>
          <w:rFonts w:ascii="Times New Roman" w:cs="Times New Roman" w:eastAsia="Times New Roman" w:hAnsi="Times New Roman"/>
          <w:sz w:val="20"/>
          <w:szCs w:val="20"/>
          <w:color w:val="0E0E0E"/>
        </w:rPr>
      </w:pPr>
    </w:p>
    <w:p>
      <w:pPr>
        <w:ind w:left="1380" w:right="80" w:hanging="640"/>
        <w:spacing w:after="0" w:line="261" w:lineRule="auto"/>
        <w:tabs>
          <w:tab w:leader="none" w:pos="1017" w:val="left"/>
        </w:tabs>
        <w:numPr>
          <w:ilvl w:val="0"/>
          <w:numId w:val="110"/>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1F1F1F"/>
        </w:rPr>
        <w:t>A s</w:t>
      </w:r>
      <w:r>
        <w:rPr>
          <w:rFonts w:ascii="Times New Roman" w:cs="Times New Roman" w:eastAsia="Times New Roman" w:hAnsi="Times New Roman"/>
          <w:sz w:val="20"/>
          <w:szCs w:val="20"/>
          <w:color w:val="0E0E0E"/>
        </w:rPr>
        <w:t>tatem</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nt th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t th</w:t>
      </w:r>
      <w:r>
        <w:rPr>
          <w:rFonts w:ascii="Times New Roman" w:cs="Times New Roman" w:eastAsia="Times New Roman" w:hAnsi="Times New Roman"/>
          <w:sz w:val="20"/>
          <w:szCs w:val="20"/>
          <w:color w:val="1F1F1F"/>
        </w:rPr>
        <w:t xml:space="preserve">e </w:t>
      </w:r>
      <w:r>
        <w:rPr>
          <w:rFonts w:ascii="Times New Roman" w:cs="Times New Roman" w:eastAsia="Times New Roman" w:hAnsi="Times New Roman"/>
          <w:sz w:val="20"/>
          <w:szCs w:val="20"/>
          <w:color w:val="0E0E0E"/>
        </w:rPr>
        <w:t>Claim</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nt (or h</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E0E0E"/>
        </w:rPr>
        <w:t>s or 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r</w:t>
      </w:r>
      <w:r>
        <w:rPr>
          <w:rFonts w:ascii="Times New Roman" w:cs="Times New Roman" w:eastAsia="Times New Roman" w:hAnsi="Times New Roman"/>
          <w:sz w:val="20"/>
          <w:szCs w:val="20"/>
          <w:color w:val="1F1F1F"/>
        </w:rPr>
        <w:t xml:space="preserve"> a</w:t>
      </w:r>
      <w:r>
        <w:rPr>
          <w:rFonts w:ascii="Times New Roman" w:cs="Times New Roman" w:eastAsia="Times New Roman" w:hAnsi="Times New Roman"/>
          <w:sz w:val="20"/>
          <w:szCs w:val="20"/>
          <w:color w:val="0E0E0E"/>
        </w:rPr>
        <w:t>uthori</w:t>
      </w:r>
      <w:r>
        <w:rPr>
          <w:rFonts w:ascii="Times New Roman" w:cs="Times New Roman" w:eastAsia="Times New Roman" w:hAnsi="Times New Roman"/>
          <w:sz w:val="20"/>
          <w:szCs w:val="20"/>
          <w:color w:val="1F1F1F"/>
        </w:rPr>
        <w:t>ze</w:t>
      </w:r>
      <w:r>
        <w:rPr>
          <w:rFonts w:ascii="Times New Roman" w:cs="Times New Roman" w:eastAsia="Times New Roman" w:hAnsi="Times New Roman"/>
          <w:sz w:val="20"/>
          <w:szCs w:val="20"/>
          <w:color w:val="0E0E0E"/>
        </w:rPr>
        <w:t>d 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pr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s</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ntativ</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 is entitled to</w:t>
      </w:r>
      <w:r>
        <w:rPr>
          <w:rFonts w:ascii="Times New Roman" w:cs="Times New Roman" w:eastAsia="Times New Roman" w:hAnsi="Times New Roman"/>
          <w:sz w:val="20"/>
          <w:szCs w:val="20"/>
          <w:color w:val="1F1F1F"/>
        </w:rPr>
        <w:t xml:space="preserve"> r</w:t>
      </w:r>
      <w:r>
        <w:rPr>
          <w:rFonts w:ascii="Times New Roman" w:cs="Times New Roman" w:eastAsia="Times New Roman" w:hAnsi="Times New Roman"/>
          <w:sz w:val="20"/>
          <w:szCs w:val="20"/>
          <w:color w:val="0E0E0E"/>
        </w:rPr>
        <w:t>eceive, upon request</w:t>
      </w:r>
      <w:r>
        <w:rPr>
          <w:rFonts w:ascii="Times New Roman" w:cs="Times New Roman" w:eastAsia="Times New Roman" w:hAnsi="Times New Roman"/>
          <w:sz w:val="20"/>
          <w:szCs w:val="20"/>
          <w:color w:val="1F1F1F"/>
        </w:rPr>
        <w:t xml:space="preserve"> a</w:t>
      </w:r>
      <w:r>
        <w:rPr>
          <w:rFonts w:ascii="Times New Roman" w:cs="Times New Roman" w:eastAsia="Times New Roman" w:hAnsi="Times New Roman"/>
          <w:sz w:val="20"/>
          <w:szCs w:val="20"/>
          <w:color w:val="0E0E0E"/>
        </w:rPr>
        <w:t>nd free of charg</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0E0E0E"/>
        </w:rPr>
        <w:t>reason</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ble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cc</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ss to, and copies o</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E0E0E"/>
        </w:rPr>
        <w:t>, all docum</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nts, r</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E0E0E"/>
        </w:rPr>
        <w:t>cords and other information relev</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 xml:space="preserve">nt (within the meaning of 29 C.F.R. </w:t>
      </w:r>
      <w:r>
        <w:rPr>
          <w:rFonts w:ascii="Times New Roman" w:cs="Times New Roman" w:eastAsia="Times New Roman" w:hAnsi="Times New Roman"/>
          <w:sz w:val="23"/>
          <w:szCs w:val="23"/>
          <w:color w:val="0E0E0E"/>
        </w:rPr>
        <w:t>§</w:t>
      </w:r>
      <w:r>
        <w:rPr>
          <w:rFonts w:ascii="Times New Roman" w:cs="Times New Roman" w:eastAsia="Times New Roman" w:hAnsi="Times New Roman"/>
          <w:sz w:val="20"/>
          <w:szCs w:val="20"/>
          <w:color w:val="0E0E0E"/>
        </w:rPr>
        <w:t xml:space="preserve"> 2560.503-1(m)(8)) to the claim;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E0E0E"/>
        </w:rPr>
        <w:t>nd</w:t>
      </w:r>
    </w:p>
    <w:p>
      <w:pPr>
        <w:spacing w:after="0" w:line="211" w:lineRule="exact"/>
        <w:rPr>
          <w:rFonts w:ascii="Times New Roman" w:cs="Times New Roman" w:eastAsia="Times New Roman" w:hAnsi="Times New Roman"/>
          <w:sz w:val="20"/>
          <w:szCs w:val="20"/>
          <w:color w:val="0E0E0E"/>
        </w:rPr>
      </w:pPr>
    </w:p>
    <w:p>
      <w:pPr>
        <w:ind w:left="1020" w:hanging="284"/>
        <w:spacing w:after="0"/>
        <w:tabs>
          <w:tab w:leader="none" w:pos="1020" w:val="left"/>
        </w:tabs>
        <w:numPr>
          <w:ilvl w:val="0"/>
          <w:numId w:val="110"/>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A statement of the Claimant's right to bring an action under Section</w:t>
      </w:r>
    </w:p>
    <w:p>
      <w:pPr>
        <w:spacing w:after="0" w:line="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0E0E0E"/>
        </w:rPr>
        <w:t>502(a) of ERISA.</w:t>
      </w:r>
    </w:p>
    <w:p>
      <w:pPr>
        <w:spacing w:after="0" w:line="234" w:lineRule="exact"/>
        <w:rPr>
          <w:sz w:val="20"/>
          <w:szCs w:val="20"/>
          <w:color w:val="auto"/>
        </w:rPr>
      </w:pPr>
    </w:p>
    <w:p>
      <w:pPr>
        <w:ind w:left="100" w:right="100" w:firstLine="635"/>
        <w:spacing w:after="0" w:line="297" w:lineRule="auto"/>
        <w:rPr>
          <w:sz w:val="20"/>
          <w:szCs w:val="20"/>
          <w:color w:val="auto"/>
        </w:rPr>
      </w:pPr>
      <w:r>
        <w:rPr>
          <w:rFonts w:ascii="Times New Roman" w:cs="Times New Roman" w:eastAsia="Times New Roman" w:hAnsi="Times New Roman"/>
          <w:sz w:val="20"/>
          <w:szCs w:val="20"/>
          <w:color w:val="0E0E0E"/>
        </w:rPr>
        <w:t>If a Claimant files an appeal in accordance with the procedure described above and does not hear from the Administrator within sixty (60) days, the Claimant may consider the appeal denied.</w:t>
      </w:r>
    </w:p>
    <w:p>
      <w:pPr>
        <w:spacing w:after="0" w:line="187" w:lineRule="exact"/>
        <w:rPr>
          <w:sz w:val="20"/>
          <w:szCs w:val="20"/>
          <w:color w:val="auto"/>
        </w:rPr>
      </w:pPr>
    </w:p>
    <w:p>
      <w:pPr>
        <w:ind w:left="80" w:right="120" w:firstLine="1943"/>
        <w:spacing w:after="0" w:line="297" w:lineRule="auto"/>
        <w:tabs>
          <w:tab w:leader="none" w:pos="2302" w:val="left"/>
        </w:tabs>
        <w:numPr>
          <w:ilvl w:val="0"/>
          <w:numId w:val="111"/>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u w:val="single" w:color="auto"/>
          <w:color w:val="0E0E0E"/>
        </w:rPr>
        <w:t>Filing Suit</w:t>
      </w:r>
      <w:r>
        <w:rPr>
          <w:rFonts w:ascii="Times New Roman" w:cs="Times New Roman" w:eastAsia="Times New Roman" w:hAnsi="Times New Roman"/>
          <w:sz w:val="20"/>
          <w:szCs w:val="20"/>
          <w:color w:val="0E0E0E"/>
        </w:rPr>
        <w:t>. A Participant or Beneficiary must comply with the claim and appeal procedures described above before seeking any other legal recourse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1060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8"/>
          <w:szCs w:val="18"/>
          <w:color w:val="151515"/>
        </w:rPr>
        <w:t>Page 15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200"/>
          </w:cols>
          <w:pgMar w:left="340" w:top="1440" w:right="359" w:bottom="1440" w:gutter="0" w:footer="0" w:header="0"/>
        </w:sectPr>
      </w:pPr>
    </w:p>
    <w:bookmarkStart w:id="178" w:name="page179"/>
    <w:bookmarkEnd w:id="178"/>
    <w:p>
      <w:pPr>
        <w:spacing w:after="0" w:line="36" w:lineRule="exact"/>
        <w:rPr>
          <w:sz w:val="20"/>
          <w:szCs w:val="20"/>
          <w:color w:val="auto"/>
        </w:rPr>
      </w:pPr>
    </w:p>
    <w:p>
      <w:pPr>
        <w:jc w:val="both"/>
        <w:ind w:left="120" w:right="60" w:firstLine="12"/>
        <w:spacing w:after="0" w:line="266" w:lineRule="auto"/>
        <w:rPr>
          <w:sz w:val="20"/>
          <w:szCs w:val="20"/>
          <w:color w:val="auto"/>
        </w:rPr>
      </w:pPr>
      <w:r>
        <w:rPr>
          <w:rFonts w:ascii="Times New Roman" w:cs="Times New Roman" w:eastAsia="Times New Roman" w:hAnsi="Times New Roman"/>
          <w:sz w:val="20"/>
          <w:szCs w:val="20"/>
          <w:color w:val="0E0E0E"/>
        </w:rPr>
        <w:t xml:space="preserve">(including filing a law suit) regarding claims for benefits. </w:t>
      </w:r>
      <w:r>
        <w:rPr>
          <w:rFonts w:ascii="Times New Roman" w:cs="Times New Roman" w:eastAsia="Times New Roman" w:hAnsi="Times New Roman"/>
          <w:sz w:val="21"/>
          <w:szCs w:val="21"/>
          <w:color w:val="0E0E0E"/>
        </w:rPr>
        <w:t>If</w:t>
      </w:r>
      <w:r>
        <w:rPr>
          <w:rFonts w:ascii="Times New Roman" w:cs="Times New Roman" w:eastAsia="Times New Roman" w:hAnsi="Times New Roman"/>
          <w:sz w:val="20"/>
          <w:szCs w:val="20"/>
          <w:color w:val="0E0E0E"/>
        </w:rPr>
        <w:t xml:space="preserve"> a Claimant wishes to file a court action after exhausting the foregoing procedures, the Claimant ( or his or her authorized representative) must file such action in a court of competent jurisdiction within one hundred eighty (180) days after the date on which the Claimant (or his or her authorized representative) received the Administrator's written denial of the appeal. Court actions may not be commenced after this one hundred eighty (ISO) day period. Any judicial review of the Compensation Committee's decision on a claim will be limited to whether, in the particular instance, the Compensation Committee abused its discretion. </w:t>
      </w:r>
      <w:r>
        <w:rPr>
          <w:rFonts w:ascii="Times New Roman" w:cs="Times New Roman" w:eastAsia="Times New Roman" w:hAnsi="Times New Roman"/>
          <w:sz w:val="21"/>
          <w:szCs w:val="21"/>
          <w:color w:val="0E0E0E"/>
        </w:rPr>
        <w:t>In</w:t>
      </w:r>
      <w:r>
        <w:rPr>
          <w:rFonts w:ascii="Times New Roman" w:cs="Times New Roman" w:eastAsia="Times New Roman" w:hAnsi="Times New Roman"/>
          <w:sz w:val="20"/>
          <w:szCs w:val="20"/>
          <w:color w:val="0E0E0E"/>
        </w:rPr>
        <w:t xml:space="preserve"> no event will such judicial review be on a de novo basis, because the Compensation Committee has discretionary authority to determine eligibility for (and the amount of) benefits under the Plan and to construe and interpret the terms and provisions of the Plan.</w:t>
      </w:r>
    </w:p>
    <w:p>
      <w:pPr>
        <w:spacing w:after="0" w:line="19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b w:val="1"/>
          <w:bCs w:val="1"/>
          <w:color w:val="0E0E0E"/>
        </w:rPr>
        <w:t>ARTICLE X. CHANGE OF CONTROL</w:t>
      </w:r>
    </w:p>
    <w:p>
      <w:pPr>
        <w:spacing w:after="0" w:line="243" w:lineRule="exact"/>
        <w:rPr>
          <w:sz w:val="20"/>
          <w:szCs w:val="20"/>
          <w:color w:val="auto"/>
        </w:rPr>
      </w:pPr>
    </w:p>
    <w:p>
      <w:pPr>
        <w:jc w:val="both"/>
        <w:ind w:left="120" w:right="60" w:firstLine="653"/>
        <w:spacing w:after="0" w:line="274" w:lineRule="auto"/>
        <w:rPr>
          <w:sz w:val="20"/>
          <w:szCs w:val="20"/>
          <w:color w:val="auto"/>
        </w:rPr>
      </w:pPr>
      <w:r>
        <w:rPr>
          <w:rFonts w:ascii="Times New Roman" w:cs="Times New Roman" w:eastAsia="Times New Roman" w:hAnsi="Times New Roman"/>
          <w:sz w:val="20"/>
          <w:szCs w:val="20"/>
          <w:b w:val="1"/>
          <w:bCs w:val="1"/>
          <w:color w:val="0E0E0E"/>
        </w:rPr>
        <w:t xml:space="preserve">10.1 Benefits Protection Trust. </w:t>
      </w:r>
      <w:r>
        <w:rPr>
          <w:rFonts w:ascii="Times New Roman" w:cs="Times New Roman" w:eastAsia="Times New Roman" w:hAnsi="Times New Roman"/>
          <w:sz w:val="20"/>
          <w:szCs w:val="20"/>
          <w:color w:val="0E0E0E"/>
        </w:rPr>
        <w:t>As soon as</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dministratively practicable (but in no event more than 14 d</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ys) after a Ch</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nge of</w:t>
      </w:r>
      <w:r>
        <w:rPr>
          <w:rFonts w:ascii="Times New Roman" w:cs="Times New Roman" w:eastAsia="Times New Roman" w:hAnsi="Times New Roman"/>
          <w:sz w:val="20"/>
          <w:szCs w:val="20"/>
          <w:b w:val="1"/>
          <w:bCs w:val="1"/>
          <w:color w:val="0E0E0E"/>
        </w:rPr>
        <w:t xml:space="preserve"> </w:t>
      </w:r>
      <w:r>
        <w:rPr>
          <w:rFonts w:ascii="Times New Roman" w:cs="Times New Roman" w:eastAsia="Times New Roman" w:hAnsi="Times New Roman"/>
          <w:sz w:val="20"/>
          <w:szCs w:val="20"/>
          <w:color w:val="0E0E0E"/>
        </w:rPr>
        <w:t>Control, the Company shall contribute to the Trust an amount equal to the total of Plan's liabi</w:t>
      </w:r>
      <w:r>
        <w:rPr>
          <w:rFonts w:ascii="Times New Roman" w:cs="Times New Roman" w:eastAsia="Times New Roman" w:hAnsi="Times New Roman"/>
          <w:sz w:val="20"/>
          <w:szCs w:val="20"/>
          <w:color w:val="282828"/>
        </w:rPr>
        <w:t>l</w:t>
      </w:r>
      <w:r>
        <w:rPr>
          <w:rFonts w:ascii="Times New Roman" w:cs="Times New Roman" w:eastAsia="Times New Roman" w:hAnsi="Times New Roman"/>
          <w:sz w:val="20"/>
          <w:szCs w:val="20"/>
          <w:color w:val="0E0E0E"/>
        </w:rPr>
        <w:t>ities as of the date o</w:t>
      </w:r>
      <w:r>
        <w:rPr>
          <w:rFonts w:ascii="Times New Roman" w:cs="Times New Roman" w:eastAsia="Times New Roman" w:hAnsi="Times New Roman"/>
          <w:sz w:val="20"/>
          <w:szCs w:val="20"/>
          <w:color w:val="282828"/>
        </w:rPr>
        <w:t>f</w:t>
      </w:r>
      <w:r>
        <w:rPr>
          <w:rFonts w:ascii="Times New Roman" w:cs="Times New Roman" w:eastAsia="Times New Roman" w:hAnsi="Times New Roman"/>
          <w:sz w:val="20"/>
          <w:szCs w:val="20"/>
          <w:color w:val="0E0E0E"/>
        </w:rPr>
        <w:t xml:space="preserve"> the Change of Control, less the amount </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lre</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 xml:space="preserve">dy held </w:t>
      </w:r>
      <w:r>
        <w:rPr>
          <w:rFonts w:ascii="Times New Roman" w:cs="Times New Roman" w:eastAsia="Times New Roman" w:hAnsi="Times New Roman"/>
          <w:sz w:val="20"/>
          <w:szCs w:val="20"/>
          <w:color w:val="282828"/>
        </w:rPr>
        <w:t>i</w:t>
      </w:r>
      <w:r>
        <w:rPr>
          <w:rFonts w:ascii="Times New Roman" w:cs="Times New Roman" w:eastAsia="Times New Roman" w:hAnsi="Times New Roman"/>
          <w:sz w:val="20"/>
          <w:szCs w:val="20"/>
          <w:color w:val="0E0E0E"/>
        </w:rPr>
        <w:t>n the Trust w</w:t>
      </w:r>
      <w:r>
        <w:rPr>
          <w:rFonts w:ascii="Times New Roman" w:cs="Times New Roman" w:eastAsia="Times New Roman" w:hAnsi="Times New Roman"/>
          <w:sz w:val="20"/>
          <w:szCs w:val="20"/>
          <w:color w:val="282828"/>
        </w:rPr>
        <w:t>i</w:t>
      </w:r>
      <w:r>
        <w:rPr>
          <w:rFonts w:ascii="Times New Roman" w:cs="Times New Roman" w:eastAsia="Times New Roman" w:hAnsi="Times New Roman"/>
          <w:sz w:val="20"/>
          <w:szCs w:val="20"/>
          <w:color w:val="0E0E0E"/>
        </w:rPr>
        <w:t>th respect to such Accounts</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0E0E0E"/>
        </w:rPr>
        <w:t xml:space="preserve"> provided that th</w:t>
      </w:r>
      <w:r>
        <w:rPr>
          <w:rFonts w:ascii="Times New Roman" w:cs="Times New Roman" w:eastAsia="Times New Roman" w:hAnsi="Times New Roman"/>
          <w:sz w:val="20"/>
          <w:szCs w:val="20"/>
          <w:color w:val="282828"/>
        </w:rPr>
        <w:t>e</w:t>
      </w:r>
      <w:r>
        <w:rPr>
          <w:rFonts w:ascii="Times New Roman" w:cs="Times New Roman" w:eastAsia="Times New Roman" w:hAnsi="Times New Roman"/>
          <w:sz w:val="20"/>
          <w:szCs w:val="20"/>
          <w:color w:val="0E0E0E"/>
        </w:rPr>
        <w:t xml:space="preserve"> Comp</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 xml:space="preserve">ny </w:t>
      </w:r>
      <w:r>
        <w:rPr>
          <w:rFonts w:ascii="Times New Roman" w:cs="Times New Roman" w:eastAsia="Times New Roman" w:hAnsi="Times New Roman"/>
          <w:sz w:val="20"/>
          <w:szCs w:val="20"/>
          <w:color w:val="282828"/>
        </w:rPr>
        <w:t>i</w:t>
      </w:r>
      <w:r>
        <w:rPr>
          <w:rFonts w:ascii="Times New Roman" w:cs="Times New Roman" w:eastAsia="Times New Roman" w:hAnsi="Times New Roman"/>
          <w:sz w:val="20"/>
          <w:szCs w:val="20"/>
          <w:color w:val="0E0E0E"/>
        </w:rPr>
        <w:t xml:space="preserve">s not then insolvent. In </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ddition</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0E0E0E"/>
        </w:rPr>
        <w:t xml:space="preserve"> on and a</w:t>
      </w:r>
      <w:r>
        <w:rPr>
          <w:rFonts w:ascii="Times New Roman" w:cs="Times New Roman" w:eastAsia="Times New Roman" w:hAnsi="Times New Roman"/>
          <w:sz w:val="20"/>
          <w:szCs w:val="20"/>
          <w:color w:val="282828"/>
        </w:rPr>
        <w:t>f</w:t>
      </w:r>
      <w:r>
        <w:rPr>
          <w:rFonts w:ascii="Times New Roman" w:cs="Times New Roman" w:eastAsia="Times New Roman" w:hAnsi="Times New Roman"/>
          <w:sz w:val="20"/>
          <w:szCs w:val="20"/>
          <w:color w:val="0E0E0E"/>
        </w:rPr>
        <w:t>ter a Change o</w:t>
      </w:r>
      <w:r>
        <w:rPr>
          <w:rFonts w:ascii="Times New Roman" w:cs="Times New Roman" w:eastAsia="Times New Roman" w:hAnsi="Times New Roman"/>
          <w:sz w:val="20"/>
          <w:szCs w:val="20"/>
          <w:color w:val="282828"/>
        </w:rPr>
        <w:t>f</w:t>
      </w:r>
      <w:r>
        <w:rPr>
          <w:rFonts w:ascii="Times New Roman" w:cs="Times New Roman" w:eastAsia="Times New Roman" w:hAnsi="Times New Roman"/>
          <w:sz w:val="20"/>
          <w:szCs w:val="20"/>
          <w:color w:val="0E0E0E"/>
        </w:rPr>
        <w:t xml:space="preserve"> Control, the following shall </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pply (provided th</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t the Company is not then insolvent):</w:t>
      </w:r>
    </w:p>
    <w:p>
      <w:pPr>
        <w:spacing w:after="0" w:line="223" w:lineRule="exact"/>
        <w:rPr>
          <w:sz w:val="20"/>
          <w:szCs w:val="20"/>
          <w:color w:val="auto"/>
        </w:rPr>
      </w:pPr>
    </w:p>
    <w:p>
      <w:pPr>
        <w:ind w:left="1400" w:right="80" w:hanging="647"/>
        <w:spacing w:after="0" w:line="268" w:lineRule="auto"/>
        <w:tabs>
          <w:tab w:leader="none" w:pos="1044" w:val="left"/>
        </w:tabs>
        <w:numPr>
          <w:ilvl w:val="1"/>
          <w:numId w:val="112"/>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 xml:space="preserve">As soon </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s administra</w:t>
      </w:r>
      <w:r>
        <w:rPr>
          <w:rFonts w:ascii="Times New Roman" w:cs="Times New Roman" w:eastAsia="Times New Roman" w:hAnsi="Times New Roman"/>
          <w:sz w:val="20"/>
          <w:szCs w:val="20"/>
          <w:color w:val="282828"/>
        </w:rPr>
        <w:t>t</w:t>
      </w:r>
      <w:r>
        <w:rPr>
          <w:rFonts w:ascii="Times New Roman" w:cs="Times New Roman" w:eastAsia="Times New Roman" w:hAnsi="Times New Roman"/>
          <w:sz w:val="20"/>
          <w:szCs w:val="20"/>
          <w:color w:val="0E0E0E"/>
        </w:rPr>
        <w:t xml:space="preserve">ively practicable (but in no event more than 14 days) </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 xml:space="preserve">fter the end of the month in which occurs </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 xml:space="preserve"> Change of Control and </w:t>
      </w:r>
      <w:r>
        <w:rPr>
          <w:rFonts w:ascii="Times New Roman" w:cs="Times New Roman" w:eastAsia="Times New Roman" w:hAnsi="Times New Roman"/>
          <w:sz w:val="20"/>
          <w:szCs w:val="20"/>
          <w:color w:val="282828"/>
        </w:rPr>
        <w:t>ea</w:t>
      </w:r>
      <w:r>
        <w:rPr>
          <w:rFonts w:ascii="Times New Roman" w:cs="Times New Roman" w:eastAsia="Times New Roman" w:hAnsi="Times New Roman"/>
          <w:sz w:val="20"/>
          <w:szCs w:val="20"/>
          <w:color w:val="0E0E0E"/>
        </w:rPr>
        <w:t>ch mont</w:t>
      </w:r>
      <w:r>
        <w:rPr>
          <w:rFonts w:ascii="Times New Roman" w:cs="Times New Roman" w:eastAsia="Times New Roman" w:hAnsi="Times New Roman"/>
          <w:sz w:val="20"/>
          <w:szCs w:val="20"/>
          <w:color w:val="282828"/>
        </w:rPr>
        <w:t>h</w:t>
      </w:r>
      <w:r>
        <w:rPr>
          <w:rFonts w:ascii="Times New Roman" w:cs="Times New Roman" w:eastAsia="Times New Roman" w:hAnsi="Times New Roman"/>
          <w:sz w:val="20"/>
          <w:szCs w:val="20"/>
          <w:color w:val="0E0E0E"/>
        </w:rPr>
        <w:t xml:space="preserve"> commencing thereafter</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0E0E0E"/>
        </w:rPr>
        <w:t xml:space="preserve"> Company sh</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 xml:space="preserve">ll make </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n irr</w:t>
      </w:r>
      <w:r>
        <w:rPr>
          <w:rFonts w:ascii="Times New Roman" w:cs="Times New Roman" w:eastAsia="Times New Roman" w:hAnsi="Times New Roman"/>
          <w:sz w:val="20"/>
          <w:szCs w:val="20"/>
          <w:color w:val="282828"/>
        </w:rPr>
        <w:t>e</w:t>
      </w:r>
      <w:r>
        <w:rPr>
          <w:rFonts w:ascii="Times New Roman" w:cs="Times New Roman" w:eastAsia="Times New Roman" w:hAnsi="Times New Roman"/>
          <w:sz w:val="20"/>
          <w:szCs w:val="20"/>
          <w:color w:val="0E0E0E"/>
        </w:rPr>
        <w:t>voc</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ble con</w:t>
      </w:r>
      <w:r>
        <w:rPr>
          <w:rFonts w:ascii="Times New Roman" w:cs="Times New Roman" w:eastAsia="Times New Roman" w:hAnsi="Times New Roman"/>
          <w:sz w:val="20"/>
          <w:szCs w:val="20"/>
          <w:color w:val="282828"/>
        </w:rPr>
        <w:t>t</w:t>
      </w:r>
      <w:r>
        <w:rPr>
          <w:rFonts w:ascii="Times New Roman" w:cs="Times New Roman" w:eastAsia="Times New Roman" w:hAnsi="Times New Roman"/>
          <w:sz w:val="20"/>
          <w:szCs w:val="20"/>
          <w:color w:val="0E0E0E"/>
        </w:rPr>
        <w:t>ribution to the Trust in an amount that is equal to any amounts deferred pursuant to Article IV hereof by Particip</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nts during such month.</w:t>
      </w:r>
    </w:p>
    <w:p>
      <w:pPr>
        <w:spacing w:after="0" w:line="215" w:lineRule="exact"/>
        <w:rPr>
          <w:rFonts w:ascii="Times New Roman" w:cs="Times New Roman" w:eastAsia="Times New Roman" w:hAnsi="Times New Roman"/>
          <w:sz w:val="20"/>
          <w:szCs w:val="20"/>
          <w:color w:val="0E0E0E"/>
        </w:rPr>
      </w:pPr>
    </w:p>
    <w:p>
      <w:pPr>
        <w:ind w:left="1380" w:right="60" w:hanging="632"/>
        <w:spacing w:after="0" w:line="268" w:lineRule="auto"/>
        <w:tabs>
          <w:tab w:leader="none" w:pos="1035" w:val="left"/>
        </w:tabs>
        <w:numPr>
          <w:ilvl w:val="1"/>
          <w:numId w:val="112"/>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As soon as administratively practicable (but in no event more than one month) a</w:t>
      </w:r>
      <w:r>
        <w:rPr>
          <w:rFonts w:ascii="Times New Roman" w:cs="Times New Roman" w:eastAsia="Times New Roman" w:hAnsi="Times New Roman"/>
          <w:sz w:val="20"/>
          <w:szCs w:val="20"/>
          <w:color w:val="282828"/>
        </w:rPr>
        <w:t>f</w:t>
      </w:r>
      <w:r>
        <w:rPr>
          <w:rFonts w:ascii="Times New Roman" w:cs="Times New Roman" w:eastAsia="Times New Roman" w:hAnsi="Times New Roman"/>
          <w:sz w:val="20"/>
          <w:szCs w:val="20"/>
          <w:color w:val="0E0E0E"/>
        </w:rPr>
        <w:t>ter the end o</w:t>
      </w:r>
      <w:r>
        <w:rPr>
          <w:rFonts w:ascii="Times New Roman" w:cs="Times New Roman" w:eastAsia="Times New Roman" w:hAnsi="Times New Roman"/>
          <w:sz w:val="20"/>
          <w:szCs w:val="20"/>
          <w:color w:val="282828"/>
        </w:rPr>
        <w:t>f</w:t>
      </w:r>
      <w:r>
        <w:rPr>
          <w:rFonts w:ascii="Times New Roman" w:cs="Times New Roman" w:eastAsia="Times New Roman" w:hAnsi="Times New Roman"/>
          <w:sz w:val="20"/>
          <w:szCs w:val="20"/>
          <w:color w:val="0E0E0E"/>
        </w:rPr>
        <w:t xml:space="preserve"> the ca</w:t>
      </w:r>
      <w:r>
        <w:rPr>
          <w:rFonts w:ascii="Times New Roman" w:cs="Times New Roman" w:eastAsia="Times New Roman" w:hAnsi="Times New Roman"/>
          <w:sz w:val="20"/>
          <w:szCs w:val="20"/>
          <w:color w:val="282828"/>
        </w:rPr>
        <w:t>l</w:t>
      </w:r>
      <w:r>
        <w:rPr>
          <w:rFonts w:ascii="Times New Roman" w:cs="Times New Roman" w:eastAsia="Times New Roman" w:hAnsi="Times New Roman"/>
          <w:sz w:val="20"/>
          <w:szCs w:val="20"/>
          <w:color w:val="0E0E0E"/>
        </w:rPr>
        <w:t>endar year in which occurs a Change of Control and e</w:t>
      </w:r>
      <w:r>
        <w:rPr>
          <w:rFonts w:ascii="Times New Roman" w:cs="Times New Roman" w:eastAsia="Times New Roman" w:hAnsi="Times New Roman"/>
          <w:sz w:val="20"/>
          <w:szCs w:val="20"/>
          <w:color w:val="282828"/>
        </w:rPr>
        <w:t>a</w:t>
      </w:r>
      <w:r>
        <w:rPr>
          <w:rFonts w:ascii="Times New Roman" w:cs="Times New Roman" w:eastAsia="Times New Roman" w:hAnsi="Times New Roman"/>
          <w:sz w:val="20"/>
          <w:szCs w:val="20"/>
          <w:color w:val="0E0E0E"/>
        </w:rPr>
        <w:t>ch calendar year comm</w:t>
      </w:r>
      <w:r>
        <w:rPr>
          <w:rFonts w:ascii="Times New Roman" w:cs="Times New Roman" w:eastAsia="Times New Roman" w:hAnsi="Times New Roman"/>
          <w:sz w:val="20"/>
          <w:szCs w:val="20"/>
          <w:color w:val="282828"/>
        </w:rPr>
        <w:t>e</w:t>
      </w:r>
      <w:r>
        <w:rPr>
          <w:rFonts w:ascii="Times New Roman" w:cs="Times New Roman" w:eastAsia="Times New Roman" w:hAnsi="Times New Roman"/>
          <w:sz w:val="20"/>
          <w:szCs w:val="20"/>
          <w:color w:val="0E0E0E"/>
        </w:rPr>
        <w:t>ncing therea</w:t>
      </w:r>
      <w:r>
        <w:rPr>
          <w:rFonts w:ascii="Times New Roman" w:cs="Times New Roman" w:eastAsia="Times New Roman" w:hAnsi="Times New Roman"/>
          <w:sz w:val="20"/>
          <w:szCs w:val="20"/>
          <w:color w:val="282828"/>
        </w:rPr>
        <w:t>ft</w:t>
      </w:r>
      <w:r>
        <w:rPr>
          <w:rFonts w:ascii="Times New Roman" w:cs="Times New Roman" w:eastAsia="Times New Roman" w:hAnsi="Times New Roman"/>
          <w:sz w:val="20"/>
          <w:szCs w:val="20"/>
          <w:color w:val="0E0E0E"/>
        </w:rPr>
        <w:t>er, Company shall make an irrevocable contribution to the Trust in an amount equal to any Matching Contribution required to be made under this Plan pursuant to Section 5 .1 hereof.</w:t>
      </w:r>
    </w:p>
    <w:p>
      <w:pPr>
        <w:spacing w:after="0" w:line="228" w:lineRule="exact"/>
        <w:rPr>
          <w:rFonts w:ascii="Times New Roman" w:cs="Times New Roman" w:eastAsia="Times New Roman" w:hAnsi="Times New Roman"/>
          <w:sz w:val="20"/>
          <w:szCs w:val="20"/>
          <w:color w:val="0E0E0E"/>
        </w:rPr>
      </w:pPr>
    </w:p>
    <w:p>
      <w:pPr>
        <w:ind w:left="1380" w:right="80" w:hanging="640"/>
        <w:spacing w:after="0" w:line="268" w:lineRule="auto"/>
        <w:tabs>
          <w:tab w:leader="none" w:pos="1018" w:val="left"/>
        </w:tabs>
        <w:numPr>
          <w:ilvl w:val="0"/>
          <w:numId w:val="113"/>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color w:val="0E0E0E"/>
        </w:rPr>
        <w:t>As soon as administratively practicable (but in no event more than two and one-half months) after the end of the calendar year in which occurs a Change of Control and each calendar year commencing thereafter, Company shall make an irrevocable contribution to the Trust in an amount that is equal to the total amount credited to the Participants' Accounts pursuant to Section 6.2 above, if any, for such calendar year.</w:t>
      </w:r>
    </w:p>
    <w:p>
      <w:pPr>
        <w:spacing w:after="0" w:line="228" w:lineRule="exact"/>
        <w:rPr>
          <w:sz w:val="20"/>
          <w:szCs w:val="20"/>
          <w:color w:val="auto"/>
        </w:rPr>
      </w:pPr>
    </w:p>
    <w:p>
      <w:pPr>
        <w:jc w:val="both"/>
        <w:ind w:left="80" w:right="100" w:firstLine="643"/>
        <w:spacing w:after="0" w:line="275" w:lineRule="auto"/>
        <w:rPr>
          <w:sz w:val="20"/>
          <w:szCs w:val="20"/>
          <w:color w:val="auto"/>
        </w:rPr>
      </w:pPr>
      <w:r>
        <w:rPr>
          <w:rFonts w:ascii="Times New Roman" w:cs="Times New Roman" w:eastAsia="Times New Roman" w:hAnsi="Times New Roman"/>
          <w:sz w:val="20"/>
          <w:szCs w:val="20"/>
          <w:color w:val="0E0E0E"/>
        </w:rPr>
        <w:t>The Company shall be insolvent if either (i) it is generally unable to pay its debts as they become due unless such debts are the subject of a bona fide dispute, or (ii) the Company is subject to a pending proceeding as a debtor under the United States Bankruptcy Code. The Company shall have no obligation to contribute to the Trust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060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8"/>
          <w:szCs w:val="18"/>
          <w:color w:val="151515"/>
        </w:rPr>
        <w:t>Page 16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200"/>
          </w:cols>
          <w:pgMar w:left="340" w:top="1440" w:right="359" w:bottom="1440" w:gutter="0" w:footer="0" w:header="0"/>
        </w:sectPr>
      </w:pPr>
    </w:p>
    <w:bookmarkStart w:id="179" w:name="page180"/>
    <w:bookmarkEnd w:id="179"/>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D0D0D"/>
        </w:rPr>
        <w:t>any other "rabbi" trust with respect to the Plan except in the event of a Change of</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0D0D0D"/>
        </w:rPr>
        <w:t>Control.</w:t>
      </w:r>
    </w:p>
    <w:p>
      <w:pPr>
        <w:spacing w:after="0" w:line="212" w:lineRule="exact"/>
        <w:rPr>
          <w:sz w:val="20"/>
          <w:szCs w:val="20"/>
          <w:color w:val="auto"/>
        </w:rPr>
      </w:pPr>
    </w:p>
    <w:p>
      <w:pPr>
        <w:jc w:val="both"/>
        <w:ind w:left="140" w:right="80" w:firstLine="657"/>
        <w:spacing w:after="0" w:line="280" w:lineRule="auto"/>
        <w:rPr>
          <w:sz w:val="20"/>
          <w:szCs w:val="20"/>
          <w:color w:val="auto"/>
        </w:rPr>
      </w:pPr>
      <w:r>
        <w:rPr>
          <w:rFonts w:ascii="Times New Roman" w:cs="Times New Roman" w:eastAsia="Times New Roman" w:hAnsi="Times New Roman"/>
          <w:sz w:val="22"/>
          <w:szCs w:val="22"/>
          <w:b w:val="1"/>
          <w:bCs w:val="1"/>
          <w:color w:val="0D0D0D"/>
        </w:rPr>
        <w:t xml:space="preserve">10.2 Legal Defense Trust. </w:t>
      </w:r>
      <w:r>
        <w:rPr>
          <w:rFonts w:ascii="Times New Roman" w:cs="Times New Roman" w:eastAsia="Times New Roman" w:hAnsi="Times New Roman"/>
          <w:sz w:val="19"/>
          <w:szCs w:val="19"/>
          <w:color w:val="0D0D0D"/>
        </w:rPr>
        <w:t>Immediately upon a Hostile Change of Control, the Company shall contribute to the Itron, Inc.</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0D0D0D"/>
        </w:rPr>
        <w:t>Legal Defense Trust such amount as may be specified in the trust agreement for such trust for purposes of reimbursing Participants for legal fees and other related costs incurred by any Participant in attempting to enforce such Participant's rights under the Plan, provided that the Company is not then insolvent (as de</w:t>
      </w:r>
      <w:r>
        <w:rPr>
          <w:rFonts w:ascii="Times New Roman" w:cs="Times New Roman" w:eastAsia="Times New Roman" w:hAnsi="Times New Roman"/>
          <w:sz w:val="19"/>
          <w:szCs w:val="19"/>
          <w:color w:val="1F1F1F"/>
        </w:rPr>
        <w:t>fi</w:t>
      </w:r>
      <w:r>
        <w:rPr>
          <w:rFonts w:ascii="Times New Roman" w:cs="Times New Roman" w:eastAsia="Times New Roman" w:hAnsi="Times New Roman"/>
          <w:sz w:val="19"/>
          <w:szCs w:val="19"/>
          <w:color w:val="0D0D0D"/>
        </w:rPr>
        <w:t>ned in Section 10.1 above). The terms and condi</w:t>
      </w:r>
      <w:r>
        <w:rPr>
          <w:rFonts w:ascii="Times New Roman" w:cs="Times New Roman" w:eastAsia="Times New Roman" w:hAnsi="Times New Roman"/>
          <w:sz w:val="19"/>
          <w:szCs w:val="19"/>
          <w:color w:val="1F1F1F"/>
        </w:rPr>
        <w:t>t</w:t>
      </w:r>
      <w:r>
        <w:rPr>
          <w:rFonts w:ascii="Times New Roman" w:cs="Times New Roman" w:eastAsia="Times New Roman" w:hAnsi="Times New Roman"/>
          <w:sz w:val="19"/>
          <w:szCs w:val="19"/>
          <w:color w:val="0D0D0D"/>
        </w:rPr>
        <w:t>io</w:t>
      </w:r>
      <w:r>
        <w:rPr>
          <w:rFonts w:ascii="Times New Roman" w:cs="Times New Roman" w:eastAsia="Times New Roman" w:hAnsi="Times New Roman"/>
          <w:sz w:val="19"/>
          <w:szCs w:val="19"/>
          <w:color w:val="1F1F1F"/>
        </w:rPr>
        <w:t>n</w:t>
      </w:r>
      <w:r>
        <w:rPr>
          <w:rFonts w:ascii="Times New Roman" w:cs="Times New Roman" w:eastAsia="Times New Roman" w:hAnsi="Times New Roman"/>
          <w:sz w:val="19"/>
          <w:szCs w:val="19"/>
          <w:color w:val="0D0D0D"/>
        </w:rPr>
        <w:t>s under which s</w:t>
      </w:r>
      <w:r>
        <w:rPr>
          <w:rFonts w:ascii="Times New Roman" w:cs="Times New Roman" w:eastAsia="Times New Roman" w:hAnsi="Times New Roman"/>
          <w:sz w:val="19"/>
          <w:szCs w:val="19"/>
          <w:color w:val="1F1F1F"/>
        </w:rPr>
        <w:t>u</w:t>
      </w:r>
      <w:r>
        <w:rPr>
          <w:rFonts w:ascii="Times New Roman" w:cs="Times New Roman" w:eastAsia="Times New Roman" w:hAnsi="Times New Roman"/>
          <w:sz w:val="19"/>
          <w:szCs w:val="19"/>
          <w:color w:val="0D0D0D"/>
        </w:rPr>
        <w:t>ch fees and costs shall be reimbursed shall be set forth in the trust agreement for such trust.</w:t>
      </w:r>
    </w:p>
    <w:p>
      <w:pPr>
        <w:spacing w:after="0" w:line="197" w:lineRule="exact"/>
        <w:rPr>
          <w:sz w:val="20"/>
          <w:szCs w:val="20"/>
          <w:color w:val="auto"/>
        </w:rPr>
      </w:pPr>
    </w:p>
    <w:p>
      <w:pPr>
        <w:jc w:val="both"/>
        <w:ind w:left="140" w:right="100" w:firstLine="648"/>
        <w:spacing w:after="0" w:line="254" w:lineRule="auto"/>
        <w:rPr>
          <w:sz w:val="20"/>
          <w:szCs w:val="20"/>
          <w:color w:val="auto"/>
        </w:rPr>
      </w:pPr>
      <w:r>
        <w:rPr>
          <w:rFonts w:ascii="Times New Roman" w:cs="Times New Roman" w:eastAsia="Times New Roman" w:hAnsi="Times New Roman"/>
          <w:sz w:val="22"/>
          <w:szCs w:val="22"/>
          <w:b w:val="1"/>
          <w:bCs w:val="1"/>
          <w:color w:val="0D0D0D"/>
        </w:rPr>
        <w:t xml:space="preserve">10.3 Amendment After Change of Control. </w:t>
      </w:r>
      <w:r>
        <w:rPr>
          <w:rFonts w:ascii="Times New Roman" w:cs="Times New Roman" w:eastAsia="Times New Roman" w:hAnsi="Times New Roman"/>
          <w:sz w:val="19"/>
          <w:szCs w:val="19"/>
          <w:color w:val="1F1F1F"/>
        </w:rPr>
        <w:t>T</w:t>
      </w:r>
      <w:r>
        <w:rPr>
          <w:rFonts w:ascii="Times New Roman" w:cs="Times New Roman" w:eastAsia="Times New Roman" w:hAnsi="Times New Roman"/>
          <w:sz w:val="19"/>
          <w:szCs w:val="19"/>
          <w:color w:val="0D0D0D"/>
        </w:rPr>
        <w:t>h</w:t>
      </w:r>
      <w:r>
        <w:rPr>
          <w:rFonts w:ascii="Times New Roman" w:cs="Times New Roman" w:eastAsia="Times New Roman" w:hAnsi="Times New Roman"/>
          <w:sz w:val="19"/>
          <w:szCs w:val="19"/>
          <w:color w:val="1F1F1F"/>
        </w:rPr>
        <w:t>i</w:t>
      </w:r>
      <w:r>
        <w:rPr>
          <w:rFonts w:ascii="Times New Roman" w:cs="Times New Roman" w:eastAsia="Times New Roman" w:hAnsi="Times New Roman"/>
          <w:sz w:val="19"/>
          <w:szCs w:val="19"/>
          <w:color w:val="0D0D0D"/>
        </w:rPr>
        <w:t>s Article X m</w:t>
      </w:r>
      <w:r>
        <w:rPr>
          <w:rFonts w:ascii="Times New Roman" w:cs="Times New Roman" w:eastAsia="Times New Roman" w:hAnsi="Times New Roman"/>
          <w:sz w:val="19"/>
          <w:szCs w:val="19"/>
          <w:color w:val="1F1F1F"/>
        </w:rPr>
        <w:t>a</w:t>
      </w:r>
      <w:r>
        <w:rPr>
          <w:rFonts w:ascii="Times New Roman" w:cs="Times New Roman" w:eastAsia="Times New Roman" w:hAnsi="Times New Roman"/>
          <w:sz w:val="19"/>
          <w:szCs w:val="19"/>
          <w:color w:val="0D0D0D"/>
        </w:rPr>
        <w:t>y not be</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1F1F1F"/>
        </w:rPr>
        <w:t>a</w:t>
      </w:r>
      <w:r>
        <w:rPr>
          <w:rFonts w:ascii="Times New Roman" w:cs="Times New Roman" w:eastAsia="Times New Roman" w:hAnsi="Times New Roman"/>
          <w:sz w:val="19"/>
          <w:szCs w:val="19"/>
          <w:color w:val="0D0D0D"/>
        </w:rPr>
        <w:t>mended or modified following</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1F1F1F"/>
        </w:rPr>
        <w:t>a</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0D0D0D"/>
        </w:rPr>
        <w:t>Ch</w:t>
      </w:r>
      <w:r>
        <w:rPr>
          <w:rFonts w:ascii="Times New Roman" w:cs="Times New Roman" w:eastAsia="Times New Roman" w:hAnsi="Times New Roman"/>
          <w:sz w:val="19"/>
          <w:szCs w:val="19"/>
          <w:color w:val="1F1F1F"/>
        </w:rPr>
        <w:t>a</w:t>
      </w:r>
      <w:r>
        <w:rPr>
          <w:rFonts w:ascii="Times New Roman" w:cs="Times New Roman" w:eastAsia="Times New Roman" w:hAnsi="Times New Roman"/>
          <w:sz w:val="19"/>
          <w:szCs w:val="19"/>
          <w:color w:val="0D0D0D"/>
        </w:rPr>
        <w:t>n</w:t>
      </w:r>
      <w:r>
        <w:rPr>
          <w:rFonts w:ascii="Times New Roman" w:cs="Times New Roman" w:eastAsia="Times New Roman" w:hAnsi="Times New Roman"/>
          <w:sz w:val="19"/>
          <w:szCs w:val="19"/>
          <w:color w:val="1F1F1F"/>
        </w:rPr>
        <w:t>g</w:t>
      </w:r>
      <w:r>
        <w:rPr>
          <w:rFonts w:ascii="Times New Roman" w:cs="Times New Roman" w:eastAsia="Times New Roman" w:hAnsi="Times New Roman"/>
          <w:sz w:val="19"/>
          <w:szCs w:val="19"/>
          <w:color w:val="0D0D0D"/>
        </w:rPr>
        <w:t>e of</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0D0D0D"/>
        </w:rPr>
        <w:t>Control.</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D0D0D"/>
        </w:rPr>
        <w:t>ARTICLE XI. AMENDMENT, MODIFICATION AND TERMINATION</w:t>
      </w:r>
    </w:p>
    <w:p>
      <w:pPr>
        <w:spacing w:after="0" w:line="255" w:lineRule="exact"/>
        <w:rPr>
          <w:sz w:val="20"/>
          <w:szCs w:val="20"/>
          <w:color w:val="auto"/>
        </w:rPr>
      </w:pPr>
    </w:p>
    <w:p>
      <w:pPr>
        <w:jc w:val="both"/>
        <w:ind w:left="120" w:right="80" w:firstLine="669"/>
        <w:spacing w:after="0" w:line="263" w:lineRule="auto"/>
        <w:rPr>
          <w:sz w:val="20"/>
          <w:szCs w:val="20"/>
          <w:color w:val="auto"/>
        </w:rPr>
      </w:pPr>
      <w:r>
        <w:rPr>
          <w:rFonts w:ascii="Times New Roman" w:cs="Times New Roman" w:eastAsia="Times New Roman" w:hAnsi="Times New Roman"/>
          <w:sz w:val="20"/>
          <w:szCs w:val="20"/>
          <w:color w:val="0D0D0D"/>
        </w:rPr>
        <w:t>S</w:t>
      </w:r>
      <w:r>
        <w:rPr>
          <w:rFonts w:ascii="Times New Roman" w:cs="Times New Roman" w:eastAsia="Times New Roman" w:hAnsi="Times New Roman"/>
          <w:sz w:val="20"/>
          <w:szCs w:val="20"/>
          <w:color w:val="1F1F1F"/>
        </w:rPr>
        <w:t>u</w:t>
      </w:r>
      <w:r>
        <w:rPr>
          <w:rFonts w:ascii="Times New Roman" w:cs="Times New Roman" w:eastAsia="Times New Roman" w:hAnsi="Times New Roman"/>
          <w:sz w:val="20"/>
          <w:szCs w:val="20"/>
          <w:color w:val="0D0D0D"/>
        </w:rPr>
        <w:t>bj</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ct t</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D0D0D"/>
        </w:rPr>
        <w:t xml:space="preserve"> S</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cti</w:t>
      </w:r>
      <w:r>
        <w:rPr>
          <w:rFonts w:ascii="Times New Roman" w:cs="Times New Roman" w:eastAsia="Times New Roman" w:hAnsi="Times New Roman"/>
          <w:sz w:val="20"/>
          <w:szCs w:val="20"/>
          <w:color w:val="1F1F1F"/>
        </w:rPr>
        <w:t>on</w:t>
      </w:r>
      <w:r>
        <w:rPr>
          <w:rFonts w:ascii="Times New Roman" w:cs="Times New Roman" w:eastAsia="Times New Roman" w:hAnsi="Times New Roman"/>
          <w:sz w:val="20"/>
          <w:szCs w:val="20"/>
          <w:color w:val="0D0D0D"/>
        </w:rPr>
        <w:t xml:space="preserve"> 10.3 </w:t>
      </w:r>
      <w:r>
        <w:rPr>
          <w:rFonts w:ascii="Times New Roman" w:cs="Times New Roman" w:eastAsia="Times New Roman" w:hAnsi="Times New Roman"/>
          <w:sz w:val="20"/>
          <w:szCs w:val="20"/>
          <w:color w:val="1F1F1F"/>
        </w:rPr>
        <w:t>ab</w:t>
      </w:r>
      <w:r>
        <w:rPr>
          <w:rFonts w:ascii="Times New Roman" w:cs="Times New Roman" w:eastAsia="Times New Roman" w:hAnsi="Times New Roman"/>
          <w:sz w:val="20"/>
          <w:szCs w:val="20"/>
          <w:color w:val="0D0D0D"/>
        </w:rPr>
        <w:t>o</w:t>
      </w:r>
      <w:r>
        <w:rPr>
          <w:rFonts w:ascii="Times New Roman" w:cs="Times New Roman" w:eastAsia="Times New Roman" w:hAnsi="Times New Roman"/>
          <w:sz w:val="20"/>
          <w:szCs w:val="20"/>
          <w:color w:val="1F1F1F"/>
        </w:rPr>
        <w:t>ve</w:t>
      </w:r>
      <w:r>
        <w:rPr>
          <w:rFonts w:ascii="Times New Roman" w:cs="Times New Roman" w:eastAsia="Times New Roman" w:hAnsi="Times New Roman"/>
          <w:sz w:val="20"/>
          <w:szCs w:val="20"/>
          <w:color w:val="0D0D0D"/>
        </w:rPr>
        <w:t xml:space="preserve">, this </w:t>
      </w:r>
      <w:r>
        <w:rPr>
          <w:rFonts w:ascii="Times New Roman" w:cs="Times New Roman" w:eastAsia="Times New Roman" w:hAnsi="Times New Roman"/>
          <w:sz w:val="20"/>
          <w:szCs w:val="20"/>
          <w:color w:val="1F1F1F"/>
        </w:rPr>
        <w:t>P</w:t>
      </w:r>
      <w:r>
        <w:rPr>
          <w:rFonts w:ascii="Times New Roman" w:cs="Times New Roman" w:eastAsia="Times New Roman" w:hAnsi="Times New Roman"/>
          <w:sz w:val="20"/>
          <w:szCs w:val="20"/>
          <w:color w:val="0D0D0D"/>
        </w:rPr>
        <w:t>l</w:t>
      </w:r>
      <w:r>
        <w:rPr>
          <w:rFonts w:ascii="Times New Roman" w:cs="Times New Roman" w:eastAsia="Times New Roman" w:hAnsi="Times New Roman"/>
          <w:sz w:val="20"/>
          <w:szCs w:val="20"/>
          <w:color w:val="1F1F1F"/>
        </w:rPr>
        <w:t>an</w:t>
      </w:r>
      <w:r>
        <w:rPr>
          <w:rFonts w:ascii="Times New Roman" w:cs="Times New Roman" w:eastAsia="Times New Roman" w:hAnsi="Times New Roman"/>
          <w:sz w:val="20"/>
          <w:szCs w:val="20"/>
          <w:color w:val="0D0D0D"/>
        </w:rPr>
        <w:t xml:space="preserve"> m</w:t>
      </w:r>
      <w:r>
        <w:rPr>
          <w:rFonts w:ascii="Times New Roman" w:cs="Times New Roman" w:eastAsia="Times New Roman" w:hAnsi="Times New Roman"/>
          <w:sz w:val="20"/>
          <w:szCs w:val="20"/>
          <w:color w:val="1F1F1F"/>
        </w:rPr>
        <w:t>ay</w:t>
      </w:r>
      <w:r>
        <w:rPr>
          <w:rFonts w:ascii="Times New Roman" w:cs="Times New Roman" w:eastAsia="Times New Roman" w:hAnsi="Times New Roman"/>
          <w:sz w:val="20"/>
          <w:szCs w:val="20"/>
          <w:color w:val="0D0D0D"/>
        </w:rPr>
        <w:t xml:space="preserve"> b</w:t>
      </w:r>
      <w:r>
        <w:rPr>
          <w:rFonts w:ascii="Times New Roman" w:cs="Times New Roman" w:eastAsia="Times New Roman" w:hAnsi="Times New Roman"/>
          <w:sz w:val="20"/>
          <w:szCs w:val="20"/>
          <w:color w:val="1F1F1F"/>
        </w:rPr>
        <w:t>e a</w:t>
      </w:r>
      <w:r>
        <w:rPr>
          <w:rFonts w:ascii="Times New Roman" w:cs="Times New Roman" w:eastAsia="Times New Roman" w:hAnsi="Times New Roman"/>
          <w:sz w:val="20"/>
          <w:szCs w:val="20"/>
          <w:color w:val="0D0D0D"/>
        </w:rPr>
        <w:t>m</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nded, </w:t>
      </w:r>
      <w:r>
        <w:rPr>
          <w:rFonts w:ascii="Times New Roman" w:cs="Times New Roman" w:eastAsia="Times New Roman" w:hAnsi="Times New Roman"/>
          <w:sz w:val="20"/>
          <w:szCs w:val="20"/>
          <w:color w:val="1F1F1F"/>
        </w:rPr>
        <w:t>m</w:t>
      </w:r>
      <w:r>
        <w:rPr>
          <w:rFonts w:ascii="Times New Roman" w:cs="Times New Roman" w:eastAsia="Times New Roman" w:hAnsi="Times New Roman"/>
          <w:sz w:val="20"/>
          <w:szCs w:val="20"/>
          <w:color w:val="0D0D0D"/>
        </w:rPr>
        <w:t>od</w:t>
      </w:r>
      <w:r>
        <w:rPr>
          <w:rFonts w:ascii="Times New Roman" w:cs="Times New Roman" w:eastAsia="Times New Roman" w:hAnsi="Times New Roman"/>
          <w:sz w:val="20"/>
          <w:szCs w:val="20"/>
          <w:color w:val="1F1F1F"/>
        </w:rPr>
        <w:t>ifie</w:t>
      </w:r>
      <w:r>
        <w:rPr>
          <w:rFonts w:ascii="Times New Roman" w:cs="Times New Roman" w:eastAsia="Times New Roman" w:hAnsi="Times New Roman"/>
          <w:sz w:val="20"/>
          <w:szCs w:val="20"/>
          <w:color w:val="0D0D0D"/>
        </w:rPr>
        <w:t>d or te</w:t>
      </w:r>
      <w:r>
        <w:rPr>
          <w:rFonts w:ascii="Times New Roman" w:cs="Times New Roman" w:eastAsia="Times New Roman" w:hAnsi="Times New Roman"/>
          <w:sz w:val="20"/>
          <w:szCs w:val="20"/>
          <w:color w:val="1F1F1F"/>
        </w:rPr>
        <w:t>rm</w:t>
      </w:r>
      <w:r>
        <w:rPr>
          <w:rFonts w:ascii="Times New Roman" w:cs="Times New Roman" w:eastAsia="Times New Roman" w:hAnsi="Times New Roman"/>
          <w:sz w:val="20"/>
          <w:szCs w:val="20"/>
          <w:color w:val="0D0D0D"/>
        </w:rPr>
        <w:t>in</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d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 xml:space="preserve">t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ny tim</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by the B</w:t>
      </w:r>
      <w:r>
        <w:rPr>
          <w:rFonts w:ascii="Times New Roman" w:cs="Times New Roman" w:eastAsia="Times New Roman" w:hAnsi="Times New Roman"/>
          <w:sz w:val="20"/>
          <w:szCs w:val="20"/>
          <w:color w:val="1F1F1F"/>
        </w:rPr>
        <w:t>oa</w:t>
      </w:r>
      <w:r>
        <w:rPr>
          <w:rFonts w:ascii="Times New Roman" w:cs="Times New Roman" w:eastAsia="Times New Roman" w:hAnsi="Times New Roman"/>
          <w:sz w:val="20"/>
          <w:szCs w:val="20"/>
          <w:color w:val="0D0D0D"/>
        </w:rPr>
        <w:t>rd</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provided</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howev</w:t>
      </w:r>
      <w:r>
        <w:rPr>
          <w:rFonts w:ascii="Times New Roman" w:cs="Times New Roman" w:eastAsia="Times New Roman" w:hAnsi="Times New Roman"/>
          <w:sz w:val="20"/>
          <w:szCs w:val="20"/>
          <w:color w:val="1F1F1F"/>
        </w:rPr>
        <w:t>er,</w:t>
      </w:r>
      <w:r>
        <w:rPr>
          <w:rFonts w:ascii="Times New Roman" w:cs="Times New Roman" w:eastAsia="Times New Roman" w:hAnsi="Times New Roman"/>
          <w:sz w:val="20"/>
          <w:szCs w:val="20"/>
          <w:color w:val="0D0D0D"/>
        </w:rPr>
        <w:t xml:space="preserve"> th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 xml:space="preserve">t no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m</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ndm</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nt</w:t>
      </w:r>
      <w:r>
        <w:rPr>
          <w:rFonts w:ascii="Times New Roman" w:cs="Times New Roman" w:eastAsia="Times New Roman" w:hAnsi="Times New Roman"/>
          <w:sz w:val="20"/>
          <w:szCs w:val="20"/>
          <w:color w:val="1F1F1F"/>
        </w:rPr>
        <w:t>, m</w:t>
      </w:r>
      <w:r>
        <w:rPr>
          <w:rFonts w:ascii="Times New Roman" w:cs="Times New Roman" w:eastAsia="Times New Roman" w:hAnsi="Times New Roman"/>
          <w:sz w:val="20"/>
          <w:szCs w:val="20"/>
          <w:color w:val="0D0D0D"/>
        </w:rPr>
        <w:t>odi</w:t>
      </w:r>
      <w:r>
        <w:rPr>
          <w:rFonts w:ascii="Times New Roman" w:cs="Times New Roman" w:eastAsia="Times New Roman" w:hAnsi="Times New Roman"/>
          <w:sz w:val="20"/>
          <w:szCs w:val="20"/>
          <w:color w:val="1F1F1F"/>
        </w:rPr>
        <w:t>fi</w:t>
      </w:r>
      <w:r>
        <w:rPr>
          <w:rFonts w:ascii="Times New Roman" w:cs="Times New Roman" w:eastAsia="Times New Roman" w:hAnsi="Times New Roman"/>
          <w:sz w:val="20"/>
          <w:szCs w:val="20"/>
          <w:color w:val="0D0D0D"/>
        </w:rPr>
        <w:t>c</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 xml:space="preserve">tion </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D0D0D"/>
        </w:rPr>
        <w:t>r te</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D0D0D"/>
        </w:rPr>
        <w:t>min</w:t>
      </w:r>
      <w:r>
        <w:rPr>
          <w:rFonts w:ascii="Times New Roman" w:cs="Times New Roman" w:eastAsia="Times New Roman" w:hAnsi="Times New Roman"/>
          <w:sz w:val="20"/>
          <w:szCs w:val="20"/>
          <w:color w:val="1F1F1F"/>
        </w:rPr>
        <w:t>atio</w:t>
      </w:r>
      <w:r>
        <w:rPr>
          <w:rFonts w:ascii="Times New Roman" w:cs="Times New Roman" w:eastAsia="Times New Roman" w:hAnsi="Times New Roman"/>
          <w:sz w:val="20"/>
          <w:szCs w:val="20"/>
          <w:color w:val="0D0D0D"/>
        </w:rPr>
        <w:t>n m</w:t>
      </w:r>
      <w:r>
        <w:rPr>
          <w:rFonts w:ascii="Times New Roman" w:cs="Times New Roman" w:eastAsia="Times New Roman" w:hAnsi="Times New Roman"/>
          <w:sz w:val="20"/>
          <w:szCs w:val="20"/>
          <w:color w:val="1F1F1F"/>
        </w:rPr>
        <w:t>ay a</w:t>
      </w:r>
      <w:r>
        <w:rPr>
          <w:rFonts w:ascii="Times New Roman" w:cs="Times New Roman" w:eastAsia="Times New Roman" w:hAnsi="Times New Roman"/>
          <w:sz w:val="20"/>
          <w:szCs w:val="20"/>
          <w:color w:val="0D0D0D"/>
        </w:rPr>
        <w:t>dv</w:t>
      </w:r>
      <w:r>
        <w:rPr>
          <w:rFonts w:ascii="Times New Roman" w:cs="Times New Roman" w:eastAsia="Times New Roman" w:hAnsi="Times New Roman"/>
          <w:sz w:val="20"/>
          <w:szCs w:val="20"/>
          <w:color w:val="1F1F1F"/>
        </w:rPr>
        <w:t>ersel</w:t>
      </w:r>
      <w:r>
        <w:rPr>
          <w:rFonts w:ascii="Times New Roman" w:cs="Times New Roman" w:eastAsia="Times New Roman" w:hAnsi="Times New Roman"/>
          <w:sz w:val="20"/>
          <w:szCs w:val="20"/>
          <w:color w:val="0D0D0D"/>
        </w:rPr>
        <w:t>y a</w:t>
      </w:r>
      <w:r>
        <w:rPr>
          <w:rFonts w:ascii="Times New Roman" w:cs="Times New Roman" w:eastAsia="Times New Roman" w:hAnsi="Times New Roman"/>
          <w:sz w:val="20"/>
          <w:szCs w:val="20"/>
          <w:color w:val="1F1F1F"/>
        </w:rPr>
        <w:t>ffe</w:t>
      </w:r>
      <w:r>
        <w:rPr>
          <w:rFonts w:ascii="Times New Roman" w:cs="Times New Roman" w:eastAsia="Times New Roman" w:hAnsi="Times New Roman"/>
          <w:sz w:val="20"/>
          <w:szCs w:val="20"/>
          <w:color w:val="0D0D0D"/>
        </w:rPr>
        <w:t>c</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D0D0D"/>
        </w:rPr>
        <w:t xml:space="preserve"> the </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D0D0D"/>
        </w:rPr>
        <w:t>ight</w:t>
      </w:r>
      <w:r>
        <w:rPr>
          <w:rFonts w:ascii="Times New Roman" w:cs="Times New Roman" w:eastAsia="Times New Roman" w:hAnsi="Times New Roman"/>
          <w:sz w:val="20"/>
          <w:szCs w:val="20"/>
          <w:color w:val="1F1F1F"/>
        </w:rPr>
        <w:t>s of</w:t>
      </w:r>
      <w:r>
        <w:rPr>
          <w:rFonts w:ascii="Times New Roman" w:cs="Times New Roman" w:eastAsia="Times New Roman" w:hAnsi="Times New Roman"/>
          <w:sz w:val="20"/>
          <w:szCs w:val="20"/>
          <w:color w:val="0D0D0D"/>
        </w:rPr>
        <w:t xml:space="preserve"> a</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D0D0D"/>
        </w:rPr>
        <w:t>y Pa</w:t>
      </w:r>
      <w:r>
        <w:rPr>
          <w:rFonts w:ascii="Times New Roman" w:cs="Times New Roman" w:eastAsia="Times New Roman" w:hAnsi="Times New Roman"/>
          <w:sz w:val="20"/>
          <w:szCs w:val="20"/>
          <w:color w:val="1F1F1F"/>
        </w:rPr>
        <w:t>rt</w:t>
      </w:r>
      <w:r>
        <w:rPr>
          <w:rFonts w:ascii="Times New Roman" w:cs="Times New Roman" w:eastAsia="Times New Roman" w:hAnsi="Times New Roman"/>
          <w:sz w:val="20"/>
          <w:szCs w:val="20"/>
          <w:color w:val="0D0D0D"/>
        </w:rPr>
        <w:t>ic</w:t>
      </w:r>
      <w:r>
        <w:rPr>
          <w:rFonts w:ascii="Times New Roman" w:cs="Times New Roman" w:eastAsia="Times New Roman" w:hAnsi="Times New Roman"/>
          <w:sz w:val="20"/>
          <w:szCs w:val="20"/>
          <w:color w:val="1F1F1F"/>
        </w:rPr>
        <w:t>ip</w:t>
      </w:r>
      <w:r>
        <w:rPr>
          <w:rFonts w:ascii="Times New Roman" w:cs="Times New Roman" w:eastAsia="Times New Roman" w:hAnsi="Times New Roman"/>
          <w:sz w:val="20"/>
          <w:szCs w:val="20"/>
          <w:color w:val="0D0D0D"/>
        </w:rPr>
        <w:t>ant</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without h</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D0D0D"/>
        </w:rPr>
        <w:t>s o</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D0D0D"/>
        </w:rPr>
        <w:t xml:space="preserve"> he</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D0D0D"/>
        </w:rPr>
        <w:t xml:space="preserve"> c</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D0D0D"/>
        </w:rPr>
        <w:t>n</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D0D0D"/>
        </w:rPr>
        <w:t xml:space="preserve">ent, </w:t>
      </w:r>
      <w:r>
        <w:rPr>
          <w:rFonts w:ascii="Times New Roman" w:cs="Times New Roman" w:eastAsia="Times New Roman" w:hAnsi="Times New Roman"/>
          <w:sz w:val="20"/>
          <w:szCs w:val="20"/>
          <w:color w:val="1F1F1F"/>
        </w:rPr>
        <w:t>to</w:t>
      </w:r>
      <w:r>
        <w:rPr>
          <w:rFonts w:ascii="Times New Roman" w:cs="Times New Roman" w:eastAsia="Times New Roman" w:hAnsi="Times New Roman"/>
          <w:sz w:val="20"/>
          <w:szCs w:val="20"/>
          <w:color w:val="0D0D0D"/>
        </w:rPr>
        <w:t xml:space="preserve"> </w:t>
      </w:r>
      <w:r>
        <w:rPr>
          <w:rFonts w:ascii="Times New Roman" w:cs="Times New Roman" w:eastAsia="Times New Roman" w:hAnsi="Times New Roman"/>
          <w:sz w:val="20"/>
          <w:szCs w:val="20"/>
          <w:color w:val="313131"/>
        </w:rPr>
        <w:t>a</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D0D0D"/>
        </w:rPr>
        <w:t>y b</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n</w:t>
      </w:r>
      <w:r>
        <w:rPr>
          <w:rFonts w:ascii="Times New Roman" w:cs="Times New Roman" w:eastAsia="Times New Roman" w:hAnsi="Times New Roman"/>
          <w:sz w:val="20"/>
          <w:szCs w:val="20"/>
          <w:color w:val="1F1F1F"/>
        </w:rPr>
        <w:t>efit</w:t>
      </w:r>
      <w:r>
        <w:rPr>
          <w:rFonts w:ascii="Times New Roman" w:cs="Times New Roman" w:eastAsia="Times New Roman" w:hAnsi="Times New Roman"/>
          <w:sz w:val="20"/>
          <w:szCs w:val="20"/>
          <w:color w:val="0D0D0D"/>
        </w:rPr>
        <w:t xml:space="preserve"> un</w:t>
      </w:r>
      <w:r>
        <w:rPr>
          <w:rFonts w:ascii="Times New Roman" w:cs="Times New Roman" w:eastAsia="Times New Roman" w:hAnsi="Times New Roman"/>
          <w:sz w:val="20"/>
          <w:szCs w:val="20"/>
          <w:color w:val="1F1F1F"/>
        </w:rPr>
        <w:t>de</w:t>
      </w:r>
      <w:r>
        <w:rPr>
          <w:rFonts w:ascii="Times New Roman" w:cs="Times New Roman" w:eastAsia="Times New Roman" w:hAnsi="Times New Roman"/>
          <w:sz w:val="20"/>
          <w:szCs w:val="20"/>
          <w:color w:val="0D0D0D"/>
        </w:rPr>
        <w:t>r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Pl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n to wh</w:t>
      </w:r>
      <w:r>
        <w:rPr>
          <w:rFonts w:ascii="Times New Roman" w:cs="Times New Roman" w:eastAsia="Times New Roman" w:hAnsi="Times New Roman"/>
          <w:sz w:val="20"/>
          <w:szCs w:val="20"/>
          <w:color w:val="1F1F1F"/>
        </w:rPr>
        <w:t>ich</w:t>
      </w:r>
      <w:r>
        <w:rPr>
          <w:rFonts w:ascii="Times New Roman" w:cs="Times New Roman" w:eastAsia="Times New Roman" w:hAnsi="Times New Roman"/>
          <w:sz w:val="20"/>
          <w:szCs w:val="20"/>
          <w:color w:val="0D0D0D"/>
        </w:rPr>
        <w:t xml:space="preserve"> 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or </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D0D0D"/>
        </w:rPr>
        <w: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w</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 xml:space="preserve">s </w:t>
      </w:r>
      <w:r>
        <w:rPr>
          <w:rFonts w:ascii="Times New Roman" w:cs="Times New Roman" w:eastAsia="Times New Roman" w:hAnsi="Times New Roman"/>
          <w:sz w:val="20"/>
          <w:szCs w:val="20"/>
          <w:color w:val="1F1F1F"/>
        </w:rPr>
        <w:t>entitle</w:t>
      </w:r>
      <w:r>
        <w:rPr>
          <w:rFonts w:ascii="Times New Roman" w:cs="Times New Roman" w:eastAsia="Times New Roman" w:hAnsi="Times New Roman"/>
          <w:sz w:val="20"/>
          <w:szCs w:val="20"/>
          <w:color w:val="0D0D0D"/>
        </w:rPr>
        <w:t>d p</w:t>
      </w:r>
      <w:r>
        <w:rPr>
          <w:rFonts w:ascii="Times New Roman" w:cs="Times New Roman" w:eastAsia="Times New Roman" w:hAnsi="Times New Roman"/>
          <w:sz w:val="20"/>
          <w:szCs w:val="20"/>
          <w:color w:val="1F1F1F"/>
        </w:rPr>
        <w:t>rio</w:t>
      </w:r>
      <w:r>
        <w:rPr>
          <w:rFonts w:ascii="Times New Roman" w:cs="Times New Roman" w:eastAsia="Times New Roman" w:hAnsi="Times New Roman"/>
          <w:sz w:val="20"/>
          <w:szCs w:val="20"/>
          <w:color w:val="0D0D0D"/>
        </w:rPr>
        <w:t xml:space="preserve">r </w:t>
      </w:r>
      <w:r>
        <w:rPr>
          <w:rFonts w:ascii="Times New Roman" w:cs="Times New Roman" w:eastAsia="Times New Roman" w:hAnsi="Times New Roman"/>
          <w:sz w:val="20"/>
          <w:szCs w:val="20"/>
          <w:color w:val="1F1F1F"/>
        </w:rPr>
        <w:t>to t</w:t>
      </w:r>
      <w:r>
        <w:rPr>
          <w:rFonts w:ascii="Times New Roman" w:cs="Times New Roman" w:eastAsia="Times New Roman" w:hAnsi="Times New Roman"/>
          <w:sz w:val="20"/>
          <w:szCs w:val="20"/>
          <w:color w:val="0D0D0D"/>
        </w:rPr>
        <w:t>h</w:t>
      </w:r>
      <w:r>
        <w:rPr>
          <w:rFonts w:ascii="Times New Roman" w:cs="Times New Roman" w:eastAsia="Times New Roman" w:hAnsi="Times New Roman"/>
          <w:sz w:val="20"/>
          <w:szCs w:val="20"/>
          <w:color w:val="1F1F1F"/>
        </w:rPr>
        <w:t>e effe</w:t>
      </w:r>
      <w:r>
        <w:rPr>
          <w:rFonts w:ascii="Times New Roman" w:cs="Times New Roman" w:eastAsia="Times New Roman" w:hAnsi="Times New Roman"/>
          <w:sz w:val="20"/>
          <w:szCs w:val="20"/>
          <w:color w:val="0D0D0D"/>
        </w:rPr>
        <w:t>ctiv</w:t>
      </w:r>
      <w:r>
        <w:rPr>
          <w:rFonts w:ascii="Times New Roman" w:cs="Times New Roman" w:eastAsia="Times New Roman" w:hAnsi="Times New Roman"/>
          <w:sz w:val="20"/>
          <w:szCs w:val="20"/>
          <w:color w:val="1F1F1F"/>
        </w:rPr>
        <w:t>e da</w:t>
      </w:r>
      <w:r>
        <w:rPr>
          <w:rFonts w:ascii="Times New Roman" w:cs="Times New Roman" w:eastAsia="Times New Roman" w:hAnsi="Times New Roman"/>
          <w:sz w:val="20"/>
          <w:szCs w:val="20"/>
          <w:color w:val="0D0D0D"/>
        </w:rPr>
        <w:t>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(or</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if 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te</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D0D0D"/>
        </w:rPr>
        <w:t xml:space="preserve"> the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doption d</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 xml:space="preserve">te) of </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D0D0D"/>
        </w:rPr>
        <w:t xml:space="preserve">uch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mendment</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m</w:t>
      </w:r>
      <w:r>
        <w:rPr>
          <w:rFonts w:ascii="Times New Roman" w:cs="Times New Roman" w:eastAsia="Times New Roman" w:hAnsi="Times New Roman"/>
          <w:sz w:val="20"/>
          <w:szCs w:val="20"/>
          <w:color w:val="1F1F1F"/>
        </w:rPr>
        <w:t>odi</w:t>
      </w:r>
      <w:r>
        <w:rPr>
          <w:rFonts w:ascii="Times New Roman" w:cs="Times New Roman" w:eastAsia="Times New Roman" w:hAnsi="Times New Roman"/>
          <w:sz w:val="20"/>
          <w:szCs w:val="20"/>
          <w:color w:val="0D0D0D"/>
        </w:rPr>
        <w:t>fic</w:t>
      </w:r>
      <w:r>
        <w:rPr>
          <w:rFonts w:ascii="Times New Roman" w:cs="Times New Roman" w:eastAsia="Times New Roman" w:hAnsi="Times New Roman"/>
          <w:sz w:val="20"/>
          <w:szCs w:val="20"/>
          <w:color w:val="1F1F1F"/>
        </w:rPr>
        <w:t>at</w:t>
      </w:r>
      <w:r>
        <w:rPr>
          <w:rFonts w:ascii="Times New Roman" w:cs="Times New Roman" w:eastAsia="Times New Roman" w:hAnsi="Times New Roman"/>
          <w:sz w:val="20"/>
          <w:szCs w:val="20"/>
          <w:color w:val="0D0D0D"/>
        </w:rPr>
        <w:t>io</w:t>
      </w:r>
      <w:r>
        <w:rPr>
          <w:rFonts w:ascii="Times New Roman" w:cs="Times New Roman" w:eastAsia="Times New Roman" w:hAnsi="Times New Roman"/>
          <w:sz w:val="20"/>
          <w:szCs w:val="20"/>
          <w:color w:val="1F1F1F"/>
        </w:rPr>
        <w:t>n o</w:t>
      </w:r>
      <w:r>
        <w:rPr>
          <w:rFonts w:ascii="Times New Roman" w:cs="Times New Roman" w:eastAsia="Times New Roman" w:hAnsi="Times New Roman"/>
          <w:sz w:val="20"/>
          <w:szCs w:val="20"/>
          <w:color w:val="313131"/>
        </w:rPr>
        <w:t>r</w:t>
      </w:r>
      <w:r>
        <w:rPr>
          <w:rFonts w:ascii="Times New Roman" w:cs="Times New Roman" w:eastAsia="Times New Roman" w:hAnsi="Times New Roman"/>
          <w:sz w:val="20"/>
          <w:szCs w:val="20"/>
          <w:color w:val="0D0D0D"/>
        </w:rPr>
        <w:t xml:space="preserve"> t</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rmi</w:t>
      </w:r>
      <w:r>
        <w:rPr>
          <w:rFonts w:ascii="Times New Roman" w:cs="Times New Roman" w:eastAsia="Times New Roman" w:hAnsi="Times New Roman"/>
          <w:sz w:val="20"/>
          <w:szCs w:val="20"/>
          <w:color w:val="1F1F1F"/>
        </w:rPr>
        <w:t>na</w:t>
      </w:r>
      <w:r>
        <w:rPr>
          <w:rFonts w:ascii="Times New Roman" w:cs="Times New Roman" w:eastAsia="Times New Roman" w:hAnsi="Times New Roman"/>
          <w:sz w:val="20"/>
          <w:szCs w:val="20"/>
          <w:color w:val="0D0D0D"/>
        </w:rPr>
        <w:t xml:space="preserve">tion;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nd provi</w:t>
      </w:r>
      <w:r>
        <w:rPr>
          <w:rFonts w:ascii="Times New Roman" w:cs="Times New Roman" w:eastAsia="Times New Roman" w:hAnsi="Times New Roman"/>
          <w:sz w:val="20"/>
          <w:szCs w:val="20"/>
          <w:color w:val="1F1F1F"/>
        </w:rPr>
        <w:t>d</w:t>
      </w:r>
      <w:r>
        <w:rPr>
          <w:rFonts w:ascii="Times New Roman" w:cs="Times New Roman" w:eastAsia="Times New Roman" w:hAnsi="Times New Roman"/>
          <w:sz w:val="20"/>
          <w:szCs w:val="20"/>
          <w:color w:val="0D0D0D"/>
        </w:rPr>
        <w:t>ed furthe</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D0D0D"/>
        </w:rPr>
        <w:t xml:space="preserve"> that t</w:t>
      </w:r>
      <w:r>
        <w:rPr>
          <w:rFonts w:ascii="Times New Roman" w:cs="Times New Roman" w:eastAsia="Times New Roman" w:hAnsi="Times New Roman"/>
          <w:sz w:val="20"/>
          <w:szCs w:val="20"/>
          <w:color w:val="1F1F1F"/>
        </w:rPr>
        <w:t>he</w:t>
      </w:r>
      <w:r>
        <w:rPr>
          <w:rFonts w:ascii="Times New Roman" w:cs="Times New Roman" w:eastAsia="Times New Roman" w:hAnsi="Times New Roman"/>
          <w:sz w:val="20"/>
          <w:szCs w:val="20"/>
          <w:color w:val="0D0D0D"/>
        </w:rPr>
        <w:t xml:space="preserve"> Pl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 xml:space="preserve">n </w:t>
      </w:r>
      <w:r>
        <w:rPr>
          <w:rFonts w:ascii="Times New Roman" w:cs="Times New Roman" w:eastAsia="Times New Roman" w:hAnsi="Times New Roman"/>
          <w:sz w:val="20"/>
          <w:szCs w:val="20"/>
          <w:color w:val="1F1F1F"/>
        </w:rPr>
        <w:t>m</w:t>
      </w:r>
      <w:r>
        <w:rPr>
          <w:rFonts w:ascii="Times New Roman" w:cs="Times New Roman" w:eastAsia="Times New Roman" w:hAnsi="Times New Roman"/>
          <w:sz w:val="20"/>
          <w:szCs w:val="20"/>
          <w:color w:val="0D0D0D"/>
        </w:rPr>
        <w:t>a</w:t>
      </w:r>
      <w:r>
        <w:rPr>
          <w:rFonts w:ascii="Times New Roman" w:cs="Times New Roman" w:eastAsia="Times New Roman" w:hAnsi="Times New Roman"/>
          <w:sz w:val="20"/>
          <w:szCs w:val="20"/>
          <w:color w:val="1F1F1F"/>
        </w:rPr>
        <w:t>y</w:t>
      </w:r>
      <w:r>
        <w:rPr>
          <w:rFonts w:ascii="Times New Roman" w:cs="Times New Roman" w:eastAsia="Times New Roman" w:hAnsi="Times New Roman"/>
          <w:sz w:val="20"/>
          <w:szCs w:val="20"/>
          <w:color w:val="0D0D0D"/>
        </w:rPr>
        <w:t xml:space="preserve"> not b</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ame</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D0D0D"/>
        </w:rPr>
        <w:t xml:space="preserve">ded, modified </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D0D0D"/>
        </w:rPr>
        <w:t>r termin</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te</w:t>
      </w:r>
      <w:r>
        <w:rPr>
          <w:rFonts w:ascii="Times New Roman" w:cs="Times New Roman" w:eastAsia="Times New Roman" w:hAnsi="Times New Roman"/>
          <w:sz w:val="20"/>
          <w:szCs w:val="20"/>
          <w:color w:val="1F1F1F"/>
        </w:rPr>
        <w:t>d</w:t>
      </w:r>
      <w:r>
        <w:rPr>
          <w:rFonts w:ascii="Times New Roman" w:cs="Times New Roman" w:eastAsia="Times New Roman" w:hAnsi="Times New Roman"/>
          <w:sz w:val="20"/>
          <w:szCs w:val="20"/>
          <w:color w:val="0D0D0D"/>
        </w:rPr>
        <w:t xml:space="preserve"> in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ny w</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y w</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D0D0D"/>
        </w:rPr>
        <w:t>th</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D0D0D"/>
        </w:rPr>
        <w:t>u</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D0D0D"/>
        </w:rPr>
        <w:t xml:space="preserve">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co</w:t>
      </w:r>
      <w:r>
        <w:rPr>
          <w:rFonts w:ascii="Times New Roman" w:cs="Times New Roman" w:eastAsia="Times New Roman" w:hAnsi="Times New Roman"/>
          <w:sz w:val="20"/>
          <w:szCs w:val="20"/>
          <w:color w:val="1F1F1F"/>
        </w:rPr>
        <w:t>nsent</w:t>
      </w:r>
      <w:r>
        <w:rPr>
          <w:rFonts w:ascii="Times New Roman" w:cs="Times New Roman" w:eastAsia="Times New Roman" w:hAnsi="Times New Roman"/>
          <w:sz w:val="20"/>
          <w:szCs w:val="20"/>
          <w:color w:val="0D0D0D"/>
        </w:rPr>
        <w:t xml:space="preserve"> o</w:t>
      </w:r>
      <w:r>
        <w:rPr>
          <w:rFonts w:ascii="Times New Roman" w:cs="Times New Roman" w:eastAsia="Times New Roman" w:hAnsi="Times New Roman"/>
          <w:sz w:val="20"/>
          <w:szCs w:val="20"/>
          <w:color w:val="1F1F1F"/>
        </w:rPr>
        <w:t>f ea</w:t>
      </w:r>
      <w:r>
        <w:rPr>
          <w:rFonts w:ascii="Times New Roman" w:cs="Times New Roman" w:eastAsia="Times New Roman" w:hAnsi="Times New Roman"/>
          <w:sz w:val="20"/>
          <w:szCs w:val="20"/>
          <w:color w:val="0D0D0D"/>
        </w:rPr>
        <w:t>ch P</w:t>
      </w:r>
      <w:r>
        <w:rPr>
          <w:rFonts w:ascii="Times New Roman" w:cs="Times New Roman" w:eastAsia="Times New Roman" w:hAnsi="Times New Roman"/>
          <w:sz w:val="20"/>
          <w:szCs w:val="20"/>
          <w:color w:val="1F1F1F"/>
        </w:rPr>
        <w:t>ar</w:t>
      </w:r>
      <w:r>
        <w:rPr>
          <w:rFonts w:ascii="Times New Roman" w:cs="Times New Roman" w:eastAsia="Times New Roman" w:hAnsi="Times New Roman"/>
          <w:sz w:val="20"/>
          <w:szCs w:val="20"/>
          <w:color w:val="0D0D0D"/>
        </w:rPr>
        <w:t>ti</w:t>
      </w:r>
      <w:r>
        <w:rPr>
          <w:rFonts w:ascii="Times New Roman" w:cs="Times New Roman" w:eastAsia="Times New Roman" w:hAnsi="Times New Roman"/>
          <w:sz w:val="20"/>
          <w:szCs w:val="20"/>
          <w:color w:val="1F1F1F"/>
        </w:rPr>
        <w:t>c</w:t>
      </w:r>
      <w:r>
        <w:rPr>
          <w:rFonts w:ascii="Times New Roman" w:cs="Times New Roman" w:eastAsia="Times New Roman" w:hAnsi="Times New Roman"/>
          <w:sz w:val="20"/>
          <w:szCs w:val="20"/>
          <w:color w:val="0D0D0D"/>
        </w:rPr>
        <w:t>ip</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 xml:space="preserve">nt </w:t>
      </w:r>
      <w:r>
        <w:rPr>
          <w:rFonts w:ascii="Times New Roman" w:cs="Times New Roman" w:eastAsia="Times New Roman" w:hAnsi="Times New Roman"/>
          <w:sz w:val="20"/>
          <w:szCs w:val="20"/>
          <w:color w:val="1F1F1F"/>
        </w:rPr>
        <w:t>fo</w:t>
      </w:r>
      <w:r>
        <w:rPr>
          <w:rFonts w:ascii="Times New Roman" w:cs="Times New Roman" w:eastAsia="Times New Roman" w:hAnsi="Times New Roman"/>
          <w:sz w:val="20"/>
          <w:szCs w:val="20"/>
          <w:color w:val="0D0D0D"/>
        </w:rPr>
        <w:t>r a p</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riod </w:t>
      </w:r>
      <w:r>
        <w:rPr>
          <w:rFonts w:ascii="Times New Roman" w:cs="Times New Roman" w:eastAsia="Times New Roman" w:hAnsi="Times New Roman"/>
          <w:sz w:val="20"/>
          <w:szCs w:val="20"/>
          <w:color w:val="1F1F1F"/>
        </w:rPr>
        <w:t>of</w:t>
      </w:r>
      <w:r>
        <w:rPr>
          <w:rFonts w:ascii="Times New Roman" w:cs="Times New Roman" w:eastAsia="Times New Roman" w:hAnsi="Times New Roman"/>
          <w:sz w:val="20"/>
          <w:szCs w:val="20"/>
          <w:color w:val="0D0D0D"/>
        </w:rPr>
        <w:t xml:space="preserve"> tw</w:t>
      </w:r>
      <w:r>
        <w:rPr>
          <w:rFonts w:ascii="Times New Roman" w:cs="Times New Roman" w:eastAsia="Times New Roman" w:hAnsi="Times New Roman"/>
          <w:sz w:val="20"/>
          <w:szCs w:val="20"/>
          <w:color w:val="1F1F1F"/>
        </w:rPr>
        <w:t>o (</w:t>
      </w:r>
      <w:r>
        <w:rPr>
          <w:rFonts w:ascii="Times New Roman" w:cs="Times New Roman" w:eastAsia="Times New Roman" w:hAnsi="Times New Roman"/>
          <w:sz w:val="20"/>
          <w:szCs w:val="20"/>
          <w:color w:val="0D0D0D"/>
        </w:rPr>
        <w:t>2) ye</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 xml:space="preserve">rs </w:t>
      </w:r>
      <w:r>
        <w:rPr>
          <w:rFonts w:ascii="Times New Roman" w:cs="Times New Roman" w:eastAsia="Times New Roman" w:hAnsi="Times New Roman"/>
          <w:sz w:val="20"/>
          <w:szCs w:val="20"/>
          <w:color w:val="1F1F1F"/>
        </w:rPr>
        <w:t>fo</w:t>
      </w:r>
      <w:r>
        <w:rPr>
          <w:rFonts w:ascii="Times New Roman" w:cs="Times New Roman" w:eastAsia="Times New Roman" w:hAnsi="Times New Roman"/>
          <w:sz w:val="20"/>
          <w:szCs w:val="20"/>
          <w:color w:val="0D0D0D"/>
        </w:rPr>
        <w:t>llowin</w:t>
      </w:r>
      <w:r>
        <w:rPr>
          <w:rFonts w:ascii="Times New Roman" w:cs="Times New Roman" w:eastAsia="Times New Roman" w:hAnsi="Times New Roman"/>
          <w:sz w:val="20"/>
          <w:szCs w:val="20"/>
          <w:color w:val="1F1F1F"/>
        </w:rPr>
        <w:t>g a</w:t>
      </w:r>
      <w:r>
        <w:rPr>
          <w:rFonts w:ascii="Times New Roman" w:cs="Times New Roman" w:eastAsia="Times New Roman" w:hAnsi="Times New Roman"/>
          <w:sz w:val="20"/>
          <w:szCs w:val="20"/>
          <w:color w:val="0D0D0D"/>
        </w:rPr>
        <w:t xml:space="preserve"> Change </w:t>
      </w:r>
      <w:r>
        <w:rPr>
          <w:rFonts w:ascii="Times New Roman" w:cs="Times New Roman" w:eastAsia="Times New Roman" w:hAnsi="Times New Roman"/>
          <w:sz w:val="20"/>
          <w:szCs w:val="20"/>
          <w:color w:val="1F1F1F"/>
        </w:rPr>
        <w:t>of C</w:t>
      </w:r>
      <w:r>
        <w:rPr>
          <w:rFonts w:ascii="Times New Roman" w:cs="Times New Roman" w:eastAsia="Times New Roman" w:hAnsi="Times New Roman"/>
          <w:sz w:val="20"/>
          <w:szCs w:val="20"/>
          <w:color w:val="0D0D0D"/>
        </w:rPr>
        <w:t>ont</w:t>
      </w:r>
      <w:r>
        <w:rPr>
          <w:rFonts w:ascii="Times New Roman" w:cs="Times New Roman" w:eastAsia="Times New Roman" w:hAnsi="Times New Roman"/>
          <w:sz w:val="20"/>
          <w:szCs w:val="20"/>
          <w:color w:val="1F1F1F"/>
        </w:rPr>
        <w:t>ro</w:t>
      </w:r>
      <w:r>
        <w:rPr>
          <w:rFonts w:ascii="Times New Roman" w:cs="Times New Roman" w:eastAsia="Times New Roman" w:hAnsi="Times New Roman"/>
          <w:sz w:val="20"/>
          <w:szCs w:val="20"/>
          <w:color w:val="0D0D0D"/>
        </w:rPr>
        <w:t>l. N</w:t>
      </w:r>
      <w:r>
        <w:rPr>
          <w:rFonts w:ascii="Times New Roman" w:cs="Times New Roman" w:eastAsia="Times New Roman" w:hAnsi="Times New Roman"/>
          <w:sz w:val="20"/>
          <w:szCs w:val="20"/>
          <w:color w:val="1F1F1F"/>
        </w:rPr>
        <w:t>o a</w:t>
      </w:r>
      <w:r>
        <w:rPr>
          <w:rFonts w:ascii="Times New Roman" w:cs="Times New Roman" w:eastAsia="Times New Roman" w:hAnsi="Times New Roman"/>
          <w:sz w:val="20"/>
          <w:szCs w:val="20"/>
          <w:color w:val="0D0D0D"/>
        </w:rPr>
        <w:t>m</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ndm</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n</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D0D0D"/>
        </w:rPr>
        <w:t xml:space="preserve"> sh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ll b</w:t>
      </w:r>
      <w:r>
        <w:rPr>
          <w:rFonts w:ascii="Times New Roman" w:cs="Times New Roman" w:eastAsia="Times New Roman" w:hAnsi="Times New Roman"/>
          <w:sz w:val="20"/>
          <w:szCs w:val="20"/>
          <w:color w:val="1F1F1F"/>
        </w:rPr>
        <w:t>e ma</w:t>
      </w:r>
      <w:r>
        <w:rPr>
          <w:rFonts w:ascii="Times New Roman" w:cs="Times New Roman" w:eastAsia="Times New Roman" w:hAnsi="Times New Roman"/>
          <w:sz w:val="20"/>
          <w:szCs w:val="20"/>
          <w:color w:val="0D0D0D"/>
        </w:rPr>
        <w:t>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t</w:t>
      </w:r>
      <w:r>
        <w:rPr>
          <w:rFonts w:ascii="Times New Roman" w:cs="Times New Roman" w:eastAsia="Times New Roman" w:hAnsi="Times New Roman"/>
          <w:sz w:val="20"/>
          <w:szCs w:val="20"/>
          <w:color w:val="1F1F1F"/>
        </w:rPr>
        <w:t>o t</w:t>
      </w:r>
      <w:r>
        <w:rPr>
          <w:rFonts w:ascii="Times New Roman" w:cs="Times New Roman" w:eastAsia="Times New Roman" w:hAnsi="Times New Roman"/>
          <w:sz w:val="20"/>
          <w:szCs w:val="20"/>
          <w:color w:val="0D0D0D"/>
        </w:rPr>
        <w: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Pl</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 xml:space="preserve">n </w:t>
      </w:r>
      <w:r>
        <w:rPr>
          <w:rFonts w:ascii="Times New Roman" w:cs="Times New Roman" w:eastAsia="Times New Roman" w:hAnsi="Times New Roman"/>
          <w:sz w:val="20"/>
          <w:szCs w:val="20"/>
          <w:color w:val="1F1F1F"/>
        </w:rPr>
        <w:t>if</w:t>
      </w:r>
      <w:r>
        <w:rPr>
          <w:rFonts w:ascii="Times New Roman" w:cs="Times New Roman" w:eastAsia="Times New Roman" w:hAnsi="Times New Roman"/>
          <w:sz w:val="20"/>
          <w:szCs w:val="20"/>
          <w:color w:val="0D0D0D"/>
        </w:rPr>
        <w:t xml:space="preserve"> suc</w:t>
      </w:r>
      <w:r>
        <w:rPr>
          <w:rFonts w:ascii="Times New Roman" w:cs="Times New Roman" w:eastAsia="Times New Roman" w:hAnsi="Times New Roman"/>
          <w:sz w:val="20"/>
          <w:szCs w:val="20"/>
          <w:color w:val="1F1F1F"/>
        </w:rPr>
        <w:t>h</w:t>
      </w:r>
      <w:r>
        <w:rPr>
          <w:rFonts w:ascii="Times New Roman" w:cs="Times New Roman" w:eastAsia="Times New Roman" w:hAnsi="Times New Roman"/>
          <w:sz w:val="20"/>
          <w:szCs w:val="20"/>
          <w:color w:val="0D0D0D"/>
        </w:rPr>
        <w:t xml:space="preserve"> </w:t>
      </w:r>
      <w:r>
        <w:rPr>
          <w:rFonts w:ascii="Times New Roman" w:cs="Times New Roman" w:eastAsia="Times New Roman" w:hAnsi="Times New Roman"/>
          <w:sz w:val="20"/>
          <w:szCs w:val="20"/>
          <w:color w:val="1F1F1F"/>
        </w:rPr>
        <w:t>ame</w:t>
      </w:r>
      <w:r>
        <w:rPr>
          <w:rFonts w:ascii="Times New Roman" w:cs="Times New Roman" w:eastAsia="Times New Roman" w:hAnsi="Times New Roman"/>
          <w:sz w:val="20"/>
          <w:szCs w:val="20"/>
          <w:color w:val="0D0D0D"/>
        </w:rPr>
        <w:t>nd</w:t>
      </w:r>
      <w:r>
        <w:rPr>
          <w:rFonts w:ascii="Times New Roman" w:cs="Times New Roman" w:eastAsia="Times New Roman" w:hAnsi="Times New Roman"/>
          <w:sz w:val="20"/>
          <w:szCs w:val="20"/>
          <w:color w:val="1F1F1F"/>
        </w:rPr>
        <w:t>me</w:t>
      </w:r>
      <w:r>
        <w:rPr>
          <w:rFonts w:ascii="Times New Roman" w:cs="Times New Roman" w:eastAsia="Times New Roman" w:hAnsi="Times New Roman"/>
          <w:sz w:val="20"/>
          <w:szCs w:val="20"/>
          <w:color w:val="0D0D0D"/>
        </w:rPr>
        <w:t>nt w</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D0D0D"/>
        </w:rPr>
        <w:t>uld cau</w:t>
      </w:r>
      <w:r>
        <w:rPr>
          <w:rFonts w:ascii="Times New Roman" w:cs="Times New Roman" w:eastAsia="Times New Roman" w:hAnsi="Times New Roman"/>
          <w:sz w:val="20"/>
          <w:szCs w:val="20"/>
          <w:color w:val="1F1F1F"/>
        </w:rPr>
        <w:t xml:space="preserve">se </w:t>
      </w:r>
      <w:r>
        <w:rPr>
          <w:rFonts w:ascii="Times New Roman" w:cs="Times New Roman" w:eastAsia="Times New Roman" w:hAnsi="Times New Roman"/>
          <w:sz w:val="20"/>
          <w:szCs w:val="20"/>
          <w:color w:val="0D0D0D"/>
        </w:rPr>
        <w:t>th</w:t>
      </w:r>
      <w:r>
        <w:rPr>
          <w:rFonts w:ascii="Times New Roman" w:cs="Times New Roman" w:eastAsia="Times New Roman" w:hAnsi="Times New Roman"/>
          <w:sz w:val="20"/>
          <w:szCs w:val="20"/>
          <w:color w:val="1F1F1F"/>
        </w:rPr>
        <w:t xml:space="preserve">e </w:t>
      </w:r>
      <w:r>
        <w:rPr>
          <w:rFonts w:ascii="Times New Roman" w:cs="Times New Roman" w:eastAsia="Times New Roman" w:hAnsi="Times New Roman"/>
          <w:sz w:val="20"/>
          <w:szCs w:val="20"/>
          <w:color w:val="0D0D0D"/>
        </w:rPr>
        <w:t>P</w:t>
      </w:r>
      <w:r>
        <w:rPr>
          <w:rFonts w:ascii="Times New Roman" w:cs="Times New Roman" w:eastAsia="Times New Roman" w:hAnsi="Times New Roman"/>
          <w:sz w:val="20"/>
          <w:szCs w:val="20"/>
          <w:color w:val="1F1F1F"/>
        </w:rPr>
        <w:t>la</w:t>
      </w:r>
      <w:r>
        <w:rPr>
          <w:rFonts w:ascii="Times New Roman" w:cs="Times New Roman" w:eastAsia="Times New Roman" w:hAnsi="Times New Roman"/>
          <w:sz w:val="20"/>
          <w:szCs w:val="20"/>
          <w:color w:val="0D0D0D"/>
        </w:rPr>
        <w:t>n</w:t>
      </w:r>
      <w:r>
        <w:rPr>
          <w:rFonts w:ascii="Times New Roman" w:cs="Times New Roman" w:eastAsia="Times New Roman" w:hAnsi="Times New Roman"/>
          <w:sz w:val="20"/>
          <w:szCs w:val="20"/>
          <w:color w:val="1F1F1F"/>
        </w:rPr>
        <w:t xml:space="preserve"> to be </w:t>
      </w:r>
      <w:r>
        <w:rPr>
          <w:rFonts w:ascii="Times New Roman" w:cs="Times New Roman" w:eastAsia="Times New Roman" w:hAnsi="Times New Roman"/>
          <w:sz w:val="20"/>
          <w:szCs w:val="20"/>
          <w:color w:val="0D0D0D"/>
        </w:rPr>
        <w:t>fu</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D0D0D"/>
        </w:rPr>
        <w:t>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d</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0D0D0D"/>
        </w:rPr>
        <w:t>o</w:t>
      </w:r>
      <w:r>
        <w:rPr>
          <w:rFonts w:ascii="Times New Roman" w:cs="Times New Roman" w:eastAsia="Times New Roman" w:hAnsi="Times New Roman"/>
          <w:sz w:val="20"/>
          <w:szCs w:val="20"/>
          <w:color w:val="1F1F1F"/>
        </w:rPr>
        <w:t>r ca</w:t>
      </w:r>
      <w:r>
        <w:rPr>
          <w:rFonts w:ascii="Times New Roman" w:cs="Times New Roman" w:eastAsia="Times New Roman" w:hAnsi="Times New Roman"/>
          <w:sz w:val="20"/>
          <w:szCs w:val="20"/>
          <w:color w:val="0D0D0D"/>
        </w:rPr>
        <w:t>us</w:t>
      </w:r>
      <w:r>
        <w:rPr>
          <w:rFonts w:ascii="Times New Roman" w:cs="Times New Roman" w:eastAsia="Times New Roman" w:hAnsi="Times New Roman"/>
          <w:sz w:val="20"/>
          <w:szCs w:val="20"/>
          <w:color w:val="1F1F1F"/>
        </w:rPr>
        <w:t>e an</w:t>
      </w:r>
      <w:r>
        <w:rPr>
          <w:rFonts w:ascii="Times New Roman" w:cs="Times New Roman" w:eastAsia="Times New Roman" w:hAnsi="Times New Roman"/>
          <w:sz w:val="20"/>
          <w:szCs w:val="20"/>
          <w:color w:val="0D0D0D"/>
        </w:rPr>
        <w:t>y</w:t>
      </w:r>
      <w:r>
        <w:rPr>
          <w:rFonts w:ascii="Times New Roman" w:cs="Times New Roman" w:eastAsia="Times New Roman" w:hAnsi="Times New Roman"/>
          <w:sz w:val="20"/>
          <w:szCs w:val="20"/>
          <w:color w:val="1F1F1F"/>
        </w:rPr>
        <w:t xml:space="preserve"> a</w:t>
      </w:r>
      <w:r>
        <w:rPr>
          <w:rFonts w:ascii="Times New Roman" w:cs="Times New Roman" w:eastAsia="Times New Roman" w:hAnsi="Times New Roman"/>
          <w:sz w:val="20"/>
          <w:szCs w:val="20"/>
          <w:color w:val="0D0D0D"/>
        </w:rPr>
        <w:t>m</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D0D0D"/>
        </w:rPr>
        <w:t>unts</w:t>
      </w:r>
      <w:r>
        <w:rPr>
          <w:rFonts w:ascii="Times New Roman" w:cs="Times New Roman" w:eastAsia="Times New Roman" w:hAnsi="Times New Roman"/>
          <w:sz w:val="20"/>
          <w:szCs w:val="20"/>
          <w:color w:val="1F1F1F"/>
        </w:rPr>
        <w:t xml:space="preserve"> all</w:t>
      </w:r>
      <w:r>
        <w:rPr>
          <w:rFonts w:ascii="Times New Roman" w:cs="Times New Roman" w:eastAsia="Times New Roman" w:hAnsi="Times New Roman"/>
          <w:sz w:val="20"/>
          <w:szCs w:val="20"/>
          <w:color w:val="0D0D0D"/>
        </w:rPr>
        <w:t>oc</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ted t</w:t>
      </w:r>
      <w:r>
        <w:rPr>
          <w:rFonts w:ascii="Times New Roman" w:cs="Times New Roman" w:eastAsia="Times New Roman" w:hAnsi="Times New Roman"/>
          <w:sz w:val="20"/>
          <w:szCs w:val="20"/>
          <w:color w:val="1F1F1F"/>
        </w:rPr>
        <w:t xml:space="preserve">o </w:t>
      </w:r>
      <w:r>
        <w:rPr>
          <w:rFonts w:ascii="Times New Roman" w:cs="Times New Roman" w:eastAsia="Times New Roman" w:hAnsi="Times New Roman"/>
          <w:sz w:val="20"/>
          <w:szCs w:val="20"/>
          <w:color w:val="0D0D0D"/>
        </w:rPr>
        <w:t>P</w:t>
      </w:r>
      <w:r>
        <w:rPr>
          <w:rFonts w:ascii="Times New Roman" w:cs="Times New Roman" w:eastAsia="Times New Roman" w:hAnsi="Times New Roman"/>
          <w:sz w:val="20"/>
          <w:szCs w:val="20"/>
          <w:color w:val="1F1F1F"/>
        </w:rPr>
        <w:t>ar</w:t>
      </w:r>
      <w:r>
        <w:rPr>
          <w:rFonts w:ascii="Times New Roman" w:cs="Times New Roman" w:eastAsia="Times New Roman" w:hAnsi="Times New Roman"/>
          <w:sz w:val="20"/>
          <w:szCs w:val="20"/>
          <w:color w:val="0D0D0D"/>
        </w:rPr>
        <w:t>t</w:t>
      </w:r>
      <w:r>
        <w:rPr>
          <w:rFonts w:ascii="Times New Roman" w:cs="Times New Roman" w:eastAsia="Times New Roman" w:hAnsi="Times New Roman"/>
          <w:sz w:val="20"/>
          <w:szCs w:val="20"/>
          <w:color w:val="1F1F1F"/>
        </w:rPr>
        <w:t>ici</w:t>
      </w:r>
      <w:r>
        <w:rPr>
          <w:rFonts w:ascii="Times New Roman" w:cs="Times New Roman" w:eastAsia="Times New Roman" w:hAnsi="Times New Roman"/>
          <w:sz w:val="20"/>
          <w:szCs w:val="20"/>
          <w:color w:val="0D0D0D"/>
        </w:rPr>
        <w:t>p</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nts'</w:t>
      </w:r>
      <w:r>
        <w:rPr>
          <w:rFonts w:ascii="Times New Roman" w:cs="Times New Roman" w:eastAsia="Times New Roman" w:hAnsi="Times New Roman"/>
          <w:sz w:val="20"/>
          <w:szCs w:val="20"/>
          <w:color w:val="1F1F1F"/>
        </w:rPr>
        <w:t xml:space="preserve"> Acc</w:t>
      </w:r>
      <w:r>
        <w:rPr>
          <w:rFonts w:ascii="Times New Roman" w:cs="Times New Roman" w:eastAsia="Times New Roman" w:hAnsi="Times New Roman"/>
          <w:sz w:val="20"/>
          <w:szCs w:val="20"/>
          <w:color w:val="0D0D0D"/>
        </w:rPr>
        <w:t>ount</w:t>
      </w:r>
      <w:r>
        <w:rPr>
          <w:rFonts w:ascii="Times New Roman" w:cs="Times New Roman" w:eastAsia="Times New Roman" w:hAnsi="Times New Roman"/>
          <w:sz w:val="20"/>
          <w:szCs w:val="20"/>
          <w:color w:val="1F1F1F"/>
        </w:rPr>
        <w:t xml:space="preserve">s </w:t>
      </w:r>
      <w:r>
        <w:rPr>
          <w:rFonts w:ascii="Times New Roman" w:cs="Times New Roman" w:eastAsia="Times New Roman" w:hAnsi="Times New Roman"/>
          <w:sz w:val="20"/>
          <w:szCs w:val="20"/>
          <w:color w:val="0D0D0D"/>
        </w:rPr>
        <w:t>u</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D0D0D"/>
        </w:rPr>
        <w:t>d</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r th</w:t>
      </w:r>
      <w:r>
        <w:rPr>
          <w:rFonts w:ascii="Times New Roman" w:cs="Times New Roman" w:eastAsia="Times New Roman" w:hAnsi="Times New Roman"/>
          <w:sz w:val="20"/>
          <w:szCs w:val="20"/>
          <w:color w:val="1F1F1F"/>
        </w:rPr>
        <w:t xml:space="preserve">e </w:t>
      </w:r>
      <w:r>
        <w:rPr>
          <w:rFonts w:ascii="Times New Roman" w:cs="Times New Roman" w:eastAsia="Times New Roman" w:hAnsi="Times New Roman"/>
          <w:sz w:val="20"/>
          <w:szCs w:val="20"/>
          <w:color w:val="0D0D0D"/>
        </w:rPr>
        <w:t>Pl</w:t>
      </w:r>
      <w:r>
        <w:rPr>
          <w:rFonts w:ascii="Times New Roman" w:cs="Times New Roman" w:eastAsia="Times New Roman" w:hAnsi="Times New Roman"/>
          <w:sz w:val="20"/>
          <w:szCs w:val="20"/>
          <w:color w:val="313131"/>
        </w:rPr>
        <w:t>a</w:t>
      </w:r>
      <w:r>
        <w:rPr>
          <w:rFonts w:ascii="Times New Roman" w:cs="Times New Roman" w:eastAsia="Times New Roman" w:hAnsi="Times New Roman"/>
          <w:sz w:val="20"/>
          <w:szCs w:val="20"/>
          <w:color w:val="0D0D0D"/>
        </w:rPr>
        <w:t>n to be t</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x</w:t>
      </w:r>
      <w:r>
        <w:rPr>
          <w:rFonts w:ascii="Times New Roman" w:cs="Times New Roman" w:eastAsia="Times New Roman" w:hAnsi="Times New Roman"/>
          <w:sz w:val="20"/>
          <w:szCs w:val="20"/>
          <w:color w:val="1F1F1F"/>
        </w:rPr>
        <w:t>ab</w:t>
      </w:r>
      <w:r>
        <w:rPr>
          <w:rFonts w:ascii="Times New Roman" w:cs="Times New Roman" w:eastAsia="Times New Roman" w:hAnsi="Times New Roman"/>
          <w:sz w:val="20"/>
          <w:szCs w:val="20"/>
          <w:color w:val="0D0D0D"/>
        </w:rPr>
        <w:t>le t</w:t>
      </w:r>
      <w:r>
        <w:rPr>
          <w:rFonts w:ascii="Times New Roman" w:cs="Times New Roman" w:eastAsia="Times New Roman" w:hAnsi="Times New Roman"/>
          <w:sz w:val="20"/>
          <w:szCs w:val="20"/>
          <w:color w:val="1F1F1F"/>
        </w:rPr>
        <w:t xml:space="preserve">o </w:t>
      </w:r>
      <w:r>
        <w:rPr>
          <w:rFonts w:ascii="Times New Roman" w:cs="Times New Roman" w:eastAsia="Times New Roman" w:hAnsi="Times New Roman"/>
          <w:sz w:val="20"/>
          <w:szCs w:val="20"/>
          <w:color w:val="0D0D0D"/>
        </w:rPr>
        <w:t>th</w:t>
      </w:r>
      <w:r>
        <w:rPr>
          <w:rFonts w:ascii="Times New Roman" w:cs="Times New Roman" w:eastAsia="Times New Roman" w:hAnsi="Times New Roman"/>
          <w:sz w:val="20"/>
          <w:szCs w:val="20"/>
          <w:color w:val="1F1F1F"/>
        </w:rPr>
        <w:t>e P</w:t>
      </w:r>
      <w:r>
        <w:rPr>
          <w:rFonts w:ascii="Times New Roman" w:cs="Times New Roman" w:eastAsia="Times New Roman" w:hAnsi="Times New Roman"/>
          <w:sz w:val="20"/>
          <w:szCs w:val="20"/>
          <w:color w:val="0D0D0D"/>
        </w:rPr>
        <w:t>artic</w:t>
      </w:r>
      <w:r>
        <w:rPr>
          <w:rFonts w:ascii="Times New Roman" w:cs="Times New Roman" w:eastAsia="Times New Roman" w:hAnsi="Times New Roman"/>
          <w:sz w:val="20"/>
          <w:szCs w:val="20"/>
          <w:color w:val="1F1F1F"/>
        </w:rPr>
        <w:t>ipa</w:t>
      </w:r>
      <w:r>
        <w:rPr>
          <w:rFonts w:ascii="Times New Roman" w:cs="Times New Roman" w:eastAsia="Times New Roman" w:hAnsi="Times New Roman"/>
          <w:sz w:val="20"/>
          <w:szCs w:val="20"/>
          <w:color w:val="0D0D0D"/>
        </w:rPr>
        <w:t xml:space="preserve">nts or </w:t>
      </w:r>
      <w:r>
        <w:rPr>
          <w:rFonts w:ascii="Times New Roman" w:cs="Times New Roman" w:eastAsia="Times New Roman" w:hAnsi="Times New Roman"/>
          <w:sz w:val="20"/>
          <w:szCs w:val="20"/>
          <w:color w:val="1F1F1F"/>
        </w:rPr>
        <w:t>t</w:t>
      </w:r>
      <w:r>
        <w:rPr>
          <w:rFonts w:ascii="Times New Roman" w:cs="Times New Roman" w:eastAsia="Times New Roman" w:hAnsi="Times New Roman"/>
          <w:sz w:val="20"/>
          <w:szCs w:val="20"/>
          <w:color w:val="0D0D0D"/>
        </w:rPr>
        <w: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313131"/>
        </w:rPr>
        <w:t>i</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D0D0D"/>
        </w:rPr>
        <w:t xml:space="preserve"> B</w:t>
      </w:r>
      <w:r>
        <w:rPr>
          <w:rFonts w:ascii="Times New Roman" w:cs="Times New Roman" w:eastAsia="Times New Roman" w:hAnsi="Times New Roman"/>
          <w:sz w:val="20"/>
          <w:szCs w:val="20"/>
          <w:color w:val="1F1F1F"/>
        </w:rPr>
        <w:t>enefi</w:t>
      </w:r>
      <w:r>
        <w:rPr>
          <w:rFonts w:ascii="Times New Roman" w:cs="Times New Roman" w:eastAsia="Times New Roman" w:hAnsi="Times New Roman"/>
          <w:sz w:val="20"/>
          <w:szCs w:val="20"/>
          <w:color w:val="0D0D0D"/>
        </w:rPr>
        <w:t>c</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D0D0D"/>
        </w:rPr>
        <w:t>ari</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s </w:t>
      </w:r>
      <w:r>
        <w:rPr>
          <w:rFonts w:ascii="Times New Roman" w:cs="Times New Roman" w:eastAsia="Times New Roman" w:hAnsi="Times New Roman"/>
          <w:sz w:val="20"/>
          <w:szCs w:val="20"/>
          <w:color w:val="1F1F1F"/>
        </w:rPr>
        <w:t>pr</w:t>
      </w:r>
      <w:r>
        <w:rPr>
          <w:rFonts w:ascii="Times New Roman" w:cs="Times New Roman" w:eastAsia="Times New Roman" w:hAnsi="Times New Roman"/>
          <w:sz w:val="20"/>
          <w:szCs w:val="20"/>
          <w:color w:val="0D0D0D"/>
        </w:rPr>
        <w:t>i</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D0D0D"/>
        </w:rPr>
        <w:t>r to the c</w:t>
      </w:r>
      <w:r>
        <w:rPr>
          <w:rFonts w:ascii="Times New Roman" w:cs="Times New Roman" w:eastAsia="Times New Roman" w:hAnsi="Times New Roman"/>
          <w:sz w:val="20"/>
          <w:szCs w:val="20"/>
          <w:color w:val="1F1F1F"/>
        </w:rPr>
        <w:t>al</w:t>
      </w:r>
      <w:r>
        <w:rPr>
          <w:rFonts w:ascii="Times New Roman" w:cs="Times New Roman" w:eastAsia="Times New Roman" w:hAnsi="Times New Roman"/>
          <w:sz w:val="20"/>
          <w:szCs w:val="20"/>
          <w:color w:val="0D0D0D"/>
        </w:rPr>
        <w:t>end</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r ye</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 xml:space="preserve">r of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ctu</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313131"/>
        </w:rPr>
        <w:t>l</w:t>
      </w:r>
      <w:r>
        <w:rPr>
          <w:rFonts w:ascii="Times New Roman" w:cs="Times New Roman" w:eastAsia="Times New Roman" w:hAnsi="Times New Roman"/>
          <w:sz w:val="20"/>
          <w:szCs w:val="20"/>
          <w:color w:val="0D0D0D"/>
        </w:rPr>
        <w:t xml:space="preserve"> </w:t>
      </w:r>
      <w:r>
        <w:rPr>
          <w:rFonts w:ascii="Times New Roman" w:cs="Times New Roman" w:eastAsia="Times New Roman" w:hAnsi="Times New Roman"/>
          <w:sz w:val="20"/>
          <w:szCs w:val="20"/>
          <w:color w:val="1F1F1F"/>
        </w:rPr>
        <w:t>re</w:t>
      </w:r>
      <w:r>
        <w:rPr>
          <w:rFonts w:ascii="Times New Roman" w:cs="Times New Roman" w:eastAsia="Times New Roman" w:hAnsi="Times New Roman"/>
          <w:sz w:val="20"/>
          <w:szCs w:val="20"/>
          <w:color w:val="0D0D0D"/>
        </w:rPr>
        <w:t>c</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ipt o</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D0D0D"/>
        </w:rPr>
        <w:t xml:space="preserve"> such </w:t>
      </w:r>
      <w:r>
        <w:rPr>
          <w:rFonts w:ascii="Times New Roman" w:cs="Times New Roman" w:eastAsia="Times New Roman" w:hAnsi="Times New Roman"/>
          <w:sz w:val="20"/>
          <w:szCs w:val="20"/>
          <w:color w:val="1F1F1F"/>
        </w:rPr>
        <w:t>am</w:t>
      </w:r>
      <w:r>
        <w:rPr>
          <w:rFonts w:ascii="Times New Roman" w:cs="Times New Roman" w:eastAsia="Times New Roman" w:hAnsi="Times New Roman"/>
          <w:sz w:val="20"/>
          <w:szCs w:val="20"/>
          <w:color w:val="0D0D0D"/>
        </w:rPr>
        <w:t>ounts, o</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D0D0D"/>
        </w:rPr>
        <w:t xml:space="preserve"> ot</w:t>
      </w:r>
      <w:r>
        <w:rPr>
          <w:rFonts w:ascii="Times New Roman" w:cs="Times New Roman" w:eastAsia="Times New Roman" w:hAnsi="Times New Roman"/>
          <w:sz w:val="20"/>
          <w:szCs w:val="20"/>
          <w:color w:val="1F1F1F"/>
        </w:rPr>
        <w:t>h</w:t>
      </w:r>
      <w:r>
        <w:rPr>
          <w:rFonts w:ascii="Times New Roman" w:cs="Times New Roman" w:eastAsia="Times New Roman" w:hAnsi="Times New Roman"/>
          <w:sz w:val="20"/>
          <w:szCs w:val="20"/>
          <w:color w:val="0D0D0D"/>
        </w:rPr>
        <w:t>e</w:t>
      </w:r>
      <w:r>
        <w:rPr>
          <w:rFonts w:ascii="Times New Roman" w:cs="Times New Roman" w:eastAsia="Times New Roman" w:hAnsi="Times New Roman"/>
          <w:sz w:val="20"/>
          <w:szCs w:val="20"/>
          <w:color w:val="1F1F1F"/>
        </w:rPr>
        <w:t>r</w:t>
      </w:r>
      <w:r>
        <w:rPr>
          <w:rFonts w:ascii="Times New Roman" w:cs="Times New Roman" w:eastAsia="Times New Roman" w:hAnsi="Times New Roman"/>
          <w:sz w:val="20"/>
          <w:szCs w:val="20"/>
          <w:color w:val="0D0D0D"/>
        </w:rPr>
        <w:t>wis</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c</w:t>
      </w:r>
      <w:r>
        <w:rPr>
          <w:rFonts w:ascii="Times New Roman" w:cs="Times New Roman" w:eastAsia="Times New Roman" w:hAnsi="Times New Roman"/>
          <w:sz w:val="20"/>
          <w:szCs w:val="20"/>
          <w:color w:val="1F1F1F"/>
        </w:rPr>
        <w:t>au</w:t>
      </w:r>
      <w:r>
        <w:rPr>
          <w:rFonts w:ascii="Times New Roman" w:cs="Times New Roman" w:eastAsia="Times New Roman" w:hAnsi="Times New Roman"/>
          <w:sz w:val="20"/>
          <w:szCs w:val="20"/>
          <w:color w:val="0D0D0D"/>
        </w:rPr>
        <w:t>s</w:t>
      </w:r>
      <w:r>
        <w:rPr>
          <w:rFonts w:ascii="Times New Roman" w:cs="Times New Roman" w:eastAsia="Times New Roman" w:hAnsi="Times New Roman"/>
          <w:sz w:val="20"/>
          <w:szCs w:val="20"/>
          <w:color w:val="1F1F1F"/>
        </w:rPr>
        <w:t>e t</w:t>
      </w:r>
      <w:r>
        <w:rPr>
          <w:rFonts w:ascii="Times New Roman" w:cs="Times New Roman" w:eastAsia="Times New Roman" w:hAnsi="Times New Roman"/>
          <w:sz w:val="20"/>
          <w:szCs w:val="20"/>
          <w:color w:val="0D0D0D"/>
        </w:rPr>
        <w:t>h</w:t>
      </w:r>
      <w:r>
        <w:rPr>
          <w:rFonts w:ascii="Times New Roman" w:cs="Times New Roman" w:eastAsia="Times New Roman" w:hAnsi="Times New Roman"/>
          <w:sz w:val="20"/>
          <w:szCs w:val="20"/>
          <w:color w:val="1F1F1F"/>
        </w:rPr>
        <w:t>e Plan</w:t>
      </w:r>
      <w:r>
        <w:rPr>
          <w:rFonts w:ascii="Times New Roman" w:cs="Times New Roman" w:eastAsia="Times New Roman" w:hAnsi="Times New Roman"/>
          <w:sz w:val="20"/>
          <w:szCs w:val="20"/>
          <w:color w:val="0D0D0D"/>
        </w:rPr>
        <w:t xml:space="preserve"> t</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D0D0D"/>
        </w:rPr>
        <w:t xml:space="preserve"> l</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D0D0D"/>
        </w:rPr>
        <w:t>s</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its </w:t>
      </w:r>
      <w:r>
        <w:rPr>
          <w:rFonts w:ascii="Times New Roman" w:cs="Times New Roman" w:eastAsia="Times New Roman" w:hAnsi="Times New Roman"/>
          <w:sz w:val="20"/>
          <w:szCs w:val="20"/>
          <w:color w:val="1F1F1F"/>
        </w:rPr>
        <w:t>exem</w:t>
      </w:r>
      <w:r>
        <w:rPr>
          <w:rFonts w:ascii="Times New Roman" w:cs="Times New Roman" w:eastAsia="Times New Roman" w:hAnsi="Times New Roman"/>
          <w:sz w:val="20"/>
          <w:szCs w:val="20"/>
          <w:color w:val="0D0D0D"/>
        </w:rPr>
        <w:t>p</w:t>
      </w:r>
      <w:r>
        <w:rPr>
          <w:rFonts w:ascii="Times New Roman" w:cs="Times New Roman" w:eastAsia="Times New Roman" w:hAnsi="Times New Roman"/>
          <w:sz w:val="20"/>
          <w:szCs w:val="20"/>
          <w:color w:val="1F1F1F"/>
        </w:rPr>
        <w:t>ti</w:t>
      </w:r>
      <w:r>
        <w:rPr>
          <w:rFonts w:ascii="Times New Roman" w:cs="Times New Roman" w:eastAsia="Times New Roman" w:hAnsi="Times New Roman"/>
          <w:sz w:val="20"/>
          <w:szCs w:val="20"/>
          <w:color w:val="0D0D0D"/>
        </w:rPr>
        <w:t>on</w:t>
      </w:r>
      <w:r>
        <w:rPr>
          <w:rFonts w:ascii="Times New Roman" w:cs="Times New Roman" w:eastAsia="Times New Roman" w:hAnsi="Times New Roman"/>
          <w:sz w:val="20"/>
          <w:szCs w:val="20"/>
          <w:color w:val="1F1F1F"/>
        </w:rPr>
        <w:t xml:space="preserve"> fr</w:t>
      </w:r>
      <w:r>
        <w:rPr>
          <w:rFonts w:ascii="Times New Roman" w:cs="Times New Roman" w:eastAsia="Times New Roman" w:hAnsi="Times New Roman"/>
          <w:sz w:val="20"/>
          <w:szCs w:val="20"/>
          <w:color w:val="0D0D0D"/>
        </w:rPr>
        <w:t>o</w:t>
      </w:r>
      <w:r>
        <w:rPr>
          <w:rFonts w:ascii="Times New Roman" w:cs="Times New Roman" w:eastAsia="Times New Roman" w:hAnsi="Times New Roman"/>
          <w:sz w:val="20"/>
          <w:szCs w:val="20"/>
          <w:color w:val="1F1F1F"/>
        </w:rPr>
        <w:t>m E</w:t>
      </w:r>
      <w:r>
        <w:rPr>
          <w:rFonts w:ascii="Times New Roman" w:cs="Times New Roman" w:eastAsia="Times New Roman" w:hAnsi="Times New Roman"/>
          <w:sz w:val="20"/>
          <w:szCs w:val="20"/>
          <w:color w:val="0D0D0D"/>
        </w:rPr>
        <w:t>R</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D0D0D"/>
        </w:rPr>
        <w:t>S</w:t>
      </w:r>
      <w:r>
        <w:rPr>
          <w:rFonts w:ascii="Times New Roman" w:cs="Times New Roman" w:eastAsia="Times New Roman" w:hAnsi="Times New Roman"/>
          <w:sz w:val="20"/>
          <w:szCs w:val="20"/>
          <w:color w:val="1F1F1F"/>
        </w:rPr>
        <w:t xml:space="preserve">A. </w:t>
      </w:r>
      <w:r>
        <w:rPr>
          <w:rFonts w:ascii="Times New Roman" w:cs="Times New Roman" w:eastAsia="Times New Roman" w:hAnsi="Times New Roman"/>
          <w:sz w:val="20"/>
          <w:szCs w:val="20"/>
          <w:color w:val="0D0D0D"/>
        </w:rPr>
        <w:t>In t</w:t>
      </w:r>
      <w:r>
        <w:rPr>
          <w:rFonts w:ascii="Times New Roman" w:cs="Times New Roman" w:eastAsia="Times New Roman" w:hAnsi="Times New Roman"/>
          <w:sz w:val="20"/>
          <w:szCs w:val="20"/>
          <w:color w:val="1F1F1F"/>
        </w:rPr>
        <w:t>h</w:t>
      </w:r>
      <w:r>
        <w:rPr>
          <w:rFonts w:ascii="Times New Roman" w:cs="Times New Roman" w:eastAsia="Times New Roman" w:hAnsi="Times New Roman"/>
          <w:sz w:val="20"/>
          <w:szCs w:val="20"/>
          <w:color w:val="0D0D0D"/>
        </w:rPr>
        <w:t>e event o</w:t>
      </w:r>
      <w:r>
        <w:rPr>
          <w:rFonts w:ascii="Times New Roman" w:cs="Times New Roman" w:eastAsia="Times New Roman" w:hAnsi="Times New Roman"/>
          <w:sz w:val="20"/>
          <w:szCs w:val="20"/>
          <w:color w:val="1F1F1F"/>
        </w:rPr>
        <w:t xml:space="preserve">f </w:t>
      </w:r>
      <w:r>
        <w:rPr>
          <w:rFonts w:ascii="Times New Roman" w:cs="Times New Roman" w:eastAsia="Times New Roman" w:hAnsi="Times New Roman"/>
          <w:sz w:val="20"/>
          <w:szCs w:val="20"/>
          <w:color w:val="0D0D0D"/>
        </w:rPr>
        <w:t>the term</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D0D0D"/>
        </w:rPr>
        <w:t>n</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ti</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D0D0D"/>
        </w:rPr>
        <w:t>n o</w:t>
      </w:r>
      <w:r>
        <w:rPr>
          <w:rFonts w:ascii="Times New Roman" w:cs="Times New Roman" w:eastAsia="Times New Roman" w:hAnsi="Times New Roman"/>
          <w:sz w:val="20"/>
          <w:szCs w:val="20"/>
          <w:color w:val="1F1F1F"/>
        </w:rPr>
        <w:t xml:space="preserve">f </w:t>
      </w:r>
      <w:r>
        <w:rPr>
          <w:rFonts w:ascii="Times New Roman" w:cs="Times New Roman" w:eastAsia="Times New Roman" w:hAnsi="Times New Roman"/>
          <w:sz w:val="20"/>
          <w:szCs w:val="20"/>
          <w:color w:val="0D0D0D"/>
        </w:rPr>
        <w:t>the P</w:t>
      </w:r>
      <w:r>
        <w:rPr>
          <w:rFonts w:ascii="Times New Roman" w:cs="Times New Roman" w:eastAsia="Times New Roman" w:hAnsi="Times New Roman"/>
          <w:sz w:val="20"/>
          <w:szCs w:val="20"/>
          <w:color w:val="1F1F1F"/>
        </w:rPr>
        <w:t>l</w:t>
      </w:r>
      <w:r>
        <w:rPr>
          <w:rFonts w:ascii="Times New Roman" w:cs="Times New Roman" w:eastAsia="Times New Roman" w:hAnsi="Times New Roman"/>
          <w:sz w:val="20"/>
          <w:szCs w:val="20"/>
          <w:color w:val="0D0D0D"/>
        </w:rPr>
        <w:t>an</w:t>
      </w:r>
      <w:r>
        <w:rPr>
          <w:rFonts w:ascii="Times New Roman" w:cs="Times New Roman" w:eastAsia="Times New Roman" w:hAnsi="Times New Roman"/>
          <w:sz w:val="20"/>
          <w:szCs w:val="20"/>
          <w:color w:val="1F1F1F"/>
        </w:rPr>
        <w:t xml:space="preserve">, </w:t>
      </w:r>
      <w:r>
        <w:rPr>
          <w:rFonts w:ascii="Times New Roman" w:cs="Times New Roman" w:eastAsia="Times New Roman" w:hAnsi="Times New Roman"/>
          <w:sz w:val="20"/>
          <w:szCs w:val="20"/>
          <w:color w:val="0D0D0D"/>
        </w:rPr>
        <w:t>t</w:t>
      </w:r>
      <w:r>
        <w:rPr>
          <w:rFonts w:ascii="Times New Roman" w:cs="Times New Roman" w:eastAsia="Times New Roman" w:hAnsi="Times New Roman"/>
          <w:sz w:val="20"/>
          <w:szCs w:val="20"/>
          <w:color w:val="1F1F1F"/>
        </w:rPr>
        <w:t>h</w:t>
      </w:r>
      <w:r>
        <w:rPr>
          <w:rFonts w:ascii="Times New Roman" w:cs="Times New Roman" w:eastAsia="Times New Roman" w:hAnsi="Times New Roman"/>
          <w:sz w:val="20"/>
          <w:szCs w:val="20"/>
          <w:color w:val="0D0D0D"/>
        </w:rPr>
        <w:t>e Account</w:t>
      </w:r>
      <w:r>
        <w:rPr>
          <w:rFonts w:ascii="Times New Roman" w:cs="Times New Roman" w:eastAsia="Times New Roman" w:hAnsi="Times New Roman"/>
          <w:sz w:val="20"/>
          <w:szCs w:val="20"/>
          <w:color w:val="1F1F1F"/>
        </w:rPr>
        <w:t xml:space="preserve">s </w:t>
      </w:r>
      <w:r>
        <w:rPr>
          <w:rFonts w:ascii="Times New Roman" w:cs="Times New Roman" w:eastAsia="Times New Roman" w:hAnsi="Times New Roman"/>
          <w:sz w:val="20"/>
          <w:szCs w:val="20"/>
          <w:color w:val="0D0D0D"/>
        </w:rPr>
        <w:t>sh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ll be di</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D0D0D"/>
        </w:rPr>
        <w:t>tri</w:t>
      </w:r>
      <w:r>
        <w:rPr>
          <w:rFonts w:ascii="Times New Roman" w:cs="Times New Roman" w:eastAsia="Times New Roman" w:hAnsi="Times New Roman"/>
          <w:sz w:val="20"/>
          <w:szCs w:val="20"/>
          <w:color w:val="1F1F1F"/>
        </w:rPr>
        <w:t>bu</w:t>
      </w:r>
      <w:r>
        <w:rPr>
          <w:rFonts w:ascii="Times New Roman" w:cs="Times New Roman" w:eastAsia="Times New Roman" w:hAnsi="Times New Roman"/>
          <w:sz w:val="20"/>
          <w:szCs w:val="20"/>
          <w:color w:val="0D0D0D"/>
        </w:rPr>
        <w:t>ted to P</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rticipants pur</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D0D0D"/>
        </w:rPr>
        <w:t>u</w:t>
      </w:r>
      <w:r>
        <w:rPr>
          <w:rFonts w:ascii="Times New Roman" w:cs="Times New Roman" w:eastAsia="Times New Roman" w:hAnsi="Times New Roman"/>
          <w:sz w:val="20"/>
          <w:szCs w:val="20"/>
          <w:color w:val="1F1F1F"/>
        </w:rPr>
        <w:t>an</w:t>
      </w:r>
      <w:r>
        <w:rPr>
          <w:rFonts w:ascii="Times New Roman" w:cs="Times New Roman" w:eastAsia="Times New Roman" w:hAnsi="Times New Roman"/>
          <w:sz w:val="20"/>
          <w:szCs w:val="20"/>
          <w:color w:val="0D0D0D"/>
        </w:rPr>
        <w:t>t</w:t>
      </w:r>
      <w:r>
        <w:rPr>
          <w:rFonts w:ascii="Times New Roman" w:cs="Times New Roman" w:eastAsia="Times New Roman" w:hAnsi="Times New Roman"/>
          <w:sz w:val="20"/>
          <w:szCs w:val="20"/>
          <w:color w:val="1F1F1F"/>
        </w:rPr>
        <w:t xml:space="preserve"> to A</w:t>
      </w:r>
      <w:r>
        <w:rPr>
          <w:rFonts w:ascii="Times New Roman" w:cs="Times New Roman" w:eastAsia="Times New Roman" w:hAnsi="Times New Roman"/>
          <w:sz w:val="20"/>
          <w:szCs w:val="20"/>
          <w:color w:val="0D0D0D"/>
        </w:rPr>
        <w:t>rticl</w:t>
      </w:r>
      <w:r>
        <w:rPr>
          <w:rFonts w:ascii="Times New Roman" w:cs="Times New Roman" w:eastAsia="Times New Roman" w:hAnsi="Times New Roman"/>
          <w:sz w:val="20"/>
          <w:szCs w:val="20"/>
          <w:color w:val="1F1F1F"/>
        </w:rPr>
        <w:t xml:space="preserve">e </w:t>
      </w:r>
      <w:r>
        <w:rPr>
          <w:rFonts w:ascii="Times New Roman" w:cs="Times New Roman" w:eastAsia="Times New Roman" w:hAnsi="Times New Roman"/>
          <w:sz w:val="20"/>
          <w:szCs w:val="20"/>
          <w:color w:val="0D0D0D"/>
        </w:rPr>
        <w:t>VII</w:t>
      </w:r>
      <w:r>
        <w:rPr>
          <w:rFonts w:ascii="Times New Roman" w:cs="Times New Roman" w:eastAsia="Times New Roman" w:hAnsi="Times New Roman"/>
          <w:sz w:val="20"/>
          <w:szCs w:val="20"/>
          <w:color w:val="1F1F1F"/>
        </w:rPr>
        <w:t>I a</w:t>
      </w:r>
      <w:r>
        <w:rPr>
          <w:rFonts w:ascii="Times New Roman" w:cs="Times New Roman" w:eastAsia="Times New Roman" w:hAnsi="Times New Roman"/>
          <w:sz w:val="20"/>
          <w:szCs w:val="20"/>
          <w:color w:val="0D0D0D"/>
        </w:rPr>
        <w:t>bov</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unl</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s</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D0D0D"/>
        </w:rPr>
        <w:t xml:space="preserve"> th</w:t>
      </w:r>
      <w:r>
        <w:rPr>
          <w:rFonts w:ascii="Times New Roman" w:cs="Times New Roman" w:eastAsia="Times New Roman" w:hAnsi="Times New Roman"/>
          <w:sz w:val="20"/>
          <w:szCs w:val="20"/>
          <w:color w:val="1F1F1F"/>
        </w:rPr>
        <w:t>e</w:t>
      </w:r>
      <w:r>
        <w:rPr>
          <w:rFonts w:ascii="Times New Roman" w:cs="Times New Roman" w:eastAsia="Times New Roman" w:hAnsi="Times New Roman"/>
          <w:sz w:val="20"/>
          <w:szCs w:val="20"/>
          <w:color w:val="0D0D0D"/>
        </w:rPr>
        <w:t xml:space="preserve"> B</w:t>
      </w:r>
      <w:r>
        <w:rPr>
          <w:rFonts w:ascii="Times New Roman" w:cs="Times New Roman" w:eastAsia="Times New Roman" w:hAnsi="Times New Roman"/>
          <w:sz w:val="20"/>
          <w:szCs w:val="20"/>
          <w:color w:val="1F1F1F"/>
        </w:rPr>
        <w:t>oa</w:t>
      </w:r>
      <w:r>
        <w:rPr>
          <w:rFonts w:ascii="Times New Roman" w:cs="Times New Roman" w:eastAsia="Times New Roman" w:hAnsi="Times New Roman"/>
          <w:sz w:val="20"/>
          <w:szCs w:val="20"/>
          <w:color w:val="0D0D0D"/>
        </w:rPr>
        <w:t>rd</w:t>
      </w:r>
      <w:r>
        <w:rPr>
          <w:rFonts w:ascii="Times New Roman" w:cs="Times New Roman" w:eastAsia="Times New Roman" w:hAnsi="Times New Roman"/>
          <w:sz w:val="20"/>
          <w:szCs w:val="20"/>
          <w:color w:val="1F1F1F"/>
        </w:rPr>
        <w:t>,</w:t>
      </w:r>
      <w:r>
        <w:rPr>
          <w:rFonts w:ascii="Times New Roman" w:cs="Times New Roman" w:eastAsia="Times New Roman" w:hAnsi="Times New Roman"/>
          <w:sz w:val="20"/>
          <w:szCs w:val="20"/>
          <w:color w:val="0D0D0D"/>
        </w:rPr>
        <w:t xml:space="preserve"> i</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D0D0D"/>
        </w:rPr>
        <w:t xml:space="preserve"> i</w:t>
      </w:r>
      <w:r>
        <w:rPr>
          <w:rFonts w:ascii="Times New Roman" w:cs="Times New Roman" w:eastAsia="Times New Roman" w:hAnsi="Times New Roman"/>
          <w:sz w:val="20"/>
          <w:szCs w:val="20"/>
          <w:color w:val="1F1F1F"/>
        </w:rPr>
        <w:t>ts</w:t>
      </w:r>
      <w:r>
        <w:rPr>
          <w:rFonts w:ascii="Times New Roman" w:cs="Times New Roman" w:eastAsia="Times New Roman" w:hAnsi="Times New Roman"/>
          <w:sz w:val="20"/>
          <w:szCs w:val="20"/>
          <w:color w:val="0D0D0D"/>
        </w:rPr>
        <w:t xml:space="preserve"> sol</w:t>
      </w:r>
      <w:r>
        <w:rPr>
          <w:rFonts w:ascii="Times New Roman" w:cs="Times New Roman" w:eastAsia="Times New Roman" w:hAnsi="Times New Roman"/>
          <w:sz w:val="20"/>
          <w:szCs w:val="20"/>
          <w:color w:val="1F1F1F"/>
        </w:rPr>
        <w:t>e a</w:t>
      </w:r>
      <w:r>
        <w:rPr>
          <w:rFonts w:ascii="Times New Roman" w:cs="Times New Roman" w:eastAsia="Times New Roman" w:hAnsi="Times New Roman"/>
          <w:sz w:val="20"/>
          <w:szCs w:val="20"/>
          <w:color w:val="0D0D0D"/>
        </w:rPr>
        <w:t xml:space="preserve">nd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b</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D0D0D"/>
        </w:rPr>
        <w:t>o</w:t>
      </w:r>
      <w:r>
        <w:rPr>
          <w:rFonts w:ascii="Times New Roman" w:cs="Times New Roman" w:eastAsia="Times New Roman" w:hAnsi="Times New Roman"/>
          <w:sz w:val="20"/>
          <w:szCs w:val="20"/>
          <w:color w:val="1F1F1F"/>
        </w:rPr>
        <w:t>l</w:t>
      </w:r>
      <w:r>
        <w:rPr>
          <w:rFonts w:ascii="Times New Roman" w:cs="Times New Roman" w:eastAsia="Times New Roman" w:hAnsi="Times New Roman"/>
          <w:sz w:val="20"/>
          <w:szCs w:val="20"/>
          <w:color w:val="0D0D0D"/>
        </w:rPr>
        <w:t>u</w:t>
      </w:r>
      <w:r>
        <w:rPr>
          <w:rFonts w:ascii="Times New Roman" w:cs="Times New Roman" w:eastAsia="Times New Roman" w:hAnsi="Times New Roman"/>
          <w:sz w:val="20"/>
          <w:szCs w:val="20"/>
          <w:color w:val="1F1F1F"/>
        </w:rPr>
        <w:t>te</w:t>
      </w:r>
      <w:r>
        <w:rPr>
          <w:rFonts w:ascii="Times New Roman" w:cs="Times New Roman" w:eastAsia="Times New Roman" w:hAnsi="Times New Roman"/>
          <w:sz w:val="20"/>
          <w:szCs w:val="20"/>
          <w:color w:val="0D0D0D"/>
        </w:rPr>
        <w:t xml:space="preserve"> di</w:t>
      </w:r>
      <w:r>
        <w:rPr>
          <w:rFonts w:ascii="Times New Roman" w:cs="Times New Roman" w:eastAsia="Times New Roman" w:hAnsi="Times New Roman"/>
          <w:sz w:val="20"/>
          <w:szCs w:val="20"/>
          <w:color w:val="1F1F1F"/>
        </w:rPr>
        <w:t>s</w:t>
      </w:r>
      <w:r>
        <w:rPr>
          <w:rFonts w:ascii="Times New Roman" w:cs="Times New Roman" w:eastAsia="Times New Roman" w:hAnsi="Times New Roman"/>
          <w:sz w:val="20"/>
          <w:szCs w:val="20"/>
          <w:color w:val="0D0D0D"/>
        </w:rPr>
        <w:t>c</w:t>
      </w:r>
      <w:r>
        <w:rPr>
          <w:rFonts w:ascii="Times New Roman" w:cs="Times New Roman" w:eastAsia="Times New Roman" w:hAnsi="Times New Roman"/>
          <w:sz w:val="20"/>
          <w:szCs w:val="20"/>
          <w:color w:val="1F1F1F"/>
        </w:rPr>
        <w:t>ret</w:t>
      </w:r>
      <w:r>
        <w:rPr>
          <w:rFonts w:ascii="Times New Roman" w:cs="Times New Roman" w:eastAsia="Times New Roman" w:hAnsi="Times New Roman"/>
          <w:sz w:val="20"/>
          <w:szCs w:val="20"/>
          <w:color w:val="0D0D0D"/>
        </w:rPr>
        <w:t>io</w:t>
      </w:r>
      <w:r>
        <w:rPr>
          <w:rFonts w:ascii="Times New Roman" w:cs="Times New Roman" w:eastAsia="Times New Roman" w:hAnsi="Times New Roman"/>
          <w:sz w:val="20"/>
          <w:szCs w:val="20"/>
          <w:color w:val="1F1F1F"/>
        </w:rPr>
        <w:t>n,</w:t>
      </w:r>
      <w:r>
        <w:rPr>
          <w:rFonts w:ascii="Times New Roman" w:cs="Times New Roman" w:eastAsia="Times New Roman" w:hAnsi="Times New Roman"/>
          <w:sz w:val="20"/>
          <w:szCs w:val="20"/>
          <w:color w:val="0D0D0D"/>
        </w:rPr>
        <w:t xml:space="preserve"> d</w:t>
      </w:r>
      <w:r>
        <w:rPr>
          <w:rFonts w:ascii="Times New Roman" w:cs="Times New Roman" w:eastAsia="Times New Roman" w:hAnsi="Times New Roman"/>
          <w:sz w:val="20"/>
          <w:szCs w:val="20"/>
          <w:color w:val="1F1F1F"/>
        </w:rPr>
        <w:t>ire</w:t>
      </w:r>
      <w:r>
        <w:rPr>
          <w:rFonts w:ascii="Times New Roman" w:cs="Times New Roman" w:eastAsia="Times New Roman" w:hAnsi="Times New Roman"/>
          <w:sz w:val="20"/>
          <w:szCs w:val="20"/>
          <w:color w:val="0D0D0D"/>
        </w:rPr>
        <w:t>cts th</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t d</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D0D0D"/>
        </w:rPr>
        <w:t>st</w:t>
      </w:r>
      <w:r>
        <w:rPr>
          <w:rFonts w:ascii="Times New Roman" w:cs="Times New Roman" w:eastAsia="Times New Roman" w:hAnsi="Times New Roman"/>
          <w:sz w:val="20"/>
          <w:szCs w:val="20"/>
          <w:color w:val="1F1F1F"/>
        </w:rPr>
        <w:t>ri</w:t>
      </w:r>
      <w:r>
        <w:rPr>
          <w:rFonts w:ascii="Times New Roman" w:cs="Times New Roman" w:eastAsia="Times New Roman" w:hAnsi="Times New Roman"/>
          <w:sz w:val="20"/>
          <w:szCs w:val="20"/>
          <w:color w:val="0D0D0D"/>
        </w:rPr>
        <w:t xml:space="preserve">butions occur sooner </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D0D0D"/>
        </w:rPr>
        <w:t xml:space="preserve">n </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ccord</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nce with the provisi</w:t>
      </w:r>
      <w:r>
        <w:rPr>
          <w:rFonts w:ascii="Times New Roman" w:cs="Times New Roman" w:eastAsia="Times New Roman" w:hAnsi="Times New Roman"/>
          <w:sz w:val="20"/>
          <w:szCs w:val="20"/>
          <w:color w:val="1F1F1F"/>
        </w:rPr>
        <w:t>o</w:t>
      </w:r>
      <w:r>
        <w:rPr>
          <w:rFonts w:ascii="Times New Roman" w:cs="Times New Roman" w:eastAsia="Times New Roman" w:hAnsi="Times New Roman"/>
          <w:sz w:val="20"/>
          <w:szCs w:val="20"/>
          <w:color w:val="0D0D0D"/>
        </w:rPr>
        <w:t>ns o</w:t>
      </w:r>
      <w:r>
        <w:rPr>
          <w:rFonts w:ascii="Times New Roman" w:cs="Times New Roman" w:eastAsia="Times New Roman" w:hAnsi="Times New Roman"/>
          <w:sz w:val="20"/>
          <w:szCs w:val="20"/>
          <w:color w:val="1F1F1F"/>
        </w:rPr>
        <w:t>f</w:t>
      </w:r>
      <w:r>
        <w:rPr>
          <w:rFonts w:ascii="Times New Roman" w:cs="Times New Roman" w:eastAsia="Times New Roman" w:hAnsi="Times New Roman"/>
          <w:sz w:val="20"/>
          <w:szCs w:val="20"/>
          <w:color w:val="0D0D0D"/>
        </w:rPr>
        <w:t xml:space="preserve"> T</w:t>
      </w:r>
      <w:r>
        <w:rPr>
          <w:rFonts w:ascii="Times New Roman" w:cs="Times New Roman" w:eastAsia="Times New Roman" w:hAnsi="Times New Roman"/>
          <w:sz w:val="20"/>
          <w:szCs w:val="20"/>
          <w:color w:val="1F1F1F"/>
        </w:rPr>
        <w:t>rea</w:t>
      </w:r>
      <w:r>
        <w:rPr>
          <w:rFonts w:ascii="Times New Roman" w:cs="Times New Roman" w:eastAsia="Times New Roman" w:hAnsi="Times New Roman"/>
          <w:sz w:val="20"/>
          <w:szCs w:val="20"/>
          <w:color w:val="0D0D0D"/>
        </w:rPr>
        <w:t>sury Regul</w:t>
      </w:r>
      <w:r>
        <w:rPr>
          <w:rFonts w:ascii="Times New Roman" w:cs="Times New Roman" w:eastAsia="Times New Roman" w:hAnsi="Times New Roman"/>
          <w:sz w:val="20"/>
          <w:szCs w:val="20"/>
          <w:color w:val="1F1F1F"/>
        </w:rPr>
        <w:t>at</w:t>
      </w:r>
      <w:r>
        <w:rPr>
          <w:rFonts w:ascii="Times New Roman" w:cs="Times New Roman" w:eastAsia="Times New Roman" w:hAnsi="Times New Roman"/>
          <w:sz w:val="20"/>
          <w:szCs w:val="20"/>
          <w:color w:val="0D0D0D"/>
        </w:rPr>
        <w:t>ion Section 1 .409</w:t>
      </w:r>
      <w:r>
        <w:rPr>
          <w:rFonts w:ascii="Times New Roman" w:cs="Times New Roman" w:eastAsia="Times New Roman" w:hAnsi="Times New Roman"/>
          <w:sz w:val="20"/>
          <w:szCs w:val="20"/>
          <w:color w:val="1F1F1F"/>
        </w:rPr>
        <w:t>A</w:t>
      </w:r>
      <w:r>
        <w:rPr>
          <w:rFonts w:ascii="Times New Roman" w:cs="Times New Roman" w:eastAsia="Times New Roman" w:hAnsi="Times New Roman"/>
          <w:sz w:val="20"/>
          <w:szCs w:val="20"/>
          <w:color w:val="0D0D0D"/>
        </w:rPr>
        <w:t>-3(j)(4)(</w:t>
      </w:r>
      <w:r>
        <w:rPr>
          <w:rFonts w:ascii="Times New Roman" w:cs="Times New Roman" w:eastAsia="Times New Roman" w:hAnsi="Times New Roman"/>
          <w:sz w:val="20"/>
          <w:szCs w:val="20"/>
          <w:color w:val="1F1F1F"/>
        </w:rPr>
        <w:t>i</w:t>
      </w:r>
      <w:r>
        <w:rPr>
          <w:rFonts w:ascii="Times New Roman" w:cs="Times New Roman" w:eastAsia="Times New Roman" w:hAnsi="Times New Roman"/>
          <w:sz w:val="20"/>
          <w:szCs w:val="20"/>
          <w:color w:val="0D0D0D"/>
        </w:rPr>
        <w:t>x)</w:t>
      </w:r>
      <w:r>
        <w:rPr>
          <w:rFonts w:ascii="Times New Roman" w:cs="Times New Roman" w:eastAsia="Times New Roman" w:hAnsi="Times New Roman"/>
          <w:sz w:val="20"/>
          <w:szCs w:val="20"/>
          <w:color w:val="313131"/>
        </w:rPr>
        <w:t>.</w:t>
      </w:r>
    </w:p>
    <w:p>
      <w:pPr>
        <w:spacing w:after="0" w:line="18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0D0D0D"/>
        </w:rPr>
        <w:t>ARTICLE XII. MISCELLANEOUS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0D0D0D"/>
        </w:rPr>
        <w:t>12.1 Plan Year</w:t>
      </w:r>
      <w:r>
        <w:rPr>
          <w:rFonts w:ascii="Times New Roman" w:cs="Times New Roman" w:eastAsia="Times New Roman" w:hAnsi="Times New Roman"/>
          <w:sz w:val="22"/>
          <w:szCs w:val="22"/>
          <w:b w:val="1"/>
          <w:bCs w:val="1"/>
          <w:color w:val="1F1F1F"/>
        </w:rPr>
        <w:t>.</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0D0D0D"/>
        </w:rPr>
        <w:t>The Plan year shall be the c</w:t>
      </w:r>
      <w:r>
        <w:rPr>
          <w:rFonts w:ascii="Times New Roman" w:cs="Times New Roman" w:eastAsia="Times New Roman" w:hAnsi="Times New Roman"/>
          <w:sz w:val="19"/>
          <w:szCs w:val="19"/>
          <w:color w:val="1F1F1F"/>
        </w:rPr>
        <w:t>a</w:t>
      </w:r>
      <w:r>
        <w:rPr>
          <w:rFonts w:ascii="Times New Roman" w:cs="Times New Roman" w:eastAsia="Times New Roman" w:hAnsi="Times New Roman"/>
          <w:sz w:val="19"/>
          <w:szCs w:val="19"/>
          <w:color w:val="0D0D0D"/>
        </w:rPr>
        <w:t>lend</w:t>
      </w:r>
      <w:r>
        <w:rPr>
          <w:rFonts w:ascii="Times New Roman" w:cs="Times New Roman" w:eastAsia="Times New Roman" w:hAnsi="Times New Roman"/>
          <w:sz w:val="19"/>
          <w:szCs w:val="19"/>
          <w:color w:val="1F1F1F"/>
        </w:rPr>
        <w:t>a</w:t>
      </w:r>
      <w:r>
        <w:rPr>
          <w:rFonts w:ascii="Times New Roman" w:cs="Times New Roman" w:eastAsia="Times New Roman" w:hAnsi="Times New Roman"/>
          <w:sz w:val="19"/>
          <w:szCs w:val="19"/>
          <w:color w:val="0D0D0D"/>
        </w:rPr>
        <w:t>r year.</w:t>
      </w:r>
    </w:p>
    <w:p>
      <w:pPr>
        <w:spacing w:after="0" w:line="247" w:lineRule="exact"/>
        <w:rPr>
          <w:sz w:val="20"/>
          <w:szCs w:val="20"/>
          <w:color w:val="auto"/>
        </w:rPr>
      </w:pPr>
    </w:p>
    <w:p>
      <w:pPr>
        <w:jc w:val="both"/>
        <w:ind w:left="100" w:right="120" w:firstLine="661"/>
        <w:spacing w:after="0" w:line="273" w:lineRule="auto"/>
        <w:rPr>
          <w:sz w:val="20"/>
          <w:szCs w:val="20"/>
          <w:color w:val="auto"/>
        </w:rPr>
      </w:pPr>
      <w:r>
        <w:rPr>
          <w:rFonts w:ascii="Times New Roman" w:cs="Times New Roman" w:eastAsia="Times New Roman" w:hAnsi="Times New Roman"/>
          <w:sz w:val="22"/>
          <w:szCs w:val="22"/>
          <w:b w:val="1"/>
          <w:bCs w:val="1"/>
          <w:color w:val="0D0D0D"/>
        </w:rPr>
        <w:t xml:space="preserve">12.2 Withholding for Taxes and Other Deductions. </w:t>
      </w:r>
      <w:r>
        <w:rPr>
          <w:rFonts w:ascii="Times New Roman" w:cs="Times New Roman" w:eastAsia="Times New Roman" w:hAnsi="Times New Roman"/>
          <w:sz w:val="19"/>
          <w:szCs w:val="19"/>
          <w:color w:val="1F1F1F"/>
        </w:rPr>
        <w:t>T</w:t>
      </w:r>
      <w:r>
        <w:rPr>
          <w:rFonts w:ascii="Times New Roman" w:cs="Times New Roman" w:eastAsia="Times New Roman" w:hAnsi="Times New Roman"/>
          <w:sz w:val="19"/>
          <w:szCs w:val="19"/>
          <w:color w:val="0D0D0D"/>
        </w:rPr>
        <w:t>h</w:t>
      </w:r>
      <w:r>
        <w:rPr>
          <w:rFonts w:ascii="Times New Roman" w:cs="Times New Roman" w:eastAsia="Times New Roman" w:hAnsi="Times New Roman"/>
          <w:sz w:val="19"/>
          <w:szCs w:val="19"/>
          <w:color w:val="1F1F1F"/>
        </w:rPr>
        <w:t>e</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0D0D0D"/>
        </w:rPr>
        <w:t>Company s</w:t>
      </w:r>
      <w:r>
        <w:rPr>
          <w:rFonts w:ascii="Times New Roman" w:cs="Times New Roman" w:eastAsia="Times New Roman" w:hAnsi="Times New Roman"/>
          <w:sz w:val="19"/>
          <w:szCs w:val="19"/>
          <w:color w:val="1F1F1F"/>
        </w:rPr>
        <w:t>h</w:t>
      </w:r>
      <w:r>
        <w:rPr>
          <w:rFonts w:ascii="Times New Roman" w:cs="Times New Roman" w:eastAsia="Times New Roman" w:hAnsi="Times New Roman"/>
          <w:sz w:val="19"/>
          <w:szCs w:val="19"/>
          <w:color w:val="0D0D0D"/>
        </w:rPr>
        <w:t>all have the right to deduct</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1F1F1F"/>
        </w:rPr>
        <w:t>fr</w:t>
      </w:r>
      <w:r>
        <w:rPr>
          <w:rFonts w:ascii="Times New Roman" w:cs="Times New Roman" w:eastAsia="Times New Roman" w:hAnsi="Times New Roman"/>
          <w:sz w:val="19"/>
          <w:szCs w:val="19"/>
          <w:color w:val="0D0D0D"/>
        </w:rPr>
        <w:t>om any deferra</w:t>
      </w:r>
      <w:r>
        <w:rPr>
          <w:rFonts w:ascii="Times New Roman" w:cs="Times New Roman" w:eastAsia="Times New Roman" w:hAnsi="Times New Roman"/>
          <w:sz w:val="19"/>
          <w:szCs w:val="19"/>
          <w:color w:val="1F1F1F"/>
        </w:rPr>
        <w:t>l</w:t>
      </w:r>
      <w:r>
        <w:rPr>
          <w:rFonts w:ascii="Times New Roman" w:cs="Times New Roman" w:eastAsia="Times New Roman" w:hAnsi="Times New Roman"/>
          <w:sz w:val="19"/>
          <w:szCs w:val="19"/>
          <w:color w:val="0D0D0D"/>
        </w:rPr>
        <w:t>,</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0D0D0D"/>
        </w:rPr>
        <w:t>distribution or withdrawal under the Plan any applicable taxes that it is required by law to withhold. In addition, the Company may also deduct from any distribution or withdrawal under the Plan any amounts owed by the Participant to the Company; provided, however, that the amount deducted from any distribution or withdrawal may not exceed the amount of such distribution or withdrawal, less any applicable tax withholding. The immediately preceding sentence shall not apply after a Hostile Change of Control.</w:t>
      </w:r>
    </w:p>
    <w:p>
      <w:pPr>
        <w:spacing w:after="0" w:line="177" w:lineRule="exact"/>
        <w:rPr>
          <w:sz w:val="20"/>
          <w:szCs w:val="20"/>
          <w:color w:val="auto"/>
        </w:rPr>
      </w:pPr>
    </w:p>
    <w:p>
      <w:pPr>
        <w:ind w:left="100" w:right="600" w:firstLine="661"/>
        <w:spacing w:after="0" w:line="229" w:lineRule="auto"/>
        <w:rPr>
          <w:sz w:val="20"/>
          <w:szCs w:val="20"/>
          <w:color w:val="auto"/>
        </w:rPr>
      </w:pPr>
      <w:r>
        <w:rPr>
          <w:rFonts w:ascii="Times New Roman" w:cs="Times New Roman" w:eastAsia="Times New Roman" w:hAnsi="Times New Roman"/>
          <w:sz w:val="22"/>
          <w:szCs w:val="22"/>
          <w:b w:val="1"/>
          <w:bCs w:val="1"/>
          <w:color w:val="0D0D0D"/>
        </w:rPr>
        <w:t xml:space="preserve">12.3 No Right to Employment. </w:t>
      </w:r>
      <w:r>
        <w:rPr>
          <w:rFonts w:ascii="Times New Roman" w:cs="Times New Roman" w:eastAsia="Times New Roman" w:hAnsi="Times New Roman"/>
          <w:sz w:val="19"/>
          <w:szCs w:val="19"/>
          <w:color w:val="0D0D0D"/>
        </w:rPr>
        <w:t>Nothing contained in the Plan or in any Deferral Agreement executed by a Participant in</w:t>
      </w:r>
      <w:r>
        <w:rPr>
          <w:rFonts w:ascii="Times New Roman" w:cs="Times New Roman" w:eastAsia="Times New Roman" w:hAnsi="Times New Roman"/>
          <w:sz w:val="22"/>
          <w:szCs w:val="22"/>
          <w:b w:val="1"/>
          <w:bCs w:val="1"/>
          <w:color w:val="0D0D0D"/>
        </w:rPr>
        <w:t xml:space="preserve"> </w:t>
      </w:r>
      <w:r>
        <w:rPr>
          <w:rFonts w:ascii="Times New Roman" w:cs="Times New Roman" w:eastAsia="Times New Roman" w:hAnsi="Times New Roman"/>
          <w:sz w:val="19"/>
          <w:szCs w:val="19"/>
          <w:color w:val="0D0D0D"/>
        </w:rPr>
        <w:t>connection herewith shall be construed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1060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8"/>
          <w:szCs w:val="18"/>
          <w:color w:val="151515"/>
        </w:rPr>
        <w:t>Page 17</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200"/>
          </w:cols>
          <w:pgMar w:left="340" w:top="1440" w:right="359" w:bottom="1440" w:gutter="0" w:footer="0" w:header="0"/>
        </w:sectPr>
      </w:pPr>
    </w:p>
    <w:bookmarkStart w:id="180" w:name="page181"/>
    <w:bookmarkEnd w:id="180"/>
    <w:p>
      <w:pPr>
        <w:spacing w:after="0" w:line="54" w:lineRule="exact"/>
        <w:rPr>
          <w:sz w:val="20"/>
          <w:szCs w:val="20"/>
          <w:color w:val="auto"/>
        </w:rPr>
      </w:pPr>
    </w:p>
    <w:p>
      <w:pPr>
        <w:jc w:val="both"/>
        <w:ind w:left="140" w:right="40" w:firstLine="4"/>
        <w:spacing w:after="0" w:line="274" w:lineRule="auto"/>
        <w:rPr>
          <w:sz w:val="20"/>
          <w:szCs w:val="20"/>
          <w:color w:val="auto"/>
        </w:rPr>
      </w:pPr>
      <w:r>
        <w:rPr>
          <w:rFonts w:ascii="Times New Roman" w:cs="Times New Roman" w:eastAsia="Times New Roman" w:hAnsi="Times New Roman"/>
          <w:sz w:val="20"/>
          <w:szCs w:val="20"/>
          <w:color w:val="171717"/>
        </w:rPr>
        <w:t xml:space="preserve">to </w:t>
      </w:r>
      <w:r>
        <w:rPr>
          <w:rFonts w:ascii="Arial" w:cs="Arial" w:eastAsia="Arial" w:hAnsi="Arial"/>
          <w:sz w:val="20"/>
          <w:szCs w:val="20"/>
          <w:color w:val="171717"/>
        </w:rPr>
        <w:t>(i)</w:t>
      </w:r>
      <w:r>
        <w:rPr>
          <w:rFonts w:ascii="Times New Roman" w:cs="Times New Roman" w:eastAsia="Times New Roman" w:hAnsi="Times New Roman"/>
          <w:sz w:val="20"/>
          <w:szCs w:val="20"/>
          <w:color w:val="171717"/>
        </w:rPr>
        <w:t xml:space="preserve"> confer upon any employee any right of employment with the Company, (ii) restrict in any way with the Company's right to terminate or change the terms or conditions of any employee's employment at any time, or (iii) confer upon any employee or any other person any claim or right to any distribution under the Plan except in accordance with its terms.</w:t>
      </w:r>
    </w:p>
    <w:p>
      <w:pPr>
        <w:spacing w:after="0" w:line="206" w:lineRule="exact"/>
        <w:rPr>
          <w:sz w:val="20"/>
          <w:szCs w:val="20"/>
          <w:color w:val="auto"/>
        </w:rPr>
      </w:pPr>
    </w:p>
    <w:p>
      <w:pPr>
        <w:jc w:val="both"/>
        <w:ind w:left="120" w:right="60" w:firstLine="660"/>
        <w:spacing w:after="0" w:line="269" w:lineRule="auto"/>
        <w:rPr>
          <w:sz w:val="20"/>
          <w:szCs w:val="20"/>
          <w:color w:val="auto"/>
        </w:rPr>
      </w:pPr>
      <w:r>
        <w:rPr>
          <w:rFonts w:ascii="Times New Roman" w:cs="Times New Roman" w:eastAsia="Times New Roman" w:hAnsi="Times New Roman"/>
          <w:sz w:val="20"/>
          <w:szCs w:val="20"/>
          <w:b w:val="1"/>
          <w:bCs w:val="1"/>
          <w:color w:val="171717"/>
        </w:rPr>
        <w:t xml:space="preserve">12.4 Alienation Prohibited. </w:t>
      </w:r>
      <w:r>
        <w:rPr>
          <w:rFonts w:ascii="Times New Roman" w:cs="Times New Roman" w:eastAsia="Times New Roman" w:hAnsi="Times New Roman"/>
          <w:sz w:val="20"/>
          <w:szCs w:val="20"/>
          <w:color w:val="171717"/>
        </w:rPr>
        <w:t>Neither the Participant nor any Beneficiary shall have any right or ability to alienate</w:t>
      </w:r>
      <w:r>
        <w:rPr>
          <w:rFonts w:ascii="Times New Roman" w:cs="Times New Roman" w:eastAsia="Times New Roman" w:hAnsi="Times New Roman"/>
          <w:sz w:val="20"/>
          <w:szCs w:val="20"/>
          <w:color w:val="333333"/>
        </w:rPr>
        <w:t>,</w:t>
      </w:r>
      <w:r>
        <w:rPr>
          <w:rFonts w:ascii="Times New Roman" w:cs="Times New Roman" w:eastAsia="Times New Roman" w:hAnsi="Times New Roman"/>
          <w:sz w:val="20"/>
          <w:szCs w:val="20"/>
          <w:b w:val="1"/>
          <w:bCs w:val="1"/>
          <w:color w:val="171717"/>
        </w:rPr>
        <w:t xml:space="preserve"> </w:t>
      </w:r>
      <w:r>
        <w:rPr>
          <w:rFonts w:ascii="Times New Roman" w:cs="Times New Roman" w:eastAsia="Times New Roman" w:hAnsi="Times New Roman"/>
          <w:sz w:val="20"/>
          <w:szCs w:val="20"/>
          <w:color w:val="171717"/>
        </w:rPr>
        <w:t>sell, transfer,</w:t>
      </w:r>
      <w:r>
        <w:rPr>
          <w:rFonts w:ascii="Times New Roman" w:cs="Times New Roman" w:eastAsia="Times New Roman" w:hAnsi="Times New Roman"/>
          <w:sz w:val="20"/>
          <w:szCs w:val="20"/>
          <w:b w:val="1"/>
          <w:bCs w:val="1"/>
          <w:color w:val="171717"/>
        </w:rPr>
        <w:t xml:space="preserve"> </w:t>
      </w:r>
      <w:r>
        <w:rPr>
          <w:rFonts w:ascii="Times New Roman" w:cs="Times New Roman" w:eastAsia="Times New Roman" w:hAnsi="Times New Roman"/>
          <w:sz w:val="20"/>
          <w:szCs w:val="20"/>
          <w:color w:val="171717"/>
        </w:rPr>
        <w:t>assign</w:t>
      </w:r>
      <w:r>
        <w:rPr>
          <w:rFonts w:ascii="Times New Roman" w:cs="Times New Roman" w:eastAsia="Times New Roman" w:hAnsi="Times New Roman"/>
          <w:sz w:val="20"/>
          <w:szCs w:val="20"/>
          <w:color w:val="333333"/>
        </w:rPr>
        <w:t>,</w:t>
      </w:r>
      <w:r>
        <w:rPr>
          <w:rFonts w:ascii="Times New Roman" w:cs="Times New Roman" w:eastAsia="Times New Roman" w:hAnsi="Times New Roman"/>
          <w:sz w:val="20"/>
          <w:szCs w:val="20"/>
          <w:color w:val="171717"/>
        </w:rPr>
        <w:t xml:space="preserve"> pledge or encumber, either voluntarily or involuntarily, any amount due or expected to become due under the Plan</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171717"/>
        </w:rPr>
        <w:t xml:space="preserve"> Nor shall any such amounts be subject to garnishment, execution, levy or other seizure by any creditor of a Participant or Beneficiary. Notwithstanding the foregoing, the Administrator, in its sole discretion, may authorize payment (including immediate payment) to an "altern</w:t>
      </w:r>
      <w:r>
        <w:rPr>
          <w:rFonts w:ascii="Times New Roman" w:cs="Times New Roman" w:eastAsia="Times New Roman" w:hAnsi="Times New Roman"/>
          <w:sz w:val="20"/>
          <w:szCs w:val="20"/>
          <w:color w:val="333333"/>
        </w:rPr>
        <w:t>a</w:t>
      </w:r>
      <w:r>
        <w:rPr>
          <w:rFonts w:ascii="Times New Roman" w:cs="Times New Roman" w:eastAsia="Times New Roman" w:hAnsi="Times New Roman"/>
          <w:sz w:val="20"/>
          <w:szCs w:val="20"/>
          <w:color w:val="171717"/>
        </w:rPr>
        <w:t>te payee" to the extent necessary to fulfill a "domestic relations order," as defined in Code Section 414(p).</w:t>
      </w:r>
    </w:p>
    <w:p>
      <w:pPr>
        <w:spacing w:after="0" w:line="210" w:lineRule="exact"/>
        <w:rPr>
          <w:sz w:val="20"/>
          <w:szCs w:val="20"/>
          <w:color w:val="auto"/>
        </w:rPr>
      </w:pPr>
    </w:p>
    <w:p>
      <w:pPr>
        <w:jc w:val="both"/>
        <w:ind w:left="100" w:right="60" w:firstLine="674"/>
        <w:spacing w:after="0" w:line="274" w:lineRule="auto"/>
        <w:rPr>
          <w:sz w:val="20"/>
          <w:szCs w:val="20"/>
          <w:color w:val="auto"/>
        </w:rPr>
      </w:pPr>
      <w:r>
        <w:rPr>
          <w:rFonts w:ascii="Times New Roman" w:cs="Times New Roman" w:eastAsia="Times New Roman" w:hAnsi="Times New Roman"/>
          <w:sz w:val="20"/>
          <w:szCs w:val="20"/>
          <w:b w:val="1"/>
          <w:bCs w:val="1"/>
          <w:color w:val="171717"/>
        </w:rPr>
        <w:t xml:space="preserve">12.5 General Limitation of Liability. </w:t>
      </w:r>
      <w:r>
        <w:rPr>
          <w:rFonts w:ascii="Times New Roman" w:cs="Times New Roman" w:eastAsia="Times New Roman" w:hAnsi="Times New Roman"/>
          <w:sz w:val="20"/>
          <w:szCs w:val="20"/>
          <w:color w:val="171717"/>
        </w:rPr>
        <w:t>Neither the Company, the Board, the Compensation Committee, the Administrator nor any</w:t>
      </w:r>
      <w:r>
        <w:rPr>
          <w:rFonts w:ascii="Times New Roman" w:cs="Times New Roman" w:eastAsia="Times New Roman" w:hAnsi="Times New Roman"/>
          <w:sz w:val="20"/>
          <w:szCs w:val="20"/>
          <w:b w:val="1"/>
          <w:bCs w:val="1"/>
          <w:color w:val="171717"/>
        </w:rPr>
        <w:t xml:space="preserve"> </w:t>
      </w:r>
      <w:r>
        <w:rPr>
          <w:rFonts w:ascii="Times New Roman" w:cs="Times New Roman" w:eastAsia="Times New Roman" w:hAnsi="Times New Roman"/>
          <w:sz w:val="20"/>
          <w:szCs w:val="20"/>
          <w:color w:val="171717"/>
        </w:rPr>
        <w:t>other person shall be liable, either jointly or severally</w:t>
      </w:r>
      <w:r>
        <w:rPr>
          <w:rFonts w:ascii="Times New Roman" w:cs="Times New Roman" w:eastAsia="Times New Roman" w:hAnsi="Times New Roman"/>
          <w:sz w:val="20"/>
          <w:szCs w:val="20"/>
          <w:color w:val="333333"/>
        </w:rPr>
        <w:t>,</w:t>
      </w:r>
      <w:r>
        <w:rPr>
          <w:rFonts w:ascii="Times New Roman" w:cs="Times New Roman" w:eastAsia="Times New Roman" w:hAnsi="Times New Roman"/>
          <w:sz w:val="20"/>
          <w:szCs w:val="20"/>
          <w:color w:val="171717"/>
        </w:rPr>
        <w:t xml:space="preserve"> for any act or failure to act or for anything whatsoever in connection with the Plan, or the administration thereof, except, and only to the extent of, liability imposed because of willful misconduct, gross negligence or bad faith. All benefit payments shall be made solely from the Company's general assets</w:t>
      </w:r>
      <w:r>
        <w:rPr>
          <w:rFonts w:ascii="Times New Roman" w:cs="Times New Roman" w:eastAsia="Times New Roman" w:hAnsi="Times New Roman"/>
          <w:sz w:val="20"/>
          <w:szCs w:val="20"/>
          <w:color w:val="333333"/>
        </w:rPr>
        <w:t>.</w:t>
      </w:r>
    </w:p>
    <w:p>
      <w:pPr>
        <w:spacing w:after="0" w:line="192" w:lineRule="exact"/>
        <w:rPr>
          <w:sz w:val="20"/>
          <w:szCs w:val="20"/>
          <w:color w:val="auto"/>
        </w:rPr>
      </w:pPr>
    </w:p>
    <w:p>
      <w:pPr>
        <w:jc w:val="both"/>
        <w:ind w:left="100" w:right="60" w:firstLine="661"/>
        <w:spacing w:after="0" w:line="274" w:lineRule="auto"/>
        <w:rPr>
          <w:sz w:val="20"/>
          <w:szCs w:val="20"/>
          <w:color w:val="auto"/>
        </w:rPr>
      </w:pPr>
      <w:r>
        <w:rPr>
          <w:rFonts w:ascii="Times New Roman" w:cs="Times New Roman" w:eastAsia="Times New Roman" w:hAnsi="Times New Roman"/>
          <w:sz w:val="20"/>
          <w:szCs w:val="20"/>
          <w:b w:val="1"/>
          <w:bCs w:val="1"/>
          <w:color w:val="171717"/>
        </w:rPr>
        <w:t xml:space="preserve">12.6 Contributions to Trust. </w:t>
      </w:r>
      <w:r>
        <w:rPr>
          <w:rFonts w:ascii="Times New Roman" w:cs="Times New Roman" w:eastAsia="Times New Roman" w:hAnsi="Times New Roman"/>
          <w:sz w:val="20"/>
          <w:szCs w:val="20"/>
          <w:color w:val="171717"/>
        </w:rPr>
        <w:t>Nothing contained herein shall be construed or interpreted to preclude the Company from</w:t>
      </w:r>
      <w:r>
        <w:rPr>
          <w:rFonts w:ascii="Times New Roman" w:cs="Times New Roman" w:eastAsia="Times New Roman" w:hAnsi="Times New Roman"/>
          <w:sz w:val="20"/>
          <w:szCs w:val="20"/>
          <w:b w:val="1"/>
          <w:bCs w:val="1"/>
          <w:color w:val="171717"/>
        </w:rPr>
        <w:t xml:space="preserve"> </w:t>
      </w:r>
      <w:r>
        <w:rPr>
          <w:rFonts w:ascii="Times New Roman" w:cs="Times New Roman" w:eastAsia="Times New Roman" w:hAnsi="Times New Roman"/>
          <w:sz w:val="20"/>
          <w:szCs w:val="20"/>
          <w:color w:val="171717"/>
        </w:rPr>
        <w:t>contributing to the Trust, or from establishing and contributing to any other trust, to facilitate benefit payments under the Plan prior to a Hostile Change of Control. All amounts held in the Trust (both now and in the future) shall be used to pay benefits under the Plan on a first-come</w:t>
      </w:r>
      <w:r>
        <w:rPr>
          <w:rFonts w:ascii="Times New Roman" w:cs="Times New Roman" w:eastAsia="Times New Roman" w:hAnsi="Times New Roman"/>
          <w:sz w:val="20"/>
          <w:szCs w:val="20"/>
          <w:color w:val="333333"/>
        </w:rPr>
        <w:t>,</w:t>
      </w:r>
      <w:r>
        <w:rPr>
          <w:rFonts w:ascii="Times New Roman" w:cs="Times New Roman" w:eastAsia="Times New Roman" w:hAnsi="Times New Roman"/>
          <w:sz w:val="20"/>
          <w:szCs w:val="20"/>
          <w:color w:val="171717"/>
        </w:rPr>
        <w:t xml:space="preserve"> first-served basis, and shall not be earmarked to pay benefits to any particular Participant or Beneficiary</w:t>
      </w:r>
      <w:r>
        <w:rPr>
          <w:rFonts w:ascii="Times New Roman" w:cs="Times New Roman" w:eastAsia="Times New Roman" w:hAnsi="Times New Roman"/>
          <w:sz w:val="20"/>
          <w:szCs w:val="20"/>
          <w:color w:val="333333"/>
        </w:rPr>
        <w:t>.</w:t>
      </w:r>
    </w:p>
    <w:p>
      <w:pPr>
        <w:spacing w:after="0" w:line="219" w:lineRule="exact"/>
        <w:rPr>
          <w:sz w:val="20"/>
          <w:szCs w:val="20"/>
          <w:color w:val="auto"/>
        </w:rPr>
      </w:pPr>
    </w:p>
    <w:p>
      <w:pPr>
        <w:jc w:val="both"/>
        <w:ind w:left="100" w:right="80" w:firstLine="665"/>
        <w:spacing w:after="0" w:line="278" w:lineRule="auto"/>
        <w:rPr>
          <w:sz w:val="20"/>
          <w:szCs w:val="20"/>
          <w:color w:val="auto"/>
        </w:rPr>
      </w:pPr>
      <w:r>
        <w:rPr>
          <w:rFonts w:ascii="Times New Roman" w:cs="Times New Roman" w:eastAsia="Times New Roman" w:hAnsi="Times New Roman"/>
          <w:sz w:val="19"/>
          <w:szCs w:val="19"/>
          <w:b w:val="1"/>
          <w:bCs w:val="1"/>
          <w:color w:val="171717"/>
        </w:rPr>
        <w:t xml:space="preserve">12.7 Unfunded Plan. </w:t>
      </w:r>
      <w:r>
        <w:rPr>
          <w:rFonts w:ascii="Times New Roman" w:cs="Times New Roman" w:eastAsia="Times New Roman" w:hAnsi="Times New Roman"/>
          <w:sz w:val="19"/>
          <w:szCs w:val="19"/>
          <w:color w:val="171717"/>
        </w:rPr>
        <w:t>Notwithstanding the existence of the Trust or any other trust created pursuant to Section 12.6 above, the</w:t>
      </w:r>
      <w:r>
        <w:rPr>
          <w:rFonts w:ascii="Times New Roman" w:cs="Times New Roman" w:eastAsia="Times New Roman" w:hAnsi="Times New Roman"/>
          <w:sz w:val="19"/>
          <w:szCs w:val="19"/>
          <w:b w:val="1"/>
          <w:bCs w:val="1"/>
          <w:color w:val="171717"/>
        </w:rPr>
        <w:t xml:space="preserve"> </w:t>
      </w:r>
      <w:r>
        <w:rPr>
          <w:rFonts w:ascii="Times New Roman" w:cs="Times New Roman" w:eastAsia="Times New Roman" w:hAnsi="Times New Roman"/>
          <w:sz w:val="19"/>
          <w:szCs w:val="19"/>
          <w:color w:val="171717"/>
        </w:rPr>
        <w:t>Plan shall be unfunded. All amounts deferred by, or credited to, Participants under the Plan, all Participant Accounts established and maintained pursuant to the Plan and all amounts contributed to the Trust or any other trust established pursuant to Section 12.6 above shall continue for all purposes to be part of the general assets of the Company until distributed</w:t>
      </w:r>
      <w:r>
        <w:rPr>
          <w:rFonts w:ascii="Times New Roman" w:cs="Times New Roman" w:eastAsia="Times New Roman" w:hAnsi="Times New Roman"/>
          <w:sz w:val="19"/>
          <w:szCs w:val="19"/>
          <w:color w:val="333333"/>
        </w:rPr>
        <w:t>;</w:t>
      </w:r>
      <w:r>
        <w:rPr>
          <w:rFonts w:ascii="Times New Roman" w:cs="Times New Roman" w:eastAsia="Times New Roman" w:hAnsi="Times New Roman"/>
          <w:sz w:val="19"/>
          <w:szCs w:val="19"/>
          <w:color w:val="171717"/>
        </w:rPr>
        <w:t xml:space="preserve"> all benefits under the Plan shall be paid solely from the general assets of the Company. The Plan constitutes a mere promise by the Company to make benefit payments in the future. Participants and Beneficiaries shall have the status of general unsecured creditors of the Company with respect to the Plan and any rights and benefits thereunder. No Participant or Beneficiary shall have any preferred claim to the amounts credited to a Participant's Accounts or to any assets of the Company (or any trust established pursuant to Section 12.6 above) on account of a Participant's participation in the Plan prior to the time such amounts are actually paid to the Participant or Beneficiary, and then only to the extent of any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1108075</wp:posOffset>
            </wp:positionV>
            <wp:extent cx="71151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058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8"/>
          <w:szCs w:val="18"/>
          <w:color w:val="151515"/>
        </w:rPr>
        <w:t>Page 18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180"/>
          </w:cols>
          <w:pgMar w:left="340" w:top="1440" w:right="379" w:bottom="1440" w:gutter="0" w:footer="0" w:header="0"/>
        </w:sectPr>
      </w:pPr>
    </w:p>
    <w:bookmarkStart w:id="181" w:name="page182"/>
    <w:bookmarkEnd w:id="181"/>
    <w:p>
      <w:pPr>
        <w:spacing w:after="0" w:line="37" w:lineRule="exact"/>
        <w:rPr>
          <w:sz w:val="20"/>
          <w:szCs w:val="20"/>
          <w:color w:val="auto"/>
        </w:rPr>
      </w:pPr>
    </w:p>
    <w:p>
      <w:pPr>
        <w:jc w:val="both"/>
        <w:ind w:left="140" w:right="40" w:firstLine="665"/>
        <w:spacing w:after="0" w:line="301" w:lineRule="auto"/>
        <w:rPr>
          <w:sz w:val="20"/>
          <w:szCs w:val="20"/>
          <w:color w:val="auto"/>
        </w:rPr>
      </w:pPr>
      <w:r>
        <w:rPr>
          <w:rFonts w:ascii="Times New Roman" w:cs="Times New Roman" w:eastAsia="Times New Roman" w:hAnsi="Times New Roman"/>
          <w:sz w:val="20"/>
          <w:szCs w:val="20"/>
          <w:b w:val="1"/>
          <w:bCs w:val="1"/>
          <w:color w:val="070707"/>
        </w:rPr>
        <w:t xml:space="preserve">12.8 Applicable Law. </w:t>
      </w:r>
      <w:r>
        <w:rPr>
          <w:rFonts w:ascii="Times New Roman" w:cs="Times New Roman" w:eastAsia="Times New Roman" w:hAnsi="Times New Roman"/>
          <w:sz w:val="20"/>
          <w:szCs w:val="20"/>
          <w:color w:val="070707"/>
        </w:rPr>
        <w:t>The Plan shall be construed and its validity determined in accordance with the laws of the State of</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Washington to the extent such laws are no</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 xml:space="preserve"> preempted by federal law</w:t>
      </w:r>
      <w:r>
        <w:rPr>
          <w:rFonts w:ascii="Times New Roman" w:cs="Times New Roman" w:eastAsia="Times New Roman" w:hAnsi="Times New Roman"/>
          <w:sz w:val="20"/>
          <w:szCs w:val="20"/>
          <w:color w:val="171717"/>
        </w:rPr>
        <w:t>.</w:t>
      </w:r>
    </w:p>
    <w:p>
      <w:pPr>
        <w:spacing w:after="0" w:line="166" w:lineRule="exact"/>
        <w:rPr>
          <w:sz w:val="20"/>
          <w:szCs w:val="20"/>
          <w:color w:val="auto"/>
        </w:rPr>
      </w:pPr>
    </w:p>
    <w:p>
      <w:pPr>
        <w:jc w:val="both"/>
        <w:ind w:left="120" w:right="40" w:firstLine="670"/>
        <w:spacing w:after="0" w:line="277" w:lineRule="auto"/>
        <w:rPr>
          <w:sz w:val="20"/>
          <w:szCs w:val="20"/>
          <w:color w:val="auto"/>
        </w:rPr>
      </w:pPr>
      <w:r>
        <w:rPr>
          <w:rFonts w:ascii="Times New Roman" w:cs="Times New Roman" w:eastAsia="Times New Roman" w:hAnsi="Times New Roman"/>
          <w:sz w:val="20"/>
          <w:szCs w:val="20"/>
          <w:b w:val="1"/>
          <w:bCs w:val="1"/>
          <w:color w:val="070707"/>
        </w:rPr>
        <w:t xml:space="preserve">12.9 Severability. </w:t>
      </w:r>
      <w:r>
        <w:rPr>
          <w:rFonts w:ascii="Times New Roman" w:cs="Times New Roman" w:eastAsia="Times New Roman" w:hAnsi="Times New Roman"/>
          <w:sz w:val="20"/>
          <w:szCs w:val="20"/>
          <w:color w:val="070707"/>
        </w:rPr>
        <w:t>If any provis</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on of th</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Plan is h</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ld by</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court of competent jurisdiction to be ille</w:t>
      </w:r>
      <w:r>
        <w:rPr>
          <w:rFonts w:ascii="Times New Roman" w:cs="Times New Roman" w:eastAsia="Times New Roman" w:hAnsi="Times New Roman"/>
          <w:sz w:val="20"/>
          <w:szCs w:val="20"/>
          <w:color w:val="171717"/>
        </w:rPr>
        <w:t>ga</w:t>
      </w:r>
      <w:r>
        <w:rPr>
          <w:rFonts w:ascii="Times New Roman" w:cs="Times New Roman" w:eastAsia="Times New Roman" w:hAnsi="Times New Roman"/>
          <w:sz w:val="20"/>
          <w:szCs w:val="20"/>
          <w:color w:val="070707"/>
        </w:rPr>
        <w:t>l, i</w:t>
      </w:r>
      <w:r>
        <w:rPr>
          <w:rFonts w:ascii="Times New Roman" w:cs="Times New Roman" w:eastAsia="Times New Roman" w:hAnsi="Times New Roman"/>
          <w:sz w:val="20"/>
          <w:szCs w:val="20"/>
          <w:color w:val="171717"/>
        </w:rPr>
        <w:t>n</w:t>
      </w:r>
      <w:r>
        <w:rPr>
          <w:rFonts w:ascii="Times New Roman" w:cs="Times New Roman" w:eastAsia="Times New Roman" w:hAnsi="Times New Roman"/>
          <w:sz w:val="20"/>
          <w:szCs w:val="20"/>
          <w:color w:val="070707"/>
        </w:rPr>
        <w:t>v</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lid or u</w:t>
      </w:r>
      <w:r>
        <w:rPr>
          <w:rFonts w:ascii="Times New Roman" w:cs="Times New Roman" w:eastAsia="Times New Roman" w:hAnsi="Times New Roman"/>
          <w:sz w:val="20"/>
          <w:szCs w:val="20"/>
          <w:color w:val="171717"/>
        </w:rPr>
        <w:t>n</w:t>
      </w:r>
      <w:r>
        <w:rPr>
          <w:rFonts w:ascii="Times New Roman" w:cs="Times New Roman" w:eastAsia="Times New Roman" w:hAnsi="Times New Roman"/>
          <w:sz w:val="20"/>
          <w:szCs w:val="20"/>
          <w:color w:val="070707"/>
        </w:rPr>
        <w:t>e</w:t>
      </w:r>
      <w:r>
        <w:rPr>
          <w:rFonts w:ascii="Times New Roman" w:cs="Times New Roman" w:eastAsia="Times New Roman" w:hAnsi="Times New Roman"/>
          <w:sz w:val="20"/>
          <w:szCs w:val="20"/>
          <w:color w:val="171717"/>
        </w:rPr>
        <w:t>nfo</w:t>
      </w:r>
      <w:r>
        <w:rPr>
          <w:rFonts w:ascii="Times New Roman" w:cs="Times New Roman" w:eastAsia="Times New Roman" w:hAnsi="Times New Roman"/>
          <w:sz w:val="20"/>
          <w:szCs w:val="20"/>
          <w:color w:val="070707"/>
        </w:rPr>
        <w:t>rceabl</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s</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id ill</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gality</w:t>
      </w:r>
      <w:r>
        <w:rPr>
          <w:rFonts w:ascii="Times New Roman" w:cs="Times New Roman" w:eastAsia="Times New Roman" w:hAnsi="Times New Roman"/>
          <w:sz w:val="20"/>
          <w:szCs w:val="20"/>
          <w:color w:val="171717"/>
        </w:rPr>
        <w:t>,</w:t>
      </w:r>
      <w:r>
        <w:rPr>
          <w:rFonts w:ascii="Times New Roman" w:cs="Times New Roman" w:eastAsia="Times New Roman" w:hAnsi="Times New Roman"/>
          <w:sz w:val="20"/>
          <w:szCs w:val="20"/>
          <w:color w:val="070707"/>
        </w:rPr>
        <w:t xml:space="preserve"> invalidity or unen</w:t>
      </w:r>
      <w:r>
        <w:rPr>
          <w:rFonts w:ascii="Times New Roman" w:cs="Times New Roman" w:eastAsia="Times New Roman" w:hAnsi="Times New Roman"/>
          <w:sz w:val="20"/>
          <w:szCs w:val="20"/>
          <w:color w:val="171717"/>
        </w:rPr>
        <w:t>fo</w:t>
      </w:r>
      <w:r>
        <w:rPr>
          <w:rFonts w:ascii="Times New Roman" w:cs="Times New Roman" w:eastAsia="Times New Roman" w:hAnsi="Times New Roman"/>
          <w:sz w:val="20"/>
          <w:szCs w:val="20"/>
          <w:color w:val="070707"/>
        </w:rPr>
        <w:t>rce</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bili</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y sh</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ll not a</w:t>
      </w:r>
      <w:r>
        <w:rPr>
          <w:rFonts w:ascii="Times New Roman" w:cs="Times New Roman" w:eastAsia="Times New Roman" w:hAnsi="Times New Roman"/>
          <w:sz w:val="20"/>
          <w:szCs w:val="20"/>
          <w:color w:val="171717"/>
        </w:rPr>
        <w:t>ff</w:t>
      </w:r>
      <w:r>
        <w:rPr>
          <w:rFonts w:ascii="Times New Roman" w:cs="Times New Roman" w:eastAsia="Times New Roman" w:hAnsi="Times New Roman"/>
          <w:sz w:val="20"/>
          <w:szCs w:val="20"/>
          <w:color w:val="070707"/>
        </w:rPr>
        <w:t>ect the remai</w:t>
      </w:r>
      <w:r>
        <w:rPr>
          <w:rFonts w:ascii="Times New Roman" w:cs="Times New Roman" w:eastAsia="Times New Roman" w:hAnsi="Times New Roman"/>
          <w:sz w:val="20"/>
          <w:szCs w:val="20"/>
          <w:color w:val="171717"/>
        </w:rPr>
        <w:t>n</w:t>
      </w:r>
      <w:r>
        <w:rPr>
          <w:rFonts w:ascii="Times New Roman" w:cs="Times New Roman" w:eastAsia="Times New Roman" w:hAnsi="Times New Roman"/>
          <w:sz w:val="20"/>
          <w:szCs w:val="20"/>
          <w:color w:val="070707"/>
        </w:rPr>
        <w:t>ing provisions o</w:t>
      </w:r>
      <w:r>
        <w:rPr>
          <w:rFonts w:ascii="Times New Roman" w:cs="Times New Roman" w:eastAsia="Times New Roman" w:hAnsi="Times New Roman"/>
          <w:sz w:val="20"/>
          <w:szCs w:val="20"/>
          <w:color w:val="171717"/>
        </w:rPr>
        <w:t>f</w:t>
      </w:r>
      <w:r>
        <w:rPr>
          <w:rFonts w:ascii="Times New Roman" w:cs="Times New Roman" w:eastAsia="Times New Roman" w:hAnsi="Times New Roman"/>
          <w:sz w:val="20"/>
          <w:szCs w:val="20"/>
          <w:color w:val="070707"/>
        </w:rPr>
        <w:t xml:space="preserve"> t</w:t>
      </w:r>
      <w:r>
        <w:rPr>
          <w:rFonts w:ascii="Times New Roman" w:cs="Times New Roman" w:eastAsia="Times New Roman" w:hAnsi="Times New Roman"/>
          <w:sz w:val="20"/>
          <w:szCs w:val="20"/>
          <w:color w:val="171717"/>
        </w:rPr>
        <w:t>h</w:t>
      </w:r>
      <w:r>
        <w:rPr>
          <w:rFonts w:ascii="Times New Roman" w:cs="Times New Roman" w:eastAsia="Times New Roman" w:hAnsi="Times New Roman"/>
          <w:sz w:val="20"/>
          <w:szCs w:val="20"/>
          <w:color w:val="070707"/>
        </w:rPr>
        <w:t>e Pl</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 xml:space="preserve">n, which shall </w:t>
      </w:r>
      <w:r>
        <w:rPr>
          <w:rFonts w:ascii="Times New Roman" w:cs="Times New Roman" w:eastAsia="Times New Roman" w:hAnsi="Times New Roman"/>
          <w:sz w:val="20"/>
          <w:szCs w:val="20"/>
          <w:color w:val="171717"/>
        </w:rPr>
        <w:t>r</w:t>
      </w:r>
      <w:r>
        <w:rPr>
          <w:rFonts w:ascii="Times New Roman" w:cs="Times New Roman" w:eastAsia="Times New Roman" w:hAnsi="Times New Roman"/>
          <w:sz w:val="20"/>
          <w:szCs w:val="20"/>
          <w:color w:val="070707"/>
        </w:rPr>
        <w:t>e</w:t>
      </w:r>
      <w:r>
        <w:rPr>
          <w:rFonts w:ascii="Times New Roman" w:cs="Times New Roman" w:eastAsia="Times New Roman" w:hAnsi="Times New Roman"/>
          <w:sz w:val="20"/>
          <w:szCs w:val="20"/>
          <w:color w:val="171717"/>
        </w:rPr>
        <w:t>ma</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n</w:t>
      </w:r>
      <w:r>
        <w:rPr>
          <w:rFonts w:ascii="Times New Roman" w:cs="Times New Roman" w:eastAsia="Times New Roman" w:hAnsi="Times New Roman"/>
          <w:sz w:val="20"/>
          <w:szCs w:val="20"/>
          <w:color w:val="070707"/>
        </w:rPr>
        <w:t xml:space="preserve"> fu</w:t>
      </w:r>
      <w:r>
        <w:rPr>
          <w:rFonts w:ascii="Times New Roman" w:cs="Times New Roman" w:eastAsia="Times New Roman" w:hAnsi="Times New Roman"/>
          <w:sz w:val="20"/>
          <w:szCs w:val="20"/>
          <w:color w:val="171717"/>
        </w:rPr>
        <w:t>ll</w:t>
      </w:r>
      <w:r>
        <w:rPr>
          <w:rFonts w:ascii="Times New Roman" w:cs="Times New Roman" w:eastAsia="Times New Roman" w:hAnsi="Times New Roman"/>
          <w:sz w:val="20"/>
          <w:szCs w:val="20"/>
          <w:color w:val="070707"/>
        </w:rPr>
        <w:t xml:space="preserve">y </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ff</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ctiv</w:t>
      </w:r>
      <w:r>
        <w:rPr>
          <w:rFonts w:ascii="Times New Roman" w:cs="Times New Roman" w:eastAsia="Times New Roman" w:hAnsi="Times New Roman"/>
          <w:sz w:val="20"/>
          <w:szCs w:val="20"/>
          <w:color w:val="171717"/>
        </w:rPr>
        <w:t>e a</w:t>
      </w:r>
      <w:r>
        <w:rPr>
          <w:rFonts w:ascii="Times New Roman" w:cs="Times New Roman" w:eastAsia="Times New Roman" w:hAnsi="Times New Roman"/>
          <w:sz w:val="20"/>
          <w:szCs w:val="20"/>
          <w:color w:val="070707"/>
        </w:rPr>
        <w:t xml:space="preserve">nd </w:t>
      </w:r>
      <w:r>
        <w:rPr>
          <w:rFonts w:ascii="Times New Roman" w:cs="Times New Roman" w:eastAsia="Times New Roman" w:hAnsi="Times New Roman"/>
          <w:sz w:val="20"/>
          <w:szCs w:val="20"/>
          <w:color w:val="171717"/>
        </w:rPr>
        <w:t>s</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ll b</w:t>
      </w:r>
      <w:r>
        <w:rPr>
          <w:rFonts w:ascii="Times New Roman" w:cs="Times New Roman" w:eastAsia="Times New Roman" w:hAnsi="Times New Roman"/>
          <w:sz w:val="20"/>
          <w:szCs w:val="20"/>
          <w:color w:val="171717"/>
        </w:rPr>
        <w:t xml:space="preserve">e </w:t>
      </w:r>
      <w:r>
        <w:rPr>
          <w:rFonts w:ascii="Times New Roman" w:cs="Times New Roman" w:eastAsia="Times New Roman" w:hAnsi="Times New Roman"/>
          <w:sz w:val="20"/>
          <w:szCs w:val="20"/>
          <w:color w:val="070707"/>
        </w:rPr>
        <w:t>cons</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ru</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 xml:space="preserve"> a</w:t>
      </w:r>
      <w:r>
        <w:rPr>
          <w:rFonts w:ascii="Times New Roman" w:cs="Times New Roman" w:eastAsia="Times New Roman" w:hAnsi="Times New Roman"/>
          <w:sz w:val="20"/>
          <w:szCs w:val="20"/>
          <w:color w:val="070707"/>
        </w:rPr>
        <w:t>nd</w:t>
      </w:r>
      <w:r>
        <w:rPr>
          <w:rFonts w:ascii="Times New Roman" w:cs="Times New Roman" w:eastAsia="Times New Roman" w:hAnsi="Times New Roman"/>
          <w:sz w:val="20"/>
          <w:szCs w:val="20"/>
          <w:color w:val="171717"/>
        </w:rPr>
        <w:t xml:space="preserve"> en</w:t>
      </w:r>
      <w:r>
        <w:rPr>
          <w:rFonts w:ascii="Times New Roman" w:cs="Times New Roman" w:eastAsia="Times New Roman" w:hAnsi="Times New Roman"/>
          <w:sz w:val="20"/>
          <w:szCs w:val="20"/>
          <w:color w:val="070707"/>
        </w:rPr>
        <w:t>fo</w:t>
      </w:r>
      <w:r>
        <w:rPr>
          <w:rFonts w:ascii="Times New Roman" w:cs="Times New Roman" w:eastAsia="Times New Roman" w:hAnsi="Times New Roman"/>
          <w:sz w:val="20"/>
          <w:szCs w:val="20"/>
          <w:color w:val="171717"/>
        </w:rPr>
        <w:t>r</w:t>
      </w:r>
      <w:r>
        <w:rPr>
          <w:rFonts w:ascii="Times New Roman" w:cs="Times New Roman" w:eastAsia="Times New Roman" w:hAnsi="Times New Roman"/>
          <w:sz w:val="20"/>
          <w:szCs w:val="20"/>
          <w:color w:val="070707"/>
        </w:rPr>
        <w:t>ced</w:t>
      </w:r>
      <w:r>
        <w:rPr>
          <w:rFonts w:ascii="Times New Roman" w:cs="Times New Roman" w:eastAsia="Times New Roman" w:hAnsi="Times New Roman"/>
          <w:sz w:val="20"/>
          <w:szCs w:val="20"/>
          <w:color w:val="171717"/>
        </w:rPr>
        <w:t xml:space="preserve"> a</w:t>
      </w:r>
      <w:r>
        <w:rPr>
          <w:rFonts w:ascii="Times New Roman" w:cs="Times New Roman" w:eastAsia="Times New Roman" w:hAnsi="Times New Roman"/>
          <w:sz w:val="20"/>
          <w:szCs w:val="20"/>
          <w:color w:val="070707"/>
        </w:rPr>
        <w:t>s i</w:t>
      </w:r>
      <w:r>
        <w:rPr>
          <w:rFonts w:ascii="Times New Roman" w:cs="Times New Roman" w:eastAsia="Times New Roman" w:hAnsi="Times New Roman"/>
          <w:sz w:val="20"/>
          <w:szCs w:val="20"/>
          <w:color w:val="171717"/>
        </w:rPr>
        <w:t xml:space="preserve">f </w:t>
      </w:r>
      <w:r>
        <w:rPr>
          <w:rFonts w:ascii="Times New Roman" w:cs="Times New Roman" w:eastAsia="Times New Roman" w:hAnsi="Times New Roman"/>
          <w:sz w:val="20"/>
          <w:szCs w:val="20"/>
          <w:color w:val="070707"/>
        </w:rPr>
        <w:t>s</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id</w:t>
      </w:r>
      <w:r>
        <w:rPr>
          <w:rFonts w:ascii="Times New Roman" w:cs="Times New Roman" w:eastAsia="Times New Roman" w:hAnsi="Times New Roman"/>
          <w:sz w:val="20"/>
          <w:szCs w:val="20"/>
          <w:color w:val="171717"/>
        </w:rPr>
        <w:t xml:space="preserve"> illega</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 xml:space="preserve"> i</w:t>
      </w:r>
      <w:r>
        <w:rPr>
          <w:rFonts w:ascii="Times New Roman" w:cs="Times New Roman" w:eastAsia="Times New Roman" w:hAnsi="Times New Roman"/>
          <w:sz w:val="20"/>
          <w:szCs w:val="20"/>
          <w:color w:val="070707"/>
        </w:rPr>
        <w:t>nv</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lid or un</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fo</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cea</w:t>
      </w:r>
      <w:r>
        <w:rPr>
          <w:rFonts w:ascii="Times New Roman" w:cs="Times New Roman" w:eastAsia="Times New Roman" w:hAnsi="Times New Roman"/>
          <w:sz w:val="20"/>
          <w:szCs w:val="20"/>
          <w:color w:val="070707"/>
        </w:rPr>
        <w:t>bl</w:t>
      </w:r>
      <w:r>
        <w:rPr>
          <w:rFonts w:ascii="Times New Roman" w:cs="Times New Roman" w:eastAsia="Times New Roman" w:hAnsi="Times New Roman"/>
          <w:sz w:val="20"/>
          <w:szCs w:val="20"/>
          <w:color w:val="171717"/>
        </w:rPr>
        <w:t xml:space="preserve">e </w:t>
      </w:r>
      <w:r>
        <w:rPr>
          <w:rFonts w:ascii="Times New Roman" w:cs="Times New Roman" w:eastAsia="Times New Roman" w:hAnsi="Times New Roman"/>
          <w:sz w:val="20"/>
          <w:szCs w:val="20"/>
          <w:color w:val="070707"/>
        </w:rPr>
        <w:t>provi</w:t>
      </w:r>
      <w:r>
        <w:rPr>
          <w:rFonts w:ascii="Times New Roman" w:cs="Times New Roman" w:eastAsia="Times New Roman" w:hAnsi="Times New Roman"/>
          <w:sz w:val="20"/>
          <w:szCs w:val="20"/>
          <w:color w:val="171717"/>
        </w:rPr>
        <w:t>s</w:t>
      </w:r>
      <w:r>
        <w:rPr>
          <w:rFonts w:ascii="Times New Roman" w:cs="Times New Roman" w:eastAsia="Times New Roman" w:hAnsi="Times New Roman"/>
          <w:sz w:val="20"/>
          <w:szCs w:val="20"/>
          <w:color w:val="070707"/>
        </w:rPr>
        <w:t>ion h</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d n</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ver be</w:t>
      </w:r>
      <w:r>
        <w:rPr>
          <w:rFonts w:ascii="Times New Roman" w:cs="Times New Roman" w:eastAsia="Times New Roman" w:hAnsi="Times New Roman"/>
          <w:sz w:val="20"/>
          <w:szCs w:val="20"/>
          <w:color w:val="171717"/>
        </w:rPr>
        <w:t xml:space="preserve">en </w:t>
      </w:r>
      <w:r>
        <w:rPr>
          <w:rFonts w:ascii="Times New Roman" w:cs="Times New Roman" w:eastAsia="Times New Roman" w:hAnsi="Times New Roman"/>
          <w:sz w:val="20"/>
          <w:szCs w:val="20"/>
          <w:color w:val="070707"/>
        </w:rPr>
        <w:t>includ</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d he</w:t>
      </w:r>
      <w:r>
        <w:rPr>
          <w:rFonts w:ascii="Times New Roman" w:cs="Times New Roman" w:eastAsia="Times New Roman" w:hAnsi="Times New Roman"/>
          <w:sz w:val="20"/>
          <w:szCs w:val="20"/>
          <w:color w:val="171717"/>
        </w:rPr>
        <w:t>r</w:t>
      </w:r>
      <w:r>
        <w:rPr>
          <w:rFonts w:ascii="Times New Roman" w:cs="Times New Roman" w:eastAsia="Times New Roman" w:hAnsi="Times New Roman"/>
          <w:sz w:val="20"/>
          <w:szCs w:val="20"/>
          <w:color w:val="070707"/>
        </w:rPr>
        <w:t>e</w:t>
      </w:r>
      <w:r>
        <w:rPr>
          <w:rFonts w:ascii="Times New Roman" w:cs="Times New Roman" w:eastAsia="Times New Roman" w:hAnsi="Times New Roman"/>
          <w:sz w:val="20"/>
          <w:szCs w:val="20"/>
          <w:color w:val="171717"/>
        </w:rPr>
        <w:t>in</w:t>
      </w:r>
      <w:r>
        <w:rPr>
          <w:rFonts w:ascii="Times New Roman" w:cs="Times New Roman" w:eastAsia="Times New Roman" w:hAnsi="Times New Roman"/>
          <w:sz w:val="20"/>
          <w:szCs w:val="20"/>
          <w:color w:val="070707"/>
        </w:rPr>
        <w:t>.</w:t>
      </w:r>
    </w:p>
    <w:p>
      <w:pPr>
        <w:spacing w:after="0" w:line="216" w:lineRule="exact"/>
        <w:rPr>
          <w:sz w:val="20"/>
          <w:szCs w:val="20"/>
          <w:color w:val="auto"/>
        </w:rPr>
      </w:pPr>
    </w:p>
    <w:p>
      <w:pPr>
        <w:jc w:val="both"/>
        <w:ind w:left="140" w:right="60" w:firstLine="660"/>
        <w:spacing w:after="0" w:line="277" w:lineRule="auto"/>
        <w:rPr>
          <w:sz w:val="20"/>
          <w:szCs w:val="20"/>
          <w:color w:val="auto"/>
        </w:rPr>
      </w:pPr>
      <w:r>
        <w:rPr>
          <w:rFonts w:ascii="Times New Roman" w:cs="Times New Roman" w:eastAsia="Times New Roman" w:hAnsi="Times New Roman"/>
          <w:sz w:val="20"/>
          <w:szCs w:val="20"/>
          <w:b w:val="1"/>
          <w:bCs w:val="1"/>
          <w:color w:val="070707"/>
        </w:rPr>
        <w:t>12.10 Successors and A</w:t>
      </w:r>
      <w:r>
        <w:rPr>
          <w:rFonts w:ascii="Times New Roman" w:cs="Times New Roman" w:eastAsia="Times New Roman" w:hAnsi="Times New Roman"/>
          <w:sz w:val="20"/>
          <w:szCs w:val="20"/>
          <w:b w:val="1"/>
          <w:bCs w:val="1"/>
          <w:color w:val="171717"/>
        </w:rPr>
        <w:t>s</w:t>
      </w:r>
      <w:r>
        <w:rPr>
          <w:rFonts w:ascii="Times New Roman" w:cs="Times New Roman" w:eastAsia="Times New Roman" w:hAnsi="Times New Roman"/>
          <w:sz w:val="20"/>
          <w:szCs w:val="20"/>
          <w:b w:val="1"/>
          <w:bCs w:val="1"/>
          <w:color w:val="070707"/>
        </w:rPr>
        <w:t>sign</w:t>
      </w:r>
      <w:r>
        <w:rPr>
          <w:rFonts w:ascii="Times New Roman" w:cs="Times New Roman" w:eastAsia="Times New Roman" w:hAnsi="Times New Roman"/>
          <w:sz w:val="20"/>
          <w:szCs w:val="20"/>
          <w:b w:val="1"/>
          <w:bCs w:val="1"/>
          <w:color w:val="171717"/>
        </w:rPr>
        <w:t>s</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The</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er</w:t>
      </w:r>
      <w:r>
        <w:rPr>
          <w:rFonts w:ascii="Times New Roman" w:cs="Times New Roman" w:eastAsia="Times New Roman" w:hAnsi="Times New Roman"/>
          <w:sz w:val="20"/>
          <w:szCs w:val="20"/>
          <w:color w:val="070707"/>
        </w:rPr>
        <w:t>ms</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and</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c</w:t>
      </w:r>
      <w:r>
        <w:rPr>
          <w:rFonts w:ascii="Times New Roman" w:cs="Times New Roman" w:eastAsia="Times New Roman" w:hAnsi="Times New Roman"/>
          <w:sz w:val="20"/>
          <w:szCs w:val="20"/>
          <w:color w:val="171717"/>
        </w:rPr>
        <w:t>on</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ions of</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he P</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an, as amen</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d</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n effe</w:t>
      </w:r>
      <w:r>
        <w:rPr>
          <w:rFonts w:ascii="Times New Roman" w:cs="Times New Roman" w:eastAsia="Times New Roman" w:hAnsi="Times New Roman"/>
          <w:sz w:val="20"/>
          <w:szCs w:val="20"/>
          <w:color w:val="070707"/>
        </w:rPr>
        <w:t>c</w:t>
      </w:r>
      <w:r>
        <w:rPr>
          <w:rFonts w:ascii="Times New Roman" w:cs="Times New Roman" w:eastAsia="Times New Roman" w:hAnsi="Times New Roman"/>
          <w:sz w:val="20"/>
          <w:szCs w:val="20"/>
          <w:color w:val="171717"/>
        </w:rPr>
        <w:t>t from ti</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o t</w:t>
      </w:r>
      <w:r>
        <w:rPr>
          <w:rFonts w:ascii="Times New Roman" w:cs="Times New Roman" w:eastAsia="Times New Roman" w:hAnsi="Times New Roman"/>
          <w:sz w:val="20"/>
          <w:szCs w:val="20"/>
          <w:color w:val="070707"/>
        </w:rPr>
        <w:t>im</w:t>
      </w:r>
      <w:r>
        <w:rPr>
          <w:rFonts w:ascii="Times New Roman" w:cs="Times New Roman" w:eastAsia="Times New Roman" w:hAnsi="Times New Roman"/>
          <w:sz w:val="20"/>
          <w:szCs w:val="20"/>
          <w:color w:val="171717"/>
        </w:rPr>
        <w:t>e, s</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ll b</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71717"/>
        </w:rPr>
        <w:t>in</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g</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po</w:t>
      </w:r>
      <w:r>
        <w:rPr>
          <w:rFonts w:ascii="Times New Roman" w:cs="Times New Roman" w:eastAsia="Times New Roman" w:hAnsi="Times New Roman"/>
          <w:sz w:val="20"/>
          <w:szCs w:val="20"/>
          <w:color w:val="070707"/>
        </w:rPr>
        <w:t>n t</w:t>
      </w:r>
      <w:r>
        <w:rPr>
          <w:rFonts w:ascii="Times New Roman" w:cs="Times New Roman" w:eastAsia="Times New Roman" w:hAnsi="Times New Roman"/>
          <w:sz w:val="20"/>
          <w:szCs w:val="20"/>
          <w:color w:val="171717"/>
        </w:rPr>
        <w:t>he Co</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pany</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71717"/>
        </w:rPr>
        <w:t>s su</w:t>
      </w:r>
      <w:r>
        <w:rPr>
          <w:rFonts w:ascii="Times New Roman" w:cs="Times New Roman" w:eastAsia="Times New Roman" w:hAnsi="Times New Roman"/>
          <w:sz w:val="20"/>
          <w:szCs w:val="20"/>
          <w:color w:val="070707"/>
        </w:rPr>
        <w:t>cc</w:t>
      </w:r>
      <w:r>
        <w:rPr>
          <w:rFonts w:ascii="Times New Roman" w:cs="Times New Roman" w:eastAsia="Times New Roman" w:hAnsi="Times New Roman"/>
          <w:sz w:val="20"/>
          <w:szCs w:val="20"/>
          <w:color w:val="171717"/>
        </w:rPr>
        <w:t>essors and assig</w:t>
      </w:r>
      <w:r>
        <w:rPr>
          <w:rFonts w:ascii="Times New Roman" w:cs="Times New Roman" w:eastAsia="Times New Roman" w:hAnsi="Times New Roman"/>
          <w:sz w:val="20"/>
          <w:szCs w:val="20"/>
          <w:color w:val="070707"/>
        </w:rPr>
        <w:t>ns</w:t>
      </w:r>
      <w:r>
        <w:rPr>
          <w:rFonts w:ascii="Times New Roman" w:cs="Times New Roman" w:eastAsia="Times New Roman" w:hAnsi="Times New Roman"/>
          <w:sz w:val="20"/>
          <w:szCs w:val="20"/>
          <w:color w:val="171717"/>
        </w:rPr>
        <w:t>,</w:t>
      </w:r>
      <w:r>
        <w:rPr>
          <w:rFonts w:ascii="Times New Roman" w:cs="Times New Roman" w:eastAsia="Times New Roman" w:hAnsi="Times New Roman"/>
          <w:sz w:val="20"/>
          <w:szCs w:val="20"/>
          <w:color w:val="070707"/>
        </w:rPr>
        <w:t xml:space="preserve"> inclu</w:t>
      </w:r>
      <w:r>
        <w:rPr>
          <w:rFonts w:ascii="Times New Roman" w:cs="Times New Roman" w:eastAsia="Times New Roman" w:hAnsi="Times New Roman"/>
          <w:sz w:val="20"/>
          <w:szCs w:val="20"/>
          <w:color w:val="171717"/>
        </w:rPr>
        <w:t>d</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ng w</w:t>
      </w:r>
      <w:r>
        <w:rPr>
          <w:rFonts w:ascii="Times New Roman" w:cs="Times New Roman" w:eastAsia="Times New Roman" w:hAnsi="Times New Roman"/>
          <w:sz w:val="20"/>
          <w:szCs w:val="20"/>
          <w:color w:val="070707"/>
        </w:rPr>
        <w:t>it</w:t>
      </w:r>
      <w:r>
        <w:rPr>
          <w:rFonts w:ascii="Times New Roman" w:cs="Times New Roman" w:eastAsia="Times New Roman" w:hAnsi="Times New Roman"/>
          <w:sz w:val="20"/>
          <w:szCs w:val="20"/>
          <w:color w:val="171717"/>
        </w:rPr>
        <w:t>ho</w:t>
      </w:r>
      <w:r>
        <w:rPr>
          <w:rFonts w:ascii="Times New Roman" w:cs="Times New Roman" w:eastAsia="Times New Roman" w:hAnsi="Times New Roman"/>
          <w:sz w:val="20"/>
          <w:szCs w:val="20"/>
          <w:color w:val="070707"/>
        </w:rPr>
        <w:t>ut limi</w:t>
      </w:r>
      <w:r>
        <w:rPr>
          <w:rFonts w:ascii="Times New Roman" w:cs="Times New Roman" w:eastAsia="Times New Roman" w:hAnsi="Times New Roman"/>
          <w:sz w:val="20"/>
          <w:szCs w:val="20"/>
          <w:color w:val="171717"/>
        </w:rPr>
        <w:t>ta</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ion an</w:t>
      </w:r>
      <w:r>
        <w:rPr>
          <w:rFonts w:ascii="Times New Roman" w:cs="Times New Roman" w:eastAsia="Times New Roman" w:hAnsi="Times New Roman"/>
          <w:sz w:val="20"/>
          <w:szCs w:val="20"/>
          <w:color w:val="070707"/>
        </w:rPr>
        <w:t xml:space="preserve">y </w:t>
      </w:r>
      <w:r>
        <w:rPr>
          <w:rFonts w:ascii="Times New Roman" w:cs="Times New Roman" w:eastAsia="Times New Roman" w:hAnsi="Times New Roman"/>
          <w:sz w:val="20"/>
          <w:szCs w:val="20"/>
          <w:color w:val="171717"/>
        </w:rPr>
        <w:t>en</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ity into wh</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c</w:t>
      </w:r>
      <w:r>
        <w:rPr>
          <w:rFonts w:ascii="Times New Roman" w:cs="Times New Roman" w:eastAsia="Times New Roman" w:hAnsi="Times New Roman"/>
          <w:sz w:val="20"/>
          <w:szCs w:val="20"/>
          <w:color w:val="070707"/>
        </w:rPr>
        <w:t xml:space="preserve">h </w:t>
      </w:r>
      <w:r>
        <w:rPr>
          <w:rFonts w:ascii="Times New Roman" w:cs="Times New Roman" w:eastAsia="Times New Roman" w:hAnsi="Times New Roman"/>
          <w:sz w:val="20"/>
          <w:szCs w:val="20"/>
          <w:color w:val="171717"/>
        </w:rPr>
        <w:t>the Company may be me</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ge</w:t>
      </w:r>
      <w:r>
        <w:rPr>
          <w:rFonts w:ascii="Times New Roman" w:cs="Times New Roman" w:eastAsia="Times New Roman" w:hAnsi="Times New Roman"/>
          <w:sz w:val="20"/>
          <w:szCs w:val="20"/>
          <w:color w:val="070707"/>
        </w:rPr>
        <w:t xml:space="preserve">d </w:t>
      </w:r>
      <w:r>
        <w:rPr>
          <w:rFonts w:ascii="Times New Roman" w:cs="Times New Roman" w:eastAsia="Times New Roman" w:hAnsi="Times New Roman"/>
          <w:sz w:val="20"/>
          <w:szCs w:val="20"/>
          <w:color w:val="171717"/>
        </w:rPr>
        <w:t>or with</w:t>
      </w:r>
      <w:r>
        <w:rPr>
          <w:rFonts w:ascii="Times New Roman" w:cs="Times New Roman" w:eastAsia="Times New Roman" w:hAnsi="Times New Roman"/>
          <w:sz w:val="20"/>
          <w:szCs w:val="20"/>
          <w:color w:val="070707"/>
        </w:rPr>
        <w:t xml:space="preserve"> </w:t>
      </w:r>
      <w:r>
        <w:rPr>
          <w:rFonts w:ascii="Times New Roman" w:cs="Times New Roman" w:eastAsia="Times New Roman" w:hAnsi="Times New Roman"/>
          <w:sz w:val="20"/>
          <w:szCs w:val="20"/>
          <w:color w:val="171717"/>
        </w:rPr>
        <w:t>which 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 xml:space="preserve">e Company may </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71717"/>
        </w:rPr>
        <w:t xml:space="preserve">e </w:t>
      </w:r>
      <w:r>
        <w:rPr>
          <w:rFonts w:ascii="Times New Roman" w:cs="Times New Roman" w:eastAsia="Times New Roman" w:hAnsi="Times New Roman"/>
          <w:sz w:val="20"/>
          <w:szCs w:val="20"/>
          <w:color w:val="070707"/>
        </w:rPr>
        <w:t>c</w:t>
      </w:r>
      <w:r>
        <w:rPr>
          <w:rFonts w:ascii="Times New Roman" w:cs="Times New Roman" w:eastAsia="Times New Roman" w:hAnsi="Times New Roman"/>
          <w:sz w:val="20"/>
          <w:szCs w:val="20"/>
          <w:color w:val="171717"/>
        </w:rPr>
        <w:t>onso</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idate</w:t>
      </w:r>
      <w:r>
        <w:rPr>
          <w:rFonts w:ascii="Times New Roman" w:cs="Times New Roman" w:eastAsia="Times New Roman" w:hAnsi="Times New Roman"/>
          <w:sz w:val="20"/>
          <w:szCs w:val="20"/>
          <w:color w:val="070707"/>
        </w:rPr>
        <w:t>d.</w:t>
      </w:r>
    </w:p>
    <w:p>
      <w:pPr>
        <w:spacing w:after="0" w:line="216" w:lineRule="exact"/>
        <w:rPr>
          <w:sz w:val="20"/>
          <w:szCs w:val="20"/>
          <w:color w:val="auto"/>
        </w:rPr>
      </w:pPr>
    </w:p>
    <w:p>
      <w:pPr>
        <w:jc w:val="both"/>
        <w:ind w:left="120" w:right="40" w:firstLine="669"/>
        <w:spacing w:after="0" w:line="264" w:lineRule="auto"/>
        <w:rPr>
          <w:sz w:val="20"/>
          <w:szCs w:val="20"/>
          <w:color w:val="auto"/>
        </w:rPr>
      </w:pPr>
      <w:r>
        <w:rPr>
          <w:rFonts w:ascii="Times New Roman" w:cs="Times New Roman" w:eastAsia="Times New Roman" w:hAnsi="Times New Roman"/>
          <w:sz w:val="20"/>
          <w:szCs w:val="20"/>
          <w:b w:val="1"/>
          <w:bCs w:val="1"/>
          <w:color w:val="070707"/>
        </w:rPr>
        <w:t>12.11 Complianc</w:t>
      </w:r>
      <w:r>
        <w:rPr>
          <w:rFonts w:ascii="Times New Roman" w:cs="Times New Roman" w:eastAsia="Times New Roman" w:hAnsi="Times New Roman"/>
          <w:sz w:val="20"/>
          <w:szCs w:val="20"/>
          <w:b w:val="1"/>
          <w:bCs w:val="1"/>
          <w:color w:val="171717"/>
        </w:rPr>
        <w:t>e</w:t>
      </w:r>
      <w:r>
        <w:rPr>
          <w:rFonts w:ascii="Times New Roman" w:cs="Times New Roman" w:eastAsia="Times New Roman" w:hAnsi="Times New Roman"/>
          <w:sz w:val="20"/>
          <w:szCs w:val="20"/>
          <w:b w:val="1"/>
          <w:bCs w:val="1"/>
          <w:color w:val="070707"/>
        </w:rPr>
        <w:t xml:space="preserve"> with </w:t>
      </w:r>
      <w:r>
        <w:rPr>
          <w:rFonts w:ascii="Times New Roman" w:cs="Times New Roman" w:eastAsia="Times New Roman" w:hAnsi="Times New Roman"/>
          <w:sz w:val="20"/>
          <w:szCs w:val="20"/>
          <w:b w:val="1"/>
          <w:bCs w:val="1"/>
          <w:color w:val="171717"/>
        </w:rPr>
        <w:t>Sec</w:t>
      </w:r>
      <w:r>
        <w:rPr>
          <w:rFonts w:ascii="Times New Roman" w:cs="Times New Roman" w:eastAsia="Times New Roman" w:hAnsi="Times New Roman"/>
          <w:sz w:val="20"/>
          <w:szCs w:val="20"/>
          <w:b w:val="1"/>
          <w:bCs w:val="1"/>
          <w:color w:val="070707"/>
        </w:rPr>
        <w:t>tion 409</w:t>
      </w:r>
      <w:r>
        <w:rPr>
          <w:rFonts w:ascii="Times New Roman" w:cs="Times New Roman" w:eastAsia="Times New Roman" w:hAnsi="Times New Roman"/>
          <w:sz w:val="20"/>
          <w:szCs w:val="20"/>
          <w:b w:val="1"/>
          <w:bCs w:val="1"/>
          <w:color w:val="171717"/>
        </w:rPr>
        <w:t>A</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e P</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an is intended to com</w:t>
      </w:r>
      <w:r>
        <w:rPr>
          <w:rFonts w:ascii="Times New Roman" w:cs="Times New Roman" w:eastAsia="Times New Roman" w:hAnsi="Times New Roman"/>
          <w:sz w:val="20"/>
          <w:szCs w:val="20"/>
          <w:color w:val="070707"/>
        </w:rPr>
        <w:t>pl</w:t>
      </w:r>
      <w:r>
        <w:rPr>
          <w:rFonts w:ascii="Times New Roman" w:cs="Times New Roman" w:eastAsia="Times New Roman" w:hAnsi="Times New Roman"/>
          <w:sz w:val="20"/>
          <w:szCs w:val="20"/>
          <w:color w:val="171717"/>
        </w:rPr>
        <w:t>y with the requirements of Code Section 409A (i</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cl</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ding</w:t>
      </w:r>
      <w:r>
        <w:rPr>
          <w:rFonts w:ascii="Times New Roman" w:cs="Times New Roman" w:eastAsia="Times New Roman" w:hAnsi="Times New Roman"/>
          <w:sz w:val="20"/>
          <w:szCs w:val="20"/>
          <w:b w:val="1"/>
          <w:bCs w:val="1"/>
          <w:color w:val="070707"/>
        </w:rPr>
        <w:t xml:space="preserve"> </w:t>
      </w:r>
      <w:r>
        <w:rPr>
          <w:rFonts w:ascii="Times New Roman" w:cs="Times New Roman" w:eastAsia="Times New Roman" w:hAnsi="Times New Roman"/>
          <w:sz w:val="20"/>
          <w:szCs w:val="20"/>
          <w:color w:val="171717"/>
        </w:rPr>
        <w:t>accompanying regu</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ations an</w:t>
      </w:r>
      <w:r>
        <w:rPr>
          <w:rFonts w:ascii="Times New Roman" w:cs="Times New Roman" w:eastAsia="Times New Roman" w:hAnsi="Times New Roman"/>
          <w:sz w:val="20"/>
          <w:szCs w:val="20"/>
          <w:color w:val="070707"/>
        </w:rPr>
        <w:t>d</w:t>
      </w:r>
      <w:r>
        <w:rPr>
          <w:rFonts w:ascii="Times New Roman" w:cs="Times New Roman" w:eastAsia="Times New Roman" w:hAnsi="Times New Roman"/>
          <w:sz w:val="20"/>
          <w:szCs w:val="20"/>
          <w:color w:val="171717"/>
        </w:rPr>
        <w:t xml:space="preserve"> current </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RS guidance) an</w:t>
      </w:r>
      <w:r>
        <w:rPr>
          <w:rFonts w:ascii="Times New Roman" w:cs="Times New Roman" w:eastAsia="Times New Roman" w:hAnsi="Times New Roman"/>
          <w:sz w:val="20"/>
          <w:szCs w:val="20"/>
          <w:color w:val="070707"/>
        </w:rPr>
        <w:t>d t</w:t>
      </w:r>
      <w:r>
        <w:rPr>
          <w:rFonts w:ascii="Times New Roman" w:cs="Times New Roman" w:eastAsia="Times New Roman" w:hAnsi="Times New Roman"/>
          <w:sz w:val="20"/>
          <w:szCs w:val="20"/>
          <w:color w:val="171717"/>
        </w:rPr>
        <w:t>o conform to the current operation of the Plan. Notwithstanding 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y provision of the Plan to the contrary</w:t>
      </w:r>
      <w:r>
        <w:rPr>
          <w:rFonts w:ascii="Times New Roman" w:cs="Times New Roman" w:eastAsia="Times New Roman" w:hAnsi="Times New Roman"/>
          <w:sz w:val="20"/>
          <w:szCs w:val="20"/>
          <w:color w:val="2F2F2F"/>
        </w:rPr>
        <w:t>,</w:t>
      </w:r>
      <w:r>
        <w:rPr>
          <w:rFonts w:ascii="Times New Roman" w:cs="Times New Roman" w:eastAsia="Times New Roman" w:hAnsi="Times New Roman"/>
          <w:sz w:val="20"/>
          <w:szCs w:val="20"/>
          <w:color w:val="171717"/>
        </w:rPr>
        <w:t xml:space="preserve"> the P</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 xml:space="preserve">an shall </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71717"/>
        </w:rPr>
        <w:t>e interpreted, opera</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ed and administered in a manner consisten</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 xml:space="preserve"> wi</w:t>
      </w:r>
      <w:r>
        <w:rPr>
          <w:rFonts w:ascii="Times New Roman" w:cs="Times New Roman" w:eastAsia="Times New Roman" w:hAnsi="Times New Roman"/>
          <w:sz w:val="20"/>
          <w:szCs w:val="20"/>
          <w:color w:val="070707"/>
        </w:rPr>
        <w:t>th</w:t>
      </w:r>
      <w:r>
        <w:rPr>
          <w:rFonts w:ascii="Times New Roman" w:cs="Times New Roman" w:eastAsia="Times New Roman" w:hAnsi="Times New Roman"/>
          <w:sz w:val="20"/>
          <w:szCs w:val="20"/>
          <w:color w:val="171717"/>
        </w:rPr>
        <w:t xml:space="preserve"> t</w:t>
      </w:r>
      <w:r>
        <w:rPr>
          <w:rFonts w:ascii="Times New Roman" w:cs="Times New Roman" w:eastAsia="Times New Roman" w:hAnsi="Times New Roman"/>
          <w:sz w:val="20"/>
          <w:szCs w:val="20"/>
          <w:color w:val="070707"/>
        </w:rPr>
        <w:t>hi</w:t>
      </w:r>
      <w:r>
        <w:rPr>
          <w:rFonts w:ascii="Times New Roman" w:cs="Times New Roman" w:eastAsia="Times New Roman" w:hAnsi="Times New Roman"/>
          <w:sz w:val="20"/>
          <w:szCs w:val="20"/>
          <w:color w:val="171717"/>
        </w:rPr>
        <w:t xml:space="preserve">s </w:t>
      </w:r>
      <w:r>
        <w:rPr>
          <w:rFonts w:ascii="Times New Roman" w:cs="Times New Roman" w:eastAsia="Times New Roman" w:hAnsi="Times New Roman"/>
          <w:sz w:val="20"/>
          <w:szCs w:val="20"/>
          <w:color w:val="070707"/>
        </w:rPr>
        <w:t>int</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tion, so as to avoi</w:t>
      </w:r>
      <w:r>
        <w:rPr>
          <w:rFonts w:ascii="Times New Roman" w:cs="Times New Roman" w:eastAsia="Times New Roman" w:hAnsi="Times New Roman"/>
          <w:sz w:val="20"/>
          <w:szCs w:val="20"/>
          <w:color w:val="070707"/>
        </w:rPr>
        <w:t>d th</w:t>
      </w:r>
      <w:r>
        <w:rPr>
          <w:rFonts w:ascii="Times New Roman" w:cs="Times New Roman" w:eastAsia="Times New Roman" w:hAnsi="Times New Roman"/>
          <w:sz w:val="20"/>
          <w:szCs w:val="20"/>
          <w:color w:val="171717"/>
        </w:rPr>
        <w:t>e pre</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71717"/>
        </w:rPr>
        <w:t>distr</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bution inclusio</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 xml:space="preserve"> in i</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co</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e of amo</w:t>
      </w:r>
      <w:r>
        <w:rPr>
          <w:rFonts w:ascii="Times New Roman" w:cs="Times New Roman" w:eastAsia="Times New Roman" w:hAnsi="Times New Roman"/>
          <w:sz w:val="20"/>
          <w:szCs w:val="20"/>
          <w:color w:val="070707"/>
        </w:rPr>
        <w:t>u</w:t>
      </w:r>
      <w:r>
        <w:rPr>
          <w:rFonts w:ascii="Times New Roman" w:cs="Times New Roman" w:eastAsia="Times New Roman" w:hAnsi="Times New Roman"/>
          <w:sz w:val="20"/>
          <w:szCs w:val="20"/>
          <w:color w:val="171717"/>
        </w:rPr>
        <w:t>nts deferred under the P</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an and the imposit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on of an</w:t>
      </w:r>
      <w:r>
        <w:rPr>
          <w:rFonts w:ascii="Times New Roman" w:cs="Times New Roman" w:eastAsia="Times New Roman" w:hAnsi="Times New Roman"/>
          <w:sz w:val="20"/>
          <w:szCs w:val="20"/>
          <w:color w:val="070707"/>
        </w:rPr>
        <w:t>y</w:t>
      </w:r>
      <w:r>
        <w:rPr>
          <w:rFonts w:ascii="Times New Roman" w:cs="Times New Roman" w:eastAsia="Times New Roman" w:hAnsi="Times New Roman"/>
          <w:sz w:val="20"/>
          <w:szCs w:val="20"/>
          <w:color w:val="171717"/>
        </w:rPr>
        <w:t xml:space="preserve"> addit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ona</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 xml:space="preserve"> taxes or interest thereo</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 xml:space="preserve"> W</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th re</w:t>
      </w:r>
      <w:r>
        <w:rPr>
          <w:rFonts w:ascii="Times New Roman" w:cs="Times New Roman" w:eastAsia="Times New Roman" w:hAnsi="Times New Roman"/>
          <w:sz w:val="20"/>
          <w:szCs w:val="20"/>
          <w:color w:val="070707"/>
        </w:rPr>
        <w:t>s</w:t>
      </w:r>
      <w:r>
        <w:rPr>
          <w:rFonts w:ascii="Times New Roman" w:cs="Times New Roman" w:eastAsia="Times New Roman" w:hAnsi="Times New Roman"/>
          <w:sz w:val="20"/>
          <w:szCs w:val="20"/>
          <w:color w:val="171717"/>
        </w:rPr>
        <w:t xml:space="preserve">pect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o a</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y Participan</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 xml:space="preserve"> whose taxab</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e year is not the ca</w:t>
      </w:r>
      <w:r>
        <w:rPr>
          <w:rFonts w:ascii="Times New Roman" w:cs="Times New Roman" w:eastAsia="Times New Roman" w:hAnsi="Times New Roman"/>
          <w:sz w:val="20"/>
          <w:szCs w:val="20"/>
          <w:color w:val="2F2F2F"/>
        </w:rPr>
        <w:t>l</w:t>
      </w:r>
      <w:r>
        <w:rPr>
          <w:rFonts w:ascii="Times New Roman" w:cs="Times New Roman" w:eastAsia="Times New Roman" w:hAnsi="Times New Roman"/>
          <w:sz w:val="20"/>
          <w:szCs w:val="20"/>
          <w:color w:val="171717"/>
        </w:rPr>
        <w:t>endar yea</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 xml:space="preserve">, all </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efere</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c</w:t>
      </w:r>
      <w:r>
        <w:rPr>
          <w:rFonts w:ascii="Times New Roman" w:cs="Times New Roman" w:eastAsia="Times New Roman" w:hAnsi="Times New Roman"/>
          <w:sz w:val="20"/>
          <w:szCs w:val="20"/>
          <w:color w:val="070707"/>
        </w:rPr>
        <w:t>e</w:t>
      </w:r>
      <w:r>
        <w:rPr>
          <w:rFonts w:ascii="Times New Roman" w:cs="Times New Roman" w:eastAsia="Times New Roman" w:hAnsi="Times New Roman"/>
          <w:sz w:val="20"/>
          <w:szCs w:val="20"/>
          <w:color w:val="171717"/>
        </w:rPr>
        <w:t xml:space="preserve">s in </w:t>
      </w:r>
      <w:r>
        <w:rPr>
          <w:rFonts w:ascii="Times New Roman" w:cs="Times New Roman" w:eastAsia="Times New Roman" w:hAnsi="Times New Roman"/>
          <w:sz w:val="20"/>
          <w:szCs w:val="20"/>
          <w:color w:val="070707"/>
        </w:rPr>
        <w:t>the</w:t>
      </w:r>
      <w:r>
        <w:rPr>
          <w:rFonts w:ascii="Times New Roman" w:cs="Times New Roman" w:eastAsia="Times New Roman" w:hAnsi="Times New Roman"/>
          <w:sz w:val="20"/>
          <w:szCs w:val="20"/>
          <w:color w:val="171717"/>
        </w:rPr>
        <w:t xml:space="preserve"> Plan to </w:t>
      </w:r>
      <w:r>
        <w:rPr>
          <w:rFonts w:ascii="Times New Roman" w:cs="Times New Roman" w:eastAsia="Times New Roman" w:hAnsi="Times New Roman"/>
          <w:sz w:val="20"/>
          <w:szCs w:val="20"/>
          <w:color w:val="070707"/>
        </w:rPr>
        <w:t>"c</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2F2F2F"/>
        </w:rPr>
        <w:t>l</w:t>
      </w:r>
      <w:r>
        <w:rPr>
          <w:rFonts w:ascii="Times New Roman" w:cs="Times New Roman" w:eastAsia="Times New Roman" w:hAnsi="Times New Roman"/>
          <w:sz w:val="20"/>
          <w:szCs w:val="20"/>
          <w:color w:val="171717"/>
        </w:rPr>
        <w:t>endar year,</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71717"/>
        </w:rPr>
        <w:t xml:space="preserve"> except those in A</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cle V and Section 6.3 above, s</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a</w:t>
      </w:r>
      <w:r>
        <w:rPr>
          <w:rFonts w:ascii="Times New Roman" w:cs="Times New Roman" w:eastAsia="Times New Roman" w:hAnsi="Times New Roman"/>
          <w:sz w:val="20"/>
          <w:szCs w:val="20"/>
          <w:color w:val="070707"/>
        </w:rPr>
        <w:t>ll</w:t>
      </w:r>
      <w:r>
        <w:rPr>
          <w:rFonts w:ascii="Times New Roman" w:cs="Times New Roman" w:eastAsia="Times New Roman" w:hAnsi="Times New Roman"/>
          <w:sz w:val="20"/>
          <w:szCs w:val="20"/>
          <w:color w:val="171717"/>
        </w:rPr>
        <w:t xml:space="preserve"> be deemed to </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71717"/>
        </w:rPr>
        <w:t xml:space="preserve">e revised to </w:t>
      </w:r>
      <w:r>
        <w:rPr>
          <w:rFonts w:ascii="Times New Roman" w:cs="Times New Roman" w:eastAsia="Times New Roman" w:hAnsi="Times New Roman"/>
          <w:sz w:val="20"/>
          <w:szCs w:val="20"/>
          <w:color w:val="070707"/>
        </w:rPr>
        <w:t>r</w:t>
      </w:r>
      <w:r>
        <w:rPr>
          <w:rFonts w:ascii="Times New Roman" w:cs="Times New Roman" w:eastAsia="Times New Roman" w:hAnsi="Times New Roman"/>
          <w:sz w:val="20"/>
          <w:szCs w:val="20"/>
          <w:color w:val="171717"/>
        </w:rPr>
        <w:t>e</w:t>
      </w:r>
      <w:r>
        <w:rPr>
          <w:rFonts w:ascii="Times New Roman" w:cs="Times New Roman" w:eastAsia="Times New Roman" w:hAnsi="Times New Roman"/>
          <w:sz w:val="20"/>
          <w:szCs w:val="20"/>
          <w:color w:val="070707"/>
        </w:rPr>
        <w:t>fe</w:t>
      </w:r>
      <w:r>
        <w:rPr>
          <w:rFonts w:ascii="Times New Roman" w:cs="Times New Roman" w:eastAsia="Times New Roman" w:hAnsi="Times New Roman"/>
          <w:sz w:val="20"/>
          <w:szCs w:val="20"/>
          <w:color w:val="171717"/>
        </w:rPr>
        <w:t xml:space="preserve">r </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o the Part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 xml:space="preserve">cipant's </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71717"/>
        </w:rPr>
        <w:t>taxable year.</w:t>
      </w:r>
      <w:r>
        <w:rPr>
          <w:rFonts w:ascii="Times New Roman" w:cs="Times New Roman" w:eastAsia="Times New Roman" w:hAnsi="Times New Roman"/>
          <w:sz w:val="20"/>
          <w:szCs w:val="20"/>
          <w:color w:val="070707"/>
        </w:rPr>
        <w:t>"</w:t>
      </w:r>
      <w:r>
        <w:rPr>
          <w:rFonts w:ascii="Times New Roman" w:cs="Times New Roman" w:eastAsia="Times New Roman" w:hAnsi="Times New Roman"/>
          <w:sz w:val="20"/>
          <w:szCs w:val="20"/>
          <w:color w:val="171717"/>
        </w:rPr>
        <w:t xml:space="preserve"> The Company and </w:t>
      </w:r>
      <w:r>
        <w:rPr>
          <w:rFonts w:ascii="Times New Roman" w:cs="Times New Roman" w:eastAsia="Times New Roman" w:hAnsi="Times New Roman"/>
          <w:sz w:val="20"/>
          <w:szCs w:val="20"/>
          <w:color w:val="070707"/>
        </w:rPr>
        <w:t>the</w:t>
      </w:r>
      <w:r>
        <w:rPr>
          <w:rFonts w:ascii="Times New Roman" w:cs="Times New Roman" w:eastAsia="Times New Roman" w:hAnsi="Times New Roman"/>
          <w:sz w:val="20"/>
          <w:szCs w:val="20"/>
          <w:color w:val="171717"/>
        </w:rPr>
        <w:t xml:space="preserve"> </w:t>
      </w:r>
      <w:r>
        <w:rPr>
          <w:rFonts w:ascii="Times New Roman" w:cs="Times New Roman" w:eastAsia="Times New Roman" w:hAnsi="Times New Roman"/>
          <w:sz w:val="20"/>
          <w:szCs w:val="20"/>
          <w:color w:val="070707"/>
        </w:rPr>
        <w:t>A</w:t>
      </w:r>
      <w:r>
        <w:rPr>
          <w:rFonts w:ascii="Times New Roman" w:cs="Times New Roman" w:eastAsia="Times New Roman" w:hAnsi="Times New Roman"/>
          <w:sz w:val="20"/>
          <w:szCs w:val="20"/>
          <w:color w:val="171717"/>
        </w:rPr>
        <w:t>d</w:t>
      </w:r>
      <w:r>
        <w:rPr>
          <w:rFonts w:ascii="Times New Roman" w:cs="Times New Roman" w:eastAsia="Times New Roman" w:hAnsi="Times New Roman"/>
          <w:sz w:val="20"/>
          <w:szCs w:val="20"/>
          <w:color w:val="070707"/>
        </w:rPr>
        <w:t>m</w:t>
      </w:r>
      <w:r>
        <w:rPr>
          <w:rFonts w:ascii="Times New Roman" w:cs="Times New Roman" w:eastAsia="Times New Roman" w:hAnsi="Times New Roman"/>
          <w:sz w:val="20"/>
          <w:szCs w:val="20"/>
          <w:color w:val="171717"/>
        </w:rPr>
        <w:t>in</w:t>
      </w:r>
      <w:r>
        <w:rPr>
          <w:rFonts w:ascii="Times New Roman" w:cs="Times New Roman" w:eastAsia="Times New Roman" w:hAnsi="Times New Roman"/>
          <w:sz w:val="20"/>
          <w:szCs w:val="20"/>
          <w:color w:val="2F2F2F"/>
        </w:rPr>
        <w:t>i</w:t>
      </w:r>
      <w:r>
        <w:rPr>
          <w:rFonts w:ascii="Times New Roman" w:cs="Times New Roman" w:eastAsia="Times New Roman" w:hAnsi="Times New Roman"/>
          <w:sz w:val="20"/>
          <w:szCs w:val="20"/>
          <w:color w:val="171717"/>
        </w:rPr>
        <w:t>strator may conclus</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ve</w:t>
      </w:r>
      <w:r>
        <w:rPr>
          <w:rFonts w:ascii="Times New Roman" w:cs="Times New Roman" w:eastAsia="Times New Roman" w:hAnsi="Times New Roman"/>
          <w:sz w:val="20"/>
          <w:szCs w:val="20"/>
          <w:color w:val="070707"/>
        </w:rPr>
        <w:t>l</w:t>
      </w:r>
      <w:r>
        <w:rPr>
          <w:rFonts w:ascii="Times New Roman" w:cs="Times New Roman" w:eastAsia="Times New Roman" w:hAnsi="Times New Roman"/>
          <w:sz w:val="20"/>
          <w:szCs w:val="20"/>
          <w:color w:val="171717"/>
        </w:rPr>
        <w:t>y presume</w:t>
      </w:r>
      <w:r>
        <w:rPr>
          <w:rFonts w:ascii="Times New Roman" w:cs="Times New Roman" w:eastAsia="Times New Roman" w:hAnsi="Times New Roman"/>
          <w:sz w:val="20"/>
          <w:szCs w:val="20"/>
          <w:color w:val="070707"/>
        </w:rPr>
        <w:t xml:space="preserve"> t</w:t>
      </w:r>
      <w:r>
        <w:rPr>
          <w:rFonts w:ascii="Times New Roman" w:cs="Times New Roman" w:eastAsia="Times New Roman" w:hAnsi="Times New Roman"/>
          <w:sz w:val="20"/>
          <w:szCs w:val="20"/>
          <w:color w:val="171717"/>
        </w:rPr>
        <w:t>hat a Partic</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p</w:t>
      </w:r>
      <w:r>
        <w:rPr>
          <w:rFonts w:ascii="Times New Roman" w:cs="Times New Roman" w:eastAsia="Times New Roman" w:hAnsi="Times New Roman"/>
          <w:sz w:val="20"/>
          <w:szCs w:val="20"/>
          <w:color w:val="2F2F2F"/>
        </w:rPr>
        <w:t>a</w:t>
      </w:r>
      <w:r>
        <w:rPr>
          <w:rFonts w:ascii="Times New Roman" w:cs="Times New Roman" w:eastAsia="Times New Roman" w:hAnsi="Times New Roman"/>
          <w:sz w:val="20"/>
          <w:szCs w:val="20"/>
          <w:color w:val="171717"/>
        </w:rPr>
        <w:t>nt's taxable ye</w:t>
      </w:r>
      <w:r>
        <w:rPr>
          <w:rFonts w:ascii="Times New Roman" w:cs="Times New Roman" w:eastAsia="Times New Roman" w:hAnsi="Times New Roman"/>
          <w:sz w:val="20"/>
          <w:szCs w:val="20"/>
          <w:color w:val="2F2F2F"/>
        </w:rPr>
        <w:t>a</w:t>
      </w:r>
      <w:r>
        <w:rPr>
          <w:rFonts w:ascii="Times New Roman" w:cs="Times New Roman" w:eastAsia="Times New Roman" w:hAnsi="Times New Roman"/>
          <w:sz w:val="20"/>
          <w:szCs w:val="20"/>
          <w:color w:val="171717"/>
        </w:rPr>
        <w:t>r is the calendar year unt</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l notified o</w:t>
      </w:r>
      <w:r>
        <w:rPr>
          <w:rFonts w:ascii="Times New Roman" w:cs="Times New Roman" w:eastAsia="Times New Roman" w:hAnsi="Times New Roman"/>
          <w:sz w:val="20"/>
          <w:szCs w:val="20"/>
          <w:color w:val="070707"/>
        </w:rPr>
        <w:t>t</w:t>
      </w:r>
      <w:r>
        <w:rPr>
          <w:rFonts w:ascii="Times New Roman" w:cs="Times New Roman" w:eastAsia="Times New Roman" w:hAnsi="Times New Roman"/>
          <w:sz w:val="20"/>
          <w:szCs w:val="20"/>
          <w:color w:val="171717"/>
        </w:rPr>
        <w:t>herwise in writing</w:t>
      </w:r>
      <w:r>
        <w:rPr>
          <w:rFonts w:ascii="Times New Roman" w:cs="Times New Roman" w:eastAsia="Times New Roman" w:hAnsi="Times New Roman"/>
          <w:sz w:val="20"/>
          <w:szCs w:val="20"/>
          <w:color w:val="070707"/>
        </w:rPr>
        <w:t xml:space="preserve"> b</w:t>
      </w:r>
      <w:r>
        <w:rPr>
          <w:rFonts w:ascii="Times New Roman" w:cs="Times New Roman" w:eastAsia="Times New Roman" w:hAnsi="Times New Roman"/>
          <w:sz w:val="20"/>
          <w:szCs w:val="20"/>
          <w:color w:val="171717"/>
        </w:rPr>
        <w:t>y the</w:t>
      </w:r>
      <w:r>
        <w:rPr>
          <w:rFonts w:ascii="Times New Roman" w:cs="Times New Roman" w:eastAsia="Times New Roman" w:hAnsi="Times New Roman"/>
          <w:sz w:val="20"/>
          <w:szCs w:val="20"/>
          <w:color w:val="070707"/>
        </w:rPr>
        <w:t xml:space="preserve"> P</w:t>
      </w:r>
      <w:r>
        <w:rPr>
          <w:rFonts w:ascii="Times New Roman" w:cs="Times New Roman" w:eastAsia="Times New Roman" w:hAnsi="Times New Roman"/>
          <w:sz w:val="20"/>
          <w:szCs w:val="20"/>
          <w:color w:val="171717"/>
        </w:rPr>
        <w:t>articip</w:t>
      </w:r>
      <w:r>
        <w:rPr>
          <w:rFonts w:ascii="Times New Roman" w:cs="Times New Roman" w:eastAsia="Times New Roman" w:hAnsi="Times New Roman"/>
          <w:sz w:val="20"/>
          <w:szCs w:val="20"/>
          <w:color w:val="2F2F2F"/>
        </w:rPr>
        <w:t>a</w:t>
      </w:r>
      <w:r>
        <w:rPr>
          <w:rFonts w:ascii="Times New Roman" w:cs="Times New Roman" w:eastAsia="Times New Roman" w:hAnsi="Times New Roman"/>
          <w:sz w:val="20"/>
          <w:szCs w:val="20"/>
          <w:color w:val="171717"/>
        </w:rPr>
        <w:t>nt.</w:t>
      </w:r>
    </w:p>
    <w:p>
      <w:pPr>
        <w:spacing w:after="0" w:line="19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171717"/>
        </w:rPr>
        <w:t>* * * * *</w:t>
      </w:r>
    </w:p>
    <w:p>
      <w:pPr>
        <w:spacing w:after="0" w:line="24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171717"/>
        </w:rPr>
        <w:t>I</w:t>
      </w:r>
      <w:r>
        <w:rPr>
          <w:rFonts w:ascii="Times New Roman" w:cs="Times New Roman" w:eastAsia="Times New Roman" w:hAnsi="Times New Roman"/>
          <w:sz w:val="20"/>
          <w:szCs w:val="20"/>
          <w:color w:val="070707"/>
        </w:rPr>
        <w:t>N</w:t>
      </w:r>
      <w:r>
        <w:rPr>
          <w:rFonts w:ascii="Times New Roman" w:cs="Times New Roman" w:eastAsia="Times New Roman" w:hAnsi="Times New Roman"/>
          <w:sz w:val="20"/>
          <w:szCs w:val="20"/>
          <w:color w:val="171717"/>
        </w:rPr>
        <w:t xml:space="preserve"> </w:t>
      </w:r>
      <w:r>
        <w:rPr>
          <w:rFonts w:ascii="Times New Roman" w:cs="Times New Roman" w:eastAsia="Times New Roman" w:hAnsi="Times New Roman"/>
          <w:sz w:val="20"/>
          <w:szCs w:val="20"/>
          <w:color w:val="3F3F3F"/>
        </w:rPr>
        <w:t>W</w:t>
      </w:r>
      <w:r>
        <w:rPr>
          <w:rFonts w:ascii="Times New Roman" w:cs="Times New Roman" w:eastAsia="Times New Roman" w:hAnsi="Times New Roman"/>
          <w:sz w:val="20"/>
          <w:szCs w:val="20"/>
          <w:color w:val="171717"/>
        </w:rPr>
        <w:t>ITNESS W</w:t>
      </w:r>
      <w:r>
        <w:rPr>
          <w:rFonts w:ascii="Times New Roman" w:cs="Times New Roman" w:eastAsia="Times New Roman" w:hAnsi="Times New Roman"/>
          <w:sz w:val="20"/>
          <w:szCs w:val="20"/>
          <w:color w:val="3F3F3F"/>
        </w:rPr>
        <w:t>H</w:t>
      </w:r>
      <w:r>
        <w:rPr>
          <w:rFonts w:ascii="Times New Roman" w:cs="Times New Roman" w:eastAsia="Times New Roman" w:hAnsi="Times New Roman"/>
          <w:sz w:val="20"/>
          <w:szCs w:val="20"/>
          <w:color w:val="171717"/>
        </w:rPr>
        <w:t>ER</w:t>
      </w:r>
      <w:r>
        <w:rPr>
          <w:rFonts w:ascii="Times New Roman" w:cs="Times New Roman" w:eastAsia="Times New Roman" w:hAnsi="Times New Roman"/>
          <w:sz w:val="20"/>
          <w:szCs w:val="20"/>
          <w:color w:val="2F2F2F"/>
        </w:rPr>
        <w:t>E</w:t>
      </w:r>
      <w:r>
        <w:rPr>
          <w:rFonts w:ascii="Times New Roman" w:cs="Times New Roman" w:eastAsia="Times New Roman" w:hAnsi="Times New Roman"/>
          <w:sz w:val="20"/>
          <w:szCs w:val="20"/>
          <w:color w:val="171717"/>
        </w:rPr>
        <w:t>OF</w:t>
      </w:r>
      <w:r>
        <w:rPr>
          <w:rFonts w:ascii="Times New Roman" w:cs="Times New Roman" w:eastAsia="Times New Roman" w:hAnsi="Times New Roman"/>
          <w:sz w:val="28"/>
          <w:szCs w:val="28"/>
          <w:color w:val="171717"/>
        </w:rPr>
        <w:t>,</w:t>
      </w:r>
      <w:r>
        <w:rPr>
          <w:rFonts w:ascii="Times New Roman" w:cs="Times New Roman" w:eastAsia="Times New Roman" w:hAnsi="Times New Roman"/>
          <w:sz w:val="20"/>
          <w:szCs w:val="20"/>
          <w:color w:val="171717"/>
        </w:rPr>
        <w:t xml:space="preserve"> th</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 xml:space="preserve">s </w:t>
      </w:r>
      <w:r>
        <w:rPr>
          <w:rFonts w:ascii="Times New Roman" w:cs="Times New Roman" w:eastAsia="Times New Roman" w:hAnsi="Times New Roman"/>
          <w:sz w:val="20"/>
          <w:szCs w:val="20"/>
          <w:color w:val="070707"/>
        </w:rPr>
        <w:t>i</w:t>
      </w:r>
      <w:r>
        <w:rPr>
          <w:rFonts w:ascii="Times New Roman" w:cs="Times New Roman" w:eastAsia="Times New Roman" w:hAnsi="Times New Roman"/>
          <w:sz w:val="20"/>
          <w:szCs w:val="20"/>
          <w:color w:val="171717"/>
        </w:rPr>
        <w:t xml:space="preserve">nstrument has </w:t>
      </w:r>
      <w:r>
        <w:rPr>
          <w:rFonts w:ascii="Times New Roman" w:cs="Times New Roman" w:eastAsia="Times New Roman" w:hAnsi="Times New Roman"/>
          <w:sz w:val="20"/>
          <w:szCs w:val="20"/>
          <w:color w:val="070707"/>
        </w:rPr>
        <w:t>b</w:t>
      </w:r>
      <w:r>
        <w:rPr>
          <w:rFonts w:ascii="Times New Roman" w:cs="Times New Roman" w:eastAsia="Times New Roman" w:hAnsi="Times New Roman"/>
          <w:sz w:val="20"/>
          <w:szCs w:val="20"/>
          <w:color w:val="171717"/>
        </w:rPr>
        <w:t>een executed by t</w:t>
      </w:r>
      <w:r>
        <w:rPr>
          <w:rFonts w:ascii="Times New Roman" w:cs="Times New Roman" w:eastAsia="Times New Roman" w:hAnsi="Times New Roman"/>
          <w:sz w:val="20"/>
          <w:szCs w:val="20"/>
          <w:color w:val="070707"/>
        </w:rPr>
        <w:t>h</w:t>
      </w:r>
      <w:r>
        <w:rPr>
          <w:rFonts w:ascii="Times New Roman" w:cs="Times New Roman" w:eastAsia="Times New Roman" w:hAnsi="Times New Roman"/>
          <w:sz w:val="20"/>
          <w:szCs w:val="20"/>
          <w:color w:val="171717"/>
        </w:rPr>
        <w:t xml:space="preserve">e Company as the </w:t>
      </w:r>
      <w:r>
        <w:rPr>
          <w:rFonts w:ascii="Times New Roman" w:cs="Times New Roman" w:eastAsia="Times New Roman" w:hAnsi="Times New Roman"/>
          <w:sz w:val="20"/>
          <w:szCs w:val="20"/>
          <w:u w:val="single" w:color="auto"/>
          <w:color w:val="171717"/>
        </w:rPr>
        <w:t>15</w:t>
      </w:r>
      <w:r>
        <w:rPr>
          <w:rFonts w:ascii="Times New Roman" w:cs="Times New Roman" w:eastAsia="Times New Roman" w:hAnsi="Times New Roman"/>
          <w:sz w:val="25"/>
          <w:szCs w:val="25"/>
          <w:u w:val="single" w:color="auto"/>
          <w:color w:val="171717"/>
          <w:vertAlign w:val="superscript"/>
        </w:rPr>
        <w:t>th</w:t>
      </w:r>
      <w:r>
        <w:rPr>
          <w:rFonts w:ascii="Times New Roman" w:cs="Times New Roman" w:eastAsia="Times New Roman" w:hAnsi="Times New Roman"/>
          <w:sz w:val="20"/>
          <w:szCs w:val="20"/>
          <w:color w:val="171717"/>
        </w:rPr>
        <w:t xml:space="preserve"> day of September,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-12065</wp:posOffset>
            </wp:positionV>
            <wp:extent cx="9175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101010"/>
        </w:rPr>
        <w:t>ITRON, INC.</w:t>
      </w:r>
    </w:p>
    <w:p>
      <w:pPr>
        <w:spacing w:after="0" w:line="21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101010"/>
        </w:rPr>
        <w:t>By: _______________________</w:t>
      </w:r>
    </w:p>
    <w:p>
      <w:pPr>
        <w:ind w:left="3880"/>
        <w:spacing w:after="0"/>
        <w:rPr>
          <w:sz w:val="20"/>
          <w:szCs w:val="20"/>
          <w:color w:val="auto"/>
        </w:rPr>
      </w:pPr>
      <w:r>
        <w:rPr>
          <w:rFonts w:ascii="Times New Roman" w:cs="Times New Roman" w:eastAsia="Times New Roman" w:hAnsi="Times New Roman"/>
          <w:sz w:val="18"/>
          <w:szCs w:val="18"/>
          <w:color w:val="auto"/>
        </w:rPr>
        <w:t>Its: 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2036445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0600" w:val="left"/>
        </w:tabs>
        <w:rPr>
          <w:sz w:val="20"/>
          <w:szCs w:val="20"/>
          <w:color w:val="auto"/>
        </w:rPr>
      </w:pPr>
      <w:r>
        <w:rPr>
          <w:rFonts w:ascii="Times New Roman" w:cs="Times New Roman" w:eastAsia="Times New Roman" w:hAnsi="Times New Roman"/>
          <w:sz w:val="18"/>
          <w:szCs w:val="18"/>
          <w:color w:val="auto"/>
        </w:rPr>
        <w:t>Itron, Inc.</w:t>
      </w:r>
      <w:r>
        <w:rPr>
          <w:sz w:val="20"/>
          <w:szCs w:val="20"/>
          <w:color w:val="auto"/>
        </w:rPr>
        <w:tab/>
      </w:r>
      <w:r>
        <w:rPr>
          <w:rFonts w:ascii="Times New Roman" w:cs="Times New Roman" w:eastAsia="Times New Roman" w:hAnsi="Times New Roman"/>
          <w:sz w:val="18"/>
          <w:szCs w:val="18"/>
          <w:color w:val="151515"/>
        </w:rPr>
        <w:t>Page 19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200"/>
          </w:cols>
          <w:pgMar w:left="340" w:top="1440" w:right="359" w:bottom="1440" w:gutter="0" w:footer="0" w:header="0"/>
        </w:sectPr>
      </w:pPr>
    </w:p>
    <w:bookmarkStart w:id="182" w:name="page183"/>
    <w:bookmarkEnd w:id="18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3" w:name="page184"/>
    <w:bookmarkEnd w:id="183"/>
    <w:p>
      <w:pPr>
        <w:spacing w:after="0"/>
        <w:tabs>
          <w:tab w:leader="none" w:pos="104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749300</wp:posOffset>
            </wp:positionV>
            <wp:extent cx="70548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7054850" cy="8255"/>
                    </a:xfrm>
                    <a:prstGeom prst="rect">
                      <a:avLst/>
                    </a:prstGeom>
                    <a:noFill/>
                  </pic:spPr>
                </pic:pic>
              </a:graphicData>
            </a:graphic>
          </wp:anchor>
        </w:drawing>
        <w:t>Itron, Inc.</w:t>
      </w:r>
      <w:r>
        <w:rPr>
          <w:sz w:val="20"/>
          <w:szCs w:val="20"/>
          <w:color w:val="auto"/>
        </w:rPr>
        <w:tab/>
      </w:r>
      <w:r>
        <w:rPr>
          <w:rFonts w:ascii="Times New Roman" w:cs="Times New Roman" w:eastAsia="Times New Roman" w:hAnsi="Times New Roman"/>
          <w:sz w:val="18"/>
          <w:szCs w:val="18"/>
          <w:color w:val="151515"/>
        </w:rPr>
        <w:t>Page 20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Ex</w:t>
      </w:r>
      <w:r>
        <w:rPr>
          <w:rFonts w:ascii="Times New Roman" w:cs="Times New Roman" w:eastAsia="Times New Roman" w:hAnsi="Times New Roman"/>
          <w:sz w:val="18"/>
          <w:szCs w:val="18"/>
          <w:color w:val="151515"/>
        </w:rPr>
        <w:t>ecutive Deferred Compensation Plan</w:t>
      </w:r>
    </w:p>
    <w:p>
      <w:pPr>
        <w:sectPr>
          <w:pgSz w:w="11900" w:h="16838" w:orient="portrait"/>
          <w:cols w:equalWidth="0" w:num="1">
            <w:col w:w="11080"/>
          </w:cols>
          <w:pgMar w:left="340" w:top="1215" w:right="479" w:bottom="1440" w:gutter="0" w:footer="0" w:header="0"/>
        </w:sectPr>
      </w:pPr>
    </w:p>
    <w:bookmarkStart w:id="184" w:name="page185"/>
    <w:bookmarkEnd w:id="184"/>
    <w:p>
      <w:pPr>
        <w:spacing w:after="0" w:line="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101010"/>
        </w:rPr>
        <w:t>AMENDMENT TO THE</w:t>
      </w:r>
    </w:p>
    <w:p>
      <w:pPr>
        <w:spacing w:after="0" w:line="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101010"/>
        </w:rPr>
        <w:t>ITRON, INC. EXECUTIVE DEFERRED COMPENSATION PLAN As Amended and Restated</w:t>
      </w:r>
    </w:p>
    <w:p>
      <w:pPr>
        <w:spacing w:after="0" w:line="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101010"/>
        </w:rPr>
        <w:t>Effective January 1, 2012</w:t>
      </w:r>
    </w:p>
    <w:p>
      <w:pPr>
        <w:spacing w:after="0" w:line="264" w:lineRule="exact"/>
        <w:rPr>
          <w:sz w:val="20"/>
          <w:szCs w:val="20"/>
          <w:color w:val="auto"/>
        </w:rPr>
      </w:pPr>
    </w:p>
    <w:p>
      <w:pPr>
        <w:jc w:val="both"/>
        <w:ind w:right="520"/>
        <w:spacing w:after="0" w:line="273" w:lineRule="auto"/>
        <w:rPr>
          <w:sz w:val="20"/>
          <w:szCs w:val="20"/>
          <w:color w:val="auto"/>
        </w:rPr>
      </w:pPr>
      <w:r>
        <w:rPr>
          <w:rFonts w:ascii="Times New Roman" w:cs="Times New Roman" w:eastAsia="Times New Roman" w:hAnsi="Times New Roman"/>
          <w:sz w:val="20"/>
          <w:szCs w:val="20"/>
          <w:b w:val="1"/>
          <w:bCs w:val="1"/>
          <w:color w:val="101010"/>
        </w:rPr>
        <w:t xml:space="preserve">WHEREAS, </w:t>
      </w:r>
      <w:r>
        <w:rPr>
          <w:rFonts w:ascii="Times New Roman" w:cs="Times New Roman" w:eastAsia="Times New Roman" w:hAnsi="Times New Roman"/>
          <w:sz w:val="17"/>
          <w:szCs w:val="17"/>
          <w:color w:val="101010"/>
        </w:rPr>
        <w:t>Itron, Inc. (the "Employer") has adopted, and currently maintains</w:t>
      </w:r>
      <w:r>
        <w:rPr>
          <w:rFonts w:ascii="Times New Roman" w:cs="Times New Roman" w:eastAsia="Times New Roman" w:hAnsi="Times New Roman"/>
          <w:sz w:val="17"/>
          <w:szCs w:val="17"/>
          <w:color w:val="2D2D2D"/>
        </w:rPr>
        <w:t>,</w:t>
      </w:r>
      <w:r>
        <w:rPr>
          <w:rFonts w:ascii="Times New Roman" w:cs="Times New Roman" w:eastAsia="Times New Roman" w:hAnsi="Times New Roman"/>
          <w:sz w:val="20"/>
          <w:szCs w:val="20"/>
          <w:b w:val="1"/>
          <w:bCs w:val="1"/>
          <w:color w:val="101010"/>
        </w:rPr>
        <w:t xml:space="preserve"> </w:t>
      </w:r>
      <w:r>
        <w:rPr>
          <w:rFonts w:ascii="Times New Roman" w:cs="Times New Roman" w:eastAsia="Times New Roman" w:hAnsi="Times New Roman"/>
          <w:sz w:val="17"/>
          <w:szCs w:val="17"/>
          <w:color w:val="101010"/>
        </w:rPr>
        <w:t>the Itron</w:t>
      </w:r>
      <w:r>
        <w:rPr>
          <w:rFonts w:ascii="Times New Roman" w:cs="Times New Roman" w:eastAsia="Times New Roman" w:hAnsi="Times New Roman"/>
          <w:sz w:val="17"/>
          <w:szCs w:val="17"/>
          <w:color w:val="2D2D2D"/>
        </w:rPr>
        <w:t>,</w:t>
      </w:r>
      <w:r>
        <w:rPr>
          <w:rFonts w:ascii="Times New Roman" w:cs="Times New Roman" w:eastAsia="Times New Roman" w:hAnsi="Times New Roman"/>
          <w:sz w:val="20"/>
          <w:szCs w:val="20"/>
          <w:b w:val="1"/>
          <w:bCs w:val="1"/>
          <w:color w:val="101010"/>
        </w:rPr>
        <w:t xml:space="preserve"> </w:t>
      </w:r>
      <w:r>
        <w:rPr>
          <w:rFonts w:ascii="Times New Roman" w:cs="Times New Roman" w:eastAsia="Times New Roman" w:hAnsi="Times New Roman"/>
          <w:sz w:val="17"/>
          <w:szCs w:val="17"/>
          <w:color w:val="101010"/>
        </w:rPr>
        <w:t>Inc</w:t>
      </w:r>
      <w:r>
        <w:rPr>
          <w:rFonts w:ascii="Times New Roman" w:cs="Times New Roman" w:eastAsia="Times New Roman" w:hAnsi="Times New Roman"/>
          <w:sz w:val="17"/>
          <w:szCs w:val="17"/>
          <w:color w:val="2D2D2D"/>
        </w:rPr>
        <w:t>.</w:t>
      </w:r>
      <w:r>
        <w:rPr>
          <w:rFonts w:ascii="Times New Roman" w:cs="Times New Roman" w:eastAsia="Times New Roman" w:hAnsi="Times New Roman"/>
          <w:sz w:val="20"/>
          <w:szCs w:val="20"/>
          <w:b w:val="1"/>
          <w:bCs w:val="1"/>
          <w:color w:val="101010"/>
        </w:rPr>
        <w:t xml:space="preserve"> </w:t>
      </w:r>
      <w:r>
        <w:rPr>
          <w:rFonts w:ascii="Times New Roman" w:cs="Times New Roman" w:eastAsia="Times New Roman" w:hAnsi="Times New Roman"/>
          <w:sz w:val="17"/>
          <w:szCs w:val="17"/>
          <w:color w:val="101010"/>
        </w:rPr>
        <w:t>Executive Deferred Compensation Plan (the</w:t>
      </w:r>
      <w:r>
        <w:rPr>
          <w:rFonts w:ascii="Times New Roman" w:cs="Times New Roman" w:eastAsia="Times New Roman" w:hAnsi="Times New Roman"/>
          <w:sz w:val="20"/>
          <w:szCs w:val="20"/>
          <w:b w:val="1"/>
          <w:bCs w:val="1"/>
          <w:color w:val="101010"/>
        </w:rPr>
        <w:t xml:space="preserve"> </w:t>
      </w:r>
      <w:r>
        <w:rPr>
          <w:rFonts w:ascii="Times New Roman" w:cs="Times New Roman" w:eastAsia="Times New Roman" w:hAnsi="Times New Roman"/>
          <w:sz w:val="17"/>
          <w:szCs w:val="17"/>
          <w:color w:val="101010"/>
        </w:rPr>
        <w:t>"Plan"), pursuant to which a select group of management and highly compensated employees of the Company and its designated subsidiaries and affiliates may defer compensation and equity compensation awards; and</w:t>
      </w:r>
    </w:p>
    <w:p>
      <w:pPr>
        <w:spacing w:after="0" w:line="226" w:lineRule="exact"/>
        <w:rPr>
          <w:sz w:val="20"/>
          <w:szCs w:val="20"/>
          <w:color w:val="auto"/>
        </w:rPr>
      </w:pPr>
    </w:p>
    <w:p>
      <w:pPr>
        <w:ind w:right="1140" w:hanging="3"/>
        <w:spacing w:after="0" w:line="267" w:lineRule="auto"/>
        <w:rPr>
          <w:sz w:val="20"/>
          <w:szCs w:val="20"/>
          <w:color w:val="auto"/>
        </w:rPr>
      </w:pPr>
      <w:r>
        <w:rPr>
          <w:rFonts w:ascii="Times New Roman" w:cs="Times New Roman" w:eastAsia="Times New Roman" w:hAnsi="Times New Roman"/>
          <w:sz w:val="20"/>
          <w:szCs w:val="20"/>
          <w:b w:val="1"/>
          <w:bCs w:val="1"/>
          <w:color w:val="101010"/>
        </w:rPr>
        <w:t xml:space="preserve">WHEREAS, </w:t>
      </w:r>
      <w:r>
        <w:rPr>
          <w:rFonts w:ascii="Times New Roman" w:cs="Times New Roman" w:eastAsia="Times New Roman" w:hAnsi="Times New Roman"/>
          <w:sz w:val="17"/>
          <w:szCs w:val="17"/>
          <w:color w:val="101010"/>
        </w:rPr>
        <w:t>the Compensation Committee of the Board of Directors of the Employer, pursuant to its authority under the Plan, has</w:t>
      </w:r>
      <w:r>
        <w:rPr>
          <w:rFonts w:ascii="Times New Roman" w:cs="Times New Roman" w:eastAsia="Times New Roman" w:hAnsi="Times New Roman"/>
          <w:sz w:val="20"/>
          <w:szCs w:val="20"/>
          <w:b w:val="1"/>
          <w:bCs w:val="1"/>
          <w:color w:val="101010"/>
        </w:rPr>
        <w:t xml:space="preserve"> </w:t>
      </w:r>
      <w:r>
        <w:rPr>
          <w:rFonts w:ascii="Times New Roman" w:cs="Times New Roman" w:eastAsia="Times New Roman" w:hAnsi="Times New Roman"/>
          <w:sz w:val="17"/>
          <w:szCs w:val="17"/>
          <w:color w:val="101010"/>
        </w:rPr>
        <w:t>amended the Plan to provide a different matching contribution and has authorized the Company to document such amendment; and</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01010"/>
        </w:rPr>
        <w:t>WHEREAS</w:t>
      </w:r>
      <w:r>
        <w:rPr>
          <w:rFonts w:ascii="Times New Roman" w:cs="Times New Roman" w:eastAsia="Times New Roman" w:hAnsi="Times New Roman"/>
          <w:sz w:val="20"/>
          <w:szCs w:val="20"/>
          <w:b w:val="1"/>
          <w:bCs w:val="1"/>
          <w:color w:val="2D2D2D"/>
        </w:rPr>
        <w:t>,</w:t>
      </w:r>
      <w:r>
        <w:rPr>
          <w:rFonts w:ascii="Times New Roman" w:cs="Times New Roman" w:eastAsia="Times New Roman" w:hAnsi="Times New Roman"/>
          <w:sz w:val="20"/>
          <w:szCs w:val="20"/>
          <w:b w:val="1"/>
          <w:bCs w:val="1"/>
          <w:color w:val="101010"/>
        </w:rPr>
        <w:t xml:space="preserve"> </w:t>
      </w:r>
      <w:r>
        <w:rPr>
          <w:rFonts w:ascii="Times New Roman" w:cs="Times New Roman" w:eastAsia="Times New Roman" w:hAnsi="Times New Roman"/>
          <w:sz w:val="17"/>
          <w:szCs w:val="17"/>
          <w:color w:val="101010"/>
        </w:rPr>
        <w:t>the Employer desires to document such amendment in terms of the Plan;</w:t>
      </w:r>
      <w:r>
        <w:rPr>
          <w:rFonts w:ascii="Times New Roman" w:cs="Times New Roman" w:eastAsia="Times New Roman" w:hAnsi="Times New Roman"/>
          <w:sz w:val="20"/>
          <w:szCs w:val="20"/>
          <w:b w:val="1"/>
          <w:bCs w:val="1"/>
          <w:color w:val="101010"/>
        </w:rPr>
        <w:t xml:space="preserve"> NOW, THEREFORE, </w:t>
      </w:r>
      <w:r>
        <w:rPr>
          <w:rFonts w:ascii="Times New Roman" w:cs="Times New Roman" w:eastAsia="Times New Roman" w:hAnsi="Times New Roman"/>
          <w:sz w:val="17"/>
          <w:szCs w:val="17"/>
          <w:color w:val="101010"/>
        </w:rPr>
        <w:t>the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010"/>
        </w:rPr>
        <w:t>Plan is amended as follows, effective January 1, 2017: Distributions</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101010"/>
        </w:rPr>
        <w:t>1. Section 5.1 is amended to add the following sentence to the end of that Section:</w:t>
      </w:r>
    </w:p>
    <w:p>
      <w:pPr>
        <w:spacing w:after="0" w:line="251" w:lineRule="exact"/>
        <w:rPr>
          <w:sz w:val="20"/>
          <w:szCs w:val="20"/>
          <w:color w:val="auto"/>
        </w:rPr>
      </w:pPr>
    </w:p>
    <w:p>
      <w:pPr>
        <w:ind w:left="640" w:right="560" w:firstLine="4"/>
        <w:spacing w:after="0" w:line="281" w:lineRule="auto"/>
        <w:rPr>
          <w:sz w:val="20"/>
          <w:szCs w:val="20"/>
          <w:color w:val="auto"/>
        </w:rPr>
      </w:pPr>
      <w:r>
        <w:rPr>
          <w:rFonts w:ascii="Times New Roman" w:cs="Times New Roman" w:eastAsia="Times New Roman" w:hAnsi="Times New Roman"/>
          <w:sz w:val="18"/>
          <w:szCs w:val="18"/>
          <w:color w:val="101010"/>
        </w:rPr>
        <w:t xml:space="preserve">"Effective January </w:t>
      </w:r>
      <w:r>
        <w:rPr>
          <w:rFonts w:ascii="Arial" w:cs="Arial" w:eastAsia="Arial" w:hAnsi="Arial"/>
          <w:sz w:val="18"/>
          <w:szCs w:val="18"/>
          <w:color w:val="101010"/>
        </w:rPr>
        <w:t>1</w:t>
      </w:r>
      <w:r>
        <w:rPr>
          <w:rFonts w:ascii="Arial" w:cs="Arial" w:eastAsia="Arial" w:hAnsi="Arial"/>
          <w:sz w:val="18"/>
          <w:szCs w:val="18"/>
          <w:color w:val="2D2D2D"/>
        </w:rPr>
        <w:t>,</w:t>
      </w:r>
      <w:r>
        <w:rPr>
          <w:rFonts w:ascii="Times New Roman" w:cs="Times New Roman" w:eastAsia="Times New Roman" w:hAnsi="Times New Roman"/>
          <w:sz w:val="18"/>
          <w:szCs w:val="18"/>
          <w:color w:val="101010"/>
        </w:rPr>
        <w:t xml:space="preserve"> 2017</w:t>
      </w:r>
      <w:r>
        <w:rPr>
          <w:rFonts w:ascii="Times New Roman" w:cs="Times New Roman" w:eastAsia="Times New Roman" w:hAnsi="Times New Roman"/>
          <w:sz w:val="18"/>
          <w:szCs w:val="18"/>
          <w:color w:val="2D2D2D"/>
        </w:rPr>
        <w:t>,</w:t>
      </w:r>
      <w:r>
        <w:rPr>
          <w:rFonts w:ascii="Times New Roman" w:cs="Times New Roman" w:eastAsia="Times New Roman" w:hAnsi="Times New Roman"/>
          <w:sz w:val="18"/>
          <w:szCs w:val="18"/>
          <w:color w:val="101010"/>
        </w:rPr>
        <w:t xml:space="preserve"> an Employee-Participant's Account shall be credited with matching contributions in an amount equal to seventy-five percent (75%) of the first six percent (6%) of total Salary and Bonuses deferred under the Plan by such Participant during a payroll period to the extent that such deferred Salary and Bonus exceeds an amount equal to the annual limit under Section 40l(a)(l 7) of the Code earned by the Employee-Participant in the applicable calendar year.</w:t>
      </w:r>
      <w:r>
        <w:rPr>
          <w:rFonts w:ascii="Times New Roman" w:cs="Times New Roman" w:eastAsia="Times New Roman" w:hAnsi="Times New Roman"/>
          <w:sz w:val="18"/>
          <w:szCs w:val="18"/>
          <w:color w:val="2D2D2D"/>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010"/>
        </w:rPr>
        <w:t>Except as amended above, the provisions of the Plan shall continue in full force and effect.</w:t>
      </w:r>
    </w:p>
    <w:p>
      <w:pPr>
        <w:spacing w:after="0" w:line="244" w:lineRule="exact"/>
        <w:rPr>
          <w:sz w:val="20"/>
          <w:szCs w:val="20"/>
          <w:color w:val="auto"/>
        </w:rPr>
      </w:pPr>
    </w:p>
    <w:p>
      <w:pPr>
        <w:ind w:right="500" w:firstLine="4"/>
        <w:spacing w:after="0" w:line="267" w:lineRule="auto"/>
        <w:rPr>
          <w:sz w:val="20"/>
          <w:szCs w:val="20"/>
          <w:color w:val="auto"/>
        </w:rPr>
      </w:pPr>
      <w:r>
        <w:rPr>
          <w:rFonts w:ascii="Times New Roman" w:cs="Times New Roman" w:eastAsia="Times New Roman" w:hAnsi="Times New Roman"/>
          <w:sz w:val="20"/>
          <w:szCs w:val="20"/>
          <w:b w:val="1"/>
          <w:bCs w:val="1"/>
          <w:color w:val="101010"/>
        </w:rPr>
        <w:t xml:space="preserve">IN WITNESS WHEREOF, </w:t>
      </w:r>
      <w:r>
        <w:rPr>
          <w:rFonts w:ascii="Times New Roman" w:cs="Times New Roman" w:eastAsia="Times New Roman" w:hAnsi="Times New Roman"/>
          <w:sz w:val="17"/>
          <w:szCs w:val="17"/>
          <w:color w:val="101010"/>
        </w:rPr>
        <w:t>the Employer</w:t>
      </w:r>
      <w:r>
        <w:rPr>
          <w:rFonts w:ascii="Times New Roman" w:cs="Times New Roman" w:eastAsia="Times New Roman" w:hAnsi="Times New Roman"/>
          <w:sz w:val="17"/>
          <w:szCs w:val="17"/>
          <w:color w:val="2D2D2D"/>
        </w:rPr>
        <w:t>,</w:t>
      </w:r>
      <w:r>
        <w:rPr>
          <w:rFonts w:ascii="Times New Roman" w:cs="Times New Roman" w:eastAsia="Times New Roman" w:hAnsi="Times New Roman"/>
          <w:sz w:val="20"/>
          <w:szCs w:val="20"/>
          <w:b w:val="1"/>
          <w:bCs w:val="1"/>
          <w:color w:val="101010"/>
        </w:rPr>
        <w:t xml:space="preserve"> </w:t>
      </w:r>
      <w:r>
        <w:rPr>
          <w:rFonts w:ascii="Times New Roman" w:cs="Times New Roman" w:eastAsia="Times New Roman" w:hAnsi="Times New Roman"/>
          <w:sz w:val="17"/>
          <w:szCs w:val="17"/>
          <w:color w:val="101010"/>
        </w:rPr>
        <w:t>by its duly authorized officer, has caused this Amendment to be executed as of the 14th day of</w:t>
      </w:r>
      <w:r>
        <w:rPr>
          <w:rFonts w:ascii="Times New Roman" w:cs="Times New Roman" w:eastAsia="Times New Roman" w:hAnsi="Times New Roman"/>
          <w:sz w:val="20"/>
          <w:szCs w:val="20"/>
          <w:b w:val="1"/>
          <w:bCs w:val="1"/>
          <w:color w:val="101010"/>
        </w:rPr>
        <w:t xml:space="preserve"> </w:t>
      </w:r>
      <w:r>
        <w:rPr>
          <w:rFonts w:ascii="Times New Roman" w:cs="Times New Roman" w:eastAsia="Times New Roman" w:hAnsi="Times New Roman"/>
          <w:sz w:val="17"/>
          <w:szCs w:val="17"/>
          <w:color w:val="101010"/>
        </w:rPr>
        <w:t>September</w:t>
      </w:r>
      <w:r>
        <w:rPr>
          <w:rFonts w:ascii="Times New Roman" w:cs="Times New Roman" w:eastAsia="Times New Roman" w:hAnsi="Times New Roman"/>
          <w:sz w:val="17"/>
          <w:szCs w:val="17"/>
          <w:color w:val="2D2D2D"/>
        </w:rPr>
        <w:t>,</w:t>
      </w:r>
      <w:r>
        <w:rPr>
          <w:rFonts w:ascii="Times New Roman" w:cs="Times New Roman" w:eastAsia="Times New Roman" w:hAnsi="Times New Roman"/>
          <w:sz w:val="17"/>
          <w:szCs w:val="17"/>
          <w:color w:val="101010"/>
        </w:rPr>
        <w:t xml:space="preserve"> 2016.</w:t>
      </w: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101010"/>
        </w:rPr>
        <w:t>ITRON, INC.</w:t>
      </w:r>
    </w:p>
    <w:p>
      <w:pPr>
        <w:spacing w:after="0" w:line="213" w:lineRule="exact"/>
        <w:rPr>
          <w:sz w:val="20"/>
          <w:szCs w:val="20"/>
          <w:color w:val="auto"/>
        </w:rPr>
      </w:pPr>
    </w:p>
    <w:p>
      <w:pPr>
        <w:ind w:left="3780"/>
        <w:spacing w:after="0"/>
        <w:tabs>
          <w:tab w:leader="none" w:pos="4240" w:val="left"/>
        </w:tabs>
        <w:rPr>
          <w:sz w:val="20"/>
          <w:szCs w:val="20"/>
          <w:color w:val="auto"/>
        </w:rPr>
      </w:pPr>
      <w:r>
        <w:rPr>
          <w:rFonts w:ascii="Times New Roman" w:cs="Times New Roman" w:eastAsia="Times New Roman" w:hAnsi="Times New Roman"/>
          <w:sz w:val="18"/>
          <w:szCs w:val="18"/>
          <w:color w:val="101010"/>
        </w:rPr>
        <w:t>By:</w:t>
      </w:r>
      <w:r>
        <w:rPr>
          <w:sz w:val="20"/>
          <w:szCs w:val="20"/>
          <w:color w:val="auto"/>
        </w:rPr>
        <w:tab/>
      </w:r>
      <w:r>
        <w:rPr>
          <w:rFonts w:ascii="Times New Roman" w:cs="Times New Roman" w:eastAsia="Times New Roman" w:hAnsi="Times New Roman"/>
          <w:sz w:val="18"/>
          <w:szCs w:val="18"/>
          <w:u w:val="single" w:color="auto"/>
          <w:color w:val="101010"/>
        </w:rPr>
        <w:t>/s/ Ruth Cusack /s/ Michel Cadieux</w:t>
      </w:r>
    </w:p>
    <w:p>
      <w:pPr>
        <w:ind w:left="3780"/>
        <w:spacing w:after="0"/>
        <w:tabs>
          <w:tab w:leader="none" w:pos="4460" w:val="left"/>
        </w:tabs>
        <w:rPr>
          <w:sz w:val="20"/>
          <w:szCs w:val="20"/>
          <w:color w:val="auto"/>
        </w:rPr>
      </w:pPr>
      <w:r>
        <w:rPr>
          <w:rFonts w:ascii="Times New Roman" w:cs="Times New Roman" w:eastAsia="Times New Roman" w:hAnsi="Times New Roman"/>
          <w:sz w:val="18"/>
          <w:szCs w:val="18"/>
          <w:color w:val="101010"/>
        </w:rPr>
        <w:t>Name:</w:t>
      </w:r>
      <w:r>
        <w:rPr>
          <w:sz w:val="20"/>
          <w:szCs w:val="20"/>
          <w:color w:val="auto"/>
        </w:rPr>
        <w:tab/>
      </w:r>
      <w:r>
        <w:rPr>
          <w:rFonts w:ascii="Times New Roman" w:cs="Times New Roman" w:eastAsia="Times New Roman" w:hAnsi="Times New Roman"/>
          <w:sz w:val="18"/>
          <w:szCs w:val="18"/>
          <w:u w:val="single" w:color="auto"/>
          <w:color w:val="101010"/>
        </w:rPr>
        <w:t>Ruth Cusack /Michel Cadieux, Sr. VP Human Resources</w:t>
      </w:r>
    </w:p>
    <w:p>
      <w:pPr>
        <w:spacing w:after="0" w:line="16" w:lineRule="exact"/>
        <w:rPr>
          <w:sz w:val="20"/>
          <w:szCs w:val="20"/>
          <w:color w:val="auto"/>
        </w:rPr>
      </w:pPr>
    </w:p>
    <w:p>
      <w:pPr>
        <w:ind w:left="3780"/>
        <w:spacing w:after="0"/>
        <w:tabs>
          <w:tab w:leader="none" w:pos="4360" w:val="left"/>
        </w:tabs>
        <w:rPr>
          <w:sz w:val="20"/>
          <w:szCs w:val="20"/>
          <w:color w:val="auto"/>
        </w:rPr>
      </w:pPr>
      <w:r>
        <w:rPr>
          <w:rFonts w:ascii="Times New Roman" w:cs="Times New Roman" w:eastAsia="Times New Roman" w:hAnsi="Times New Roman"/>
          <w:sz w:val="18"/>
          <w:szCs w:val="18"/>
          <w:color w:val="101010"/>
        </w:rPr>
        <w:t>Title:</w:t>
      </w:r>
      <w:r>
        <w:rPr>
          <w:sz w:val="20"/>
          <w:szCs w:val="20"/>
          <w:color w:val="auto"/>
        </w:rPr>
        <w:tab/>
      </w:r>
      <w:r>
        <w:rPr>
          <w:rFonts w:ascii="Times New Roman" w:cs="Times New Roman" w:eastAsia="Times New Roman" w:hAnsi="Times New Roman"/>
          <w:sz w:val="18"/>
          <w:szCs w:val="18"/>
          <w:u w:val="single" w:color="auto"/>
          <w:color w:val="101010"/>
        </w:rPr>
        <w:t>Sr. Director, Global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101010"/>
        </w:rPr>
        <w:t>48321.0003</w:t>
      </w:r>
      <w:r>
        <w:rPr>
          <w:rFonts w:ascii="Times New Roman" w:cs="Times New Roman" w:eastAsia="Times New Roman" w:hAnsi="Times New Roman"/>
          <w:sz w:val="14"/>
          <w:szCs w:val="14"/>
          <w:color w:val="2D2D2D"/>
        </w:rPr>
        <w:t>.</w:t>
      </w:r>
      <w:r>
        <w:rPr>
          <w:rFonts w:ascii="Times New Roman" w:cs="Times New Roman" w:eastAsia="Times New Roman" w:hAnsi="Times New Roman"/>
          <w:sz w:val="14"/>
          <w:szCs w:val="14"/>
          <w:color w:val="101010"/>
        </w:rPr>
        <w:t>8334355.1</w:t>
      </w:r>
    </w:p>
    <w:p>
      <w:pPr>
        <w:sectPr>
          <w:pgSz w:w="11900" w:h="16838" w:orient="portrait"/>
          <w:cols w:equalWidth="0" w:num="1">
            <w:col w:w="10680"/>
          </w:cols>
          <w:pgMar w:left="440" w:top="1440" w:right="779" w:bottom="1440" w:gutter="0" w:footer="0" w:header="0"/>
        </w:sectPr>
      </w:pPr>
    </w:p>
    <w:bookmarkStart w:id="185" w:name="page186"/>
    <w:bookmarkEnd w:id="185"/>
    <w:p>
      <w:pPr>
        <w:spacing w:after="0" w:line="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101010"/>
        </w:rPr>
        <w:t>SECOND AMENDMENT TO THE</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101010"/>
        </w:rPr>
        <w:t>ITRON, INC. EXECUTIVE DEFERRED COMPENSATION PLAN As Amended and Restated</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101010"/>
        </w:rPr>
        <w:t>Effective January 1, 2012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01010"/>
        </w:rPr>
        <w:t xml:space="preserve">WHEREAS, </w:t>
      </w:r>
      <w:r>
        <w:rPr>
          <w:rFonts w:ascii="Times New Roman" w:cs="Times New Roman" w:eastAsia="Times New Roman" w:hAnsi="Times New Roman"/>
          <w:sz w:val="19"/>
          <w:szCs w:val="19"/>
          <w:color w:val="101010"/>
        </w:rPr>
        <w:t>Itron</w:t>
      </w:r>
      <w:r>
        <w:rPr>
          <w:rFonts w:ascii="Times New Roman" w:cs="Times New Roman" w:eastAsia="Times New Roman" w:hAnsi="Times New Roman"/>
          <w:sz w:val="19"/>
          <w:szCs w:val="19"/>
          <w:color w:val="282828"/>
        </w:rPr>
        <w:t>,</w:t>
      </w:r>
      <w:r>
        <w:rPr>
          <w:rFonts w:ascii="Times New Roman" w:cs="Times New Roman" w:eastAsia="Times New Roman" w:hAnsi="Times New Roman"/>
          <w:sz w:val="18"/>
          <w:szCs w:val="18"/>
          <w:b w:val="1"/>
          <w:bCs w:val="1"/>
          <w:color w:val="101010"/>
        </w:rPr>
        <w:t xml:space="preserve"> </w:t>
      </w:r>
      <w:r>
        <w:rPr>
          <w:rFonts w:ascii="Times New Roman" w:cs="Times New Roman" w:eastAsia="Times New Roman" w:hAnsi="Times New Roman"/>
          <w:sz w:val="19"/>
          <w:szCs w:val="19"/>
          <w:color w:val="101010"/>
        </w:rPr>
        <w:t>Inc. (the</w:t>
      </w:r>
      <w:r>
        <w:rPr>
          <w:rFonts w:ascii="Times New Roman" w:cs="Times New Roman" w:eastAsia="Times New Roman" w:hAnsi="Times New Roman"/>
          <w:sz w:val="18"/>
          <w:szCs w:val="18"/>
          <w:b w:val="1"/>
          <w:bCs w:val="1"/>
          <w:color w:val="101010"/>
        </w:rPr>
        <w:t xml:space="preserve"> </w:t>
      </w:r>
      <w:r>
        <w:rPr>
          <w:rFonts w:ascii="Times New Roman" w:cs="Times New Roman" w:eastAsia="Times New Roman" w:hAnsi="Times New Roman"/>
          <w:sz w:val="19"/>
          <w:szCs w:val="19"/>
          <w:color w:val="282828"/>
        </w:rPr>
        <w:t>"</w:t>
      </w:r>
      <w:r>
        <w:rPr>
          <w:rFonts w:ascii="Times New Roman" w:cs="Times New Roman" w:eastAsia="Times New Roman" w:hAnsi="Times New Roman"/>
          <w:sz w:val="19"/>
          <w:szCs w:val="19"/>
          <w:color w:val="101010"/>
        </w:rPr>
        <w:t>Company") has adopted, and currently maintains</w:t>
      </w:r>
      <w:r>
        <w:rPr>
          <w:rFonts w:ascii="Times New Roman" w:cs="Times New Roman" w:eastAsia="Times New Roman" w:hAnsi="Times New Roman"/>
          <w:sz w:val="19"/>
          <w:szCs w:val="19"/>
          <w:color w:val="282828"/>
        </w:rPr>
        <w:t>,</w:t>
      </w:r>
      <w:r>
        <w:rPr>
          <w:rFonts w:ascii="Times New Roman" w:cs="Times New Roman" w:eastAsia="Times New Roman" w:hAnsi="Times New Roman"/>
          <w:sz w:val="18"/>
          <w:szCs w:val="18"/>
          <w:b w:val="1"/>
          <w:bCs w:val="1"/>
          <w:color w:val="101010"/>
        </w:rPr>
        <w:t xml:space="preserve"> </w:t>
      </w:r>
      <w:r>
        <w:rPr>
          <w:rFonts w:ascii="Times New Roman" w:cs="Times New Roman" w:eastAsia="Times New Roman" w:hAnsi="Times New Roman"/>
          <w:sz w:val="19"/>
          <w:szCs w:val="19"/>
          <w:color w:val="101010"/>
        </w:rPr>
        <w:t>the Itron</w:t>
      </w:r>
      <w:r>
        <w:rPr>
          <w:rFonts w:ascii="Times New Roman" w:cs="Times New Roman" w:eastAsia="Times New Roman" w:hAnsi="Times New Roman"/>
          <w:sz w:val="19"/>
          <w:szCs w:val="19"/>
          <w:color w:val="282828"/>
        </w:rPr>
        <w:t>,</w:t>
      </w:r>
      <w:r>
        <w:rPr>
          <w:rFonts w:ascii="Times New Roman" w:cs="Times New Roman" w:eastAsia="Times New Roman" w:hAnsi="Times New Roman"/>
          <w:sz w:val="18"/>
          <w:szCs w:val="18"/>
          <w:b w:val="1"/>
          <w:bCs w:val="1"/>
          <w:color w:val="101010"/>
        </w:rPr>
        <w:t xml:space="preserve"> </w:t>
      </w:r>
      <w:r>
        <w:rPr>
          <w:rFonts w:ascii="Times New Roman" w:cs="Times New Roman" w:eastAsia="Times New Roman" w:hAnsi="Times New Roman"/>
          <w:sz w:val="19"/>
          <w:szCs w:val="19"/>
          <w:color w:val="101010"/>
        </w:rPr>
        <w:t>Inc. Executive Deferred Compensation Plan (the</w:t>
      </w:r>
    </w:p>
    <w:p>
      <w:pPr>
        <w:spacing w:after="0" w:line="6" w:lineRule="exact"/>
        <w:rPr>
          <w:sz w:val="20"/>
          <w:szCs w:val="20"/>
          <w:color w:val="auto"/>
        </w:rPr>
      </w:pPr>
    </w:p>
    <w:p>
      <w:pPr>
        <w:ind w:right="600"/>
        <w:spacing w:after="0" w:line="221" w:lineRule="auto"/>
        <w:rPr>
          <w:sz w:val="20"/>
          <w:szCs w:val="20"/>
          <w:color w:val="auto"/>
        </w:rPr>
      </w:pP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101010"/>
        </w:rPr>
        <w:t>Plan")</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101010"/>
        </w:rPr>
        <w:t>pursuant to which a select group of management and highly compensated employees may defer compensation and equity</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101010"/>
        </w:rPr>
        <w:t>compensation awards; and</w:t>
      </w:r>
    </w:p>
    <w:p>
      <w:pPr>
        <w:spacing w:after="0" w:line="198" w:lineRule="exact"/>
        <w:rPr>
          <w:sz w:val="20"/>
          <w:szCs w:val="20"/>
          <w:color w:val="auto"/>
        </w:rPr>
      </w:pPr>
    </w:p>
    <w:p>
      <w:pPr>
        <w:ind w:right="20" w:hanging="3"/>
        <w:spacing w:after="0" w:line="245" w:lineRule="auto"/>
        <w:rPr>
          <w:sz w:val="20"/>
          <w:szCs w:val="20"/>
          <w:color w:val="auto"/>
        </w:rPr>
      </w:pPr>
      <w:r>
        <w:rPr>
          <w:rFonts w:ascii="Times New Roman" w:cs="Times New Roman" w:eastAsia="Times New Roman" w:hAnsi="Times New Roman"/>
          <w:sz w:val="20"/>
          <w:szCs w:val="20"/>
          <w:b w:val="1"/>
          <w:bCs w:val="1"/>
          <w:color w:val="101010"/>
        </w:rPr>
        <w:t xml:space="preserve">WHEREAS, </w:t>
      </w:r>
      <w:r>
        <w:rPr>
          <w:rFonts w:ascii="Times New Roman" w:cs="Times New Roman" w:eastAsia="Times New Roman" w:hAnsi="Times New Roman"/>
          <w:sz w:val="20"/>
          <w:szCs w:val="20"/>
          <w:color w:val="101010"/>
        </w:rPr>
        <w:t>effective as of January 1, 2012 (the</w:t>
      </w:r>
      <w:r>
        <w:rPr>
          <w:rFonts w:ascii="Times New Roman" w:cs="Times New Roman" w:eastAsia="Times New Roman" w:hAnsi="Times New Roman"/>
          <w:sz w:val="20"/>
          <w:szCs w:val="20"/>
          <w:b w:val="1"/>
          <w:bCs w:val="1"/>
          <w:color w:val="101010"/>
        </w:rPr>
        <w:t xml:space="preserve"> </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101010"/>
        </w:rPr>
        <w:t>Effective Date"), the Plan permits non-employee members of the Company's Board of</w:t>
      </w:r>
      <w:r>
        <w:rPr>
          <w:rFonts w:ascii="Times New Roman" w:cs="Times New Roman" w:eastAsia="Times New Roman" w:hAnsi="Times New Roman"/>
          <w:sz w:val="20"/>
          <w:szCs w:val="20"/>
          <w:b w:val="1"/>
          <w:bCs w:val="1"/>
          <w:color w:val="101010"/>
        </w:rPr>
        <w:t xml:space="preserve"> </w:t>
      </w:r>
      <w:r>
        <w:rPr>
          <w:rFonts w:ascii="Times New Roman" w:cs="Times New Roman" w:eastAsia="Times New Roman" w:hAnsi="Times New Roman"/>
          <w:sz w:val="20"/>
          <w:szCs w:val="20"/>
          <w:color w:val="101010"/>
        </w:rPr>
        <w:t xml:space="preserve">Directors (the </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101010"/>
        </w:rPr>
        <w:t>Board") to defer directors fees and equity compensation awards</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101010"/>
        </w:rPr>
        <w:t xml:space="preserve"> and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01010"/>
        </w:rPr>
        <w:t xml:space="preserve">WHEREAS, </w:t>
      </w:r>
      <w:r>
        <w:rPr>
          <w:rFonts w:ascii="Times New Roman" w:cs="Times New Roman" w:eastAsia="Times New Roman" w:hAnsi="Times New Roman"/>
          <w:sz w:val="20"/>
          <w:szCs w:val="20"/>
          <w:color w:val="101010"/>
        </w:rPr>
        <w:t>the Compensation Committee of the Board</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b w:val="1"/>
          <w:bCs w:val="1"/>
          <w:color w:val="101010"/>
        </w:rPr>
        <w:t xml:space="preserve"> </w:t>
      </w:r>
      <w:r>
        <w:rPr>
          <w:rFonts w:ascii="Times New Roman" w:cs="Times New Roman" w:eastAsia="Times New Roman" w:hAnsi="Times New Roman"/>
          <w:sz w:val="20"/>
          <w:szCs w:val="20"/>
          <w:color w:val="101010"/>
        </w:rPr>
        <w:t>pursuant to its authority under the Plan</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b w:val="1"/>
          <w:bCs w:val="1"/>
          <w:color w:val="101010"/>
        </w:rPr>
        <w:t xml:space="preserve"> </w:t>
      </w:r>
      <w:r>
        <w:rPr>
          <w:rFonts w:ascii="Times New Roman" w:cs="Times New Roman" w:eastAsia="Times New Roman" w:hAnsi="Times New Roman"/>
          <w:sz w:val="20"/>
          <w:szCs w:val="20"/>
          <w:color w:val="101010"/>
        </w:rPr>
        <w:t>has amended</w:t>
      </w:r>
    </w:p>
    <w:p>
      <w:pPr>
        <w:ind w:right="1800"/>
        <w:spacing w:after="0" w:line="221" w:lineRule="auto"/>
        <w:rPr>
          <w:sz w:val="20"/>
          <w:szCs w:val="20"/>
          <w:color w:val="auto"/>
        </w:rPr>
      </w:pPr>
      <w:r>
        <w:rPr>
          <w:rFonts w:ascii="Times New Roman" w:cs="Times New Roman" w:eastAsia="Times New Roman" w:hAnsi="Times New Roman"/>
          <w:sz w:val="20"/>
          <w:szCs w:val="20"/>
          <w:color w:val="101010"/>
        </w:rPr>
        <w:t>the Plan to clarify its intent regarding distributions to non-employee members of the Board</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101010"/>
        </w:rPr>
        <w:t xml:space="preserve"> and has authorized the Company to document such amendment; and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01010"/>
        </w:rPr>
        <w:t xml:space="preserve">WHEREAS, </w:t>
      </w:r>
      <w:r>
        <w:rPr>
          <w:rFonts w:ascii="Times New Roman" w:cs="Times New Roman" w:eastAsia="Times New Roman" w:hAnsi="Times New Roman"/>
          <w:sz w:val="20"/>
          <w:szCs w:val="20"/>
          <w:color w:val="101010"/>
        </w:rPr>
        <w:t>the Company desires to document such clarification in the terms of the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01010"/>
        </w:rPr>
        <w:t xml:space="preserve">NOW, THEREFORE, </w:t>
      </w:r>
      <w:r>
        <w:rPr>
          <w:rFonts w:ascii="Times New Roman" w:cs="Times New Roman" w:eastAsia="Times New Roman" w:hAnsi="Times New Roman"/>
          <w:sz w:val="20"/>
          <w:szCs w:val="20"/>
          <w:color w:val="101010"/>
        </w:rPr>
        <w:t>the Plan is amended as follows</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b w:val="1"/>
          <w:bCs w:val="1"/>
          <w:color w:val="101010"/>
        </w:rPr>
        <w:t xml:space="preserve"> </w:t>
      </w:r>
      <w:r>
        <w:rPr>
          <w:rFonts w:ascii="Times New Roman" w:cs="Times New Roman" w:eastAsia="Times New Roman" w:hAnsi="Times New Roman"/>
          <w:sz w:val="20"/>
          <w:szCs w:val="20"/>
          <w:color w:val="101010"/>
        </w:rPr>
        <w:t>as of the Effective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01010"/>
        </w:rPr>
        <w:t>Timing of Director Distributions</w:t>
      </w:r>
    </w:p>
    <w:p>
      <w:pPr>
        <w:spacing w:after="0" w:line="220" w:lineRule="exact"/>
        <w:rPr>
          <w:sz w:val="20"/>
          <w:szCs w:val="20"/>
          <w:color w:val="auto"/>
        </w:rPr>
      </w:pPr>
    </w:p>
    <w:p>
      <w:pPr>
        <w:ind w:left="200" w:hanging="178"/>
        <w:spacing w:after="0"/>
        <w:tabs>
          <w:tab w:leader="none" w:pos="200" w:val="left"/>
        </w:tabs>
        <w:numPr>
          <w:ilvl w:val="0"/>
          <w:numId w:val="114"/>
        </w:numPr>
        <w:rPr>
          <w:rFonts w:ascii="Times New Roman" w:cs="Times New Roman" w:eastAsia="Times New Roman" w:hAnsi="Times New Roman"/>
          <w:sz w:val="18"/>
          <w:szCs w:val="18"/>
          <w:color w:val="101010"/>
        </w:rPr>
      </w:pPr>
      <w:r>
        <w:rPr>
          <w:rFonts w:ascii="Times New Roman" w:cs="Times New Roman" w:eastAsia="Times New Roman" w:hAnsi="Times New Roman"/>
          <w:sz w:val="20"/>
          <w:szCs w:val="20"/>
          <w:color w:val="101010"/>
        </w:rPr>
        <w:t>Section 8.l(a) is amended to read as follows:</w:t>
      </w:r>
    </w:p>
    <w:p>
      <w:pPr>
        <w:spacing w:after="0" w:line="229" w:lineRule="exact"/>
        <w:rPr>
          <w:sz w:val="20"/>
          <w:szCs w:val="20"/>
          <w:color w:val="auto"/>
        </w:rPr>
      </w:pPr>
    </w:p>
    <w:p>
      <w:pPr>
        <w:ind w:right="280" w:firstLine="4"/>
        <w:spacing w:after="0" w:line="227" w:lineRule="auto"/>
        <w:rPr>
          <w:sz w:val="20"/>
          <w:szCs w:val="20"/>
          <w:color w:val="auto"/>
        </w:rPr>
      </w:pPr>
      <w:r>
        <w:rPr>
          <w:rFonts w:ascii="Times New Roman" w:cs="Times New Roman" w:eastAsia="Times New Roman" w:hAnsi="Times New Roman"/>
          <w:sz w:val="19"/>
          <w:szCs w:val="19"/>
          <w:color w:val="282828"/>
        </w:rPr>
        <w:t>"</w:t>
      </w:r>
      <w:r>
        <w:rPr>
          <w:rFonts w:ascii="Times New Roman" w:cs="Times New Roman" w:eastAsia="Times New Roman" w:hAnsi="Times New Roman"/>
          <w:sz w:val="19"/>
          <w:szCs w:val="19"/>
          <w:color w:val="101010"/>
        </w:rPr>
        <w:t>With respect to deferrals made on or after January 1</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101010"/>
        </w:rPr>
        <w:t>2012</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101010"/>
        </w:rPr>
        <w:t>with respect to all deferrals made by Director- Participants, and except a</w:t>
      </w:r>
      <w:r>
        <w:rPr>
          <w:rFonts w:ascii="Times New Roman" w:cs="Times New Roman" w:eastAsia="Times New Roman" w:hAnsi="Times New Roman"/>
          <w:sz w:val="19"/>
          <w:szCs w:val="19"/>
          <w:color w:val="282828"/>
        </w:rPr>
        <w:t xml:space="preserve">s </w:t>
      </w:r>
      <w:r>
        <w:rPr>
          <w:rFonts w:ascii="Times New Roman" w:cs="Times New Roman" w:eastAsia="Times New Roman" w:hAnsi="Times New Roman"/>
          <w:sz w:val="19"/>
          <w:szCs w:val="19"/>
          <w:color w:val="101010"/>
        </w:rPr>
        <w:t>provided otherwise in this Article VIII</w:t>
      </w:r>
      <w:r>
        <w:rPr>
          <w:rFonts w:ascii="Times New Roman" w:cs="Times New Roman" w:eastAsia="Times New Roman" w:hAnsi="Times New Roman"/>
          <w:sz w:val="19"/>
          <w:szCs w:val="19"/>
          <w:color w:val="282828"/>
        </w:rPr>
        <w:t>,</w:t>
      </w:r>
      <w:r>
        <w:rPr>
          <w:rFonts w:ascii="Times New Roman" w:cs="Times New Roman" w:eastAsia="Times New Roman" w:hAnsi="Times New Roman"/>
          <w:sz w:val="19"/>
          <w:szCs w:val="19"/>
          <w:color w:val="101010"/>
        </w:rPr>
        <w:t xml:space="preserve"> a Participant's Account shall be distributed or commence to be distributed to the Participant</w:t>
      </w:r>
    </w:p>
    <w:p>
      <w:pPr>
        <w:spacing w:after="0"/>
        <w:rPr>
          <w:sz w:val="20"/>
          <w:szCs w:val="20"/>
          <w:color w:val="auto"/>
        </w:rPr>
      </w:pPr>
      <w:r>
        <w:rPr>
          <w:rFonts w:ascii="Times New Roman" w:cs="Times New Roman" w:eastAsia="Times New Roman" w:hAnsi="Times New Roman"/>
          <w:sz w:val="20"/>
          <w:szCs w:val="20"/>
          <w:color w:val="101010"/>
        </w:rPr>
        <w:t>within ninety (90) days after the Participant</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101010"/>
        </w:rPr>
        <w:t>s Termination."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01010"/>
        </w:rPr>
        <w:t>Except as amended above, the provisions of the Plan shall continue in full force and effect.</w:t>
      </w:r>
    </w:p>
    <w:p>
      <w:pPr>
        <w:spacing w:after="0" w:line="229" w:lineRule="exact"/>
        <w:rPr>
          <w:sz w:val="20"/>
          <w:szCs w:val="20"/>
          <w:color w:val="auto"/>
        </w:rPr>
      </w:pPr>
    </w:p>
    <w:p>
      <w:pPr>
        <w:ind w:right="720"/>
        <w:spacing w:after="0" w:line="233" w:lineRule="auto"/>
        <w:rPr>
          <w:sz w:val="20"/>
          <w:szCs w:val="20"/>
          <w:color w:val="auto"/>
        </w:rPr>
      </w:pPr>
      <w:r>
        <w:rPr>
          <w:rFonts w:ascii="Times New Roman" w:cs="Times New Roman" w:eastAsia="Times New Roman" w:hAnsi="Times New Roman"/>
          <w:sz w:val="20"/>
          <w:szCs w:val="20"/>
          <w:color w:val="101010"/>
        </w:rPr>
        <w:t>IN WITNESS WHEREOF</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101010"/>
        </w:rPr>
        <w:t xml:space="preserve"> the Company</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101010"/>
        </w:rPr>
        <w:t xml:space="preserve"> by its duly authorized officer</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101010"/>
        </w:rPr>
        <w:t xml:space="preserve"> has caused this Amendment to be executed as of the </w:t>
      </w:r>
      <w:r>
        <w:rPr>
          <w:rFonts w:ascii="Arial" w:cs="Arial" w:eastAsia="Arial" w:hAnsi="Arial"/>
          <w:sz w:val="17"/>
          <w:szCs w:val="17"/>
          <w:u w:val="single" w:color="auto"/>
          <w:color w:val="101010"/>
        </w:rPr>
        <w:t>12</w:t>
      </w:r>
      <w:r>
        <w:rPr>
          <w:rFonts w:ascii="Times New Roman" w:cs="Times New Roman" w:eastAsia="Times New Roman" w:hAnsi="Times New Roman"/>
          <w:sz w:val="20"/>
          <w:szCs w:val="20"/>
          <w:color w:val="101010"/>
        </w:rPr>
        <w:t xml:space="preserve"> </w:t>
      </w:r>
      <w:r>
        <w:rPr>
          <w:rFonts w:ascii="Times New Roman" w:cs="Times New Roman" w:eastAsia="Times New Roman" w:hAnsi="Times New Roman"/>
          <w:sz w:val="17"/>
          <w:szCs w:val="17"/>
          <w:color w:val="101010"/>
        </w:rPr>
        <w:t xml:space="preserve">day </w:t>
      </w:r>
      <w:r>
        <w:rPr>
          <w:rFonts w:ascii="Times New Roman" w:cs="Times New Roman" w:eastAsia="Times New Roman" w:hAnsi="Times New Roman"/>
          <w:sz w:val="19"/>
          <w:szCs w:val="19"/>
          <w:color w:val="101010"/>
        </w:rPr>
        <w:t>of</w:t>
      </w:r>
      <w:r>
        <w:rPr>
          <w:rFonts w:ascii="Times New Roman" w:cs="Times New Roman" w:eastAsia="Times New Roman" w:hAnsi="Times New Roman"/>
          <w:sz w:val="17"/>
          <w:szCs w:val="17"/>
          <w:color w:val="101010"/>
        </w:rPr>
        <w:t xml:space="preserve"> </w:t>
      </w:r>
      <w:r>
        <w:rPr>
          <w:rFonts w:ascii="Times New Roman" w:cs="Times New Roman" w:eastAsia="Times New Roman" w:hAnsi="Times New Roman"/>
          <w:sz w:val="19"/>
          <w:szCs w:val="19"/>
          <w:u w:val="single" w:color="auto"/>
          <w:color w:val="101010"/>
        </w:rPr>
        <w:t>September,</w:t>
      </w:r>
      <w:r>
        <w:rPr>
          <w:rFonts w:ascii="Times New Roman" w:cs="Times New Roman" w:eastAsia="Times New Roman" w:hAnsi="Times New Roman"/>
          <w:sz w:val="17"/>
          <w:szCs w:val="17"/>
          <w:color w:val="101010"/>
        </w:rPr>
        <w:t xml:space="preserve"> </w:t>
      </w:r>
      <w:r>
        <w:rPr>
          <w:rFonts w:ascii="Times New Roman" w:cs="Times New Roman" w:eastAsia="Times New Roman" w:hAnsi="Times New Roman"/>
          <w:sz w:val="19"/>
          <w:szCs w:val="19"/>
          <w:color w:val="101010"/>
        </w:rPr>
        <w:t>2018.</w:t>
      </w:r>
    </w:p>
    <w:p>
      <w:pPr>
        <w:spacing w:after="0" w:line="200" w:lineRule="exact"/>
        <w:rPr>
          <w:sz w:val="20"/>
          <w:szCs w:val="20"/>
          <w:color w:val="auto"/>
        </w:rPr>
      </w:pPr>
    </w:p>
    <w:p>
      <w:pPr>
        <w:spacing w:after="0" w:line="2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101010"/>
        </w:rPr>
        <w:t>ITRON, INC.</w:t>
      </w:r>
    </w:p>
    <w:p>
      <w:pPr>
        <w:spacing w:after="0" w:line="214" w:lineRule="exact"/>
        <w:rPr>
          <w:sz w:val="20"/>
          <w:szCs w:val="20"/>
          <w:color w:val="auto"/>
        </w:rPr>
      </w:pPr>
    </w:p>
    <w:p>
      <w:pPr>
        <w:ind w:left="3780"/>
        <w:spacing w:after="0"/>
        <w:tabs>
          <w:tab w:leader="none" w:pos="4280" w:val="left"/>
        </w:tabs>
        <w:rPr>
          <w:sz w:val="20"/>
          <w:szCs w:val="20"/>
          <w:color w:val="auto"/>
        </w:rPr>
      </w:pPr>
      <w:r>
        <w:rPr>
          <w:rFonts w:ascii="Times New Roman" w:cs="Times New Roman" w:eastAsia="Times New Roman" w:hAnsi="Times New Roman"/>
          <w:sz w:val="20"/>
          <w:szCs w:val="20"/>
          <w:color w:val="101010"/>
        </w:rPr>
        <w:t>By:</w:t>
      </w:r>
      <w:r>
        <w:rPr>
          <w:sz w:val="20"/>
          <w:szCs w:val="20"/>
          <w:color w:val="auto"/>
        </w:rPr>
        <w:tab/>
      </w:r>
      <w:r>
        <w:rPr>
          <w:rFonts w:ascii="Times New Roman" w:cs="Times New Roman" w:eastAsia="Times New Roman" w:hAnsi="Times New Roman"/>
          <w:sz w:val="20"/>
          <w:szCs w:val="20"/>
          <w:u w:val="single" w:color="auto"/>
          <w:color w:val="101010"/>
        </w:rPr>
        <w:t>/s/ Michel Cadieux</w:t>
      </w:r>
    </w:p>
    <w:p>
      <w:pPr>
        <w:ind w:left="3780"/>
        <w:spacing w:after="0" w:line="197" w:lineRule="auto"/>
        <w:rPr>
          <w:sz w:val="20"/>
          <w:szCs w:val="20"/>
          <w:color w:val="auto"/>
        </w:rPr>
      </w:pPr>
      <w:r>
        <w:rPr>
          <w:rFonts w:ascii="Times New Roman" w:cs="Times New Roman" w:eastAsia="Times New Roman" w:hAnsi="Times New Roman"/>
          <w:sz w:val="20"/>
          <w:szCs w:val="20"/>
          <w:color w:val="101010"/>
        </w:rPr>
        <w:t xml:space="preserve">Name: </w:t>
      </w:r>
      <w:r>
        <w:rPr>
          <w:rFonts w:ascii="Times New Roman" w:cs="Times New Roman" w:eastAsia="Times New Roman" w:hAnsi="Times New Roman"/>
          <w:sz w:val="20"/>
          <w:szCs w:val="20"/>
          <w:u w:val="single" w:color="auto"/>
          <w:color w:val="101010"/>
        </w:rPr>
        <w:t>Michel Cadieux</w:t>
      </w:r>
    </w:p>
    <w:p>
      <w:pPr>
        <w:ind w:left="3780"/>
        <w:spacing w:after="0"/>
        <w:rPr>
          <w:sz w:val="20"/>
          <w:szCs w:val="20"/>
          <w:color w:val="auto"/>
        </w:rPr>
      </w:pPr>
      <w:r>
        <w:rPr>
          <w:rFonts w:ascii="Times New Roman" w:cs="Times New Roman" w:eastAsia="Times New Roman" w:hAnsi="Times New Roman"/>
          <w:sz w:val="20"/>
          <w:szCs w:val="20"/>
          <w:color w:val="101010"/>
        </w:rPr>
        <w:t xml:space="preserve">Title: </w:t>
      </w:r>
      <w:r>
        <w:rPr>
          <w:rFonts w:ascii="Times New Roman" w:cs="Times New Roman" w:eastAsia="Times New Roman" w:hAnsi="Times New Roman"/>
          <w:sz w:val="20"/>
          <w:szCs w:val="20"/>
          <w:u w:val="single" w:color="auto"/>
          <w:color w:val="101010"/>
        </w:rPr>
        <w:t>SVP of Human Resources</w:t>
      </w:r>
    </w:p>
    <w:p>
      <w:pPr>
        <w:sectPr>
          <w:pgSz w:w="11900" w:h="16838" w:orient="portrait"/>
          <w:cols w:equalWidth="0" w:num="1">
            <w:col w:w="10860"/>
          </w:cols>
          <w:pgMar w:left="440" w:top="1440" w:right="59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SUBSIDIARIES OF THE REGISTRANT AT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Itron, Inc. Domestic Subsidiaries</w:t>
            </w: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State of Incorporation</w:t>
            </w:r>
          </w:p>
        </w:tc>
      </w:tr>
      <w:tr>
        <w:trPr>
          <w:trHeight w:val="245"/>
        </w:trPr>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Itron Global Holdings LLC</w:t>
            </w:r>
          </w:p>
        </w:tc>
        <w:tc>
          <w:tcPr>
            <w:tcW w:w="4160" w:type="dxa"/>
            <w:vAlign w:val="bottom"/>
          </w:tcPr>
          <w:p>
            <w:pPr>
              <w:spacing w:after="0"/>
              <w:rPr>
                <w:sz w:val="21"/>
                <w:szCs w:val="21"/>
                <w:color w:val="auto"/>
              </w:rPr>
            </w:pP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International,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Networked Solutions, Inc.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SSN Holdings,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Global LLC dba Itron Global Trading</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 Cautivo Insurance, Inc.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Utah</w:t>
            </w:r>
          </w:p>
        </w:tc>
      </w:tr>
    </w:tbl>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Itron, Inc. International Subsidiaries</w:t>
            </w:r>
          </w:p>
        </w:tc>
        <w:tc>
          <w:tcPr>
            <w:tcW w:w="3840" w:type="dxa"/>
            <w:vAlign w:val="bottom"/>
          </w:tcPr>
          <w:p>
            <w:pPr>
              <w:spacing w:after="0"/>
              <w:rPr>
                <w:sz w:val="17"/>
                <w:szCs w:val="17"/>
                <w:color w:val="auto"/>
              </w:rPr>
            </w:pP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 or Organization</w:t>
            </w:r>
          </w:p>
        </w:tc>
      </w:tr>
      <w:tr>
        <w:trPr>
          <w:trHeight w:val="245"/>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Australasia Pty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Austria GmbH</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Belgium SA</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Canada, Inc.</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Spring Networks International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Solutions (Suzhou) Co., Ltd.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Systems (Suzhou) Co., Ltd.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Czech Republic s.r.o.</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France S.A.S – Dubai U.A.E. Branch Office</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Dubai</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Asais S.A.S</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Asais Conseil S.A.S.</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France S.A.S.</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Holding France S.A.S.</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Holding Germany GmbH</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Zähler &amp; Systemtechnik GmbH</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Unterstutzungskasse GmbH</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Allmess GmbH</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Unterstutzungseinrichtung GmbH</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Labs Kft</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Hungary</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India Private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Spring Networks India LLP</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Mecoindo (J.V.)</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Management Services Ireland,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Italia SpA</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Japan Co., Ltd.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Solutions Luxembourg SARL</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Global SARL</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Metertek Sdn Bhd (J.V. 100% indirectly owned)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Servicios, S.A. de C.V.</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Nederland B.V.</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New Zealand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New Zealand</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Polska SP ZOO</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Portugal, Unipessoal, LDA.</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Imobiliaria, Unipessoal, LDA.</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Sistemas de Medição Lda.</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r>
    </w:tbl>
    <w:p>
      <w:pPr>
        <w:sectPr>
          <w:pgSz w:w="11900" w:h="16838" w:orient="portrait"/>
          <w:cols w:equalWidth="0" w:num="1">
            <w:col w:w="11200"/>
          </w:cols>
          <w:pgMar w:left="360" w:top="117" w:right="339"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Itron, Inc. International Subsidiaries</w:t>
            </w:r>
          </w:p>
        </w:tc>
        <w:tc>
          <w:tcPr>
            <w:tcW w:w="3840" w:type="dxa"/>
            <w:vAlign w:val="bottom"/>
          </w:tcPr>
          <w:p>
            <w:pPr>
              <w:spacing w:after="0"/>
              <w:rPr>
                <w:sz w:val="17"/>
                <w:szCs w:val="17"/>
                <w:color w:val="auto"/>
              </w:rPr>
            </w:pP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 or Organization</w:t>
            </w:r>
          </w:p>
        </w:tc>
      </w:tr>
      <w:tr>
        <w:trPr>
          <w:trHeight w:val="245"/>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Systems Singapore Pte Ltd. - South Korea Branch Office</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Republic of Korea</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Measurement and Systems (Proprietary)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Republic of South Africa</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LLC</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Russia</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Belgium (Rwandan Branch Office)</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Rwanda</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Systems Singapore Pte Ltd.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Spain SLU</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Sweden AB</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Solutions (Thailand) Co. Ltd.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Ukraine</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Ukraine</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Ukrgas Meters Company (J.V. Majority)</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Ukraine</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Solutions UK Ltd.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Development UK Ltd.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0200"/>
          </w:cols>
          <w:pgMar w:left="360" w:top="918" w:right="1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333-253986 on Form S-3, and Nos. 333-40356, 333-89966, 333-97571, 333-110703, 333-115987, 333-125461, 333-134749, 333-143048, 333-166601, 333-181685, 333-193970, 333-195633, 333-218086, 333-222480, and 333-226020 on Form S-8 of our reports dated February 26, 2024, relating to the financial statements of Itron, Inc. and the effectiveness of Itron, Inc.'s internal control over financial reporting appearing in this Annual Report on Form 10-K for the year ended December 31,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ectPr>
          <w:pgSz w:w="11900" w:h="16838" w:orient="portrait"/>
          <w:cols w:equalWidth="0" w:num="1">
            <w:col w:w="11240"/>
          </w:cols>
          <w:pgMar w:left="320" w:top="117"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L. Deitrich, certify that:</w:t>
      </w:r>
    </w:p>
    <w:p>
      <w:pPr>
        <w:spacing w:after="0" w:line="171" w:lineRule="exact"/>
        <w:rPr>
          <w:sz w:val="20"/>
          <w:szCs w:val="20"/>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Itron,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hanging="324"/>
        <w:spacing w:after="0" w:line="273" w:lineRule="auto"/>
        <w:tabs>
          <w:tab w:leader="none" w:pos="96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23488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5" w:lineRule="exact"/>
        <w:rPr>
          <w:sz w:val="20"/>
          <w:szCs w:val="20"/>
          <w:color w:val="auto"/>
        </w:rPr>
      </w:pPr>
    </w:p>
    <w:p>
      <w:pPr>
        <w:jc w:val="center"/>
        <w:ind w:right="634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jc w:val="center"/>
        <w:ind w:right="63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2024</w:t>
      </w:r>
    </w:p>
    <w:p>
      <w:pPr>
        <w:sectPr>
          <w:pgSz w:w="11900" w:h="16838" w:orient="portrait"/>
          <w:cols w:equalWidth="0" w:num="1">
            <w:col w:w="11240"/>
          </w:cols>
          <w:pgMar w:left="320" w:top="117"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 S. Hooper, certify that:</w:t>
      </w:r>
    </w:p>
    <w:p>
      <w:pPr>
        <w:spacing w:after="0" w:line="171"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Itron,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60"/>
        <w:spacing w:after="0"/>
        <w:tabs>
          <w:tab w:leader="none" w:pos="2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17145</wp:posOffset>
            </wp:positionV>
            <wp:extent cx="32404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2" w:lineRule="exact"/>
        <w:rPr>
          <w:sz w:val="20"/>
          <w:szCs w:val="20"/>
          <w:color w:val="auto"/>
        </w:rPr>
      </w:pPr>
    </w:p>
    <w:p>
      <w:pPr>
        <w:jc w:val="center"/>
        <w:ind w:right="476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6" w:lineRule="exact"/>
        <w:rPr>
          <w:sz w:val="20"/>
          <w:szCs w:val="20"/>
          <w:color w:val="auto"/>
        </w:rPr>
      </w:pPr>
    </w:p>
    <w:p>
      <w:pPr>
        <w:jc w:val="center"/>
        <w:ind w:right="476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2024</w:t>
      </w:r>
    </w:p>
    <w:p>
      <w:pPr>
        <w:sectPr>
          <w:pgSz w:w="11900" w:h="16838" w:orient="portrait"/>
          <w:cols w:equalWidth="0" w:num="1">
            <w:col w:w="11240"/>
          </w:cols>
          <w:pgMar w:left="320" w:top="117"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Annual Report of Itron, Inc. (the Company) on Form 10-K for the year ended December 31, 2023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Thomas L. Deitrich, the Chief Executive Officer and Joan S. Hooper, the Chief Financial Officer of the Company, each certifies that to the best of his or her knowledge:</w:t>
      </w:r>
    </w:p>
    <w:p>
      <w:pPr>
        <w:spacing w:after="0" w:line="162" w:lineRule="exact"/>
        <w:rPr>
          <w:sz w:val="20"/>
          <w:szCs w:val="20"/>
          <w:color w:val="auto"/>
        </w:rPr>
      </w:pPr>
    </w:p>
    <w:p>
      <w:pPr>
        <w:ind w:left="820" w:hanging="326"/>
        <w:spacing w:after="0"/>
        <w:tabs>
          <w:tab w:leader="none" w:pos="8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1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2486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jc w:val="center"/>
        <w:ind w:right="6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12" w:lineRule="exact"/>
        <w:rPr>
          <w:sz w:val="20"/>
          <w:szCs w:val="20"/>
          <w:color w:val="auto"/>
        </w:rPr>
      </w:pPr>
    </w:p>
    <w:p>
      <w:pPr>
        <w:jc w:val="center"/>
        <w:ind w:right="6020"/>
        <w:spacing w:after="0"/>
        <w:rPr>
          <w:sz w:val="20"/>
          <w:szCs w:val="20"/>
          <w:color w:val="auto"/>
        </w:rPr>
      </w:pPr>
      <w:r>
        <w:rPr>
          <w:rFonts w:ascii="Times New Roman" w:cs="Times New Roman" w:eastAsia="Times New Roman" w:hAnsi="Times New Roman"/>
          <w:sz w:val="18"/>
          <w:szCs w:val="18"/>
          <w:b w:val="1"/>
          <w:bCs w:val="1"/>
          <w:color w:val="auto"/>
        </w:rPr>
        <w:t>February 26, 2024</w:t>
      </w:r>
    </w:p>
    <w:p>
      <w:pPr>
        <w:spacing w:after="0" w:line="22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2486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Joan S. Hooper</w:t>
      </w:r>
    </w:p>
    <w:p>
      <w:pPr>
        <w:jc w:val="center"/>
        <w:ind w:right="602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12" w:lineRule="exact"/>
        <w:rPr>
          <w:sz w:val="20"/>
          <w:szCs w:val="20"/>
          <w:color w:val="auto"/>
        </w:rPr>
      </w:pPr>
    </w:p>
    <w:p>
      <w:pPr>
        <w:jc w:val="center"/>
        <w:ind w:right="6020"/>
        <w:spacing w:after="0"/>
        <w:rPr>
          <w:sz w:val="20"/>
          <w:szCs w:val="20"/>
          <w:color w:val="auto"/>
        </w:rPr>
      </w:pPr>
      <w:r>
        <w:rPr>
          <w:rFonts w:ascii="Times New Roman" w:cs="Times New Roman" w:eastAsia="Times New Roman" w:hAnsi="Times New Roman"/>
          <w:sz w:val="18"/>
          <w:szCs w:val="18"/>
          <w:b w:val="1"/>
          <w:bCs w:val="1"/>
          <w:color w:val="auto"/>
        </w:rPr>
        <w:t>February 26, 2024</w:t>
      </w:r>
    </w:p>
    <w:p>
      <w:pPr>
        <w:sectPr>
          <w:pgSz w:w="11900" w:h="16838" w:orient="portrait"/>
          <w:cols w:equalWidth="0" w:num="1">
            <w:col w:w="11240"/>
          </w:cols>
          <w:pgMar w:left="320" w:top="117"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06"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2"/>
          <w:szCs w:val="22"/>
          <w:b w:val="1"/>
          <w:bCs w:val="1"/>
          <w:color w:val="auto"/>
        </w:rPr>
        <w:t>2023 Incentive Compensation Recovery Policy</w:t>
      </w:r>
    </w:p>
    <w:p>
      <w:pPr>
        <w:spacing w:after="0" w:line="247" w:lineRule="exact"/>
        <w:rPr>
          <w:sz w:val="20"/>
          <w:szCs w:val="20"/>
          <w:color w:val="auto"/>
        </w:rPr>
      </w:pPr>
    </w:p>
    <w:p>
      <w:pPr>
        <w:ind w:left="224" w:hanging="224"/>
        <w:spacing w:after="0"/>
        <w:tabs>
          <w:tab w:leader="none" w:pos="224"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Purpose</w:t>
      </w:r>
    </w:p>
    <w:p>
      <w:pPr>
        <w:spacing w:after="0" w:line="206" w:lineRule="exact"/>
        <w:rPr>
          <w:sz w:val="20"/>
          <w:szCs w:val="20"/>
          <w:color w:val="auto"/>
        </w:rPr>
      </w:pPr>
    </w:p>
    <w:p>
      <w:pPr>
        <w:jc w:val="both"/>
        <w:ind w:left="4" w:right="60"/>
        <w:spacing w:after="0" w:line="216" w:lineRule="auto"/>
        <w:rPr>
          <w:sz w:val="20"/>
          <w:szCs w:val="20"/>
          <w:color w:val="auto"/>
        </w:rPr>
      </w:pPr>
      <w:r>
        <w:rPr>
          <w:rFonts w:ascii="Times New Roman" w:cs="Times New Roman" w:eastAsia="Times New Roman" w:hAnsi="Times New Roman"/>
          <w:sz w:val="22"/>
          <w:szCs w:val="22"/>
          <w:color w:val="auto"/>
        </w:rPr>
        <w:t>The purpose of the 2023 Itron, Inc Incentive Compensation Recovery Policy (this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is to provide for the recovery of certain Incentive-Based Compensation in the event of an Accounting Restatement. This Policy is intended to comply with, and to be administered and interpreted consistent with, Section 10D of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Rule 10D-1 promulgated under the Exchange Act (“</w:t>
      </w:r>
      <w:r>
        <w:rPr>
          <w:rFonts w:ascii="Times New Roman" w:cs="Times New Roman" w:eastAsia="Times New Roman" w:hAnsi="Times New Roman"/>
          <w:sz w:val="22"/>
          <w:szCs w:val="22"/>
          <w:b w:val="1"/>
          <w:bCs w:val="1"/>
          <w:color w:val="auto"/>
        </w:rPr>
        <w:t>Rule 10D-1</w:t>
      </w:r>
      <w:r>
        <w:rPr>
          <w:rFonts w:ascii="Times New Roman" w:cs="Times New Roman" w:eastAsia="Times New Roman" w:hAnsi="Times New Roman"/>
          <w:sz w:val="22"/>
          <w:szCs w:val="22"/>
          <w:color w:val="auto"/>
        </w:rPr>
        <w:t>”), and Listing Rule 5608 adopted by the Nasdaq Stock Market LLC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Listing Standards</w:t>
      </w:r>
      <w:r>
        <w:rPr>
          <w:rFonts w:ascii="Times New Roman" w:cs="Times New Roman" w:eastAsia="Times New Roman" w:hAnsi="Times New Roman"/>
          <w:sz w:val="22"/>
          <w:szCs w:val="22"/>
          <w:color w:val="auto"/>
        </w:rPr>
        <w:t xml:space="preserve"> ”). Unless otherwise defined in this Policy, capitalized terms shall have the meanings set forth in Section 10 below.</w:t>
      </w:r>
    </w:p>
    <w:p>
      <w:pPr>
        <w:spacing w:after="0" w:line="213" w:lineRule="exact"/>
        <w:rPr>
          <w:sz w:val="20"/>
          <w:szCs w:val="20"/>
          <w:color w:val="auto"/>
        </w:rPr>
      </w:pPr>
    </w:p>
    <w:p>
      <w:pPr>
        <w:ind w:left="224" w:hanging="224"/>
        <w:spacing w:after="0"/>
        <w:tabs>
          <w:tab w:leader="none" w:pos="224"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Policy for Recovery of Erroneously Awarded Compensation</w:t>
      </w:r>
    </w:p>
    <w:p>
      <w:pPr>
        <w:spacing w:after="0" w:line="210" w:lineRule="exact"/>
        <w:rPr>
          <w:sz w:val="20"/>
          <w:szCs w:val="20"/>
          <w:color w:val="auto"/>
        </w:rPr>
      </w:pPr>
    </w:p>
    <w:p>
      <w:pPr>
        <w:ind w:left="4" w:right="80"/>
        <w:spacing w:after="0" w:line="236" w:lineRule="auto"/>
        <w:rPr>
          <w:sz w:val="20"/>
          <w:szCs w:val="20"/>
          <w:color w:val="auto"/>
        </w:rPr>
      </w:pPr>
      <w:r>
        <w:rPr>
          <w:rFonts w:ascii="Times New Roman" w:cs="Times New Roman" w:eastAsia="Times New Roman" w:hAnsi="Times New Roman"/>
          <w:sz w:val="22"/>
          <w:szCs w:val="22"/>
          <w:color w:val="auto"/>
        </w:rPr>
        <w:t>In the event of an Accounting Restatement, the Company will recover reasonably promptly the amount of any Erroneously Awarded Compensation Received by an Executive Officer during the Recovery Period.</w:t>
      </w:r>
    </w:p>
    <w:p>
      <w:pPr>
        <w:spacing w:after="0" w:line="200" w:lineRule="exact"/>
        <w:rPr>
          <w:sz w:val="20"/>
          <w:szCs w:val="20"/>
          <w:color w:val="auto"/>
        </w:rPr>
      </w:pPr>
    </w:p>
    <w:p>
      <w:pPr>
        <w:ind w:left="224" w:hanging="224"/>
        <w:spacing w:after="0"/>
        <w:tabs>
          <w:tab w:leader="none" w:pos="224"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47" w:lineRule="exact"/>
        <w:rPr>
          <w:sz w:val="20"/>
          <w:szCs w:val="20"/>
          <w:color w:val="auto"/>
        </w:rPr>
      </w:pPr>
    </w:p>
    <w:p>
      <w:pPr>
        <w:jc w:val="both"/>
        <w:ind w:left="864" w:right="80" w:hanging="567"/>
        <w:spacing w:after="0" w:line="231" w:lineRule="auto"/>
        <w:tabs>
          <w:tab w:leader="none" w:pos="844"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color w:val="auto"/>
        </w:rPr>
        <w:t>This Policy shall be administered by the Compensation Committee, except that the Board may determine to act as the administrator or designate another committee of the Board to act as the administrator with respect to any portion of this Policy other than Section 3.3 (the “</w:t>
      </w:r>
      <w:r>
        <w:rPr>
          <w:rFonts w:ascii="Times New Roman" w:cs="Times New Roman" w:eastAsia="Times New Roman" w:hAnsi="Times New Roman"/>
          <w:sz w:val="21"/>
          <w:szCs w:val="21"/>
          <w:b w:val="1"/>
          <w:bCs w:val="1"/>
          <w:color w:val="auto"/>
        </w:rPr>
        <w:t>Administrator</w:t>
      </w:r>
      <w:r>
        <w:rPr>
          <w:rFonts w:ascii="Times New Roman" w:cs="Times New Roman" w:eastAsia="Times New Roman" w:hAnsi="Times New Roman"/>
          <w:sz w:val="21"/>
          <w:szCs w:val="21"/>
          <w:color w:val="auto"/>
        </w:rPr>
        <w:t>”). The Administrator is authorized to interpret and construe this Policy and to make all determinations necessary, appropriate, or advisable for the administration of this Policy.</w:t>
      </w:r>
    </w:p>
    <w:p>
      <w:pPr>
        <w:spacing w:after="0" w:line="177" w:lineRule="exact"/>
        <w:rPr>
          <w:sz w:val="20"/>
          <w:szCs w:val="20"/>
          <w:color w:val="auto"/>
        </w:rPr>
      </w:pPr>
    </w:p>
    <w:p>
      <w:pPr>
        <w:jc w:val="both"/>
        <w:ind w:left="864" w:right="80" w:hanging="567"/>
        <w:spacing w:after="0" w:line="225" w:lineRule="auto"/>
        <w:tabs>
          <w:tab w:leader="none" w:pos="844"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2"/>
          <w:szCs w:val="22"/>
          <w:color w:val="auto"/>
        </w:rPr>
        <w:t>The Administrator is authorized to take appropriate steps to implement this Policy and may effect recovery hereunder by: (i) requiring payment to the Company, (ii) set-off, (iii) reducing compensation, or (iv) such other means or combination of means as the Administrator determines to be appropriate.</w:t>
      </w:r>
    </w:p>
    <w:p>
      <w:pPr>
        <w:spacing w:after="0" w:line="179" w:lineRule="exact"/>
        <w:rPr>
          <w:sz w:val="20"/>
          <w:szCs w:val="20"/>
          <w:color w:val="auto"/>
        </w:rPr>
      </w:pPr>
    </w:p>
    <w:p>
      <w:pPr>
        <w:jc w:val="both"/>
        <w:ind w:left="884" w:right="60" w:hanging="567"/>
        <w:spacing w:after="0" w:line="209" w:lineRule="auto"/>
        <w:tabs>
          <w:tab w:leader="none" w:pos="864"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2"/>
          <w:szCs w:val="22"/>
          <w:color w:val="auto"/>
        </w:rPr>
        <w:t>The Company need not recover Erroneously Awarded Compensation if and to the extent that the Compensation Committee determines that such recovery is impracticable and not required under Rule 10D-1 and the Listing Standards because: (i) the direct expense paid to a third party to assist in enforcing this Policy would exceed the amount to be recovered after making a reasonable attempt to recover, (ii) recovery would violate home country law adopted prior to November 28, 2022, after obtaining the opinion of home country counsel acceptable to Nasdaq, or</w:t>
      </w:r>
    </w:p>
    <w:p>
      <w:pPr>
        <w:spacing w:after="0" w:line="6" w:lineRule="exact"/>
        <w:rPr>
          <w:sz w:val="20"/>
          <w:szCs w:val="20"/>
          <w:color w:val="auto"/>
        </w:rPr>
      </w:pPr>
    </w:p>
    <w:p>
      <w:pPr>
        <w:ind w:left="884" w:right="80" w:firstLine="8"/>
        <w:spacing w:after="0" w:line="235" w:lineRule="auto"/>
        <w:tabs>
          <w:tab w:leader="none" w:pos="128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likely cause an otherwise tax-qualified broad-based retirement plan to fail the requirements of Section 401(a)(13) or Section 411(a) of the Internal Revenue Code of 1986, as amended, and regulations thereunder.</w:t>
      </w:r>
    </w:p>
    <w:p>
      <w:pPr>
        <w:sectPr>
          <w:pgSz w:w="11900" w:h="16838" w:orient="portrait"/>
          <w:cols w:equalWidth="0" w:num="1">
            <w:col w:w="11124"/>
          </w:cols>
          <w:pgMar w:left="436" w:top="104" w:right="339" w:bottom="1440" w:gutter="0" w:footer="0" w:header="0"/>
        </w:sectPr>
      </w:pPr>
    </w:p>
    <w:bookmarkStart w:id="193" w:name="page194"/>
    <w:bookmarkEnd w:id="193"/>
    <w:p>
      <w:pPr>
        <w:ind w:left="862" w:hanging="567"/>
        <w:spacing w:after="0" w:line="236" w:lineRule="auto"/>
        <w:tabs>
          <w:tab w:leader="none" w:pos="842"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2"/>
          <w:szCs w:val="22"/>
          <w:color w:val="auto"/>
        </w:rPr>
        <w:t>Any determinations made by the Administrator under this Policy shall be final and binding on all affected individuals and need not be uniform with respect to each individual covered by this Policy.</w:t>
      </w:r>
    </w:p>
    <w:p>
      <w:pPr>
        <w:spacing w:after="0" w:line="177" w:lineRule="exact"/>
        <w:rPr>
          <w:sz w:val="20"/>
          <w:szCs w:val="20"/>
          <w:color w:val="auto"/>
        </w:rPr>
      </w:pPr>
    </w:p>
    <w:p>
      <w:pPr>
        <w:ind w:left="222" w:hanging="222"/>
        <w:spacing w:after="0"/>
        <w:tabs>
          <w:tab w:leader="none" w:pos="222"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Recovery Rights; Company Claims</w:t>
      </w:r>
    </w:p>
    <w:p>
      <w:pPr>
        <w:spacing w:after="0" w:line="210" w:lineRule="exact"/>
        <w:rPr>
          <w:sz w:val="20"/>
          <w:szCs w:val="20"/>
          <w:color w:val="auto"/>
        </w:rPr>
      </w:pPr>
    </w:p>
    <w:p>
      <w:pPr>
        <w:jc w:val="both"/>
        <w:ind w:left="2"/>
        <w:spacing w:after="0" w:line="215" w:lineRule="auto"/>
        <w:rPr>
          <w:sz w:val="20"/>
          <w:szCs w:val="20"/>
          <w:color w:val="auto"/>
        </w:rPr>
      </w:pPr>
      <w:r>
        <w:rPr>
          <w:rFonts w:ascii="Times New Roman" w:cs="Times New Roman" w:eastAsia="Times New Roman" w:hAnsi="Times New Roman"/>
          <w:sz w:val="22"/>
          <w:szCs w:val="22"/>
          <w:color w:val="auto"/>
        </w:rPr>
        <w:t>Any right of recovery pursuant to this Policy is in addition to, and not in lieu of, any other remedies or rights of recovery that may be available to the Company under applicable law or pursuant to the terms of any other compensation recovery policy of the Company that may be in effect from time to time, including in any employment agreement, plan or award agreement, or similar agreement and any other legal remedies available to the Company. Nothing contained in this Policy and no recovery hereunder shall limit any claims, damages, or other legal remedies the Company may have against an individual arising out of or resulting from any actions or omissions by such individual.</w:t>
      </w:r>
    </w:p>
    <w:p>
      <w:pPr>
        <w:spacing w:after="0" w:line="216" w:lineRule="exact"/>
        <w:rPr>
          <w:sz w:val="20"/>
          <w:szCs w:val="20"/>
          <w:color w:val="auto"/>
        </w:rPr>
      </w:pPr>
    </w:p>
    <w:p>
      <w:pPr>
        <w:ind w:left="222" w:hanging="222"/>
        <w:spacing w:after="0"/>
        <w:tabs>
          <w:tab w:leader="none" w:pos="222"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Reporting and Disclosure</w:t>
      </w:r>
    </w:p>
    <w:p>
      <w:pPr>
        <w:spacing w:after="0" w:line="251"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The Company shall file all disclosures with respect to this Policy in accordance with the requirements of federal securities laws.</w:t>
      </w:r>
    </w:p>
    <w:p>
      <w:pPr>
        <w:spacing w:after="0" w:line="214" w:lineRule="exact"/>
        <w:rPr>
          <w:sz w:val="20"/>
          <w:szCs w:val="20"/>
          <w:color w:val="auto"/>
        </w:rPr>
      </w:pPr>
    </w:p>
    <w:p>
      <w:pPr>
        <w:ind w:left="222" w:hanging="222"/>
        <w:spacing w:after="0"/>
        <w:tabs>
          <w:tab w:leader="none" w:pos="222"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 Prohibition</w:t>
      </w:r>
    </w:p>
    <w:p>
      <w:pPr>
        <w:spacing w:after="0" w:line="210" w:lineRule="exact"/>
        <w:rPr>
          <w:sz w:val="20"/>
          <w:szCs w:val="20"/>
          <w:color w:val="auto"/>
        </w:rPr>
      </w:pPr>
    </w:p>
    <w:p>
      <w:pPr>
        <w:jc w:val="both"/>
        <w:ind w:left="2"/>
        <w:spacing w:after="0" w:line="220" w:lineRule="auto"/>
        <w:rPr>
          <w:sz w:val="20"/>
          <w:szCs w:val="20"/>
          <w:color w:val="auto"/>
        </w:rPr>
      </w:pPr>
      <w:r>
        <w:rPr>
          <w:rFonts w:ascii="Times New Roman" w:cs="Times New Roman" w:eastAsia="Times New Roman" w:hAnsi="Times New Roman"/>
          <w:sz w:val="22"/>
          <w:szCs w:val="22"/>
          <w:color w:val="auto"/>
        </w:rPr>
        <w:t>Notwithstanding the terms of any indemnification or insurance policy or any contractual arrangement that may be interpreted to the contrary, the Company shall not indemnify any individual with respect to amount(s) recovered under this Policy or claims relating to the enforcement of this Policy, including any payment or reimbursement for the cost of third-party insurance purchased by such individual to fund potential clawback obligations hereunder.</w:t>
      </w:r>
    </w:p>
    <w:p>
      <w:pPr>
        <w:spacing w:after="0" w:line="202" w:lineRule="exact"/>
        <w:rPr>
          <w:sz w:val="20"/>
          <w:szCs w:val="20"/>
          <w:color w:val="auto"/>
        </w:rPr>
      </w:pPr>
    </w:p>
    <w:p>
      <w:pPr>
        <w:ind w:left="222" w:hanging="222"/>
        <w:spacing w:after="0"/>
        <w:tabs>
          <w:tab w:leader="none" w:pos="222"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Termination</w:t>
      </w:r>
    </w:p>
    <w:p>
      <w:pPr>
        <w:spacing w:after="0" w:line="251" w:lineRule="exact"/>
        <w:rPr>
          <w:sz w:val="20"/>
          <w:szCs w:val="20"/>
          <w:color w:val="auto"/>
        </w:rPr>
      </w:pPr>
    </w:p>
    <w:p>
      <w:pPr>
        <w:jc w:val="both"/>
        <w:ind w:left="2"/>
        <w:spacing w:after="0" w:line="215" w:lineRule="auto"/>
        <w:rPr>
          <w:sz w:val="20"/>
          <w:szCs w:val="20"/>
          <w:color w:val="auto"/>
        </w:rPr>
      </w:pPr>
      <w:r>
        <w:rPr>
          <w:rFonts w:ascii="Times New Roman" w:cs="Times New Roman" w:eastAsia="Times New Roman" w:hAnsi="Times New Roman"/>
          <w:sz w:val="22"/>
          <w:szCs w:val="22"/>
          <w:color w:val="auto"/>
        </w:rPr>
        <w:t>The Board or the Compensation Committee may amend or terminate this Policy from time to time in its discretion as it deems appropriate and shall amend this policy as it deems necessary to comply with applicable law or any rules or standards adopted by a national securities exchange or association on which the Company’s securities are listed; provided, however, that no amendment or termination of this Policy shall be effective to the extent it would cause the Company to violate any federal securities laws, Securities and Exchange Commission rule or the rules or standards of any national securities exchange or association on which the Company’s securities are listed.</w:t>
      </w:r>
    </w:p>
    <w:p>
      <w:pPr>
        <w:spacing w:after="0" w:line="175" w:lineRule="exact"/>
        <w:rPr>
          <w:sz w:val="20"/>
          <w:szCs w:val="20"/>
          <w:color w:val="auto"/>
        </w:rPr>
      </w:pPr>
    </w:p>
    <w:p>
      <w:pPr>
        <w:ind w:left="222" w:hanging="222"/>
        <w:spacing w:after="0"/>
        <w:tabs>
          <w:tab w:leader="none" w:pos="222"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w:t>
      </w:r>
    </w:p>
    <w:p>
      <w:pPr>
        <w:spacing w:after="0" w:line="210" w:lineRule="exact"/>
        <w:rPr>
          <w:sz w:val="20"/>
          <w:szCs w:val="20"/>
          <w:color w:val="auto"/>
        </w:rPr>
      </w:pPr>
    </w:p>
    <w:p>
      <w:pPr>
        <w:ind w:left="2"/>
        <w:spacing w:after="0" w:line="236" w:lineRule="auto"/>
        <w:rPr>
          <w:sz w:val="20"/>
          <w:szCs w:val="20"/>
          <w:color w:val="auto"/>
        </w:rPr>
      </w:pPr>
      <w:r>
        <w:rPr>
          <w:rFonts w:ascii="Times New Roman" w:cs="Times New Roman" w:eastAsia="Times New Roman" w:hAnsi="Times New Roman"/>
          <w:sz w:val="22"/>
          <w:szCs w:val="22"/>
          <w:color w:val="auto"/>
        </w:rPr>
        <w:t>This Policy shall be binding and enforceable against all individuals who are or were Executive Officers and their beneficiaries, heirs, executors, administrators, or other legal representatives.</w:t>
      </w:r>
    </w:p>
    <w:p>
      <w:pPr>
        <w:spacing w:after="0" w:line="214" w:lineRule="exact"/>
        <w:rPr>
          <w:sz w:val="20"/>
          <w:szCs w:val="20"/>
          <w:color w:val="auto"/>
        </w:rPr>
      </w:pPr>
    </w:p>
    <w:p>
      <w:pPr>
        <w:ind w:left="222" w:hanging="222"/>
        <w:spacing w:after="0"/>
        <w:tabs>
          <w:tab w:leader="none" w:pos="222"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Effective Date</w:t>
      </w:r>
    </w:p>
    <w:p>
      <w:pPr>
        <w:spacing w:after="0" w:line="2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This Policy is effective only for Incentive-Based Compensation granted to an Executive Officer on or after the Effective Date.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2"/>
          </w:cols>
          <w:pgMar w:left="418" w:top="1337" w:right="419" w:bottom="1440" w:gutter="0" w:footer="0" w:header="0"/>
        </w:sectPr>
      </w:pPr>
    </w:p>
    <w:bookmarkStart w:id="194" w:name="page195"/>
    <w:bookmarkEnd w:id="194"/>
    <w:p>
      <w:pPr>
        <w:spacing w:after="0" w:line="194" w:lineRule="exact"/>
        <w:rPr>
          <w:sz w:val="20"/>
          <w:szCs w:val="20"/>
          <w:color w:val="auto"/>
        </w:rPr>
      </w:pPr>
    </w:p>
    <w:p>
      <w:pPr>
        <w:ind w:left="322" w:hanging="322"/>
        <w:spacing w:after="0"/>
        <w:tabs>
          <w:tab w:leader="none" w:pos="322"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purposes of this Policy, the following terms shall have the meanings set forth below:</w:t>
      </w:r>
    </w:p>
    <w:p>
      <w:pPr>
        <w:spacing w:after="0" w:line="219" w:lineRule="exact"/>
        <w:rPr>
          <w:rFonts w:ascii="Times New Roman" w:cs="Times New Roman" w:eastAsia="Times New Roman" w:hAnsi="Times New Roman"/>
          <w:sz w:val="22"/>
          <w:szCs w:val="22"/>
          <w:b w:val="1"/>
          <w:bCs w:val="1"/>
          <w:color w:val="auto"/>
        </w:rPr>
      </w:pPr>
    </w:p>
    <w:p>
      <w:pPr>
        <w:ind w:left="882" w:right="20" w:hanging="568"/>
        <w:spacing w:after="0" w:line="21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10.1.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Restatement</w:t>
      </w:r>
      <w:r>
        <w:rPr>
          <w:rFonts w:ascii="Times New Roman" w:cs="Times New Roman" w:eastAsia="Times New Roman" w:hAnsi="Times New Roman"/>
          <w:sz w:val="22"/>
          <w:szCs w:val="22"/>
          <w:color w:val="auto"/>
        </w:rPr>
        <w:t>” means an accounting restatement of the Company’s financial statements due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material noncompliance with any financial reporting requirement under the securities laws, including any accounting restatement required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4" w:lineRule="exact"/>
        <w:rPr>
          <w:rFonts w:ascii="Times New Roman" w:cs="Times New Roman" w:eastAsia="Times New Roman" w:hAnsi="Times New Roman"/>
          <w:sz w:val="22"/>
          <w:szCs w:val="22"/>
          <w:b w:val="1"/>
          <w:bCs w:val="1"/>
          <w:color w:val="auto"/>
        </w:rPr>
      </w:pPr>
    </w:p>
    <w:p>
      <w:pPr>
        <w:ind w:left="32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10.2.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has the meaning set forth in Section 3.1 hereof.</w:t>
      </w:r>
    </w:p>
    <w:p>
      <w:pPr>
        <w:spacing w:after="0" w:line="206" w:lineRule="exact"/>
        <w:rPr>
          <w:rFonts w:ascii="Times New Roman" w:cs="Times New Roman" w:eastAsia="Times New Roman" w:hAnsi="Times New Roman"/>
          <w:sz w:val="22"/>
          <w:szCs w:val="22"/>
          <w:b w:val="1"/>
          <w:bCs w:val="1"/>
          <w:color w:val="auto"/>
        </w:rPr>
      </w:pPr>
    </w:p>
    <w:p>
      <w:pPr>
        <w:ind w:left="32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10.3.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Company’s Board of Directors.</w:t>
      </w:r>
    </w:p>
    <w:p>
      <w:pPr>
        <w:spacing w:after="0" w:line="206" w:lineRule="exact"/>
        <w:rPr>
          <w:rFonts w:ascii="Times New Roman" w:cs="Times New Roman" w:eastAsia="Times New Roman" w:hAnsi="Times New Roman"/>
          <w:sz w:val="22"/>
          <w:szCs w:val="22"/>
          <w:b w:val="1"/>
          <w:bCs w:val="1"/>
          <w:color w:val="auto"/>
        </w:rPr>
      </w:pPr>
    </w:p>
    <w:p>
      <w:pPr>
        <w:ind w:left="32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10.4.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Itron, Inc</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a Washington corporation, and its affiliates.</w:t>
      </w:r>
    </w:p>
    <w:p>
      <w:pPr>
        <w:spacing w:after="0" w:line="206" w:lineRule="exact"/>
        <w:rPr>
          <w:rFonts w:ascii="Times New Roman" w:cs="Times New Roman" w:eastAsia="Times New Roman" w:hAnsi="Times New Roman"/>
          <w:sz w:val="22"/>
          <w:szCs w:val="22"/>
          <w:b w:val="1"/>
          <w:bCs w:val="1"/>
          <w:color w:val="auto"/>
        </w:rPr>
      </w:pPr>
    </w:p>
    <w:p>
      <w:pPr>
        <w:ind w:left="32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10.5.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the Compensation Committee of the Itron, Inc. Board.</w:t>
      </w:r>
    </w:p>
    <w:p>
      <w:pPr>
        <w:spacing w:after="0" w:line="206" w:lineRule="exact"/>
        <w:rPr>
          <w:rFonts w:ascii="Times New Roman" w:cs="Times New Roman" w:eastAsia="Times New Roman" w:hAnsi="Times New Roman"/>
          <w:sz w:val="22"/>
          <w:szCs w:val="22"/>
          <w:b w:val="1"/>
          <w:bCs w:val="1"/>
          <w:color w:val="auto"/>
        </w:rPr>
      </w:pPr>
    </w:p>
    <w:p>
      <w:pPr>
        <w:ind w:left="32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10.6.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means as of December 1, 2023.</w:t>
      </w:r>
    </w:p>
    <w:p>
      <w:pPr>
        <w:spacing w:after="0" w:line="206" w:lineRule="exact"/>
        <w:rPr>
          <w:rFonts w:ascii="Times New Roman" w:cs="Times New Roman" w:eastAsia="Times New Roman" w:hAnsi="Times New Roman"/>
          <w:sz w:val="22"/>
          <w:szCs w:val="22"/>
          <w:b w:val="1"/>
          <w:bCs w:val="1"/>
          <w:color w:val="auto"/>
        </w:rPr>
      </w:pPr>
    </w:p>
    <w:p>
      <w:pPr>
        <w:ind w:left="882" w:right="20" w:hanging="568"/>
        <w:spacing w:after="0" w:line="21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10.7.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Erroneously Awarded Compensation</w:t>
      </w:r>
      <w:r>
        <w:rPr>
          <w:rFonts w:ascii="Times New Roman" w:cs="Times New Roman" w:eastAsia="Times New Roman" w:hAnsi="Times New Roman"/>
          <w:sz w:val="22"/>
          <w:szCs w:val="22"/>
          <w:color w:val="auto"/>
        </w:rPr>
        <w:t>” means the amount, as determined by the Administrator, of Incentive-Based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received by an Executive Officer that exceeds the amount of Incentive-Based Compensation that would have been received by the Executive Officer had it been determined based on the restated amounts. For Incentive-Based Compensation based on stock price or total shareholder return (“</w:t>
      </w:r>
      <w:r>
        <w:rPr>
          <w:rFonts w:ascii="Times New Roman" w:cs="Times New Roman" w:eastAsia="Times New Roman" w:hAnsi="Times New Roman"/>
          <w:sz w:val="22"/>
          <w:szCs w:val="22"/>
          <w:b w:val="1"/>
          <w:bCs w:val="1"/>
          <w:color w:val="auto"/>
        </w:rPr>
        <w:t>TSR</w:t>
      </w:r>
      <w:r>
        <w:rPr>
          <w:rFonts w:ascii="Times New Roman" w:cs="Times New Roman" w:eastAsia="Times New Roman" w:hAnsi="Times New Roman"/>
          <w:sz w:val="22"/>
          <w:szCs w:val="22"/>
          <w:color w:val="auto"/>
        </w:rPr>
        <w:t>”) the Administrator will determine the amount based on a reasonable estimate of the effect of the Accounting Restatement on the stock price or TSR upon which the Incentive- Based Compensation was received, and the Company will maintain documentation of the determination of that reasonable estimate and provide the documentation to Nasdaq. In all cases, the amount to be recovered will be calculated without regard to any taxes paid by the Executive Officer with respect of the Erroneously Awarded Compensation.</w:t>
      </w:r>
    </w:p>
    <w:p>
      <w:pPr>
        <w:spacing w:after="0" w:line="175" w:lineRule="exact"/>
        <w:rPr>
          <w:rFonts w:ascii="Times New Roman" w:cs="Times New Roman" w:eastAsia="Times New Roman" w:hAnsi="Times New Roman"/>
          <w:sz w:val="22"/>
          <w:szCs w:val="22"/>
          <w:b w:val="1"/>
          <w:bCs w:val="1"/>
          <w:color w:val="auto"/>
        </w:rPr>
      </w:pPr>
    </w:p>
    <w:p>
      <w:pPr>
        <w:ind w:left="882" w:right="20" w:hanging="568"/>
        <w:spacing w:after="0" w:line="22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10.8.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 Officers</w:t>
      </w:r>
      <w:r>
        <w:rPr>
          <w:rFonts w:ascii="Times New Roman" w:cs="Times New Roman" w:eastAsia="Times New Roman" w:hAnsi="Times New Roman"/>
          <w:sz w:val="22"/>
          <w:szCs w:val="22"/>
          <w:color w:val="auto"/>
        </w:rPr>
        <w:t>” means the Company’s current and former executive officers as determined by the Administrator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accordance with Rule 10D-1 and the Listing Standards. Generally, Executive Officers include any executive officer designated by the Board as an “officer” under Rule 16a-1(f) under the Exchange Act.</w:t>
      </w:r>
    </w:p>
    <w:p>
      <w:pPr>
        <w:spacing w:after="0" w:line="173" w:lineRule="exact"/>
        <w:rPr>
          <w:rFonts w:ascii="Times New Roman" w:cs="Times New Roman" w:eastAsia="Times New Roman" w:hAnsi="Times New Roman"/>
          <w:sz w:val="22"/>
          <w:szCs w:val="22"/>
          <w:b w:val="1"/>
          <w:bCs w:val="1"/>
          <w:color w:val="auto"/>
        </w:rPr>
      </w:pPr>
    </w:p>
    <w:p>
      <w:pPr>
        <w:ind w:left="882" w:hanging="568"/>
        <w:spacing w:after="0" w:line="21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10.9.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Reporting Measure</w:t>
      </w:r>
      <w:r>
        <w:rPr>
          <w:rFonts w:ascii="Times New Roman" w:cs="Times New Roman" w:eastAsia="Times New Roman" w:hAnsi="Times New Roman"/>
          <w:sz w:val="22"/>
          <w:szCs w:val="22"/>
          <w:color w:val="auto"/>
        </w:rPr>
        <w:t>” means (i) any measure that is determined and presented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principles used in preparing the Company’s financial statements and any measure derived wholly or in part from such a measure, and (ii) any measure based wholly or in part on the Company’s stock price or total shareholder return. A Financial Reporting Measure need not be presented within the Company’s financial statements or included in a filing with the Securities and Exchange Commission.</w:t>
      </w:r>
    </w:p>
    <w:p>
      <w:pPr>
        <w:spacing w:after="0" w:line="174" w:lineRule="exact"/>
        <w:rPr>
          <w:rFonts w:ascii="Times New Roman" w:cs="Times New Roman" w:eastAsia="Times New Roman" w:hAnsi="Times New Roman"/>
          <w:sz w:val="22"/>
          <w:szCs w:val="22"/>
          <w:b w:val="1"/>
          <w:bCs w:val="1"/>
          <w:color w:val="auto"/>
        </w:rPr>
      </w:pPr>
    </w:p>
    <w:p>
      <w:pPr>
        <w:ind w:left="882" w:right="20" w:hanging="568"/>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10.10.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Incentive-Based Compensation</w:t>
      </w:r>
      <w:r>
        <w:rPr>
          <w:rFonts w:ascii="Times New Roman" w:cs="Times New Roman" w:eastAsia="Times New Roman" w:hAnsi="Times New Roman"/>
          <w:sz w:val="22"/>
          <w:szCs w:val="22"/>
          <w:color w:val="auto"/>
        </w:rPr>
        <w:t>” means any compensation granted, earned, or vested based in whole or in part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attainment of a Financial Reporting Measure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2"/>
          </w:cols>
          <w:pgMar w:left="418" w:top="1440" w:right="399" w:bottom="1440" w:gutter="0" w:footer="0" w:header="0"/>
        </w:sectPr>
      </w:pPr>
    </w:p>
    <w:bookmarkStart w:id="195" w:name="page196"/>
    <w:bookmarkEnd w:id="195"/>
    <w:p>
      <w:pPr>
        <w:jc w:val="both"/>
        <w:ind w:left="560"/>
        <w:spacing w:after="0" w:line="220" w:lineRule="auto"/>
        <w:rPr>
          <w:sz w:val="20"/>
          <w:szCs w:val="20"/>
          <w:color w:val="auto"/>
        </w:rPr>
      </w:pPr>
      <w:r>
        <w:rPr>
          <w:rFonts w:ascii="Times New Roman" w:cs="Times New Roman" w:eastAsia="Times New Roman" w:hAnsi="Times New Roman"/>
          <w:sz w:val="22"/>
          <w:szCs w:val="22"/>
          <w:color w:val="auto"/>
        </w:rPr>
        <w:t>that was Received by an individual (i) on or after the Effective Date and after such individual began service as an Executive Officer, (ii) who served as an Executive Officer at any time during the performance period for the Incentive-Based Compensation and (iii) while the Company had a listed class of securities on a national securities exchange or association.</w:t>
      </w:r>
    </w:p>
    <w:p>
      <w:pPr>
        <w:spacing w:after="0" w:line="175" w:lineRule="exact"/>
        <w:rPr>
          <w:sz w:val="20"/>
          <w:szCs w:val="20"/>
          <w:color w:val="auto"/>
        </w:rPr>
      </w:pPr>
    </w:p>
    <w:p>
      <w:pPr>
        <w:jc w:val="both"/>
        <w:ind w:left="560" w:right="20" w:hanging="567"/>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10.11. </w:t>
      </w:r>
      <w:r>
        <w:rPr>
          <w:rFonts w:ascii="Times New Roman" w:cs="Times New Roman" w:eastAsia="Times New Roman" w:hAnsi="Times New Roman"/>
          <w:sz w:val="22"/>
          <w:szCs w:val="22"/>
          <w:color w:val="auto"/>
        </w:rPr>
        <w:t>Incentive-Based Compensation is deemed to be “</w:t>
      </w:r>
      <w:r>
        <w:rPr>
          <w:rFonts w:ascii="Times New Roman" w:cs="Times New Roman" w:eastAsia="Times New Roman" w:hAnsi="Times New Roman"/>
          <w:sz w:val="22"/>
          <w:szCs w:val="22"/>
          <w:b w:val="1"/>
          <w:bCs w:val="1"/>
          <w:color w:val="auto"/>
        </w:rPr>
        <w:t>Received</w:t>
      </w:r>
      <w:r>
        <w:rPr>
          <w:rFonts w:ascii="Times New Roman" w:cs="Times New Roman" w:eastAsia="Times New Roman" w:hAnsi="Times New Roman"/>
          <w:sz w:val="22"/>
          <w:szCs w:val="22"/>
          <w:color w:val="auto"/>
        </w:rPr>
        <w:t>” in the Company’s fiscal period during which the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Reporting Measure specified in the Incentive-Based Compensation award is attained, even if the payment or grant of such Incentive-Based Compensation occurs after the end of that period.</w:t>
      </w:r>
    </w:p>
    <w:p>
      <w:pPr>
        <w:spacing w:after="0" w:line="173" w:lineRule="exact"/>
        <w:rPr>
          <w:sz w:val="20"/>
          <w:szCs w:val="20"/>
          <w:color w:val="auto"/>
        </w:rPr>
      </w:pPr>
    </w:p>
    <w:p>
      <w:pPr>
        <w:jc w:val="both"/>
        <w:ind w:left="560" w:hanging="567"/>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10.12.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Recovery Period</w:t>
      </w:r>
      <w:r>
        <w:rPr>
          <w:rFonts w:ascii="Times New Roman" w:cs="Times New Roman" w:eastAsia="Times New Roman" w:hAnsi="Times New Roman"/>
          <w:sz w:val="22"/>
          <w:szCs w:val="22"/>
          <w:color w:val="auto"/>
        </w:rPr>
        <w:t>” means the three completed fiscal years immediately preceding the date that the Company is required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prepare the applicable Accounting Restatement and any “transition period” as described under Rule 10D-1 and the Listing Standards. For purposes of this Policy, the “</w:t>
      </w:r>
      <w:r>
        <w:rPr>
          <w:rFonts w:ascii="Times New Roman" w:cs="Times New Roman" w:eastAsia="Times New Roman" w:hAnsi="Times New Roman"/>
          <w:sz w:val="22"/>
          <w:szCs w:val="22"/>
          <w:b w:val="1"/>
          <w:bCs w:val="1"/>
          <w:color w:val="auto"/>
        </w:rPr>
        <w:t>date that the Company is required to prepare the 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Accounting Restatement</w:t>
      </w:r>
      <w:r>
        <w:rPr>
          <w:rFonts w:ascii="Times New Roman" w:cs="Times New Roman" w:eastAsia="Times New Roman" w:hAnsi="Times New Roman"/>
          <w:sz w:val="22"/>
          <w:szCs w:val="22"/>
          <w:color w:val="auto"/>
        </w:rPr>
        <w:t>” is the earlier to occur of (i) the date the Board, a committee of the Board, or the officer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060"/>
      </w:cols>
      <w:pgMar w:left="440" w:top="134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1)"/>
      <w:numFmt w:val="lowerLetter"/>
      <w:start w:val="1"/>
    </w:lvl>
  </w:abstractNum>
  <w:abstractNum w:abstractNumId="6">
    <w:nsid w:val="1381823A"/>
    <w:multiLevelType w:val="hybridMultilevel"/>
    <w:lvl w:ilvl="0">
      <w:lvlJc w:val="left"/>
      <w:lvlText w:val="(%1)"/>
      <w:numFmt w:val="decimal"/>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1)"/>
      <w:numFmt w:val="decimal"/>
      <w:start w:val="1"/>
    </w:lvl>
  </w:abstractNum>
  <w:abstractNum w:abstractNumId="10">
    <w:nsid w:val="15014ACB"/>
    <w:multiLevelType w:val="hybridMultilevel"/>
    <w:lvl w:ilvl="0">
      <w:lvlJc w:val="left"/>
      <w:lvlText w:val="(%1)"/>
      <w:numFmt w:val="upperLetter"/>
      <w:start w:val="15"/>
    </w:lvl>
  </w:abstractNum>
  <w:abstractNum w:abstractNumId="11">
    <w:nsid w:val="5F5E7FD0"/>
    <w:multiLevelType w:val="hybridMultilevel"/>
    <w:lvl w:ilvl="0">
      <w:lvlJc w:val="left"/>
      <w:lvlText w:val="(%1)"/>
      <w:numFmt w:val="upperLetter"/>
      <w:start w:val="12"/>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1)"/>
      <w:numFmt w:val="decimal"/>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1)"/>
      <w:numFmt w:val="decimal"/>
      <w:start w:val="1"/>
    </w:lvl>
  </w:abstractNum>
  <w:abstractNum w:abstractNumId="16">
    <w:nsid w:val="168E121F"/>
    <w:multiLevelType w:val="hybridMultilevel"/>
    <w:lvl w:ilvl="0">
      <w:lvlJc w:val="left"/>
      <w:lvlText w:val="(%1)"/>
      <w:numFmt w:val="decimal"/>
      <w:start w:val="1"/>
    </w:lvl>
  </w:abstractNum>
  <w:abstractNum w:abstractNumId="17">
    <w:nsid w:val="1EBA5D23"/>
    <w:multiLevelType w:val="hybridMultilevel"/>
    <w:lvl w:ilvl="0">
      <w:lvlJc w:val="left"/>
      <w:lvlText w:val="•"/>
      <w:numFmt w:val="bullet"/>
      <w:start w:val="1"/>
    </w:lvl>
    <w:lvl w:ilvl="1">
      <w:lvlJc w:val="left"/>
      <w:lvlText w:val="\endash "/>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1)"/>
      <w:numFmt w:val="decimal"/>
      <w:start w:val="1"/>
    </w:lvl>
  </w:abstractNum>
  <w:abstractNum w:abstractNumId="21">
    <w:nsid w:val="7BD3EE7B"/>
    <w:multiLevelType w:val="hybridMultilevel"/>
    <w:lvl w:ilvl="0">
      <w:lvlJc w:val="left"/>
      <w:lvlText w:val="(%1)"/>
      <w:numFmt w:val="decimal"/>
      <w:start w:val="1"/>
    </w:lvl>
  </w:abstractNum>
  <w:abstractNum w:abstractNumId="22">
    <w:nsid w:val="51D9C564"/>
    <w:multiLevelType w:val="hybridMultilevel"/>
    <w:lvl w:ilvl="0">
      <w:lvlJc w:val="left"/>
      <w:lvlText w:val="%1"/>
      <w:numFmt w:val="decimal"/>
      <w:start w:val="10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1."/>
      <w:numFmt w:val="decimal"/>
      <w:start w:val="1"/>
    </w:lvl>
  </w:abstractNum>
  <w:abstractNum w:abstractNumId="25">
    <w:nsid w:val="11447B73"/>
    <w:multiLevelType w:val="hybridMultilevel"/>
    <w:lvl w:ilvl="0">
      <w:lvlJc w:val="left"/>
      <w:lvlText w:val="%1."/>
      <w:numFmt w:val="decimal"/>
      <w:start w:val="5"/>
    </w:lvl>
  </w:abstractNum>
  <w:abstractNum w:abstractNumId="26">
    <w:nsid w:val="42963E5A"/>
    <w:multiLevelType w:val="hybridMultilevel"/>
    <w:lvl w:ilvl="0">
      <w:lvlJc w:val="left"/>
      <w:lvlText w:val="(%1)"/>
      <w:numFmt w:val="upperLetter"/>
      <w:start w:val="1"/>
    </w:lvl>
  </w:abstractNum>
  <w:abstractNum w:abstractNumId="27">
    <w:nsid w:val="A0382C5"/>
    <w:multiLevelType w:val="hybridMultilevel"/>
    <w:lvl w:ilvl="0">
      <w:lvlJc w:val="left"/>
      <w:lvlText w:val="(%1)"/>
      <w:numFmt w:val="upperLetter"/>
      <w:start w:val="1"/>
    </w:lvl>
  </w:abstractNum>
  <w:abstractNum w:abstractNumId="28">
    <w:nsid w:val="8F2B15E"/>
    <w:multiLevelType w:val="hybridMultilevel"/>
    <w:lvl w:ilvl="0">
      <w:lvlJc w:val="left"/>
      <w:lvlText w:val="%1."/>
      <w:numFmt w:val="decimal"/>
      <w:start w:val="6"/>
    </w:lvl>
  </w:abstractNum>
  <w:abstractNum w:abstractNumId="29">
    <w:nsid w:val="1A32234B"/>
    <w:multiLevelType w:val="hybridMultilevel"/>
    <w:lvl w:ilvl="0">
      <w:lvlJc w:val="left"/>
      <w:lvlText w:val="(%1)"/>
      <w:numFmt w:val="lowerRoman"/>
      <w:start w:val="2"/>
    </w:lvl>
  </w:abstractNum>
  <w:abstractNum w:abstractNumId="30">
    <w:nsid w:val="3B0FD379"/>
    <w:multiLevelType w:val="hybridMultilevel"/>
    <w:lvl w:ilvl="0">
      <w:lvlJc w:val="left"/>
      <w:lvlText w:val="(%1)"/>
      <w:numFmt w:val="lowerRoman"/>
      <w:start w:val="2"/>
    </w:lvl>
  </w:abstractNum>
  <w:abstractNum w:abstractNumId="31">
    <w:nsid w:val="68EB2F63"/>
    <w:multiLevelType w:val="hybridMultilevel"/>
    <w:lvl w:ilvl="0">
      <w:lvlJc w:val="left"/>
      <w:lvlText w:val="%1."/>
      <w:numFmt w:val="decimal"/>
      <w:start w:val="7"/>
    </w:lvl>
  </w:abstractNum>
  <w:abstractNum w:abstractNumId="32">
    <w:nsid w:val="4962813B"/>
    <w:multiLevelType w:val="hybridMultilevel"/>
    <w:lvl w:ilvl="0">
      <w:lvlJc w:val="left"/>
      <w:lvlText w:val="%1."/>
      <w:numFmt w:val="decimal"/>
      <w:start w:val="9"/>
    </w:lvl>
  </w:abstractNum>
  <w:abstractNum w:abstractNumId="33">
    <w:nsid w:val="60B6DF70"/>
    <w:multiLevelType w:val="hybridMultilevel"/>
    <w:lvl w:ilvl="0">
      <w:lvlJc w:val="left"/>
      <w:lvlText w:val="%1."/>
      <w:numFmt w:val="decimal"/>
      <w:start w:val="12"/>
    </w:lvl>
  </w:abstractNum>
  <w:abstractNum w:abstractNumId="34">
    <w:nsid w:val="6A5EE64"/>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35">
    <w:nsid w:val="14330624"/>
    <w:multiLevelType w:val="hybridMultilevel"/>
    <w:lvl w:ilvl="0">
      <w:lvlJc w:val="left"/>
      <w:lvlText w:val="%1"/>
      <w:numFmt w:val="decimal"/>
      <w:start w:val="1"/>
    </w:lvl>
    <w:lvl w:ilvl="1">
      <w:lvlJc w:val="left"/>
      <w:lvlText w:val="(%2)"/>
      <w:numFmt w:val="decimal"/>
      <w:start w:val="2"/>
    </w:lvl>
    <w:lvl w:ilvl="2">
      <w:lvlJc w:val="left"/>
      <w:lvlText w:val="(%3)"/>
      <w:numFmt w:val="upperLetter"/>
      <w:start w:val="2"/>
    </w:lvl>
  </w:abstractNum>
  <w:abstractNum w:abstractNumId="36">
    <w:nsid w:val="7FFFCA11"/>
    <w:multiLevelType w:val="hybridMultilevel"/>
    <w:lvl w:ilvl="0">
      <w:lvlJc w:val="left"/>
      <w:lvlText w:val="%1."/>
      <w:numFmt w:val="decimal"/>
      <w:start w:val="14"/>
    </w:lvl>
    <w:lvl w:ilvl="1">
      <w:lvlJc w:val="left"/>
      <w:lvlText w:val="%2"/>
      <w:numFmt w:val="decimal"/>
      <w:start w:val="1"/>
    </w:lvl>
    <w:lvl w:ilvl="2">
      <w:lvlJc w:val="left"/>
      <w:lvlText w:val="%3"/>
      <w:numFmt w:val="upperLetter"/>
      <w:start w:val="1"/>
    </w:lvl>
  </w:abstractNum>
  <w:abstractNum w:abstractNumId="37">
    <w:nsid w:val="1A27709E"/>
    <w:multiLevelType w:val="hybridMultilevel"/>
    <w:lvl w:ilvl="0">
      <w:lvlJc w:val="left"/>
      <w:lvlText w:val="%1."/>
      <w:numFmt w:val="decimal"/>
      <w:start w:val="15"/>
    </w:lvl>
  </w:abstractNum>
  <w:abstractNum w:abstractNumId="38">
    <w:nsid w:val="71EA1109"/>
    <w:multiLevelType w:val="hybridMultilevel"/>
    <w:lvl w:ilvl="0">
      <w:lvlJc w:val="left"/>
      <w:lvlText w:val="(%1)"/>
      <w:numFmt w:val="upperLetter"/>
      <w:start w:val="1"/>
    </w:lvl>
  </w:abstractNum>
  <w:abstractNum w:abstractNumId="39">
    <w:nsid w:val="100F59DC"/>
    <w:multiLevelType w:val="hybridMultilevel"/>
    <w:lvl w:ilvl="0">
      <w:lvlJc w:val="left"/>
      <w:lvlText w:val="(%1)"/>
      <w:numFmt w:val="upperLetter"/>
      <w:start w:val="1"/>
    </w:lvl>
  </w:abstractNum>
  <w:abstractNum w:abstractNumId="40">
    <w:nsid w:val="7FB7E0AA"/>
    <w:multiLevelType w:val="hybridMultilevel"/>
    <w:lvl w:ilvl="0">
      <w:lvlJc w:val="left"/>
      <w:lvlText w:val="(%1)"/>
      <w:numFmt w:val="upperLetter"/>
      <w:start w:val="1"/>
    </w:lvl>
  </w:abstractNum>
  <w:abstractNum w:abstractNumId="41">
    <w:nsid w:val="6EB5BD4"/>
    <w:multiLevelType w:val="hybridMultilevel"/>
    <w:lvl w:ilvl="0">
      <w:lvlJc w:val="left"/>
      <w:lvlText w:val="(%1)"/>
      <w:numFmt w:val="upperLetter"/>
      <w:start w:val="2"/>
    </w:lvl>
  </w:abstractNum>
  <w:abstractNum w:abstractNumId="42">
    <w:nsid w:val="6F6DD9AC"/>
    <w:multiLevelType w:val="hybridMultilevel"/>
    <w:lvl w:ilvl="0">
      <w:lvlJc w:val="left"/>
      <w:lvlText w:val="(%1)"/>
      <w:numFmt w:val="upperLetter"/>
      <w:start w:val="4"/>
    </w:lvl>
  </w:abstractNum>
  <w:abstractNum w:abstractNumId="43">
    <w:nsid w:val="94211F2"/>
    <w:multiLevelType w:val="hybridMultilevel"/>
    <w:lvl w:ilvl="0">
      <w:lvlJc w:val="left"/>
      <w:lvlText w:val="%1."/>
      <w:numFmt w:val="upperLetter"/>
      <w:start w:val="1"/>
    </w:lvl>
  </w:abstractNum>
  <w:abstractNum w:abstractNumId="44">
    <w:nsid w:val="885E1B"/>
    <w:multiLevelType w:val="hybridMultilevel"/>
    <w:lvl w:ilvl="0">
      <w:lvlJc w:val="left"/>
      <w:lvlText w:val="%1."/>
      <w:numFmt w:val="decimal"/>
      <w:start w:val="1"/>
    </w:lvl>
  </w:abstractNum>
  <w:abstractNum w:abstractNumId="45">
    <w:nsid w:val="76272110"/>
    <w:multiLevelType w:val="hybridMultilevel"/>
    <w:lvl w:ilvl="0">
      <w:lvlJc w:val="left"/>
      <w:lvlText w:val="%1."/>
      <w:numFmt w:val="decimal"/>
      <w:start w:val="2"/>
    </w:lvl>
  </w:abstractNum>
  <w:abstractNum w:abstractNumId="46">
    <w:nsid w:val="4C04A8AF"/>
    <w:multiLevelType w:val="hybridMultilevel"/>
    <w:lvl w:ilvl="0">
      <w:lvlJc w:val="left"/>
      <w:lvlText w:val="%1."/>
      <w:numFmt w:val="decimal"/>
      <w:start w:val="3"/>
    </w:lvl>
  </w:abstractNum>
  <w:abstractNum w:abstractNumId="47">
    <w:nsid w:val="1716703B"/>
    <w:multiLevelType w:val="hybridMultilevel"/>
    <w:lvl w:ilvl="0">
      <w:lvlJc w:val="left"/>
      <w:lvlText w:val="(%1)"/>
      <w:numFmt w:val="decimal"/>
      <w:start w:val="60"/>
    </w:lvl>
  </w:abstractNum>
  <w:abstractNum w:abstractNumId="48">
    <w:nsid w:val="14E17E33"/>
    <w:multiLevelType w:val="hybridMultilevel"/>
    <w:lvl w:ilvl="0">
      <w:lvlJc w:val="left"/>
      <w:lvlText w:val="(%1)"/>
      <w:numFmt w:val="lowerLetter"/>
      <w:start w:val="1"/>
    </w:lvl>
  </w:abstractNum>
  <w:abstractNum w:abstractNumId="49">
    <w:nsid w:val="3222E7CD"/>
    <w:multiLevelType w:val="hybridMultilevel"/>
    <w:lvl w:ilvl="0">
      <w:lvlJc w:val="left"/>
      <w:lvlText w:val="%1."/>
      <w:numFmt w:val="decimal"/>
      <w:start w:val="4"/>
    </w:lvl>
    <w:lvl w:ilvl="1">
      <w:lvlJc w:val="left"/>
      <w:lvlText w:val="(%2)"/>
      <w:numFmt w:val="lowerLetter"/>
      <w:start w:val="1"/>
    </w:lvl>
  </w:abstractNum>
  <w:abstractNum w:abstractNumId="50">
    <w:nsid w:val="74DE0EE3"/>
    <w:multiLevelType w:val="hybridMultilevel"/>
    <w:lvl w:ilvl="0">
      <w:lvlJc w:val="left"/>
      <w:lvlText w:val="%1."/>
      <w:numFmt w:val="decimal"/>
      <w:start w:val="5"/>
    </w:lvl>
  </w:abstractNum>
  <w:abstractNum w:abstractNumId="51">
    <w:nsid w:val="68EBC550"/>
    <w:multiLevelType w:val="hybridMultilevel"/>
    <w:lvl w:ilvl="0">
      <w:lvlJc w:val="left"/>
      <w:lvlText w:val="%1"/>
      <w:numFmt w:val="decimal"/>
      <w:start w:val="1"/>
    </w:lvl>
    <w:lvl w:ilvl="1">
      <w:lvlJc w:val="left"/>
      <w:lvlText w:val="(%2)"/>
      <w:numFmt w:val="lowerLetter"/>
      <w:start w:val="1"/>
    </w:lvl>
  </w:abstractNum>
  <w:abstractNum w:abstractNumId="52">
    <w:nsid w:val="2DF6D648"/>
    <w:multiLevelType w:val="hybridMultilevel"/>
    <w:lvl w:ilvl="0">
      <w:lvlJc w:val="left"/>
      <w:lvlText w:val="%1."/>
      <w:numFmt w:val="decimal"/>
      <w:start w:val="6"/>
    </w:lvl>
    <w:lvl w:ilvl="1">
      <w:lvlJc w:val="left"/>
      <w:lvlText w:val="%2"/>
      <w:numFmt w:val="lowerLetter"/>
      <w:start w:val="1"/>
    </w:lvl>
  </w:abstractNum>
  <w:abstractNum w:abstractNumId="53">
    <w:nsid w:val="46B7D447"/>
    <w:multiLevelType w:val="hybridMultilevel"/>
    <w:lvl w:ilvl="0">
      <w:lvlJc w:val="left"/>
      <w:lvlText w:val="%1."/>
      <w:numFmt w:val="decimal"/>
      <w:start w:val="7"/>
    </w:lvl>
    <w:lvl w:ilvl="1">
      <w:lvlJc w:val="left"/>
      <w:lvlText w:val="(%2)"/>
      <w:numFmt w:val="lowerLetter"/>
      <w:start w:val="1"/>
    </w:lvl>
  </w:abstractNum>
  <w:abstractNum w:abstractNumId="54">
    <w:nsid w:val="4A2AC315"/>
    <w:multiLevelType w:val="hybridMultilevel"/>
    <w:lvl w:ilvl="0">
      <w:lvlJc w:val="left"/>
      <w:lvlText w:val="(%1)"/>
      <w:numFmt w:val="lowerLetter"/>
      <w:start w:val="1"/>
    </w:lvl>
  </w:abstractNum>
  <w:abstractNum w:abstractNumId="55">
    <w:nsid w:val="39EE015C"/>
    <w:multiLevelType w:val="hybridMultilevel"/>
    <w:lvl w:ilvl="0">
      <w:lvlJc w:val="left"/>
      <w:lvlText w:val="(%1)"/>
      <w:numFmt w:val="lowerLetter"/>
      <w:start w:val="1"/>
    </w:lvl>
  </w:abstractNum>
  <w:abstractNum w:abstractNumId="56">
    <w:nsid w:val="57FC4FBB"/>
    <w:multiLevelType w:val="hybridMultilevel"/>
    <w:lvl w:ilvl="0">
      <w:lvlJc w:val="left"/>
      <w:lvlText w:val="(%1)"/>
      <w:numFmt w:val="decimal"/>
      <w:start w:val="1"/>
    </w:lvl>
  </w:abstractNum>
  <w:abstractNum w:abstractNumId="57">
    <w:nsid w:val="CC1016F"/>
    <w:multiLevelType w:val="hybridMultilevel"/>
    <w:lvl w:ilvl="0">
      <w:lvlJc w:val="left"/>
      <w:lvlText w:val="(%1)"/>
      <w:numFmt w:val="lowerLetter"/>
      <w:start w:val="2"/>
    </w:lvl>
  </w:abstractNum>
  <w:abstractNum w:abstractNumId="58">
    <w:nsid w:val="43F18422"/>
    <w:multiLevelType w:val="hybridMultilevel"/>
    <w:lvl w:ilvl="0">
      <w:lvlJc w:val="left"/>
      <w:lvlText w:val="(%1)"/>
      <w:numFmt w:val="lowerLetter"/>
      <w:start w:val="3"/>
    </w:lvl>
  </w:abstractNum>
  <w:abstractNum w:abstractNumId="59">
    <w:nsid w:val="60EF0119"/>
    <w:multiLevelType w:val="hybridMultilevel"/>
    <w:lvl w:ilvl="0">
      <w:lvlJc w:val="left"/>
      <w:lvlText w:val="(%1)"/>
      <w:numFmt w:val="lowerLetter"/>
      <w:start w:val="4"/>
    </w:lvl>
  </w:abstractNum>
  <w:abstractNum w:abstractNumId="60">
    <w:nsid w:val="26F324BA"/>
    <w:multiLevelType w:val="hybridMultilevel"/>
    <w:lvl w:ilvl="0">
      <w:lvlJc w:val="left"/>
      <w:lvlText w:val="(%1)"/>
      <w:numFmt w:val="lowerLetter"/>
      <w:start w:val="1"/>
    </w:lvl>
  </w:abstractNum>
  <w:abstractNum w:abstractNumId="61">
    <w:nsid w:val="7F01579B"/>
    <w:multiLevelType w:val="hybridMultilevel"/>
    <w:lvl w:ilvl="0">
      <w:lvlJc w:val="left"/>
      <w:lvlText w:val="(%1)"/>
      <w:numFmt w:val="lowerLetter"/>
      <w:start w:val="1"/>
    </w:lvl>
  </w:abstractNum>
  <w:abstractNum w:abstractNumId="62">
    <w:nsid w:val="49DA307D"/>
    <w:multiLevelType w:val="hybridMultilevel"/>
    <w:lvl w:ilvl="0">
      <w:lvlJc w:val="left"/>
      <w:lvlText w:val="(%1)"/>
      <w:numFmt w:val="lowerRoman"/>
      <w:start w:val="1"/>
    </w:lvl>
  </w:abstractNum>
  <w:abstractNum w:abstractNumId="63">
    <w:nsid w:val="7055A5F5"/>
    <w:multiLevelType w:val="hybridMultilevel"/>
    <w:lvl w:ilvl="0">
      <w:lvlJc w:val="left"/>
      <w:lvlText w:val="(%1)"/>
      <w:numFmt w:val="lowerLetter"/>
      <w:start w:val="1"/>
    </w:lvl>
  </w:abstractNum>
  <w:abstractNum w:abstractNumId="64">
    <w:nsid w:val="5FB8370B"/>
    <w:multiLevelType w:val="hybridMultilevel"/>
    <w:lvl w:ilvl="0">
      <w:lvlJc w:val="left"/>
      <w:lvlText w:val="(%1)"/>
      <w:numFmt w:val="lowerRoman"/>
      <w:start w:val="13"/>
    </w:lvl>
  </w:abstractNum>
  <w:abstractNum w:abstractNumId="65">
    <w:nsid w:val="50801EE1"/>
    <w:multiLevelType w:val="hybridMultilevel"/>
    <w:lvl w:ilvl="0">
      <w:lvlJc w:val="left"/>
      <w:lvlText w:val="(%1)"/>
      <w:numFmt w:val="lowerLetter"/>
      <w:start w:val="5"/>
    </w:lvl>
  </w:abstractNum>
  <w:abstractNum w:abstractNumId="66">
    <w:nsid w:val="488AC1A"/>
    <w:multiLevelType w:val="hybridMultilevel"/>
    <w:lvl w:ilvl="0">
      <w:lvlJc w:val="left"/>
      <w:lvlText w:val="(%1)"/>
      <w:numFmt w:val="lowerLetter"/>
      <w:start w:val="8"/>
    </w:lvl>
  </w:abstractNum>
  <w:abstractNum w:abstractNumId="67">
    <w:nsid w:val="5FB8011C"/>
    <w:multiLevelType w:val="hybridMultilevel"/>
    <w:lvl w:ilvl="0">
      <w:lvlJc w:val="left"/>
      <w:lvlText w:val="(%1)"/>
      <w:numFmt w:val="lowerLetter"/>
      <w:start w:val="14"/>
    </w:lvl>
  </w:abstractNum>
  <w:abstractNum w:abstractNumId="68">
    <w:nsid w:val="6AA78F7F"/>
    <w:multiLevelType w:val="hybridMultilevel"/>
    <w:lvl w:ilvl="0">
      <w:lvlJc w:val="left"/>
      <w:lvlText w:val="(%1)"/>
      <w:numFmt w:val="lowerLetter"/>
      <w:start w:val="3"/>
    </w:lvl>
  </w:abstractNum>
  <w:abstractNum w:abstractNumId="69">
    <w:nsid w:val="7672BD23"/>
    <w:multiLevelType w:val="hybridMultilevel"/>
    <w:lvl w:ilvl="0">
      <w:lvlJc w:val="left"/>
      <w:lvlText w:val="(%1)"/>
      <w:numFmt w:val="lowerLetter"/>
      <w:start w:val="1"/>
    </w:lvl>
  </w:abstractNum>
  <w:abstractNum w:abstractNumId="70">
    <w:nsid w:val="6FC75AF8"/>
    <w:multiLevelType w:val="hybridMultilevel"/>
    <w:lvl w:ilvl="0">
      <w:lvlJc w:val="left"/>
      <w:lvlText w:val="(%1)"/>
      <w:numFmt w:val="lowerLetter"/>
      <w:start w:val="1"/>
    </w:lvl>
  </w:abstractNum>
  <w:abstractNum w:abstractNumId="71">
    <w:nsid w:val="6A5F7029"/>
    <w:multiLevelType w:val="hybridMultilevel"/>
    <w:lvl w:ilvl="0">
      <w:lvlJc w:val="left"/>
      <w:lvlText w:val="(%1)"/>
      <w:numFmt w:val="lowerRoman"/>
      <w:start w:val="2"/>
    </w:lvl>
  </w:abstractNum>
  <w:abstractNum w:abstractNumId="72">
    <w:nsid w:val="7D5E18F8"/>
    <w:multiLevelType w:val="hybridMultilevel"/>
    <w:lvl w:ilvl="0">
      <w:lvlJc w:val="left"/>
      <w:lvlText w:val="(%1)"/>
      <w:numFmt w:val="lowerLetter"/>
      <w:start w:val="1"/>
    </w:lvl>
  </w:abstractNum>
  <w:abstractNum w:abstractNumId="73">
    <w:nsid w:val="5F3534A4"/>
    <w:multiLevelType w:val="hybridMultilevel"/>
    <w:lvl w:ilvl="0">
      <w:lvlJc w:val="left"/>
      <w:lvlText w:val="(%1)"/>
      <w:numFmt w:val="lowerLetter"/>
      <w:start w:val="2"/>
    </w:lvl>
  </w:abstractNum>
  <w:abstractNum w:abstractNumId="74">
    <w:nsid w:val="73A1821B"/>
    <w:multiLevelType w:val="hybridMultilevel"/>
    <w:lvl w:ilvl="0">
      <w:lvlJc w:val="left"/>
      <w:lvlText w:val="(%1)"/>
      <w:numFmt w:val="lowerLetter"/>
      <w:start w:val="3"/>
    </w:lvl>
  </w:abstractNum>
  <w:abstractNum w:abstractNumId="75">
    <w:nsid w:val="7DE67713"/>
    <w:multiLevelType w:val="hybridMultilevel"/>
    <w:lvl w:ilvl="0">
      <w:lvlJc w:val="left"/>
      <w:lvlText w:val="(%1)"/>
      <w:numFmt w:val="lowerLetter"/>
      <w:start w:val="4"/>
    </w:lvl>
  </w:abstractNum>
  <w:abstractNum w:abstractNumId="76">
    <w:nsid w:val="555C55B5"/>
    <w:multiLevelType w:val="hybridMultilevel"/>
    <w:lvl w:ilvl="0">
      <w:lvlJc w:val="left"/>
      <w:lvlText w:val="(%1)"/>
      <w:numFmt w:val="lowerLetter"/>
      <w:start w:val="1"/>
    </w:lvl>
  </w:abstractNum>
  <w:abstractNum w:abstractNumId="77">
    <w:nsid w:val="3FA62ACA"/>
    <w:multiLevelType w:val="hybridMultilevel"/>
    <w:lvl w:ilvl="0">
      <w:lvlJc w:val="left"/>
      <w:lvlText w:val="(%1)"/>
      <w:numFmt w:val="lowerLetter"/>
      <w:start w:val="2"/>
    </w:lvl>
  </w:abstractNum>
  <w:abstractNum w:abstractNumId="78">
    <w:nsid w:val="14FCE74E"/>
    <w:multiLevelType w:val="hybridMultilevel"/>
    <w:lvl w:ilvl="0">
      <w:lvlJc w:val="left"/>
      <w:lvlText w:val="(%1)"/>
      <w:numFmt w:val="lowerLetter"/>
      <w:start w:val="4"/>
    </w:lvl>
  </w:abstractNum>
  <w:abstractNum w:abstractNumId="79">
    <w:nsid w:val="6A3DD3E8"/>
    <w:multiLevelType w:val="hybridMultilevel"/>
    <w:lvl w:ilvl="0">
      <w:lvlJc w:val="left"/>
      <w:lvlText w:val="(%1)"/>
      <w:numFmt w:val="lowerLetter"/>
      <w:start w:val="1"/>
    </w:lvl>
    <w:lvl w:ilvl="1">
      <w:lvlJc w:val="left"/>
      <w:lvlText w:val="•"/>
      <w:numFmt w:val="bullet"/>
      <w:start w:val="1"/>
    </w:lvl>
  </w:abstractNum>
  <w:abstractNum w:abstractNumId="80">
    <w:nsid w:val="71C91298"/>
    <w:multiLevelType w:val="hybridMultilevel"/>
    <w:lvl w:ilvl="0">
      <w:lvlJc w:val="left"/>
      <w:lvlText w:val="•"/>
      <w:numFmt w:val="bullet"/>
      <w:start w:val="1"/>
    </w:lvl>
  </w:abstractNum>
  <w:abstractNum w:abstractNumId="81">
    <w:nsid w:val="9DAF632"/>
    <w:multiLevelType w:val="hybridMultilevel"/>
    <w:lvl w:ilvl="0">
      <w:lvlJc w:val="left"/>
      <w:lvlText w:val="(%1)"/>
      <w:numFmt w:val="lowerLetter"/>
      <w:start w:val="2"/>
    </w:lvl>
  </w:abstractNum>
  <w:abstractNum w:abstractNumId="82">
    <w:nsid w:val="53299938"/>
    <w:multiLevelType w:val="hybridMultilevel"/>
    <w:lvl w:ilvl="0">
      <w:lvlJc w:val="left"/>
      <w:lvlText w:val="•"/>
      <w:numFmt w:val="bullet"/>
      <w:start w:val="1"/>
    </w:lvl>
  </w:abstractNum>
  <w:abstractNum w:abstractNumId="83">
    <w:nsid w:val="1FBFE8E0"/>
    <w:multiLevelType w:val="hybridMultilevel"/>
    <w:lvl w:ilvl="0">
      <w:lvlJc w:val="left"/>
      <w:lvlText w:val="(%1)"/>
      <w:numFmt w:val="lowerLetter"/>
      <w:start w:val="1"/>
    </w:lvl>
  </w:abstractNum>
  <w:abstractNum w:abstractNumId="84">
    <w:nsid w:val="5092CA79"/>
    <w:multiLevelType w:val="hybridMultilevel"/>
    <w:lvl w:ilvl="0">
      <w:lvlJc w:val="left"/>
      <w:lvlText w:val="(%1)"/>
      <w:numFmt w:val="lowerLetter"/>
      <w:start w:val="1"/>
    </w:lvl>
  </w:abstractNum>
  <w:abstractNum w:abstractNumId="85">
    <w:nsid w:val="1D545C4D"/>
    <w:multiLevelType w:val="hybridMultilevel"/>
    <w:lvl w:ilvl="0">
      <w:lvlJc w:val="left"/>
      <w:lvlText w:val="•"/>
      <w:numFmt w:val="bullet"/>
      <w:start w:val="1"/>
    </w:lvl>
  </w:abstractNum>
  <w:abstractNum w:abstractNumId="86">
    <w:nsid w:val="59ADEA3D"/>
    <w:multiLevelType w:val="hybridMultilevel"/>
    <w:lvl w:ilvl="0">
      <w:lvlJc w:val="left"/>
      <w:lvlText w:val="•"/>
      <w:numFmt w:val="bullet"/>
      <w:start w:val="1"/>
    </w:lvl>
  </w:abstractNum>
  <w:abstractNum w:abstractNumId="87">
    <w:nsid w:val="288F1A34"/>
    <w:multiLevelType w:val="hybridMultilevel"/>
    <w:lvl w:ilvl="0">
      <w:lvlJc w:val="left"/>
      <w:lvlText w:val="•"/>
      <w:numFmt w:val="bullet"/>
      <w:start w:val="1"/>
    </w:lvl>
  </w:abstractNum>
  <w:abstractNum w:abstractNumId="88">
    <w:nsid w:val="2A155DBC"/>
    <w:multiLevelType w:val="hybridMultilevel"/>
    <w:lvl w:ilvl="0">
      <w:lvlJc w:val="left"/>
      <w:lvlText w:val="%1"/>
      <w:numFmt w:val="lowerLetter"/>
      <w:start w:val="1"/>
    </w:lvl>
    <w:lvl w:ilvl="1">
      <w:lvlJc w:val="left"/>
      <w:lvlText w:val="(%2)"/>
      <w:numFmt w:val="lowerLetter"/>
      <w:start w:val="1"/>
    </w:lvl>
  </w:abstractNum>
  <w:abstractNum w:abstractNumId="89">
    <w:nsid w:val="1D9F6E5F"/>
    <w:multiLevelType w:val="hybridMultilevel"/>
    <w:lvl w:ilvl="0">
      <w:lvlJc w:val="left"/>
      <w:lvlText w:val="(%1)"/>
      <w:numFmt w:val="lowerLetter"/>
      <w:start w:val="3"/>
    </w:lvl>
    <w:lvl w:ilvl="1">
      <w:lvlJc w:val="left"/>
      <w:lvlText w:val="%2"/>
      <w:numFmt w:val="lowerLetter"/>
      <w:start w:val="1"/>
    </w:lvl>
  </w:abstractNum>
  <w:abstractNum w:abstractNumId="90">
    <w:nsid w:val="97E1B4E"/>
    <w:multiLevelType w:val="hybridMultilevel"/>
    <w:lvl w:ilvl="0">
      <w:lvlJc w:val="left"/>
      <w:lvlText w:val="(%1)"/>
      <w:numFmt w:val="lowerLetter"/>
      <w:start w:val="1"/>
    </w:lvl>
  </w:abstractNum>
  <w:abstractNum w:abstractNumId="91">
    <w:nsid w:val="51088277"/>
    <w:multiLevelType w:val="hybridMultilevel"/>
    <w:lvl w:ilvl="0">
      <w:lvlJc w:val="left"/>
      <w:lvlText w:val="(%1)"/>
      <w:numFmt w:val="lowerLetter"/>
      <w:start w:val="1"/>
    </w:lvl>
  </w:abstractNum>
  <w:abstractNum w:abstractNumId="92">
    <w:nsid w:val="1CA0C5FA"/>
    <w:multiLevelType w:val="hybridMultilevel"/>
    <w:lvl w:ilvl="0">
      <w:lvlJc w:val="left"/>
      <w:lvlText w:val="(%1)"/>
      <w:numFmt w:val="lowerLetter"/>
      <w:start w:val="2"/>
    </w:lvl>
  </w:abstractNum>
  <w:abstractNum w:abstractNumId="93">
    <w:nsid w:val="53584BCB"/>
    <w:multiLevelType w:val="hybridMultilevel"/>
    <w:lvl w:ilvl="0">
      <w:lvlJc w:val="left"/>
      <w:lvlText w:val="(%1)"/>
      <w:numFmt w:val="lowerLetter"/>
      <w:start w:val="3"/>
    </w:lvl>
  </w:abstractNum>
  <w:abstractNum w:abstractNumId="94">
    <w:nsid w:val="415E286C"/>
    <w:multiLevelType w:val="hybridMultilevel"/>
    <w:lvl w:ilvl="0">
      <w:lvlJc w:val="left"/>
      <w:lvlText w:val="(%1)"/>
      <w:numFmt w:val="lowerLetter"/>
      <w:start w:val="1"/>
    </w:lvl>
  </w:abstractNum>
  <w:abstractNum w:abstractNumId="95">
    <w:nsid w:val="7C58FD05"/>
    <w:multiLevelType w:val="hybridMultilevel"/>
    <w:lvl w:ilvl="0">
      <w:lvlJc w:val="left"/>
      <w:lvlText w:val="(%1)"/>
      <w:numFmt w:val="lowerRoman"/>
      <w:start w:val="1"/>
    </w:lvl>
  </w:abstractNum>
  <w:abstractNum w:abstractNumId="96">
    <w:nsid w:val="23D86AAC"/>
    <w:multiLevelType w:val="hybridMultilevel"/>
    <w:lvl w:ilvl="0">
      <w:lvlJc w:val="left"/>
      <w:lvlText w:val="(%1)"/>
      <w:numFmt w:val="lowerRoman"/>
      <w:start w:val="3"/>
    </w:lvl>
  </w:abstractNum>
  <w:abstractNum w:abstractNumId="97">
    <w:nsid w:val="45E6D486"/>
    <w:multiLevelType w:val="hybridMultilevel"/>
    <w:lvl w:ilvl="0">
      <w:lvlJc w:val="left"/>
      <w:lvlText w:val="(%1)"/>
      <w:numFmt w:val="lowerLetter"/>
      <w:start w:val="1"/>
    </w:lvl>
  </w:abstractNum>
  <w:abstractNum w:abstractNumId="98">
    <w:nsid w:val="5C10FE21"/>
    <w:multiLevelType w:val="hybridMultilevel"/>
    <w:lvl w:ilvl="0">
      <w:lvlJc w:val="left"/>
      <w:lvlText w:val="(%1)"/>
      <w:numFmt w:val="lowerLetter"/>
      <w:start w:val="2"/>
    </w:lvl>
  </w:abstractNum>
  <w:abstractNum w:abstractNumId="99">
    <w:nsid w:val="E7FFA2B"/>
    <w:multiLevelType w:val="hybridMultilevel"/>
    <w:lvl w:ilvl="0">
      <w:lvlJc w:val="left"/>
      <w:lvlText w:val="(%1)"/>
      <w:numFmt w:val="lowerLetter"/>
      <w:start w:val="2"/>
    </w:lvl>
  </w:abstractNum>
  <w:abstractNum w:abstractNumId="100">
    <w:nsid w:val="3C5991AA"/>
    <w:multiLevelType w:val="hybridMultilevel"/>
    <w:lvl w:ilvl="0">
      <w:lvlJc w:val="left"/>
      <w:lvlText w:val="(%1)"/>
      <w:numFmt w:val="lowerLetter"/>
      <w:start w:val="1"/>
    </w:lvl>
  </w:abstractNum>
  <w:abstractNum w:abstractNumId="101">
    <w:nsid w:val="4BD8591A"/>
    <w:multiLevelType w:val="hybridMultilevel"/>
    <w:lvl w:ilvl="0">
      <w:lvlJc w:val="left"/>
      <w:lvlText w:val="(%1)"/>
      <w:numFmt w:val="lowerLetter"/>
      <w:start w:val="3"/>
    </w:lvl>
  </w:abstractNum>
  <w:abstractNum w:abstractNumId="102">
    <w:nsid w:val="78DF6A55"/>
    <w:multiLevelType w:val="hybridMultilevel"/>
    <w:lvl w:ilvl="0">
      <w:lvlJc w:val="left"/>
      <w:lvlText w:val="(%1)"/>
      <w:numFmt w:val="lowerLetter"/>
      <w:start w:val="1"/>
    </w:lvl>
  </w:abstractNum>
  <w:abstractNum w:abstractNumId="103">
    <w:nsid w:val="39B7AAA2"/>
    <w:multiLevelType w:val="hybridMultilevel"/>
    <w:lvl w:ilvl="0">
      <w:lvlJc w:val="left"/>
      <w:lvlText w:val="(%1)"/>
      <w:numFmt w:val="lowerLetter"/>
      <w:start w:val="2"/>
    </w:lvl>
  </w:abstractNum>
  <w:abstractNum w:abstractNumId="104">
    <w:nsid w:val="2B0D8DBE"/>
    <w:multiLevelType w:val="hybridMultilevel"/>
    <w:lvl w:ilvl="0">
      <w:lvlJc w:val="left"/>
      <w:lvlText w:val="(%1)"/>
      <w:numFmt w:val="decimal"/>
      <w:start w:val="4"/>
    </w:lvl>
  </w:abstractNum>
  <w:abstractNum w:abstractNumId="105">
    <w:nsid w:val="6C80EC70"/>
    <w:multiLevelType w:val="hybridMultilevel"/>
    <w:lvl w:ilvl="0">
      <w:lvlJc w:val="left"/>
      <w:lvlText w:val="%1"/>
      <w:numFmt w:val="decimal"/>
      <w:start w:val="1"/>
    </w:lvl>
    <w:lvl w:ilvl="1">
      <w:lvlJc w:val="left"/>
      <w:lvlText w:val="(%2)"/>
      <w:numFmt w:val="lowerLetter"/>
      <w:start w:val="3"/>
    </w:lvl>
  </w:abstractNum>
  <w:abstractNum w:abstractNumId="106">
    <w:nsid w:val="379E21B5"/>
    <w:multiLevelType w:val="hybridMultilevel"/>
    <w:lvl w:ilvl="0">
      <w:lvlJc w:val="left"/>
      <w:lvlText w:val="(%1)"/>
      <w:numFmt w:val="decimal"/>
      <w:start w:val="1"/>
    </w:lvl>
    <w:lvl w:ilvl="1">
      <w:lvlJc w:val="left"/>
      <w:lvlText w:val="%2"/>
      <w:numFmt w:val="lowerLetter"/>
      <w:start w:val="1"/>
    </w:lvl>
  </w:abstractNum>
  <w:abstractNum w:abstractNumId="107">
    <w:nsid w:val="69E373"/>
    <w:multiLevelType w:val="hybridMultilevel"/>
    <w:lvl w:ilvl="0">
      <w:lvlJc w:val="left"/>
      <w:lvlText w:val="(%1)"/>
      <w:numFmt w:val="decimal"/>
      <w:start w:val="3"/>
    </w:lvl>
  </w:abstractNum>
  <w:abstractNum w:abstractNumId="108">
    <w:nsid w:val="2C27173B"/>
    <w:multiLevelType w:val="hybridMultilevel"/>
    <w:lvl w:ilvl="0">
      <w:lvlJc w:val="left"/>
      <w:lvlText w:val="(%1)"/>
      <w:numFmt w:val="lowerLetter"/>
      <w:start w:val="4"/>
    </w:lvl>
  </w:abstractNum>
  <w:abstractNum w:abstractNumId="109">
    <w:nsid w:val="4C9B0904"/>
    <w:multiLevelType w:val="hybridMultilevel"/>
    <w:lvl w:ilvl="0">
      <w:lvlJc w:val="left"/>
      <w:lvlText w:val="(%1)"/>
      <w:numFmt w:val="decimal"/>
      <w:start w:val="2"/>
    </w:lvl>
  </w:abstractNum>
  <w:abstractNum w:abstractNumId="110">
    <w:nsid w:val="6AA7B75C"/>
    <w:multiLevelType w:val="hybridMultilevel"/>
    <w:lvl w:ilvl="0">
      <w:lvlJc w:val="left"/>
      <w:lvlText w:val="(%1)"/>
      <w:numFmt w:val="lowerLetter"/>
      <w:start w:val="5"/>
    </w:lvl>
  </w:abstractNum>
  <w:abstractNum w:abstractNumId="111">
    <w:nsid w:val="1DF029D3"/>
    <w:multiLevelType w:val="hybridMultilevel"/>
    <w:lvl w:ilvl="0">
      <w:lvlJc w:val="left"/>
      <w:lvlText w:val="%1"/>
      <w:numFmt w:val="lowerLetter"/>
      <w:start w:val="1"/>
    </w:lvl>
    <w:lvl w:ilvl="1">
      <w:lvlJc w:val="left"/>
      <w:lvlText w:val="(%2)"/>
      <w:numFmt w:val="lowerLetter"/>
      <w:start w:val="1"/>
    </w:lvl>
  </w:abstractNum>
  <w:abstractNum w:abstractNumId="112">
    <w:nsid w:val="5675FF36"/>
    <w:multiLevelType w:val="hybridMultilevel"/>
    <w:lvl w:ilvl="0">
      <w:lvlJc w:val="left"/>
      <w:lvlText w:val="(%1)"/>
      <w:numFmt w:val="lowerLetter"/>
      <w:start w:val="3"/>
    </w:lvl>
    <w:lvl w:ilvl="1">
      <w:lvlJc w:val="left"/>
      <w:lvlText w:val="%2"/>
      <w:numFmt w:val="lowerLetter"/>
      <w:start w:val="1"/>
    </w:lvl>
  </w:abstractNum>
  <w:abstractNum w:abstractNumId="113">
    <w:nsid w:val="3DD15094"/>
    <w:multiLevelType w:val="hybridMultilevel"/>
    <w:lvl w:ilvl="0">
      <w:lvlJc w:val="left"/>
      <w:lvlText w:val="%1."/>
      <w:numFmt w:val="decimal"/>
      <w:start w:val="1"/>
    </w:lvl>
  </w:abstractNum>
  <w:abstractNum w:abstractNumId="114">
    <w:nsid w:val="3DB012B3"/>
    <w:multiLevelType w:val="hybridMultilevel"/>
    <w:lvl w:ilvl="0">
      <w:lvlJc w:val="left"/>
      <w:lvlText w:val="%1."/>
      <w:numFmt w:val="decimal"/>
      <w:start w:val="1"/>
    </w:lvl>
    <w:lvl w:ilvl="1">
      <w:lvlJc w:val="left"/>
      <w:lvlText w:val="%2)"/>
      <w:numFmt w:val="lowerLetter"/>
      <w:start w:val="1"/>
    </w:lvl>
  </w:abstractNum>
  <w:abstractNum w:abstractNumId="115">
    <w:nsid w:val="2708C9AF"/>
    <w:multiLevelType w:val="hybridMultilevel"/>
    <w:lvl w:ilvl="0">
      <w:lvlJc w:val="left"/>
      <w:lvlText w:val="%1."/>
      <w:numFmt w:val="decimal"/>
      <w:start w:val="1"/>
    </w:lvl>
    <w:lvl w:ilvl="1">
      <w:lvlJc w:val="left"/>
      <w:lvlText w:val="%2)"/>
      <w:numFmt w:val="lowerLetter"/>
      <w:start w:val="1"/>
    </w:lvl>
  </w:abstractNum>
  <w:abstractNum w:abstractNumId="116">
    <w:nsid w:val="5B25ACE2"/>
    <w:multiLevelType w:val="hybridMultilevel"/>
    <w:lvl w:ilvl="0">
      <w:lvlJc w:val="left"/>
      <w:lvlText w:val="(%1)"/>
      <w:numFmt w:val="decimal"/>
      <w:start w:val="1"/>
    </w:lvl>
  </w:abstractNum>
  <w:abstractNum w:abstractNumId="117">
    <w:nsid w:val="175DFCF0"/>
    <w:multiLevelType w:val="hybridMultilevel"/>
    <w:lvl w:ilvl="0">
      <w:lvlJc w:val="left"/>
      <w:lvlText w:val="%1."/>
      <w:numFmt w:val="decimal"/>
      <w:start w:val="1"/>
    </w:lvl>
  </w:abstractNum>
  <w:abstractNum w:abstractNumId="118">
    <w:nsid w:val="4F97E3E4"/>
    <w:multiLevelType w:val="hybridMultilevel"/>
    <w:lvl w:ilvl="0">
      <w:lvlJc w:val="left"/>
      <w:lvlText w:val="%1."/>
      <w:numFmt w:val="decimal"/>
      <w:start w:val="2"/>
    </w:lvl>
  </w:abstractNum>
  <w:abstractNum w:abstractNumId="119">
    <w:nsid w:val="53B0A9E"/>
    <w:multiLevelType w:val="hybridMultilevel"/>
    <w:lvl w:ilvl="0">
      <w:lvlJc w:val="left"/>
      <w:lvlText w:val="%1."/>
      <w:numFmt w:val="decimal"/>
      <w:start w:val="3"/>
    </w:lvl>
  </w:abstractNum>
  <w:abstractNum w:abstractNumId="120">
    <w:nsid w:val="34FD6B4F"/>
    <w:multiLevelType w:val="hybridMultilevel"/>
    <w:lvl w:ilvl="0">
      <w:lvlJc w:val="left"/>
      <w:lvlText w:val="(%1)"/>
      <w:numFmt w:val="lowerRoman"/>
      <w:start w:val="3"/>
    </w:lvl>
  </w:abstractNum>
  <w:abstractNum w:abstractNumId="121">
    <w:nsid w:val="5915FF32"/>
    <w:multiLevelType w:val="hybridMultilevel"/>
    <w:lvl w:ilvl="0">
      <w:lvlJc w:val="left"/>
      <w:lvlText w:val="%1."/>
      <w:numFmt w:val="decimal"/>
      <w:start w:val="4"/>
    </w:lvl>
  </w:abstractNum>
  <w:abstractNum w:abstractNumId="122">
    <w:nsid w:val="56438D15"/>
    <w:multiLevelType w:val="hybridMultilevel"/>
    <w:lvl w:ilvl="0">
      <w:lvlJc w:val="left"/>
      <w:lvlText w:val="%1."/>
      <w:numFmt w:val="decimal"/>
      <w:start w:val="5"/>
    </w:lvl>
  </w:abstractNum>
  <w:abstractNum w:abstractNumId="123">
    <w:nsid w:val="519E3149"/>
    <w:multiLevelType w:val="hybridMultilevel"/>
    <w:lvl w:ilvl="0">
      <w:lvlJc w:val="left"/>
      <w:lvlText w:val="%1."/>
      <w:numFmt w:val="decimal"/>
      <w:start w:val="6"/>
    </w:lvl>
  </w:abstractNum>
  <w:abstractNum w:abstractNumId="124">
    <w:nsid w:val="2C6E4AFD"/>
    <w:multiLevelType w:val="hybridMultilevel"/>
    <w:lvl w:ilvl="0">
      <w:lvlJc w:val="left"/>
      <w:lvlText w:val="%1."/>
      <w:numFmt w:val="decimal"/>
      <w:start w:val="7"/>
    </w:lvl>
  </w:abstractNum>
  <w:abstractNum w:abstractNumId="125">
    <w:nsid w:val="17A1B582"/>
    <w:multiLevelType w:val="hybridMultilevel"/>
    <w:lvl w:ilvl="0">
      <w:lvlJc w:val="left"/>
      <w:lvlText w:val="%1."/>
      <w:numFmt w:val="decimal"/>
      <w:start w:val="8"/>
    </w:lvl>
  </w:abstractNum>
  <w:abstractNum w:abstractNumId="126">
    <w:nsid w:val="4DF72E4E"/>
    <w:multiLevelType w:val="hybridMultilevel"/>
    <w:lvl w:ilvl="0">
      <w:lvlJc w:val="left"/>
      <w:lvlText w:val="%1."/>
      <w:numFmt w:val="decimal"/>
      <w:start w:val="9"/>
    </w:lvl>
  </w:abstractNum>
  <w:abstractNum w:abstractNumId="127">
    <w:nsid w:val="5046B5A9"/>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59"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jpeg"/><Relationship Id="rId173" Type="http://schemas.openxmlformats.org/officeDocument/2006/relationships/image" Target="media/image125.jpeg"/><Relationship Id="rId174" Type="http://schemas.openxmlformats.org/officeDocument/2006/relationships/image" Target="media/image126.jpeg"/><Relationship Id="rId175" Type="http://schemas.openxmlformats.org/officeDocument/2006/relationships/image" Target="media/image127.jpe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jpe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jpeg"/><Relationship Id="rId183" Type="http://schemas.openxmlformats.org/officeDocument/2006/relationships/image" Target="media/image135.jpeg"/><Relationship Id="rId184" Type="http://schemas.openxmlformats.org/officeDocument/2006/relationships/image" Target="media/image136.png"/><Relationship Id="rId185" Type="http://schemas.openxmlformats.org/officeDocument/2006/relationships/image" Target="media/image137.jpeg"/><Relationship Id="rId186" Type="http://schemas.openxmlformats.org/officeDocument/2006/relationships/image" Target="media/image138.jpeg"/><Relationship Id="rId187" Type="http://schemas.openxmlformats.org/officeDocument/2006/relationships/image" Target="media/image139.png"/><Relationship Id="rId188" Type="http://schemas.openxmlformats.org/officeDocument/2006/relationships/image" Target="media/image140.jpeg"/><Relationship Id="rId189" Type="http://schemas.openxmlformats.org/officeDocument/2006/relationships/image" Target="media/image141.jpeg"/><Relationship Id="rId190" Type="http://schemas.openxmlformats.org/officeDocument/2006/relationships/image" Target="media/image142.jpeg"/><Relationship Id="rId191" Type="http://schemas.openxmlformats.org/officeDocument/2006/relationships/image" Target="media/image143.jpeg"/><Relationship Id="rId192" Type="http://schemas.openxmlformats.org/officeDocument/2006/relationships/image" Target="media/image144.jpeg"/><Relationship Id="rId193" Type="http://schemas.openxmlformats.org/officeDocument/2006/relationships/image" Target="media/image145.jpeg"/><Relationship Id="rId194" Type="http://schemas.openxmlformats.org/officeDocument/2006/relationships/image" Target="media/image146.jpeg"/><Relationship Id="rId195" Type="http://schemas.openxmlformats.org/officeDocument/2006/relationships/image" Target="media/image147.png"/><Relationship Id="rId196"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0" Type="http://schemas.openxmlformats.org/officeDocument/2006/relationships/image" Target="media/image152.png"/><Relationship Id="rId201"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116" Type="http://schemas.openxmlformats.org/officeDocument/2006/relationships/hyperlink" Target="http://www.sec.gov/Archives/edgar/data/780571/000103221003000460/dex31.txt" TargetMode="External"/><Relationship Id="rId117" Type="http://schemas.openxmlformats.org/officeDocument/2006/relationships/hyperlink" Target="https://www.sec.gov/Archives/edgar/data/780571/000119312522055079/d315685dex32.htm" TargetMode="External"/><Relationship Id="rId118" Type="http://schemas.openxmlformats.org/officeDocument/2006/relationships/hyperlink" Target="http://www.sec.gov/Archives/edgar/data/780571/000078057111000007/itriex-428811.htm" TargetMode="External"/><Relationship Id="rId119" Type="http://schemas.openxmlformats.org/officeDocument/2006/relationships/hyperlink" Target="http://www.sec.gov/Archives/edgar/data/780571/000078057115000024/itriex-426232015.htm" TargetMode="External"/><Relationship Id="rId120" Type="http://schemas.openxmlformats.org/officeDocument/2006/relationships/hyperlink" Target="http://www.sec.gov/Archives/edgar/data/780571/000119312517377716/d455839dex41.htm" TargetMode="External"/><Relationship Id="rId121" Type="http://schemas.openxmlformats.org/officeDocument/2006/relationships/hyperlink" Target="http://www.sec.gov/Archives/edgar/data/780571/000078057118000004/ex41secondamendedandrestat.htm" TargetMode="External"/><Relationship Id="rId122" Type="http://schemas.openxmlformats.org/officeDocument/2006/relationships/hyperlink" Target="http://www.sec.gov/Archives/edgar/data/780571/000115752319002091/a52116724ex4_1.htm" TargetMode="External"/><Relationship Id="rId123" Type="http://schemas.openxmlformats.org/officeDocument/2006/relationships/hyperlink" Target="http://www.sec.gov/Archives/edgar/data/780571/000078057120000025/itriex-4109302020.htm" TargetMode="External"/><Relationship Id="rId124" Type="http://schemas.openxmlformats.org/officeDocument/2006/relationships/hyperlink" Target="https://www.sec.gov/Archives/edgar/data/780571/000119312521079864/d143502dex103.htm" TargetMode="External"/><Relationship Id="rId125" Type="http://schemas.openxmlformats.org/officeDocument/2006/relationships/hyperlink" Target="https://www.sec.gov/Archives/edgar/data/780571/000119312521079864/d143502dex41.htm" TargetMode="External"/><Relationship Id="rId126" Type="http://schemas.openxmlformats.org/officeDocument/2006/relationships/hyperlink" Target="https://www.sec.gov/Archives/edgar/data/780571/000119312521079864/d143502dex101.htm" TargetMode="External"/><Relationship Id="rId130" Type="http://schemas.openxmlformats.org/officeDocument/2006/relationships/hyperlink" Target="http://www.sec.gov/Archives/edgar/data/780571/000119312521079864/d143502dex102.htm" TargetMode="External"/><Relationship Id="rId131" Type="http://schemas.openxmlformats.org/officeDocument/2006/relationships/hyperlink" Target="https://www.sec.gov/Archives/edgar/data/780571/000078057123000010/itriex-41212312022exdescri.htm" TargetMode="External"/><Relationship Id="rId132" Type="http://schemas.openxmlformats.org/officeDocument/2006/relationships/hyperlink" Target="https://www.sec.gov/Archives/edgar/data/780571/000078057122000004/itriex-41312312021creditam.htm" TargetMode="External"/><Relationship Id="rId133" Type="http://schemas.openxmlformats.org/officeDocument/2006/relationships/hyperlink" Target="https://www.sec.gov/Archives/edgar/data/780571/000115752323000359/a53346520ex10_1.htm" TargetMode="External"/><Relationship Id="rId134" Type="http://schemas.openxmlformats.org/officeDocument/2006/relationships/hyperlink" Target="https://www.sec.gov/Archives/edgar/data/780571/000115752323001489/a53608845ex10_1.htm" TargetMode="External"/><Relationship Id="rId135" Type="http://schemas.openxmlformats.org/officeDocument/2006/relationships/hyperlink" Target="https://www.sec.gov/Archives/edgar/data/780571/000078057122000020/itriex-102deitrichthomasci.htm" TargetMode="External"/><Relationship Id="rId136" Type="http://schemas.openxmlformats.org/officeDocument/2006/relationships/hyperlink" Target="http://www.sec.gov/Archives/edgar/data/780571/000078057110000002/exhibit_10-6.htm" TargetMode="External"/><Relationship Id="rId137" Type="http://schemas.openxmlformats.org/officeDocument/2006/relationships/hyperlink" Target="http://www.sec.gov/Archives/edgar/data/780571/000078057110000002/exhibit_10-4.htm" TargetMode="External"/><Relationship Id="rId138" Type="http://schemas.openxmlformats.org/officeDocument/2006/relationships/hyperlink" Target="http://www.sec.gov/Archives/edgar/data/780571/000078057114000027/itriex-10463014.htm" TargetMode="External"/><Relationship Id="rId139" Type="http://schemas.openxmlformats.org/officeDocument/2006/relationships/hyperlink" Target="http://www.sec.gov/Archives/edgar/data/780571/000119312511045950/dex1019.htm" TargetMode="External"/><Relationship Id="rId140" Type="http://schemas.openxmlformats.org/officeDocument/2006/relationships/hyperlink" Target="http://www.sec.gov/Archives/edgar/data/780571/000078057114000027/itriex-10263014.htm" TargetMode="External"/><Relationship Id="rId141" Type="http://schemas.openxmlformats.org/officeDocument/2006/relationships/hyperlink" Target="http://www.sec.gov/Archives/edgar/data/780571/000078057113000017/itriex-10333113.htm" TargetMode="External"/><Relationship Id="rId144" Type="http://schemas.openxmlformats.org/officeDocument/2006/relationships/hyperlink" Target="http://www.sec.gov/Archives/edgar/data/780571/000078057114000027/itriex-10163014.htm" TargetMode="External"/><Relationship Id="rId145" Type="http://schemas.openxmlformats.org/officeDocument/2006/relationships/hyperlink" Target="http://www.sec.gov/Archives/edgar/data/780571/000078057116000072/itriex-10109302016.htm" TargetMode="External"/><Relationship Id="rId146" Type="http://schemas.openxmlformats.org/officeDocument/2006/relationships/hyperlink" Target="http://www.sec.gov/Archives/edgar/data/780571/000078057121000009/itriex-102120201231exespp.htm" TargetMode="External"/><Relationship Id="rId147" Type="http://schemas.openxmlformats.org/officeDocument/2006/relationships/hyperlink" Target="http://www.sec.gov/Archives/edgar/data/780571/000078057115000037/itriex101cooperationagreem.htm" TargetMode="External"/><Relationship Id="rId148" Type="http://schemas.openxmlformats.org/officeDocument/2006/relationships/hyperlink" Target="http://www.sec.gov/Archives/edgar/data/780571/000078057116000072/itriex-10209302016.htm" TargetMode="External"/><Relationship Id="rId149" Type="http://schemas.openxmlformats.org/officeDocument/2006/relationships/hyperlink" Target="http://www.sec.gov/Archives/edgar/data/780571/000078057117000031/itriex-1011112017.htm" TargetMode="External"/><Relationship Id="rId150" Type="http://schemas.openxmlformats.org/officeDocument/2006/relationships/hyperlink" Target="http://www.sec.gov/Archives/edgar/data/780571/000078057117000010/itriex-10103312017isonsoop.htm" TargetMode="External"/><Relationship Id="rId151" Type="http://schemas.openxmlformats.org/officeDocument/2006/relationships/hyperlink" Target="http://www.sec.gov/Archives/edgar/data/780571/000078057117000010/itriex-10203312017ltprsuag.htm" TargetMode="External"/><Relationship Id="rId152" Type="http://schemas.openxmlformats.org/officeDocument/2006/relationships/hyperlink" Target="http://www.sec.gov/Archives/edgar/data/780571/000078057117000010/itriex-10303312017rsuagree.htm" TargetMode="External"/><Relationship Id="rId153" Type="http://schemas.openxmlformats.org/officeDocument/2006/relationships/hyperlink" Target="http://www.sec.gov/Archives/edgar/data/780571/000078057119000007/itriex-1032f2018stocko.htm" TargetMode="External"/><Relationship Id="rId154" Type="http://schemas.openxmlformats.org/officeDocument/2006/relationships/hyperlink" Target="http://www.sec.gov/Archives/edgar/data/780571/000078057119000007/itriex-1033f2018psu.htm" TargetMode="External"/><Relationship Id="rId155" Type="http://schemas.openxmlformats.org/officeDocument/2006/relationships/hyperlink" Target="http://www.sec.gov/Archives/edgar/data/780571/000078057119000007/itriex-1034f20181xyear.htm" TargetMode="External"/><Relationship Id="rId156" Type="http://schemas.openxmlformats.org/officeDocument/2006/relationships/hyperlink" Target="http://www.sec.gov/Archives/edgar/data/780571/000078057119000007/itriex-1035f20182xyear.htm" TargetMode="External"/><Relationship Id="rId157" Type="http://schemas.openxmlformats.org/officeDocument/2006/relationships/hyperlink" Target="http://www.sec.gov/Archives/edgar/data/780571/000078057119000007/itriex-1036f20183xyear.htm" TargetMode="External"/><Relationship Id="rId158" Type="http://schemas.openxmlformats.org/officeDocument/2006/relationships/hyperlink" Target="http://www.sec.gov/Archives/edgar/data/780571/000115752319001549/a52016210ex10_1.htm" TargetMode="External"/><Relationship Id="rId160" Type="http://schemas.openxmlformats.org/officeDocument/2006/relationships/hyperlink" Target="http://www.sec.gov/Archives/edgar/data/780571/000078057120000004/itriex-103912312019.htm" TargetMode="External"/><Relationship Id="rId161" Type="http://schemas.openxmlformats.org/officeDocument/2006/relationships/hyperlink" Target="http://www.sec.gov/Archives/edgar/data/780571/000078057121000009/itriex-103620201231exrsuaw.htm" TargetMode="External"/><Relationship Id="rId162" Type="http://schemas.openxmlformats.org/officeDocument/2006/relationships/hyperlink" Target="https://www.sec.gov/Archives/edgar/data/780571/000114036123012718/ny20005713x1_def14a.htm#tOTI"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2024-02-26T14:12:45Z</dcterms:created>
  <dcterms:modified xsi:type="dcterms:W3CDTF">2024-02-26T14:12:45Z</dcterms:modified>
</cp:coreProperties>
</file>