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0"/>
        </w:rPr>
        <w:t>Itron,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99060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28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01"/>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24, 2025, there were outstanding 45,801,371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10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auto"/>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1,598,978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228,995</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1,827,973</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 of revenues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1,076,033</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cost of revenues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1,202,536</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625,437</w:t>
            </w: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254,023</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135,665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425,973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424,057</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214,681</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182,557</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46,239</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182,557</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185,561</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87"/>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8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2"/>
                <w:szCs w:val="22"/>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1,051,237</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350,473</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270,725</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143,457</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1,815,892</w:t>
            </w:r>
          </w:p>
        </w:tc>
      </w:tr>
      <w:tr>
        <w:trPr>
          <w:trHeight w:val="203"/>
        </w:trPr>
        <w:tc>
          <w:tcPr>
            <w:tcW w:w="67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115,428</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310,280</w:t>
            </w: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43,109</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1,087,822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1,052,130</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3,407,623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12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61,241</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137,384</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150,720</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528,265</w:t>
            </w:r>
          </w:p>
        </w:tc>
      </w:tr>
      <w:tr>
        <w:trPr>
          <w:trHeight w:val="203"/>
        </w:trPr>
        <w:tc>
          <w:tcPr>
            <w:tcW w:w="67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1,242,424</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59,537</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132,215</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1,996,195</w:t>
            </w:r>
          </w:p>
        </w:tc>
      </w:tr>
      <w:tr>
        <w:trPr>
          <w:trHeight w:val="203"/>
        </w:trPr>
        <w:tc>
          <w:tcPr>
            <w:tcW w:w="67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150,000 and 75,000 shares authorized, 45,791 and 45,131</w:t>
            </w: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1,689,835</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(109,931)</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(189,304)</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1,390,600</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20,828</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1,411,428</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3,710,761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3,407,623</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2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1,689,835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(189,304)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1,390,600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1,411,428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1,708,588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1,488,375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1,509,079</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68,752</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36,514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36,514</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1,728,667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1,613,308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1,634,424</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66,223</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share issuance to affiliate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45,791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1,745,986</w:t>
            </w:r>
          </w:p>
        </w:tc>
        <w:tc>
          <w:tcPr>
            <w:tcW w:w="10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(62,908)</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1,693,201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1,713,418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2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1,385,310</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Payments on call spread for convertible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1,260,691</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45,016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1,673,916</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(78,186)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(247,411)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1,348,319</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1,368,687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200,325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182,557</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40,979</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32,067</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(17,509)</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(39,054)</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33,453</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(19,816)</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286,631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158,326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proceeds related to the sale of business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(34,126)</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(54,387)</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576,085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9,033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280,707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680,458</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1,051,237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302,049</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1,331,944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982,507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59,212</w:t>
            </w:r>
          </w:p>
        </w:tc>
        <w:tc>
          <w:tcPr>
            <w:tcW w:w="0" w:type="dxa"/>
            <w:vAlign w:val="bottom"/>
          </w:tcPr>
          <w:p>
            <w:pPr>
              <w:spacing w:after="0"/>
              <w:rPr>
                <w:sz w:val="1"/>
                <w:szCs w:val="1"/>
                <w:color w:val="auto"/>
              </w:rPr>
            </w:pPr>
          </w:p>
        </w:tc>
      </w:tr>
      <w:tr>
        <w:trPr>
          <w:trHeight w:val="188"/>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2025 and 2024, Consolidated Statements of Equity for the three months ended September 30, 2025 and 2024, June 30, 2025 and 2024, and March 31, 2025 and 2024, the Consolidated Statements of Cash Flows for the nine months ended September 30, 2025 and 2024, and the Consolidated Balance Sheets as of September 30, 2025 and December 31, 2024, of Itron, Inc. and its subsidiaries. All entries required for the fair presentation of the financial statements are of a normal recurring nature, except as disclosed. The results of operations for the three and nine months ended September 30, 2025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2024 filed with the SEC in our Annual Report on Form 10-K on February 25, 2025 (2024 Annual Report). There have been no significant changes in financial statement preparation or significant accounting policies since December 31, 2024.</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 We had $1.8 million pledged for standby letters of credit as of September 30, 2025 and December 31, 2024.</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increased costs and lack of availability. Efforts continue with suppliers to improve supply resiliency, including the approval of alternative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Israel, or Iran,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military action, sanctions, tariffs,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amends</w:t>
      </w:r>
      <w:r>
        <w:rPr>
          <w:rFonts w:ascii="Times New Roman" w:cs="Times New Roman" w:eastAsia="Times New Roman" w:hAnsi="Times New Roman"/>
          <w:sz w:val="18"/>
          <w:szCs w:val="18"/>
          <w:i w:val="1"/>
          <w:iCs w:val="1"/>
          <w:color w:val="auto"/>
        </w:rPr>
        <w:t xml:space="preserve"> Income Taxes (Topic 740)</w:t>
      </w:r>
      <w:r>
        <w:rPr>
          <w:rFonts w:ascii="Times New Roman" w:cs="Times New Roman" w:eastAsia="Times New Roman" w:hAnsi="Times New Roman"/>
          <w:sz w:val="18"/>
          <w:szCs w:val="18"/>
          <w:color w:val="auto"/>
        </w:rPr>
        <w:t>. The FASB issued this update to improve annual basis income tax disclosures related to (1)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however, retrospective application is permitted. We plan to adopt the standard when it becomes effective for us beginning in our fiscal year 2025 annual financial statements, and we expect the adoption of the standard will impact certain areas of our income tax disclosures.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The new guidance is intended to enhance transparency and disclosures by requiring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entities to disclose additional information about specific expense categories in the notes to financial statements at interim and annual reporting periods.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Income—Expense Disaggregation Disclosures (Subtopic 220-40): Clarifying the Effective Date. </w:t>
      </w:r>
      <w:r>
        <w:rPr>
          <w:rFonts w:ascii="Times New Roman" w:cs="Times New Roman" w:eastAsia="Times New Roman" w:hAnsi="Times New Roman"/>
          <w:sz w:val="18"/>
          <w:szCs w:val="18"/>
          <w:color w:val="auto"/>
        </w:rPr>
        <w:t>The ASU is effective for our annual report as of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2027, and for interim reporting periods beginning in the first quarter of 2028, with early adoption permitted. We are in the process of evaluating the impact that the adoption of this ASU will have on our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The new guidance clarifies the assessment of whether a transaction should be accounted for as an induced conversion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of convertible debt when changes are made to conversion features as part of an offer to settle the instrument. The ASU is effective beginning in 2026, with early adoption permitted. We will utilize this guidance for any future induced conversions or extinguishments of our convertible notes.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The amendments in ASU 2025-05 provide a practical expedient related to the estimation of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receivable and current contract assets that arise from transactions accounted for under Accounting Standards Codification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practical expedient permits all entities to assume that current conditions as of the balance sheet date do not change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life of the asset. The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We plan to early adopt this new guidance in the fourth quarter of 2025, and we do not expect a material impact on our financial statements or related disclosures.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modernizes the internal-use software guidance that is accounting for under Subtopic 350-40.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supersede the website development costs guidance and incorporate the recognition requirements for website-specific development costs from Subtopic 350-50 into Subtopic 350-40. The ASU also clarifies which disclosure framework applies to capitalized software costs. ASU 2025-06 is effective for us beginning with our interim financial reports for the first quarter of 2028, with early adoption permitted. We are in the process of evaluating the impact that the adoption of this ASU will have on our consolidated financial statements and related disclosures.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The ASU adds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scope exception from derivative accounting for non-exchange-traded contracts with underlyings that are based on operations or activities specific to one of the parties to the contract. The ASU also clarifies that when an entity has a right to receive a share-based payment from its customer in exchange for the transfer of goods or services, the share-based payment should be accounted for as noncash consideration within the scope of ASC 606. ASU 2025-07 is effective for us beginning with our interim financial reports for the first quarter of 2027. This standard is not expected to have any significant impact on our results of operations, financial position, cash flow, or related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6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180,998</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45,458</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16,000 stock-based awards were excluded from the calculation of diluted EPS for the nine months ended September 30, 2025 because they were anti-dilutive. Approximately 1,000 and 23,000 stock-based awards were excluded from the calculation of diluted EPS for the three and nine months ended September 30, 2024 because they were anti-dilutive. These stock-based awards could be dilutive in future periods.</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Share Hedges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 Warrants and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our convertible notes issued in March 2021 (the 2021 Notes), the dilutive effect is calculated using the if-converted method. We are required, pursuant to the indenture governing the notes, to settle the principal amount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notes were converted. The average closing prices of our common stock for the quarter ended September 30, 2025 were used as the basis for determining the dilutive effect on EPS. For the three months ended September 30, 2025 the quarterly average closing prices for our common stock exceeded the conversion price of $126.00, and the dilutive effect is therefore included in the table above. With the three months ended September 30, 2025 being the first period in which the average closing price of our common stock exceeded the conversion price, a weighted average of the quarterly results from the dilutive effect of convertible notes is computed and has been reflected in the table above for the three and nine months ended September 30, 2025.</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issuance of the 2021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nine months ended September 30, 2025, the quarterly average closing prices of our common stock did not exceed the warrant strike price, and therefore 3.7 million shares were considered anti-dilutive.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2021 Notes, we entered into privately negotiated call option contracts on our common stock (the 2021 call option transactions) with certain commercial banks. The 2021 call option transactions cover, subject to anti-dilution adjustments substantially similar to those in the 2021 Notes, approximately 3.7 million shares of our common stock, the same number of shares initially underlying the notes, at a strike price of approximately $126.00, subject to customary adjustments. The 2021 call option transactions will expire upon the maturity of the 2021 Notes, subject to earlier exercise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termination. Exercise of the 2021 call option transactions would reduce the number of shares of our common stock outstanding and therefore would be anti-dilutive.</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September 30, 2025 were used as the basis for determining the dilutive effect on EPS. The quarterly average closing prices for our common stock did not exceed the conversion price of $131.24,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2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$1,576 and $417)</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335,831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295,341</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55,132</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written-off,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1,576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20" w:type="dxa"/>
            <w:vAlign w:val="bottom"/>
          </w:tcPr>
          <w:p>
            <w:pPr>
              <w:spacing w:after="0"/>
              <w:rPr>
                <w:sz w:val="19"/>
                <w:szCs w:val="19"/>
                <w:color w:val="auto"/>
              </w:rPr>
            </w:pPr>
          </w:p>
        </w:tc>
        <w:tc>
          <w:tcPr>
            <w:tcW w:w="17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3"/>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199,452</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198,995</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55,051</w:t>
            </w:r>
          </w:p>
        </w:tc>
        <w:tc>
          <w:tcPr>
            <w:tcW w:w="0" w:type="dxa"/>
            <w:vAlign w:val="bottom"/>
          </w:tcPr>
          <w:p>
            <w:pPr>
              <w:spacing w:after="0"/>
              <w:rPr>
                <w:sz w:val="1"/>
                <w:szCs w:val="1"/>
                <w:color w:val="auto"/>
              </w:rPr>
            </w:pP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255,278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270,725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306,484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294,237</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119,818</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115,372</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8,513</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22,247</w:t>
            </w:r>
          </w:p>
        </w:tc>
      </w:tr>
      <w:tr>
        <w:trPr>
          <w:trHeight w:val="207"/>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568,413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560,187</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(456,424)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(444,759)</w:t>
            </w:r>
          </w:p>
        </w:tc>
      </w:tr>
      <w:tr>
        <w:trPr>
          <w:trHeight w:val="212"/>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111,989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115,428</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9,902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27,668</w:t>
            </w:r>
          </w:p>
        </w:tc>
      </w:tr>
    </w:tbl>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tab/>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30,303</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(amount remaining at September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13,698</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35"/>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 all amortization expense within Amortization of intangible assets in the Consolidated Statements of Operations. These expenses relate to intangible assets acquired as part of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790"/>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nine months ended September 30, 2025:</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80" w:type="dxa"/>
            <w:vAlign w:val="bottom"/>
          </w:tcPr>
          <w:p>
            <w:pPr>
              <w:spacing w:after="0"/>
              <w:rPr>
                <w:sz w:val="20"/>
                <w:szCs w:val="20"/>
                <w:color w:val="auto"/>
              </w:rPr>
            </w:pPr>
          </w:p>
        </w:tc>
        <w:tc>
          <w:tcPr>
            <w:tcW w:w="14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4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894,819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1,052,130</w:t>
            </w:r>
          </w:p>
        </w:tc>
      </w:tr>
      <w:tr>
        <w:trPr>
          <w:trHeight w:val="213"/>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8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35,692</w:t>
            </w:r>
          </w:p>
        </w:tc>
      </w:tr>
      <w:tr>
        <w:trPr>
          <w:trHeight w:val="234"/>
        </w:trPr>
        <w:tc>
          <w:tcPr>
            <w:tcW w:w="4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September 30,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925,790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1,087,822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Convertible notes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Convertible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183"/>
        </w:trPr>
        <w:tc>
          <w:tcPr>
            <w:tcW w:w="20" w:type="dxa"/>
            <w:vAlign w:val="bottom"/>
          </w:tcPr>
          <w:p>
            <w:pPr>
              <w:spacing w:after="0"/>
              <w:rPr>
                <w:sz w:val="15"/>
                <w:szCs w:val="15"/>
                <w:color w:val="auto"/>
              </w:rPr>
            </w:pPr>
          </w:p>
        </w:tc>
        <w:tc>
          <w:tcPr>
            <w:tcW w:w="6760" w:type="dxa"/>
            <w:vAlign w:val="bottom"/>
          </w:tcPr>
          <w:p>
            <w:pPr>
              <w:ind w:left="36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1,265,000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debt, gross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current portion of debt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458,928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gross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22,576</w:t>
            </w:r>
          </w:p>
        </w:tc>
      </w:tr>
      <w:tr>
        <w:trPr>
          <w:trHeight w:val="207"/>
        </w:trPr>
        <w:tc>
          <w:tcPr>
            <w:tcW w:w="2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787,906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1,242,424</w:t>
            </w:r>
          </w:p>
        </w:tc>
      </w:tr>
      <w:tr>
        <w:trPr>
          <w:trHeight w:val="2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2025 Credit Facility</w:t>
      </w:r>
    </w:p>
    <w:p>
      <w:pPr>
        <w:spacing w:after="0" w:line="25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The 2025 credit facility amends and restates, in its entirety, our amended and restated credit agreement dated January 5, 2018 (the 2018 credit facility).</w:t>
      </w:r>
    </w:p>
    <w:p>
      <w:pPr>
        <w:spacing w:after="0" w:line="20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credit agreement.</w:t>
      </w:r>
    </w:p>
    <w:p>
      <w:pPr>
        <w:spacing w:after="0" w:line="203"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Under the 2025 credit facility, we may elect applicable market interest rates for any outstanding revolving loans. We also pay an applicable margin, which is based on its total net leverage ratio as defined in the credit agreement. The applicable rates per annum may be based on the following: (1) the Term Secured Overnight Financing Rate (SOFR), plus an applicable margin or (2) the Alternate Base Rate, plus an applicable margin. The Alternate Base Rate election is equal to the greatest of three rates: (i) the prime rate, (ii) the Federal Reserve effective rate plus 0.50%, or (iii) SOFR plus 1.00%. Committed amounts not borrowed under the revolver are subject to a commitment fee (paid quarterly in arrears). The spreads applicable to SOFR and the annual committee fee rates are,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3.50</w:t>
            </w:r>
          </w:p>
        </w:tc>
        <w:tc>
          <w:tcPr>
            <w:tcW w:w="1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+ 175.0 bps</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bps</w:t>
            </w:r>
          </w:p>
        </w:tc>
      </w:tr>
      <w:tr>
        <w:trPr>
          <w:trHeight w:val="21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+ 150.0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25.0 bps</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1.51 to 2.50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+ 137.5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bps</w:t>
            </w:r>
          </w:p>
        </w:tc>
      </w:tr>
      <w:tr>
        <w:trPr>
          <w:trHeight w:val="21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1.50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+ 125.0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17.5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2025 credit facility permits us and certain of our foreign subsidiaries to borrow in U.S. dollars, euros, or, with lender approval, other currencies readily convertible into U.S. dollars. All obligations under the 2025 credit facility are guaranteed by Itron, Inc. and material U.S. domestic subsidiaries and are secured by a pledge of substantially all of the assets of Itron, Inc. and material U.S. domestic subsidiaries. This included a pledge of 100% of the capital stock of material U.S. domestic subsidiaries and up to 66% of the voting stock (100% of the non-voting stock) of first-tier foreign subsidiaries. In addition, the obligations of any foreign subsidiary who is a foreign borrower, as defined by the 2025 credit facility, are guaranteed by the foreign subsidiary and by its direct and indirect foreign parents. The 2025 credit facility includes debt covenants, which contained certain financial thresholds and placed certain restrictions on the incurrence of debt, investments, and the issuance of dividends. We are in compliance with the debt covenants under the 2025 credit facility at September 30, 2025.</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no outstanding loan balances under the 2025 credit facility, and $45.1 million was utilized by outstanding standby letters of credit, resulting in $704.9 million available for additional borrowings. As of September 30, 2025, $254.9 million was available for additional standby letters of credit under the letter of credit sub-facility, and no amounts were outstanding under the swingline sub-facility.</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2018 Credit Facility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2018 credit facility, entered on January 5, 2018 (as amended, the 2018 credit facility), originally provided for committed credit facilities in the amount of $1.2 billion. This facility consisted of a multicurrency revolving line of credit (the revolver) with a principal amount of up to $500 million. The revolver also contained a $300 million standby letter of credit sub-facility and a $50 million swingline sub-facility. The $650 million U.S. dollar term loan (the term loan) included in the original facility was fully repaid in August 2021.</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credit facility permitted us and certain of our foreign subsidiaries to borrow in U.S. dollars, euros, or, with lender approval, other currencies readily convertible into U.S. dollars. All obligations under the 2018 credit facility were guaranteed by Itron, Inc. and material U.S. domestic subsidiaries and were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was a foreign borrower, as defined by the 2018 credit facility, were guaranteed by the foreign subsidiary and by its direct and indirect foreign parents. The 2018 credit facility included debt covenants, which contained certain financial thresholds and place certain restrictions on the incurrence of debt, investments, and the issuance of dividends. We were in compliance with the debt covenants under the 2018 credit facility at the time of the amendment.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elected applicable market interest rates for both the term loan and any outstanding revolving loans. We also paid an applicable margin, which is based on our total net leverage ratio as defined in the credit agreement. The applicable rates per annum may be based on either:</w:t>
      </w:r>
    </w:p>
    <w:p>
      <w:pPr>
        <w:jc w:val="both"/>
        <w:ind w:firstLine="8"/>
        <w:spacing w:after="0" w:line="253"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9"/>
          <w:szCs w:val="19"/>
          <w:b w:val="1"/>
          <w:bCs w:val="1"/>
          <w:color w:val="1F497D"/>
        </w:rPr>
        <w:t>.</w:t>
      </w:r>
      <w:r>
        <w:rPr>
          <w:rFonts w:ascii="Times New Roman" w:cs="Times New Roman" w:eastAsia="Times New Roman" w:hAnsi="Times New Roman"/>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as detailed in the amendment. In addition, the amendment revises the interest cost,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2"/>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$460 million of convertible notes in a private placement to qualified institutional buyers, resulting in net proceeds to us of $448.5 million after deducting initial purchasers' discounts of the offering. The 2021 Notes do not bear regular interest, and the principal amount does not accrete. The 2021 Notes will mature on March 15, 2026, unless earlier repurchased, redeemed, or converted in accordance with their terms. No sinking fund is provided for the 2021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2021 Notes is 7.9365 shares of our common stock per $1,000 principal amount of notes, which is equivalent to an initial conversion price of approximately $126.00 per share. The conversion rate is subject to adjustment upon the occurrence of certain specified events. In addition, upon the occurrence of a make-whole fundamental change (as defined in the indenture governing the 2021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2021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2021 Notes may convert all or a portion of their notes at any time. Upon conversion, we will pay cash up to the aggregate principal amount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March 20, 2024 and prior to December 15, 2025, we may redeem for cash all or part of the 2021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increase the conversion rate for a holder that elects to convert its notes in connection with such make-whole fundamental change or notice of redemption, as the case may be.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(amount remaining at September 30, 2025)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other income (expense) in our Consolidated Statements of Operations. We enter into monthly foreign exchange forward contracts, which are not designated for hedge accounting, with the intent to reduce earnings volatility associated with currency exposures. As of September 30, 2025, a total of 35 contracts were offsetting our exposures from the euro, pound sterling, Indonesian rupiah, Canadian dollar, Australian dollar, and various other currencies, with notional amounts ranging from $104,080 to $33.2 million.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59,537</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37"/>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September 30, 2025, 3,851,003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449,335 shares of common stock were available for future issuance at September 30, 2025.</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restricted stock units were not significant for the three and nine months ended September 30, 2025 and 2024.</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31,059</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36,445</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7,853</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8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4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Price per Share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28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30, 2024</w:t>
            </w:r>
          </w:p>
        </w:tc>
        <w:tc>
          <w:tcPr>
            <w:tcW w:w="12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2025</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September 30, 2025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75.70</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all stock-based compensation expense related to nonvested stock options has been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1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21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33,372</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2024</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55,062</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September 30, 2025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2025, total unrecognized compensation expense on restricted stock units was $50.8 million, which is expected to be recognized over a weighted average period of approximately 1.6 years.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6"/>
        </w:trPr>
        <w:tc>
          <w:tcPr>
            <w:tcW w:w="7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105.89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83.26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2025 of 27% and 22%, respectively, differed from the federal statutory rate of 21% due to the impact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2024 of 4% and 15%, respectively, differed from the federal statutory rate of 21% due to the impact of valuation allowances on deferred tax assets, the forecasted mix of earnings in domestic and international jurisdictions, U.S. taxation of foreign earnings including GILTI (Global Intangible Low-Taxed Income) tax, net of Section 250 deduction (largely driven by research and development capitalization), Subpart F income, a benefit related to stock-based compensation, tax credits, state taxes, and uncertain tax positions. Approximately $14 million in discrete tax benefits were recorded related to the favorable resolution of a foreign tax audit in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and commonly referred to as the One Big Beautiful Bill Act, was signed into law on July 4, 2025. Since ASC 740 requires the income tax effects of a change in tax law to be recognized in the period of enactment, this Act is incorporated into our annual effective tax rate and current and expected cash taxes as of September 30, 2025. Included in our effective tax rate this quarter is an increase of approximately $4 million in full year tax expense, and a reduction in forecasted cash taxes of approximately $45 million from amounts calculated before passage of the Act. These results are driven by numerous changes to existing tax law that are retroactive to 2025, including provisions for the current deductibility of certain property additions and deductibility of current and previously capitalized domestic research and development costs. Additionally, multiple changes are effective beginning in 2026 and we are continuing to evaluate the impacts they will have on our subsequent consolidated financial statements and related disclosures.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48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0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bl>
    <w:p>
      <w:pPr>
        <w:spacing w:after="0" w:line="31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5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98,584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106,132</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106,122</w:t>
            </w:r>
          </w:p>
        </w:tc>
      </w:tr>
    </w:tbl>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quarter end, the statute of limitations expired on an uncertain tax position related to certain corporate transactions. As a result, we will recognize a tax benefit of approximately $39 million in the fourth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India, Italy, Indonesia, and the United Kingdom.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(45,055)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(46,013)</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704,945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97,496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87,230</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363,097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October 30, 2025, we are not aware of any valid claims against our outstanding standby LOCs or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7,925</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expense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Projects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2023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4"/>
                <w:szCs w:val="14"/>
                <w:color w:val="auto"/>
              </w:rPr>
            </w:pPr>
          </w:p>
        </w:tc>
        <w:tc>
          <w:tcPr>
            <w:tcW w:w="208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Nine Months</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September</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 September 30, 2025</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50,174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2023 Projects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4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200" w:type="dxa"/>
            <w:vAlign w:val="bottom"/>
          </w:tcPr>
          <w:p>
            <w:pPr>
              <w:spacing w:after="0"/>
              <w:rPr>
                <w:sz w:val="14"/>
                <w:szCs w:val="14"/>
                <w:color w:val="auto"/>
              </w:rPr>
            </w:pPr>
          </w:p>
        </w:tc>
        <w:tc>
          <w:tcPr>
            <w:tcW w:w="1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2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2025</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41,331</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(20,411)</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2025</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$18.1 million and $24.3 million as of September 30, 2025 and December 31, 2024 and are classified within other current liabilities on the Consolidated Balance Sheets. The long-term portions of restructuring liabilities were $6.8 million and $17.0 million as of September 30, 2025 and December 31, 2024.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2025 or December 31, 2024.</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repurchase up to $100 million of our common stock over an 18-month period (the 2023 Stock Repurchase Program). In June 2024, we repurchased 971,534 shares under the 2023 Stock Repurchase Program at an average price of $102.93 (excluding commissions) for a total of $100.0 million. This repurchase was completed in conjunction with the issuance of the 2024 convertible notes.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2021 call option transactions. The 2021 call option transactions cover,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will expire upon the maturity of the 2021 Notes, subject to earlier exercise or termination. The 2021 call option transactions are expected generally to reduce the potential dilutive effect of the conversion of our 2021 Notes and/or offset any cash payments we are required to make in excess of the principal amount of the converted notes, as the case may be, in the event that the market price per share of our common stock, as measured under the terms of the 2021 call option transactions, is greater than the strike price of the 2021 call option transactions. The 2021 call option transactions meet the criteria in ASC 815-40 to be classified within Stockholders' Equity, and therefore they are not revalued after their issuance.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2021 Notes and the 2021 call option transactions.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2021 Notes, and results in a $20.6 million deferred tax asset recognized through equity.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(loss)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(78,186)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(109,931)</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47,023</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other comprehensive income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47,124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Total other comprehensive income (loss) tax (provision)</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fair values at September 30, 2025 and December 31, 2024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2060" w:type="dxa"/>
            <w:vAlign w:val="bottom"/>
            <w:gridSpan w:val="3"/>
          </w:tcPr>
          <w:p>
            <w:pPr>
              <w:jc w:val="center"/>
              <w:ind w:right="10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center"/>
              <w:ind w:right="5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center"/>
              <w:ind w:right="10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2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1,246,834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1,413,549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1,242,424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1,330,670</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 inputs, including estimates of incremental borrowing rates for debt with similar terms, maturities, and credit profiles. Refer to Note 6: Debt for further discussion of our debt.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Each derivative asset and liability has a carrying value equal to fair value. The fair values of our derivative instruments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20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can have communications capability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devices and data networks. The Industrial Internet of Things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enable grid edge intelligence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analyze, and interpret raw, anonymized data using artificial intelligence, machine learning, statistical modeling, and other analytics. This delivers new value for utilities and smart cities through improving decision making, maximizing operational profitability, engaging consumers, enhancing resource efficiency, and improving grid resiliency and reliability.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assesses the segments' performance primarily by using each segment's revenues and gross profit (gross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No asset information for reportable segments is provided to the CODM. We do not manage the performance of the segments on a balance sheet basis.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assesses revenues and gross profit for each segment predominantly in the annual budget and periodic forecasting process. The CODM considers budget-to-actual and forecast-to-actual variances for these measures when making decisions about the allocation of operating and capital resources to each segment. The CODM primarily uses segment gross profit for evaluating pricing strategy and the performance of each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reporting segments and Corporate unallocated and the reconciliation to income before income taxes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365,378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121,880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163,561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(72,860)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90,701</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1,534,648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1,135,155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358,988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486,611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(230,149)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256,462</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390,201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115,231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82,425</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1,598,978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1,236,933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784,103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1,202,536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349,353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452,194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(237,513)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and the nine months ended September 30, 2024, no single customer represented more than 10% of total company revenue. For the three months ended September 30, 2024, one customer represented 10.7% of total company revenue. This revenue is included in both the Networked Solutions and Outcomes reporting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1,464,462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1,486,090</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272,107</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69,776</w:t>
            </w:r>
          </w:p>
        </w:tc>
      </w:tr>
      <w:tr>
        <w:trPr>
          <w:trHeight w:val="207"/>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1,795,537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1,827,973</w:t>
            </w:r>
          </w:p>
        </w:tc>
      </w:tr>
      <w:tr>
        <w:trPr>
          <w:trHeight w:val="23"/>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12,234</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15,422</w:t>
            </w:r>
          </w:p>
        </w:tc>
      </w:tr>
      <w:tr>
        <w:trPr>
          <w:trHeight w:val="234"/>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127,557</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261,875</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(153,312)</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166,623</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2025, total contract assets were $65.4 million and total contract liabilities were $193.0 million. On September 30, 2025, total contract assets were $60.6 million and total contract liabilities were $227.2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$1.0 billion for the next 12 months and approximately $1.0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over the extended warranty period, and hardware, which is recognized as units are delivered. The estimate of when remaining performance obligations will be recognized requires significant judgment.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we entered into an Agreement and Plan of Merger to acquire 100 percent of the outstanding equity of Urbint, Inc., a privately held software and services company, based in Florida, serving utilities. The acquisition provides value to Itron through the leverage of Urbint's AI-powered operational resilience solutions to enhance our offerings to our customers. The acquisition is expected to close in the fourth quarter of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for the acquisition is $325 million, with adjustment for final working capital and other closing considerations to be determined following the transaction's close. The purchase will be funded through cash on hand.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2024 filed with the Securities and Exchange Commission (SEC) in our Annual Report on Form 10-K on February 25, 2025 (2024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222222"/>
        </w:rPr>
        <w:t>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2024 Annual Report and other reports on file with the SEC. We undertake no obligation to update or revise any forward-looking statement, whether written or oral.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can have communications capability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devices and data networks. The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enable grid edge intelligence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analyze, and interpret raw, anonymized data using artificial intelligence, machine learning, statistical modeling, and other analytics. This delivers new value for utilities and smart cities through improving decision making, maximizing operational profitability, engaging consumers, enhancing resource efficiency, and improving grid resiliency and reliability.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45-48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September 30, 2025 compared with the three months ended September 30, 2024</w:t>
      </w:r>
    </w:p>
    <w:p>
      <w:pPr>
        <w:spacing w:after="0" w:line="65"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$581.6 million compared with $615.5 million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37.7%</w:t>
      </w:r>
      <w:r>
        <w:rPr>
          <w:rFonts w:ascii="Times New Roman" w:cs="Times New Roman" w:eastAsia="Times New Roman" w:hAnsi="Times New Roman"/>
          <w:sz w:val="18"/>
          <w:szCs w:val="18"/>
          <w:color w:val="222222"/>
        </w:rPr>
        <w:t>, compared with 34.1%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$2.1 million, or 2%,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$65.6 million compared with net income of $78.0 million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decreased by </w:t>
      </w:r>
      <w:r>
        <w:rPr>
          <w:rFonts w:ascii="Times New Roman" w:cs="Times New Roman" w:eastAsia="Times New Roman" w:hAnsi="Times New Roman"/>
          <w:sz w:val="18"/>
          <w:szCs w:val="18"/>
          <w:color w:val="000000"/>
        </w:rPr>
        <w:t>$0.29</w:t>
      </w:r>
      <w:r>
        <w:rPr>
          <w:rFonts w:ascii="Times New Roman" w:cs="Times New Roman" w:eastAsia="Times New Roman" w:hAnsi="Times New Roman"/>
          <w:sz w:val="18"/>
          <w:szCs w:val="18"/>
          <w:color w:val="222222"/>
        </w:rPr>
        <w:t xml:space="preserve"> to $1.41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$71.8 million compared with $84.3 million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$1.54, a decrease of $0.30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$97.2 million compared with $88.6 million in 2024</w:t>
      </w:r>
    </w:p>
    <w:p>
      <w:pPr>
        <w:spacing w:after="0" w:line="63" w:lineRule="exact"/>
        <w:rPr>
          <w:rFonts w:ascii="Times New Roman" w:cs="Times New Roman" w:eastAsia="Times New Roman" w:hAnsi="Times New Roman"/>
          <w:sz w:val="18"/>
          <w:szCs w:val="18"/>
          <w:color w:val="222222"/>
        </w:rPr>
      </w:pPr>
    </w:p>
    <w:p>
      <w:pPr>
        <w:ind w:left="260" w:hanging="171"/>
        <w:spacing w:after="0" w:line="282" w:lineRule="auto"/>
        <w:tabs>
          <w:tab w:leader="none" w:pos="255"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$4.3 billion, and twelve-month backlog was $1.5 billion at </w:t>
      </w:r>
      <w:r>
        <w:rPr>
          <w:rFonts w:ascii="Times New Roman" w:cs="Times New Roman" w:eastAsia="Times New Roman" w:hAnsi="Times New Roman"/>
          <w:sz w:val="18"/>
          <w:szCs w:val="18"/>
          <w:color w:val="000000"/>
        </w:rPr>
        <w:t>September 30, 2025, compared with</w:t>
      </w:r>
      <w:r>
        <w:rPr>
          <w:rFonts w:ascii="Times New Roman" w:cs="Times New Roman" w:eastAsia="Times New Roman" w:hAnsi="Times New Roman"/>
          <w:sz w:val="18"/>
          <w:szCs w:val="18"/>
          <w:color w:val="222222"/>
        </w:rPr>
        <w:t xml:space="preserve"> $4.0 billion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22222"/>
        </w:rPr>
        <w:t xml:space="preserve"> $1.7 billion </w:t>
      </w:r>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September 30,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nine</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September 30, 2025 compared with the nine months ended September 30, 2024</w:t>
      </w:r>
    </w:p>
    <w:p>
      <w:pPr>
        <w:spacing w:after="0" w:line="65"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$1.8 billion in both periods.</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36.8% compared with 34.2%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$1.9 million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income attributable to Itron, Inc. was $199.4 million compared with net income of $181.0 million in </w:t>
      </w:r>
      <w:r>
        <w:rPr>
          <w:rFonts w:ascii="Times New Roman" w:cs="Times New Roman" w:eastAsia="Times New Roman" w:hAnsi="Times New Roman"/>
          <w:sz w:val="18"/>
          <w:szCs w:val="18"/>
          <w:color w:val="222222"/>
        </w:rPr>
        <w:t>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increased by $0.39 to $4.30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$217.0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$197.6 million</w:t>
      </w:r>
      <w:r>
        <w:rPr>
          <w:rFonts w:ascii="Times New Roman" w:cs="Times New Roman" w:eastAsia="Times New Roman" w:hAnsi="Times New Roman"/>
          <w:sz w:val="18"/>
          <w:szCs w:val="18"/>
          <w:color w:val="222222"/>
        </w:rPr>
        <w:t xml:space="preserve">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$4.68, an increase of $0.41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$275.0 million compared with $242.2 million in </w:t>
      </w:r>
      <w:r>
        <w:rPr>
          <w:rFonts w:ascii="Times New Roman" w:cs="Times New Roman" w:eastAsia="Times New Roman" w:hAnsi="Times New Roman"/>
          <w:sz w:val="18"/>
          <w:szCs w:val="18"/>
          <w:color w:val="222222"/>
        </w:rPr>
        <w:t>2024</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Urbint, Inc. Acquisition</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2025, we entered into an Agreement and Plan of Merger to acquire 100 percent of the outstanding equity of Urbint, Inc., a privately held software and services company, based in Florida, serving utilities. The acquisition provides value to Itron through the leverage of Urbint's AI-powered operational resilience solutions to enhance our offerings to our customers. The acquisition is expected to close in the fourth quarter of 2025. The purchase price for the acquisition is $325 million, with adjustment for final working capital and other closing considerations to be determined following the transaction's close. The purchase will be funded through cash on hand.</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2025 Credit Facility</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The 2025 credit facility amends and restates, in its entirety, our amended and restated credit agreement dated January 5, 2018 (the 2018 credit facility).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credit agreement. Refer to Item 1: Financial Statements (Unaudited), Note 6: Debt included in this Quarterly Report on Form 10-Q for further details.</w:t>
      </w: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Endpoints Under Management: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1"/>
        </w:trPr>
        <w:tc>
          <w:tcPr>
            <w:tcW w:w="20" w:type="dxa"/>
            <w:vAlign w:val="bottom"/>
          </w:tcPr>
          <w:p>
            <w:pPr>
              <w:spacing w:after="0"/>
              <w:rPr>
                <w:sz w:val="14"/>
                <w:szCs w:val="14"/>
                <w:color w:val="auto"/>
              </w:rPr>
            </w:pPr>
          </w:p>
        </w:tc>
        <w:tc>
          <w:tcPr>
            <w:tcW w:w="372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494,323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538,249</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1,534,648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1,598,978</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r>
      <w:tr>
        <w:trPr>
          <w:trHeight w:val="213"/>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87,302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77,213</w:t>
            </w:r>
          </w:p>
        </w:tc>
        <w:tc>
          <w:tcPr>
            <w:tcW w:w="116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260,889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228,995</w:t>
            </w:r>
          </w:p>
        </w:tc>
        <w:tc>
          <w:tcPr>
            <w:tcW w:w="11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14%</w:t>
            </w:r>
          </w:p>
        </w:tc>
      </w:tr>
      <w:tr>
        <w:trPr>
          <w:trHeight w:val="212"/>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581,625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615,462</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1,795,537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1,827,973</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219,545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209,598</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660,382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625,437</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6%</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137,762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135,665</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425,973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424,057</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73,933</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201,380</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16%</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8,492</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13,301</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66%</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(3,515)</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(32,124)</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75%</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attributable to Itron, Inc.</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65,613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77,959</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199,427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180,998</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10%</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130,319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130,628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408,661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410,058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78,970</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251,721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215,379</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17%</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84,251</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217,036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197,644</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10%</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88,598</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274,978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242,183</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14%</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EPS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Non-GAAP EPS </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45-48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its behalf.</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endpoints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for which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is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following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0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100,999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(33,837)</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9,947</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1,827,973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(32,436)</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34,945</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2025 vs. Three months ended September 30, 2024</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revenues decreased $33.8 million in the current 2025 quarter, compared with the same period in 2024. Product revenues decreased by $43.9 million, and service revenues increased $10.1 million. Device Solutions decreased by $19.1 million; Networked Solutions decreased by $23.0 million; and Outcomes increased by $8.3 million when compared with the same period last year. Changes in exchange rates favorably impacted total revenues by $4.8 million, of which $4.2 million favorably impacted Device Solutions.</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2025 vs. Nine months ended September 30, 2024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Total revenues decreased $32.4 million compared with the same period in </w:t>
      </w:r>
      <w:r>
        <w:rPr>
          <w:rFonts w:ascii="Times New Roman" w:cs="Times New Roman" w:eastAsia="Times New Roman" w:hAnsi="Times New Roman"/>
          <w:sz w:val="18"/>
          <w:szCs w:val="18"/>
          <w:color w:val="000000"/>
        </w:rPr>
        <w:t>2024. Product revenues decreased by $64.3 million, and service revenues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increased by $31.9 million. </w:t>
      </w:r>
      <w:r>
        <w:rPr>
          <w:rFonts w:ascii="Times New Roman" w:cs="Times New Roman" w:eastAsia="Times New Roman" w:hAnsi="Times New Roman"/>
          <w:sz w:val="18"/>
          <w:szCs w:val="18"/>
          <w:color w:val="222222"/>
        </w:rPr>
        <w:t>Device Solutions decreased by $25.8 million; Networked Solutions decreased by</w:t>
      </w:r>
      <w:r>
        <w:rPr>
          <w:rFonts w:ascii="Times New Roman" w:cs="Times New Roman" w:eastAsia="Times New Roman" w:hAnsi="Times New Roman"/>
          <w:sz w:val="18"/>
          <w:szCs w:val="18"/>
          <w:color w:val="000000"/>
        </w:rPr>
        <w:t xml:space="preserve"> $31.6 million</w:t>
      </w:r>
      <w:r>
        <w:rPr>
          <w:rFonts w:ascii="Times New Roman" w:cs="Times New Roman" w:eastAsia="Times New Roman" w:hAnsi="Times New Roman"/>
          <w:sz w:val="18"/>
          <w:szCs w:val="18"/>
          <w:color w:val="222222"/>
        </w:rPr>
        <w:t>; and Outcomes increased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$24.9 million when compared with the same period last year. C</w:t>
      </w:r>
      <w:r>
        <w:rPr>
          <w:rFonts w:ascii="Times New Roman" w:cs="Times New Roman" w:eastAsia="Times New Roman" w:hAnsi="Times New Roman"/>
          <w:sz w:val="18"/>
          <w:szCs w:val="18"/>
          <w:color w:val="000000"/>
        </w:rPr>
        <w:t>hanges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exchange rates favorably impacted total revenues by </w:t>
      </w:r>
      <w:r>
        <w:rPr>
          <w:rFonts w:ascii="Times New Roman" w:cs="Times New Roman" w:eastAsia="Times New Roman" w:hAnsi="Times New Roman"/>
          <w:sz w:val="18"/>
          <w:szCs w:val="18"/>
          <w:color w:val="222222"/>
        </w:rPr>
        <w:t>$4.0 million, of which $4.7 million favorably impacted Device Solutions and $1.2 million unfavorably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impacted Networked Solutions.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2025 vs. Three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22222"/>
        </w:rPr>
        <w:t xml:space="preserve">Gross margin in the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period was 37.7%, compared with 34.1%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Product sales gross margin increased to 35.4% for the quarter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compared with 32.6%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Gross margin on service revenues increased to 50.9%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compared with 43.9%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2025 vs. Nine months ended September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22222"/>
        </w:rPr>
        <w:t xml:space="preserve">Gross margin was 36.8%, compared with 34.2%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Product sales gross margin increased to 34.6%, compared with 32.7%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and gross margin on service revenues increased to 49.4%, compared with 44.8%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07"/>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137,762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07"/>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425,973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424,057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increased $2.1 million for the third quarter of 2025 as compared with the same period in 2024. This was primarily the result of a $3.5 million increase in sales, general and administrative expenses and a $0.9 million increase in restructuring expenses partially offset by a $1.2 million decrease in research and development expenses and a $0.7 million loss on sale of business recognized in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$1.9 million for the nine months ended September 30, 2025 as compared with the same period in 2024. This was primarily the result of a $3.6 million increase in sales, general and administrative expenses, primarily driven by increased labor costs, and a $1.5 million increase in restructuring expenses, partially offset by a $2.8 million decrease in research and development expenses driven by reduced professional service costs and a $0.7 million loss on sale of business recognized in 2024. Refer to Item 1: Financial Statements (Unaudited), Note 12: Restructuring included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80" w:type="dxa"/>
            <w:vAlign w:val="bottom"/>
          </w:tcPr>
          <w:p>
            <w:pPr>
              <w:spacing w:after="0"/>
              <w:rPr>
                <w:sz w:val="18"/>
                <w:szCs w:val="18"/>
                <w:color w:val="auto"/>
              </w:rPr>
            </w:pPr>
          </w:p>
        </w:tc>
      </w:tr>
      <w:tr>
        <w:trPr>
          <w:trHeight w:val="23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3"/>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68%</w:t>
            </w:r>
          </w:p>
        </w:tc>
      </w:tr>
      <w:tr>
        <w:trPr>
          <w:trHeight w:val="207"/>
        </w:trPr>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47%</w:t>
            </w:r>
          </w:p>
        </w:tc>
      </w:tr>
      <w:tr>
        <w:trPr>
          <w:trHeight w:val="219"/>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88%</w:t>
            </w:r>
          </w:p>
        </w:tc>
      </w:tr>
      <w:tr>
        <w:trPr>
          <w:trHeight w:val="207"/>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73%</w:t>
            </w: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96%</w:t>
            </w:r>
          </w:p>
        </w:tc>
      </w:tr>
      <w:tr>
        <w:trPr>
          <w:trHeight w:val="209"/>
        </w:trPr>
        <w:tc>
          <w:tcPr>
            <w:tcW w:w="2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13,301</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66%</w:t>
            </w:r>
          </w:p>
        </w:tc>
      </w:tr>
      <w:tr>
        <w:trPr>
          <w:trHeight w:val="21"/>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nine months ended September 30, 2025 was income of $8.9 million and $22.1 million, compared with income of $8.5 million and $13.3 million in the same period in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other income for the three months ended September 30, 2025 was substantially flat as compared with the same period in 2024.</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net other income for the nine months ended September 30, 2025, as compared with the same period in 2024, was driven by the $15.2 million increase in interest income, primarily due to interest earned on the invested proceeds from the 2024 convertible notes (the 2024 Notes). Additionally, interest expense increased by $5.2 million in 2025 as the 2024 Notes were outstanding for the entire nine-month period, and amortization of prepaid debt fees increased by $1.7 million compared with the same period in 2024. Refer to Item 1: Financial Statements (Unaudited), Note 6: Debt included in this Quarterly Report on Form 10-Q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2025, our income tax expense was $24.5 million and $56.1 million, compared with income tax expense of $3.5 million and $32.1 million for the same period in 2024. Our tax rate for the three and nine months ended September 30, 2025 of 27% and 22% differed from the federal statutory rate of 21% due to the impact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 Our tax rate for the three and nine months ended September 30, 2024 of 4% and 15% differed from the federal statutory rate of 21% due to the impact of valuation allowances on deferred tax assets, the forecasted mix of earnings in domestic and international jurisdictions, U.S. taxation of foreign earnings including GILTI (Global Intangible Low-Taxed Income), net of Section 250 deduction, Subpart F income, a benefit related to stock-based compensation, tax credits, state taxes, and uncertain tax positions. Approximately $14 million in discrete tax benefits were recorded related to the favorable resolution of a foreign tax audit in the three months ended September 30, 2024.</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and commonly referred to as the One Big Beautiful Bill Act, was signed into law on July 4, 2025. Since ASC 740 requires the income tax effects of a change in tax law to be recognized in the period of enactment, this Act is incorporated into our annual effective tax rate and current and expected cash taxes as of September 30, 2025. Included in our effective tax rate this quarter is an increase of approximately $4 million in full year tax expense, and a reduction in forecasted cash taxes of approximately $45 million from amounts calculated before passage of the Act. These results are driven by numerous changes to existing tax law that are retroactive to 2025, including provisions for the current deductibility of certain property additions and deductibility of current and previously capitalized domestic research and development costs. Additionally, multiple changes are effective beginning in 2026 and we are continuing to evaluate the impacts they will have on our subsequent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342,253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1,205,368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1,236,933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1,795,537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35.0%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38.8%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2"/>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34.1%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660,382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36.8%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252,202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425,973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360" w:type="dxa"/>
            <w:vAlign w:val="bottom"/>
            <w:tcBorders>
              <w:top w:val="single" w:sz="8" w:color="CCEEFF"/>
            </w:tcBorders>
            <w:gridSpan w:val="5"/>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56"/>
        </w:trPr>
        <w:tc>
          <w:tcPr>
            <w:tcW w:w="25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i w:val="1"/>
                <w:iCs w:val="1"/>
                <w:color w:val="auto"/>
              </w:rPr>
              <w:t>Segment operating income and</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margin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(252,202)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Total operating income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12.0%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13.1%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margin</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(25,787)</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2025 vs. Three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$19.1 million, or 16%. Changes in foreign currency exchange rates favorably impacted revenues by $4.2 million. Revenues were lower due to decreased shipments in Europe, the Middle East and Africa and North America.</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2025 vs. Nine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$25.8 million, or 7%. Changes in foreign currency exchange rates favorably impacted revenues by $4.7 million. Revenues were lower due to the decreased legacy product shipments, partially offset by higher smart water shipments.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2025 vs. Three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September 30, 2025, gross margin was 30.9%, compared with 27.2% for the same period in 2024. The 370 basis point increase over the prior year was primarily due to an improved customer and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2025 vs. Nine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2025, gross margin was 30.2%, compared with 25.7% for the same period in 2024. The 450 basis point increase over the prior year was primarily due to an improved customer and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2025 vs. Three months ended September 30,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increased $0.3 million, or 4%, compared with 2024. The minor increase was primarily due to higher product development costs.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2025 vs. Nine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$0.2 million, or 1%, for the first nine months of 2025, compared with the same period in 2024. The minor decrease was primarily due to lower product marketing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(23,011)</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1,236,933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(31,565)</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2025 vs. Three months ended September 30,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decreased $23.0 million, or 6%, in 2025 compared with 2024. The decline was primarily due to timing of customer deployments.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2025 vs. Nine months ended September 30, 2024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$31.6 million, or 3%, for the first nine months of 2025, compared with the same period in 2024. The decline was primarily due to timing of customer deployments and an unusually large first half 2024 volume, which included a significant amount of catch-up of previously supply chain constrained revenue. Changes in foreign currency exchange rates unfavorably impacted revenues by $1.2 million.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2025 vs. Three months ended September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was 39.3% for the period ending September 30, 2025, compared with 35.9% in 2024. The 340 basis point increase was primarily related to a favorable customer and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2025 vs. Nine months ended September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was 38.2% for the 2025 period, compared with 36.6% in 2024. The 160 basis point increase was primarily related to a favorable customer and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2025 vs. Three months ended September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decreased $1.5 million, or 4%, for the quarter in 2025, compared with the same period in 2024. The decrease was primarily related to lower product development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2025 vs. Nine months ended September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decreased $1.7 million, or 2%, for the first nine months of 2025, compared with the same period in 2024. The decrease was primarily related to lower product development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824"/>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2025 vs. Three months ended September 30,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2025 period, revenues increased $8.3 million, or 11%, compared with the 2024 period. This increase was driven by higher recurring revenue.</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2025 vs. Nine months ended September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increased $24.9 million, or 11%, for the first nine months of 2025, compared with 2024. This increase was driven by higher recurring revenue, as well as software licenses.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2025 vs. Three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38.9% for the third quarter of 2025, compared with 35.0% for the same period last year. The 390 basis point increase was driven by an improved revenue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2025 vs. Nine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38.8% for the period ending in 2025, compared with 35.0% for last year. The 380 basis point increase was driven by improved revenue mix and lower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2025 vs. Three months ended September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for the 2025 period increased $0.5 million, or 4%, compared with the same period last year. This was primarily related to increased product development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2025 vs. Nine months ended September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nine months of 2025 increased $2.4 million, or 5%, compared with the same period last year. This was primarily related to increased product development and marketing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September 30, 2025 vs. Three months ended September 30, 2024</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$2.8 million, or 4%, for the three months ended September 30, 2025 compared with the same period in 2024. This increase was primarily the result of a $4.1 million increase in sales, general and administrative expenses driven by increased labor costs and a $0.9 million increase in restructuring expenses, partially offset by a $1.1 million decrease in product development expenses and a $0.7 million loss on sale of business recognized in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Nine months ended September 30, 2025 vs. Nine months ended September 30, 2024</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first nine months of 2025, Corporate unallocated expenses increased $1.4 million, or 1%, compared with the 2024 period. This increase was primarily the result of a $2.9 million increase in sales, general and administrative expenses driven by increased labor costs and a $1.5 million increase in restructuring expenses, partially offset by a $2.5 million decrease in product development expenses and a $0.7 million loss on sale of business recognized in 2024. Refer to Item 1: Financial Statements (Unaudited), Note 12: Restructuring included in this Quarterly Report on Form 10-Q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560" w:type="dxa"/>
            <w:vAlign w:val="bottom"/>
            <w:vMerge w:val="restart"/>
          </w:tcPr>
          <w:p>
            <w:pPr>
              <w:jc w:val="center"/>
              <w:ind w:left="273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36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360" w:type="dxa"/>
            <w:vAlign w:val="bottom"/>
          </w:tcPr>
          <w:p>
            <w:pPr>
              <w:spacing w:after="0"/>
              <w:rPr>
                <w:sz w:val="14"/>
                <w:szCs w:val="14"/>
                <w:color w:val="auto"/>
              </w:rPr>
            </w:pPr>
          </w:p>
        </w:tc>
        <w:tc>
          <w:tcPr>
            <w:tcW w:w="136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3560" w:type="dxa"/>
            <w:vAlign w:val="bottom"/>
            <w:tcBorders>
              <w:bottom w:val="single" w:sz="8" w:color="auto"/>
            </w:tcBorders>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356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35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4,514</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35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4,659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35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1,403</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4,734</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2024</w:t>
            </w:r>
          </w:p>
        </w:tc>
        <w:tc>
          <w:tcPr>
            <w:tcW w:w="35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487</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3,970</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158,326</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576,085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35"/>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280,707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680,458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were $1.33 billion at September 30, 2025, compared with $1.05 billion at December 31, 2024. The $280.7 million increase in cash and cash equivalents during the 2025 period was primarily net cash provided by operations as a result of higher earnings.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nine months in 2025 was $286.6 million compared with $158.3 million during the same period in 2024. The increase was primarily due to increased earnings in 2025, an increase in working capital (current assets less current liabilities) conversion compared with the same period in 2024, and lower income tax payments in 2025.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investing activities was $16.8 million compared with $54.4 million in 2024, resulting in a change of $37.6 million. The movement was primarily related to net cash used for the acquisition of Elpis Squared for $34.1 million in 2024, along with $5.8 million in reduced purchases of property, plant, and equipment in 2025 compared with the same period in 2024.</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in 2025 was $1.8 million, compared with $576.1 million for the same period in 2024. The change is due primarily to the issuance in 2024 of the convertible notes, net of total debt issuance cost, totaling $784 million, partially offset by the purchase of the capped call for the convertible offering of $109.0 million and common stock repurchased totaling $100.0 million.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September 30, 2025 was an increase of $9.0 million, compared with an increase of $0.4 million for the same period in 2024.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286,631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158,326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(15,077)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(20,878)</w:t>
            </w: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271,554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137,448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due to higher operating cash flow and reduced spending on property, plant, and equipment. See the cash flow discussion of operating and investing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September 30, 2025 and December 31, 2024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As of September 30, 2025, no amount was outstanding under the 2025 credit facility, and $45.1 million was utilized by outstanding standby letters of credit, resulting in $704.9 million available for borrowing. As of September 30, 2025, $254.9 million was available for additional standby letters of credit under the letter of credit sub-facility, and no amounts were outstanding under the swingline sub-facility. Any outstanding principal under the revolver is due at maturity on September 25, 2030. Principal amounts paid prior to the maturity date may be reborrowed prior to such date. However, that date may be advanced to April 15, 2030 if Itron does not settle or extend a sufficient portion of its outstanding convertible notes, as detailed in the 2025 credit facility.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(the 2021 Notes) in a private placement to qualified institutional buyers. These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June 21, 2024, we closed the sale of $805 million in convertible notes (the 2024 Notes) in a private placement to qualified institutional buyers. These convertible notes accrue interest at a rate of 1.375% per annum, payable semi-annually in arrears on January 15 and July 15 of each year, with the first payment made January 15, 2025. The notes will mature on July 15, 2030, unless earlier repurchased, redeemed, or converted in accordance with their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2025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 For the nine months ended September 30, 2025, we paid out $20.4 million related to all our restructuring projects. As of September 30, 2025, $24.9 million was accrued for all restructuring projects, of which $18.1 million is expected to be paid within the next 12 months and the remainder through 2027.</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Urbint, Inc. Acquisition</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2025, we entered into an Agreement and Plan of Merger to acquire 100 percent of the outstanding equity of Urbint, Inc., a privately held software and services company, based in Florida, serving utilities. The acquisition provides value to Itron through the leverage of Urbint's AI-powered operational resilience solutions to enhance our offerings to our customers. The acquisition is expected to close in the fourth quarter of 2025. The purchase price for the acquisition is $325 million, with adjustment for final working capital and other closing considerations to be determined following the transaction's close. The purchase will be funded through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including anticipated impacts of the Act, we expect to pay, net of refunds, approximately $6 million in U.S federal taxes, $7 million in state taxes, and $16 million in local and foreign taxes during 2025. For a discussion of our tax provision and unrecognized tax benefits, see Item 1: Financial Statements (Unaudited), Note 10: Income Taxes included in this Quarterly Report on Form 10-Q.</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there was $59.1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September 30, 2025, $3.9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2024 Annual Report, as well as Part I, Item 3: Quantitative and Qualitative Disclosures About Market Risk included in this Quarterly Report on Form 10-Q.</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2024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loss on sale of business, strategic initiative expenses,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and use the most recent AETR anytime it increases or decreases by 200 basis points or more from the prior interim period.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424,057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410,058</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operating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81,783</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201,380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89,226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78,970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251,721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215,379</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197,644</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weighted average common shares outstanding - Diluted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call option transaction - 2021 Notes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100" w:type="dxa"/>
            <w:vAlign w:val="bottom"/>
            <w:tcBorders>
              <w:top w:val="single" w:sz="8" w:color="CCEEFF"/>
            </w:tcBorders>
            <w:shd w:val="clear" w:color="auto" w:fill="CCEEFF"/>
          </w:tcPr>
          <w:p>
            <w:pPr>
              <w:spacing w:after="0"/>
              <w:rPr>
                <w:sz w:val="12"/>
                <w:szCs w:val="12"/>
                <w:color w:val="auto"/>
              </w:rPr>
            </w:pPr>
          </w:p>
        </w:tc>
        <w:tc>
          <w:tcPr>
            <w:tcW w:w="4320" w:type="dxa"/>
            <w:vAlign w:val="bottom"/>
            <w:tcBorders>
              <w:top w:val="single" w:sz="8" w:color="CCEEFF"/>
            </w:tcBorders>
            <w:shd w:val="clear" w:color="auto" w:fill="CCEEFF"/>
          </w:tcPr>
          <w:p>
            <w:pPr>
              <w:ind w:left="200"/>
              <w:spacing w:after="0" w:line="145"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2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46,626</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45,839</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46,394</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0" w:type="dxa"/>
            <w:vAlign w:val="bottom"/>
          </w:tcPr>
          <w:p>
            <w:pPr>
              <w:spacing w:after="0"/>
              <w:rPr>
                <w:sz w:val="1"/>
                <w:szCs w:val="1"/>
                <w:color w:val="auto"/>
              </w:rPr>
            </w:pPr>
          </w:p>
        </w:tc>
      </w:tr>
      <w:tr>
        <w:trPr>
          <w:trHeight w:val="209"/>
        </w:trPr>
        <w:tc>
          <w:tcPr>
            <w:tcW w:w="10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180,998</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(22,394)</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32,124</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40,979</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12"/>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88,598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242,183</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158,326</w:t>
            </w:r>
          </w:p>
        </w:tc>
      </w:tr>
      <w:tr>
        <w:trPr>
          <w:trHeight w:val="213"/>
        </w:trPr>
        <w:tc>
          <w:tcPr>
            <w:tcW w:w="4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(20,878)</w:t>
            </w:r>
          </w:p>
        </w:tc>
      </w:tr>
      <w:tr>
        <w:trPr>
          <w:trHeight w:val="237"/>
        </w:trPr>
        <w:tc>
          <w:tcPr>
            <w:tcW w:w="4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137,448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variable rate debt instruments, namely the multicurrency revolving line of credit. At September 30, 2025,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23% and 24% of total revenues for the three and nine months ended September 30, 2025 compared with 22% and 23% for the same respective periods in 2024.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2025, a total of 35 contracts were offsetting our exposures from the euro, pound sterling, Indonesian rupiah, Canadian dollar, Australian dollar, and various other currencies, with notional amounts ranging from $104,080 to $33.2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2025,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2025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2024, which was filed with the Securities and Exchange Commission on February 25, 2025.</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 (3)</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through July 31, 2025</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2025 through August 31, 2025</w:t>
            </w:r>
          </w:p>
        </w:tc>
        <w:tc>
          <w:tcPr>
            <w:tcW w:w="18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2025 through September 30, 2025</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9"/>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September 19, 2024, Itron's Board of Directors authorized a repurchase program of up to $100 million of Itron's common stock over an 18-month period.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50" w:lineRule="exact"/>
        <w:rPr>
          <w:rFonts w:ascii="Times New Roman" w:cs="Times New Roman" w:eastAsia="Times New Roman" w:hAnsi="Times New Roman"/>
          <w:sz w:val="21"/>
          <w:szCs w:val="21"/>
          <w:color w:val="auto"/>
          <w:vertAlign w:val="superscript"/>
        </w:rPr>
      </w:pPr>
    </w:p>
    <w:p>
      <w:pPr>
        <w:ind w:left="340" w:hanging="332"/>
        <w:spacing w:after="0" w:line="222"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may include shares transferred to us by certain employees who vested in restricted stock units and used shares to pay all, or a portion of, the related taxes.</w:t>
      </w:r>
    </w:p>
    <w:p>
      <w:pPr>
        <w:spacing w:after="0" w:line="21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third quarter of 2025 that was not reported.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w:t>
      </w:r>
    </w:p>
    <w:p>
      <w:pPr>
        <w:spacing w:after="0" w:line="11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as defined in Rule 16a-1(f) under the Securities Exchange Act of 1934 (the Exchange Act), and directors from time to time enter into contracts, instructions or written plans for the purchase or sale of our securities that are intended to satisfy the affirmative defense conditions of Rule 10b5-1(c) against liability for trading in securities on the basis of material nonpublic information. During the quarter ended September 30, 2025, the following Section 16 officers adopted, modified, or terminated trading arrangements (as defined in Item 408 of Regulation S-K of the Exchange Act):</w:t>
      </w:r>
    </w:p>
    <w:p>
      <w:pPr>
        <w:spacing w:after="0" w:line="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2025, Thomas L. Deitrich, President and Chief Executive Officer, adopted a written trading plan designed to be in effect until September 8, 2026 with respect to the exercise of up to 21,176 stock options of Itron, Inc. common stock, subject to certain conditions.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2025, Donald L. Reeves, Senior Vice President, Outcomes, adopted a written trading plan designed to be in effect until September 2, 2026 with respect to the sale of up to 9,540 shares of Itron, Inc. common stock, subject to certain conditions.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2025, Justin K. Patrick, Senior Vice President, Device Solutions, adopted a written trading plan designed to be in effect until September 2, 2026 with respect to the sale of up to 10,210 shares of Itron, Inc. common stock,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2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00" w:type="dxa"/>
            <w:vAlign w:val="bottom"/>
            <w:gridSpan w:val="2"/>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5"/>
                <w:szCs w:val="15"/>
                <w:color w:val="auto"/>
              </w:rPr>
            </w:pPr>
          </w:p>
        </w:tc>
        <w:tc>
          <w:tcPr>
            <w:tcW w:w="5240" w:type="dxa"/>
            <w:vAlign w:val="bottom"/>
            <w:tcBorders>
              <w:top w:val="single" w:sz="8" w:color="auto"/>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440" w:right="20" w:hanging="939"/>
        <w:spacing w:after="0" w:line="224"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September 30, 2025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59" w:lineRule="exact"/>
        <w:rPr>
          <w:sz w:val="20"/>
          <w:szCs w:val="20"/>
          <w:color w:val="auto"/>
        </w:rPr>
      </w:pPr>
    </w:p>
    <w:p>
      <w:pPr>
        <w:ind w:left="1440" w:hanging="939"/>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30, 2025</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September 30, 2025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30, 2025</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30, 2025</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lvl w:ilvl="1">
      <w:lvlJc w:val="left"/>
      <w:lvlText w:val="•"/>
      <w:numFmt w:val="bullet"/>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2025-10-30T11:08:56Z</dcterms:created>
  <dcterms:modified xsi:type="dcterms:W3CDTF">2025-10-30T11:08:56Z</dcterms:modified>
</cp:coreProperties>
</file>