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 Rules 13d-1(b),</w:t>
      </w:r>
    </w:p>
    <w:p>
      <w:pPr>
        <w:jc w:val="center"/>
        <w:ind w:right="1779"/>
        <w:spacing w:after="0" w:line="238" w:lineRule="auto"/>
        <w:rPr>
          <w:sz w:val="20"/>
          <w:szCs w:val="20"/>
          <w:color w:val="auto"/>
        </w:rPr>
      </w:pPr>
      <w:r>
        <w:rPr>
          <w:rFonts w:ascii="Courier New" w:cs="Courier New" w:eastAsia="Courier New" w:hAnsi="Courier New"/>
          <w:sz w:val="18"/>
          <w:szCs w:val="18"/>
          <w:color w:val="auto"/>
        </w:rPr>
        <w:t>(c), and (d) and Amendments thereto filed pursuant to Rule 13d-2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1)(1)</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no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465741106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2640" w:hanging="736"/>
        <w:spacing w:after="0"/>
        <w:tabs>
          <w:tab w:leader="none" w:pos="2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ind w:left="3280"/>
        <w:spacing w:after="0" w:line="238" w:lineRule="auto"/>
        <w:rPr>
          <w:sz w:val="20"/>
          <w:szCs w:val="20"/>
          <w:color w:val="auto"/>
        </w:rPr>
      </w:pPr>
      <w:r>
        <w:rPr>
          <w:rFonts w:ascii="Courier New" w:cs="Courier New" w:eastAsia="Courier New" w:hAnsi="Courier New"/>
          <w:sz w:val="18"/>
          <w:szCs w:val="18"/>
          <w:color w:val="auto"/>
        </w:rPr>
        <w:t>No Exhibit Index</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860" w:right="30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Turner Investment Partners,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640"/>
              <w:spacing w:after="0"/>
              <w:rPr>
                <w:sz w:val="20"/>
                <w:szCs w:val="20"/>
                <w:color w:val="auto"/>
              </w:rPr>
            </w:pPr>
            <w:r>
              <w:rPr>
                <w:rFonts w:ascii="Courier New" w:cs="Courier New" w:eastAsia="Courier New" w:hAnsi="Courier New"/>
                <w:sz w:val="18"/>
                <w:szCs w:val="18"/>
                <w:color w:val="auto"/>
              </w:rPr>
              <w:t>5.</w:t>
            </w:r>
          </w:p>
        </w:tc>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90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8"/>
              </w:rPr>
              <w:t>Shares</w:t>
            </w:r>
          </w:p>
        </w:tc>
        <w:tc>
          <w:tcPr>
            <w:tcW w:w="1160" w:type="dxa"/>
            <w:vAlign w:val="bottom"/>
          </w:tcPr>
          <w:p>
            <w:pPr>
              <w:spacing w:after="0"/>
              <w:rPr>
                <w:sz w:val="24"/>
                <w:szCs w:val="24"/>
                <w:color w:val="auto"/>
              </w:rPr>
            </w:pPr>
          </w:p>
        </w:tc>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71,780</w:t>
            </w:r>
          </w:p>
        </w:tc>
      </w:tr>
      <w:tr>
        <w:trPr>
          <w:trHeight w:val="203"/>
        </w:trPr>
        <w:tc>
          <w:tcPr>
            <w:tcW w:w="1900" w:type="dxa"/>
            <w:vAlign w:val="bottom"/>
          </w:tcPr>
          <w:p>
            <w:pPr>
              <w:spacing w:after="0"/>
              <w:rPr>
                <w:sz w:val="17"/>
                <w:szCs w:val="17"/>
                <w:color w:val="auto"/>
              </w:rPr>
            </w:pP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90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Owned by</w:t>
            </w:r>
          </w:p>
        </w:tc>
        <w:tc>
          <w:tcPr>
            <w:tcW w:w="1160" w:type="dxa"/>
            <w:vAlign w:val="bottom"/>
          </w:tcPr>
          <w:p>
            <w:pPr>
              <w:spacing w:after="0"/>
              <w:rPr>
                <w:sz w:val="24"/>
                <w:szCs w:val="24"/>
                <w:color w:val="auto"/>
              </w:rPr>
            </w:pPr>
          </w:p>
        </w:tc>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rPr>
                <w:sz w:val="17"/>
                <w:szCs w:val="17"/>
                <w:color w:val="auto"/>
              </w:rPr>
            </w:pP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24"/>
                <w:szCs w:val="24"/>
                <w:color w:val="auto"/>
              </w:rPr>
            </w:pPr>
          </w:p>
        </w:tc>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149,280</w:t>
            </w:r>
          </w:p>
        </w:tc>
      </w:tr>
      <w:tr>
        <w:trPr>
          <w:trHeight w:val="203"/>
        </w:trPr>
        <w:tc>
          <w:tcPr>
            <w:tcW w:w="1900" w:type="dxa"/>
            <w:vAlign w:val="bottom"/>
          </w:tcPr>
          <w:p>
            <w:pPr>
              <w:spacing w:after="0"/>
              <w:rPr>
                <w:sz w:val="17"/>
                <w:szCs w:val="17"/>
                <w:color w:val="auto"/>
              </w:rPr>
            </w:pPr>
          </w:p>
        </w:tc>
        <w:tc>
          <w:tcPr>
            <w:tcW w:w="62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149,280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2199" w:hanging="747"/>
        <w:spacing w:after="0" w:line="235" w:lineRule="auto"/>
        <w:tabs>
          <w:tab w:leader="none" w:pos="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747"/>
        <w:spacing w:after="0" w:line="238" w:lineRule="auto"/>
        <w:tabs>
          <w:tab w:leader="none" w:pos="8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747"/>
        <w:spacing w:after="0" w:line="238" w:lineRule="auto"/>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465741106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6 PAGES</w:t>
      </w:r>
    </w:p>
    <w:p>
      <w:pPr>
        <w:spacing w:after="0" w:line="216" w:lineRule="exact"/>
        <w:rPr>
          <w:sz w:val="20"/>
          <w:szCs w:val="20"/>
          <w:color w:val="auto"/>
        </w:rPr>
      </w:pPr>
    </w:p>
    <w:p>
      <w:pPr>
        <w:sectPr>
          <w:pgSz w:w="11900" w:h="16838" w:orient="portrait"/>
          <w:cols w:equalWidth="0" w:num="3">
            <w:col w:w="3180" w:space="720"/>
            <w:col w:w="2020" w:space="720"/>
            <w:col w:w="3579"/>
          </w:cols>
          <w:pgMar w:left="240" w:top="51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Address of Issuer's Principal Executive Offices: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2111 North Molter Road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Lake, WA 99019</w:t>
      </w:r>
    </w:p>
    <w:p>
      <w:pPr>
        <w:spacing w:after="0" w:line="200" w:lineRule="exact"/>
        <w:rPr>
          <w:sz w:val="20"/>
          <w:szCs w:val="20"/>
          <w:color w:val="auto"/>
        </w:rPr>
      </w:pPr>
    </w:p>
    <w:p>
      <w:pPr>
        <w:sectPr>
          <w:pgSz w:w="11900" w:h="16838" w:orient="portrait"/>
          <w:cols w:equalWidth="0" w:num="2">
            <w:col w:w="5480" w:space="640"/>
            <w:col w:w="4099"/>
          </w:cols>
          <w:pgMar w:left="240" w:top="514"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 Name, Principal Business Address and Citizenship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Turner Investment Partners, Inc.</w:t>
      </w:r>
    </w:p>
    <w:p>
      <w:pPr>
        <w:ind w:left="860"/>
        <w:spacing w:after="0" w:line="238" w:lineRule="auto"/>
        <w:rPr>
          <w:sz w:val="20"/>
          <w:szCs w:val="20"/>
          <w:color w:val="auto"/>
        </w:rPr>
      </w:pPr>
      <w:r>
        <w:rPr>
          <w:rFonts w:ascii="Courier New" w:cs="Courier New" w:eastAsia="Courier New" w:hAnsi="Courier New"/>
          <w:sz w:val="18"/>
          <w:szCs w:val="18"/>
          <w:color w:val="auto"/>
        </w:rPr>
        <w:t>1205 Westlakes Drive, Suite 100</w:t>
      </w:r>
    </w:p>
    <w:p>
      <w:pPr>
        <w:ind w:left="860"/>
        <w:spacing w:after="0"/>
        <w:rPr>
          <w:sz w:val="20"/>
          <w:szCs w:val="20"/>
          <w:color w:val="auto"/>
        </w:rPr>
      </w:pPr>
      <w:r>
        <w:rPr>
          <w:rFonts w:ascii="Courier New" w:cs="Courier New" w:eastAsia="Courier New" w:hAnsi="Courier New"/>
          <w:sz w:val="18"/>
          <w:szCs w:val="18"/>
          <w:color w:val="auto"/>
        </w:rPr>
        <w:t>Berwyn, PA 19312</w:t>
      </w:r>
    </w:p>
    <w:p>
      <w:pPr>
        <w:ind w:left="8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Citizenship:</w:t>
        <w:tab/>
        <w:t>Pennsylvania</w:t>
      </w:r>
    </w:p>
    <w:p>
      <w:pPr>
        <w:spacing w:after="0" w:line="202"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no par value</w:t>
      </w: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465741106</w:t>
      </w:r>
    </w:p>
    <w:p>
      <w:pPr>
        <w:spacing w:after="0" w:line="200" w:lineRule="exact"/>
        <w:rPr>
          <w:sz w:val="20"/>
          <w:szCs w:val="20"/>
          <w:color w:val="auto"/>
        </w:rPr>
      </w:pPr>
    </w:p>
    <w:p>
      <w:pPr>
        <w:spacing w:after="0" w:line="210"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6" w:lineRule="exact"/>
        <w:rPr>
          <w:rFonts w:ascii="Courier New" w:cs="Courier New" w:eastAsia="Courier New" w:hAnsi="Courier New"/>
          <w:sz w:val="18"/>
          <w:szCs w:val="18"/>
          <w:color w:val="auto"/>
        </w:rPr>
      </w:pPr>
    </w:p>
    <w:p>
      <w:pPr>
        <w:ind w:left="860" w:right="187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860"/>
        <w:spacing w:after="0" w:line="238" w:lineRule="auto"/>
        <w:rPr>
          <w:sz w:val="20"/>
          <w:szCs w:val="20"/>
          <w:color w:val="auto"/>
        </w:rPr>
      </w:pPr>
      <w:r>
        <w:rPr>
          <w:rFonts w:ascii="Courier New" w:cs="Courier New" w:eastAsia="Courier New" w:hAnsi="Courier New"/>
          <w:sz w:val="18"/>
          <w:szCs w:val="18"/>
          <w:color w:val="auto"/>
        </w:rPr>
        <w:t>Rule 13d-1(b)(1)(ii)(F);</w:t>
      </w:r>
    </w:p>
    <w:p>
      <w:pPr>
        <w:spacing w:after="0" w:line="207" w:lineRule="exact"/>
        <w:rPr>
          <w:sz w:val="20"/>
          <w:szCs w:val="20"/>
          <w:color w:val="auto"/>
        </w:rPr>
      </w:pPr>
    </w:p>
    <w:p>
      <w:pPr>
        <w:ind w:left="860" w:right="293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860" w:right="177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208" w:lineRule="exact"/>
        <w:rPr>
          <w:rFonts w:ascii="Courier New" w:cs="Courier New" w:eastAsia="Courier New" w:hAnsi="Courier New"/>
          <w:sz w:val="18"/>
          <w:szCs w:val="18"/>
          <w:color w:val="auto"/>
        </w:rPr>
      </w:pPr>
    </w:p>
    <w:p>
      <w:pPr>
        <w:ind w:left="860" w:right="2319" w:hanging="852"/>
        <w:spacing w:after="0" w:line="290" w:lineRule="auto"/>
        <w:tabs>
          <w:tab w:leader="none" w:pos="43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 149,280</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1779" w:hanging="412"/>
        <w:spacing w:after="0" w:line="279"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0.6% (Based upon 25,588,807 shares of Common Stock, no par value, outstanding as of September 29, 2006 as disclosed in the Itron, Inc. Quarterly Report on Form 10-Q for the quarter ended September 30, 2006.</w:t>
      </w:r>
    </w:p>
    <w:p>
      <w:pPr>
        <w:spacing w:after="0" w:line="375"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160" w:hanging="731"/>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71,780</w:t>
      </w:r>
    </w:p>
    <w:p>
      <w:pPr>
        <w:ind w:left="1160" w:hanging="731"/>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160" w:hanging="731"/>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149,280</w:t>
      </w:r>
    </w:p>
    <w:p>
      <w:pPr>
        <w:ind w:left="1160" w:hanging="731"/>
        <w:spacing w:after="0" w:line="238"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in respect of this Schedule 13G, which is filed by Turner Investment Partners, Inc. in its capacity as an investment adviser, are owned of record by clients of Turner Investment Partners, Inc. Those clients have the right to receive, or the power to direct the receipt of, dividends from, or the proceeds from the sale of, such securities. No such client is known to have such right or power with respect to more than five percent of this class of securities.</w:t>
      </w:r>
    </w:p>
    <w:p>
      <w:pPr>
        <w:spacing w:after="0" w:line="200" w:lineRule="exact"/>
        <w:rPr>
          <w:sz w:val="20"/>
          <w:szCs w:val="20"/>
          <w:color w:val="auto"/>
        </w:rPr>
      </w:pPr>
    </w:p>
    <w:p>
      <w:pPr>
        <w:spacing w:after="0" w:line="214"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421"/>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8"/>
          <w:szCs w:val="18"/>
          <w:color w:val="auto"/>
        </w:rPr>
        <w:t>January 18, 2007</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Turner Investment Partners, Inc.</w:t>
      </w:r>
    </w:p>
    <w:p>
      <w:pPr>
        <w:spacing w:after="0" w:line="201" w:lineRule="exact"/>
        <w:rPr>
          <w:sz w:val="20"/>
          <w:szCs w:val="20"/>
          <w:color w:val="auto"/>
        </w:rPr>
      </w:pPr>
    </w:p>
    <w:p>
      <w:pPr>
        <w:ind w:left="4860"/>
        <w:spacing w:after="0"/>
        <w:tabs>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Brian F. McNally</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Brian F. McNally</w:t>
      </w:r>
    </w:p>
    <w:p>
      <w:pPr>
        <w:jc w:val="center"/>
        <w:ind w:left="1660"/>
        <w:spacing w:after="0" w:line="238" w:lineRule="auto"/>
        <w:rPr>
          <w:sz w:val="20"/>
          <w:szCs w:val="20"/>
          <w:color w:val="auto"/>
        </w:rPr>
      </w:pPr>
      <w:r>
        <w:rPr>
          <w:rFonts w:ascii="Courier New" w:cs="Courier New" w:eastAsia="Courier New" w:hAnsi="Courier New"/>
          <w:sz w:val="18"/>
          <w:szCs w:val="18"/>
          <w:color w:val="auto"/>
        </w:rPr>
        <w:t>Title: General Counsel and Chief</w:t>
      </w:r>
    </w:p>
    <w:p>
      <w:pPr>
        <w:jc w:val="center"/>
        <w:ind w:left="1660"/>
        <w:spacing w:after="0"/>
        <w:rPr>
          <w:sz w:val="20"/>
          <w:szCs w:val="20"/>
          <w:color w:val="auto"/>
        </w:rPr>
      </w:pPr>
      <w:r>
        <w:rPr>
          <w:rFonts w:ascii="Courier New" w:cs="Courier New" w:eastAsia="Courier New" w:hAnsi="Courier New"/>
          <w:sz w:val="18"/>
          <w:szCs w:val="18"/>
          <w:color w:val="auto"/>
        </w:rPr>
        <w:t>Compliance Officer</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upperLetter"/>
      <w:start w:val="24"/>
    </w:lvl>
  </w:abstractNum>
  <w:abstractNum w:abstractNumId="5">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
    <w:nsid w:val="66EF438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7">
    <w:nsid w:val="140E0F7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8">
    <w:nsid w:val="3352255A"/>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9">
    <w:nsid w:val="109CF92E"/>
    <w:multiLevelType w:val="hybridMultilevel"/>
    <w:lvl w:ilvl="0">
      <w:lvlJc w:val="left"/>
      <w:lvlText w:val="-"/>
      <w:numFmt w:val="bullet"/>
      <w:start w:val="1"/>
    </w:lvl>
    <w:lvl w:ilvl="1">
      <w:lvlJc w:val="left"/>
      <w:lvlText w:val="%2."/>
      <w:numFmt w:val="decimal"/>
      <w:start w:val="9"/>
    </w:lvl>
  </w:abstractNum>
  <w:abstractNum w:abstractNumId="10">
    <w:nsid w:val="DED7263"/>
    <w:multiLevelType w:val="hybridMultilevel"/>
    <w:lvl w:ilvl="0">
      <w:lvlJc w:val="left"/>
      <w:lvlText w:val="-"/>
      <w:numFmt w:val="bullet"/>
      <w:start w:val="1"/>
    </w:lvl>
    <w:lvl w:ilvl="1">
      <w:lvlJc w:val="left"/>
      <w:lvlText w:val="%2."/>
      <w:numFmt w:val="decimal"/>
      <w:start w:val="10"/>
    </w:lvl>
  </w:abstractNum>
  <w:abstractNum w:abstractNumId="11">
    <w:nsid w:val="7FDCC233"/>
    <w:multiLevelType w:val="hybridMultilevel"/>
    <w:lvl w:ilvl="0">
      <w:lvlJc w:val="left"/>
      <w:lvlText w:val="-"/>
      <w:numFmt w:val="bullet"/>
      <w:start w:val="1"/>
    </w:lvl>
    <w:lvl w:ilvl="1">
      <w:lvlJc w:val="left"/>
      <w:lvlText w:val="%2."/>
      <w:numFmt w:val="decimal"/>
      <w:start w:val="11"/>
    </w:lvl>
  </w:abstractNum>
  <w:abstractNum w:abstractNumId="12">
    <w:nsid w:val="1BEFD79F"/>
    <w:multiLevelType w:val="hybridMultilevel"/>
    <w:lvl w:ilvl="0">
      <w:lvlJc w:val="left"/>
      <w:lvlText w:val="-"/>
      <w:numFmt w:val="bullet"/>
      <w:start w:val="1"/>
    </w:lvl>
    <w:lvl w:ilvl="1">
      <w:lvlJc w:val="left"/>
      <w:lvlText w:val="%2."/>
      <w:numFmt w:val="decimal"/>
      <w:start w:val="12"/>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7"/>
    </w:lvl>
  </w:abstractNum>
  <w:abstractNum w:abstractNumId="16">
    <w:nsid w:val="25E45D3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2019-12-11T22:18:22Z</dcterms:created>
  <dcterms:modified xsi:type="dcterms:W3CDTF">2019-12-11T22:18:22Z</dcterms:modified>
</cp:coreProperties>
</file>