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580" w:right="340" w:hanging="572"/>
        <w:spacing w:after="0" w:line="242"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ind w:left="580"/>
        <w:spacing w:after="0"/>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For the quarterly period ended June 30, 2006</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48"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ind w:left="58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234315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tbl>
      <w:tblPr>
        <w:tblLayout w:type="fixed"/>
        <w:tblInd w:w="198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2000" w:type="dxa"/>
            <w:vAlign w:val="bottom"/>
          </w:tcPr>
          <w:p>
            <w:pPr>
              <w:spacing w:after="0"/>
              <w:rPr>
                <w:sz w:val="15"/>
                <w:szCs w:val="15"/>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98"/>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506"/>
        </w:trPr>
        <w:tc>
          <w:tcPr>
            <w:tcW w:w="200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Washington</w:t>
            </w:r>
          </w:p>
        </w:tc>
        <w:tc>
          <w:tcPr>
            <w:tcW w:w="624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rPr>
              <w:t>91-1011792</w:t>
            </w:r>
          </w:p>
        </w:tc>
      </w:tr>
      <w:tr>
        <w:trPr>
          <w:trHeight w:val="228"/>
        </w:trPr>
        <w:tc>
          <w:tcPr>
            <w:tcW w:w="2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(State of incorporation)</w:t>
            </w:r>
          </w:p>
        </w:tc>
        <w:tc>
          <w:tcPr>
            <w:tcW w:w="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520" w:type="dxa"/>
            <w:vAlign w:val="bottom"/>
          </w:tcPr>
          <w:p>
            <w:pPr>
              <w:jc w:val="center"/>
              <w:ind w:left="372"/>
              <w:spacing w:after="0"/>
              <w:rPr>
                <w:sz w:val="20"/>
                <w:szCs w:val="20"/>
                <w:color w:val="auto"/>
              </w:rPr>
            </w:pPr>
            <w:r>
              <w:rPr>
                <w:rFonts w:ascii="Arial" w:cs="Arial" w:eastAsia="Arial" w:hAnsi="Arial"/>
                <w:sz w:val="18"/>
                <w:szCs w:val="18"/>
                <w:b w:val="1"/>
                <w:bCs w:val="1"/>
                <w:color w:val="auto"/>
                <w:w w:val="91"/>
              </w:rPr>
              <w:t>(I.R.S. Employer Identification Number)</w:t>
            </w:r>
          </w:p>
        </w:tc>
      </w:tr>
      <w:tr>
        <w:trPr>
          <w:trHeight w:val="366"/>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2"/>
          </w:tcPr>
          <w:p>
            <w:pPr>
              <w:jc w:val="center"/>
              <w:ind w:right="3452"/>
              <w:spacing w:after="0"/>
              <w:rPr>
                <w:sz w:val="20"/>
                <w:szCs w:val="20"/>
                <w:color w:val="auto"/>
              </w:rPr>
            </w:pPr>
            <w:r>
              <w:rPr>
                <w:rFonts w:ascii="Arial" w:cs="Arial" w:eastAsia="Arial" w:hAnsi="Arial"/>
                <w:sz w:val="18"/>
                <w:szCs w:val="18"/>
                <w:b w:val="1"/>
                <w:bCs w:val="1"/>
                <w:color w:val="auto"/>
                <w:w w:val="89"/>
              </w:rPr>
              <w:t>2818 North Sullivan Road</w:t>
            </w:r>
          </w:p>
        </w:tc>
      </w:tr>
      <w:tr>
        <w:trPr>
          <w:trHeight w:val="216"/>
        </w:trPr>
        <w:tc>
          <w:tcPr>
            <w:tcW w:w="2000" w:type="dxa"/>
            <w:vAlign w:val="bottom"/>
          </w:tcPr>
          <w:p>
            <w:pPr>
              <w:spacing w:after="0"/>
              <w:rPr>
                <w:sz w:val="18"/>
                <w:szCs w:val="18"/>
                <w:color w:val="auto"/>
              </w:rPr>
            </w:pPr>
          </w:p>
        </w:tc>
        <w:tc>
          <w:tcPr>
            <w:tcW w:w="6240" w:type="dxa"/>
            <w:vAlign w:val="bottom"/>
            <w:gridSpan w:val="3"/>
          </w:tcPr>
          <w:p>
            <w:pPr>
              <w:jc w:val="center"/>
              <w:ind w:right="2692"/>
              <w:spacing w:after="0"/>
              <w:rPr>
                <w:sz w:val="20"/>
                <w:szCs w:val="20"/>
                <w:color w:val="auto"/>
              </w:rPr>
            </w:pPr>
            <w:r>
              <w:rPr>
                <w:rFonts w:ascii="Arial" w:cs="Arial" w:eastAsia="Arial" w:hAnsi="Arial"/>
                <w:sz w:val="18"/>
                <w:szCs w:val="18"/>
                <w:b w:val="1"/>
                <w:bCs w:val="1"/>
                <w:color w:val="auto"/>
                <w:w w:val="87"/>
              </w:rPr>
              <w:t>Spokane Valley, Washington 99216-1897</w:t>
            </w:r>
          </w:p>
        </w:tc>
      </w:tr>
      <w:tr>
        <w:trPr>
          <w:trHeight w:val="228"/>
        </w:trPr>
        <w:tc>
          <w:tcPr>
            <w:tcW w:w="2000" w:type="dxa"/>
            <w:vAlign w:val="bottom"/>
          </w:tcPr>
          <w:p>
            <w:pPr>
              <w:spacing w:after="0"/>
              <w:rPr>
                <w:sz w:val="19"/>
                <w:szCs w:val="19"/>
                <w:color w:val="auto"/>
              </w:rPr>
            </w:pPr>
          </w:p>
        </w:tc>
        <w:tc>
          <w:tcPr>
            <w:tcW w:w="2720" w:type="dxa"/>
            <w:vAlign w:val="bottom"/>
            <w:gridSpan w:val="2"/>
          </w:tcPr>
          <w:p>
            <w:pPr>
              <w:jc w:val="center"/>
              <w:ind w:left="631"/>
              <w:spacing w:after="0"/>
              <w:rPr>
                <w:sz w:val="20"/>
                <w:szCs w:val="20"/>
                <w:color w:val="auto"/>
              </w:rPr>
            </w:pPr>
            <w:r>
              <w:rPr>
                <w:rFonts w:ascii="Arial" w:cs="Arial" w:eastAsia="Arial" w:hAnsi="Arial"/>
                <w:sz w:val="18"/>
                <w:szCs w:val="18"/>
                <w:b w:val="1"/>
                <w:bCs w:val="1"/>
                <w:color w:val="auto"/>
                <w:w w:val="89"/>
              </w:rPr>
              <w:t>(509) 924-9900</w:t>
            </w:r>
          </w:p>
        </w:tc>
        <w:tc>
          <w:tcPr>
            <w:tcW w:w="3520" w:type="dxa"/>
            <w:vAlign w:val="bottom"/>
          </w:tcPr>
          <w:p>
            <w:pPr>
              <w:spacing w:after="0"/>
              <w:rPr>
                <w:sz w:val="19"/>
                <w:szCs w:val="19"/>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7" w:lineRule="exact"/>
        <w:tabs>
          <w:tab w:leader="none" w:pos="5220" w:val="left"/>
          <w:tab w:leader="none" w:pos="9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538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As of June 30, 2006, there were outstanding 25,491,538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4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2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12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0"/>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31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Item 1: Financial Statements (Unaudited)</w:t>
              </w:r>
            </w:hyperlink>
          </w:p>
        </w:tc>
        <w:tc>
          <w:tcPr>
            <w:tcW w:w="780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1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7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68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7260" w:type="dxa"/>
            <w:vAlign w:val="bottom"/>
            <w:tcBorders>
              <w:bottom w:val="single" w:sz="8" w:color="0000EE"/>
            </w:tcBorders>
            <w:gridSpan w:val="17"/>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Item 2: Management’s Discussion and Analysis of Financial Condition and Results of Operations</w:t>
              </w:r>
            </w:hyperlink>
          </w:p>
        </w:tc>
        <w:tc>
          <w:tcPr>
            <w:tcW w:w="36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920" w:type="dxa"/>
            <w:vAlign w:val="bottom"/>
            <w:gridSpan w:val="18"/>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3: 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5">
              <w:r>
                <w:rPr>
                  <w:rFonts w:ascii="Arial" w:cs="Arial" w:eastAsia="Arial" w:hAnsi="Arial"/>
                  <w:sz w:val="18"/>
                  <w:szCs w:val="18"/>
                  <w:b w:val="1"/>
                  <w:bCs w:val="1"/>
                  <w:color w:val="0000EE"/>
                  <w:w w:val="87"/>
                </w:rPr>
                <w:t>Item 4: Controls and Procedures</w:t>
              </w:r>
            </w:hyperlink>
          </w:p>
        </w:tc>
        <w:tc>
          <w:tcPr>
            <w:tcW w:w="2680" w:type="dxa"/>
            <w:vAlign w:val="bottom"/>
            <w:tcBorders>
              <w:top w:val="single" w:sz="8" w:color="0000EE"/>
            </w:tcBorders>
            <w:gridSpan w:val="9"/>
          </w:tcPr>
          <w:p>
            <w:pPr>
              <w:spacing w:after="0"/>
              <w:rPr>
                <w:sz w:val="24"/>
                <w:szCs w:val="24"/>
                <w:color w:val="auto"/>
              </w:rPr>
            </w:pPr>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1140" w:type="dxa"/>
            <w:vAlign w:val="bottom"/>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Borders>
              <w:top w:val="single" w:sz="8" w:color="0000EE"/>
            </w:tcBorders>
          </w:tcPr>
          <w:p>
            <w:pPr>
              <w:spacing w:after="0"/>
              <w:rPr>
                <w:sz w:val="24"/>
                <w:szCs w:val="24"/>
                <w:color w:val="auto"/>
              </w:rPr>
            </w:pPr>
          </w:p>
        </w:tc>
        <w:tc>
          <w:tcPr>
            <w:tcW w:w="19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6"/>
              </w:rPr>
            </w:pPr>
            <w:hyperlink w:anchor="page46">
              <w:r>
                <w:rPr>
                  <w:rFonts w:ascii="Arial" w:cs="Arial" w:eastAsia="Arial" w:hAnsi="Arial"/>
                  <w:sz w:val="18"/>
                  <w:szCs w:val="18"/>
                  <w:b w:val="1"/>
                  <w:bCs w:val="1"/>
                  <w:color w:val="0000EE"/>
                  <w:w w:val="86"/>
                </w:rPr>
                <w:t>Item 1: Legal Proceedings</w:t>
              </w:r>
            </w:hyperlink>
          </w:p>
        </w:tc>
        <w:tc>
          <w:tcPr>
            <w:tcW w:w="540" w:type="dxa"/>
            <w:vAlign w:val="bottom"/>
            <w:tcBorders>
              <w:top w:val="single" w:sz="8" w:color="0000EE"/>
            </w:tcBorders>
            <w:gridSpan w:val="3"/>
          </w:tcPr>
          <w:p>
            <w:pPr>
              <w:spacing w:after="0"/>
              <w:rPr>
                <w:sz w:val="24"/>
                <w:szCs w:val="24"/>
                <w:color w:val="auto"/>
              </w:rPr>
            </w:pPr>
          </w:p>
        </w:tc>
        <w:tc>
          <w:tcPr>
            <w:tcW w:w="84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68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46">
              <w:r>
                <w:rPr>
                  <w:rFonts w:ascii="Arial" w:cs="Arial" w:eastAsia="Arial" w:hAnsi="Arial"/>
                  <w:sz w:val="18"/>
                  <w:szCs w:val="18"/>
                  <w:b w:val="1"/>
                  <w:bCs w:val="1"/>
                  <w:color w:val="0000EE"/>
                  <w:w w:val="90"/>
                </w:rPr>
                <w:t>Item 1A: Risk Factors</w:t>
              </w:r>
            </w:hyperlink>
          </w:p>
        </w:tc>
        <w:tc>
          <w:tcPr>
            <w:tcW w:w="92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rFonts w:ascii="Arial" w:cs="Arial" w:eastAsia="Arial" w:hAnsi="Arial"/>
                <w:sz w:val="18"/>
                <w:szCs w:val="18"/>
                <w:b w:val="1"/>
                <w:bCs w:val="1"/>
                <w:color w:val="0000EE"/>
                <w:w w:val="87"/>
              </w:rPr>
            </w:pPr>
            <w:hyperlink w:anchor="page46">
              <w:r>
                <w:rPr>
                  <w:rFonts w:ascii="Arial" w:cs="Arial" w:eastAsia="Arial" w:hAnsi="Arial"/>
                  <w:sz w:val="18"/>
                  <w:szCs w:val="18"/>
                  <w:b w:val="1"/>
                  <w:bCs w:val="1"/>
                  <w:color w:val="0000EE"/>
                  <w:w w:val="87"/>
                </w:rPr>
                <w:t>Item 4: Submission of Matters to a Vote of Security Holders</w:t>
              </w:r>
            </w:hyperlink>
          </w:p>
        </w:tc>
        <w:tc>
          <w:tcPr>
            <w:tcW w:w="64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920" w:type="dxa"/>
            <w:vAlign w:val="bottom"/>
            <w:gridSpan w:val="1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0"/>
              </w:rPr>
            </w:pPr>
            <w:hyperlink w:anchor="page46">
              <w:r>
                <w:rPr>
                  <w:rFonts w:ascii="Arial" w:cs="Arial" w:eastAsia="Arial" w:hAnsi="Arial"/>
                  <w:sz w:val="18"/>
                  <w:szCs w:val="18"/>
                  <w:b w:val="1"/>
                  <w:bCs w:val="1"/>
                  <w:color w:val="0000EE"/>
                  <w:w w:val="90"/>
                </w:rPr>
                <w:t>Item 6: Exhibits</w:t>
              </w:r>
            </w:hyperlink>
          </w:p>
        </w:tc>
        <w:tc>
          <w:tcPr>
            <w:tcW w:w="780" w:type="dxa"/>
            <w:vAlign w:val="bottom"/>
            <w:tcBorders>
              <w:top w:val="single" w:sz="8" w:color="0000EE"/>
            </w:tcBorders>
            <w:gridSpan w:val="3"/>
          </w:tcPr>
          <w:p>
            <w:pPr>
              <w:spacing w:after="0"/>
              <w:rPr>
                <w:sz w:val="24"/>
                <w:szCs w:val="24"/>
                <w:color w:val="auto"/>
              </w:rPr>
            </w:pPr>
          </w:p>
        </w:tc>
        <w:tc>
          <w:tcPr>
            <w:tcW w:w="89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0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w:t>
              </w:r>
            </w:hyperlink>
          </w:p>
        </w:tc>
        <w:tc>
          <w:tcPr>
            <w:tcW w:w="101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25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19"/>
                <w:szCs w:val="19"/>
                <w:color w:val="auto"/>
              </w:rPr>
            </w:pPr>
          </w:p>
        </w:tc>
        <w:tc>
          <w:tcPr>
            <w:tcW w:w="22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2"/>
        </w:trPr>
        <w:tc>
          <w:tcPr>
            <w:tcW w:w="6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1"/>
              </w:rPr>
              <w:t>(in</w:t>
            </w:r>
          </w:p>
        </w:tc>
        <w:tc>
          <w:tcPr>
            <w:tcW w:w="2520" w:type="dxa"/>
            <w:vAlign w:val="bottom"/>
            <w:gridSpan w:val="7"/>
          </w:tcPr>
          <w:p>
            <w:pPr>
              <w:spacing w:after="0"/>
              <w:rPr>
                <w:sz w:val="20"/>
                <w:szCs w:val="20"/>
                <w:color w:val="auto"/>
              </w:rPr>
            </w:pPr>
            <w:r>
              <w:rPr>
                <w:rFonts w:ascii="Arial" w:cs="Arial" w:eastAsia="Arial" w:hAnsi="Arial"/>
                <w:sz w:val="18"/>
                <w:szCs w:val="18"/>
                <w:b w:val="1"/>
                <w:bCs w:val="1"/>
                <w:color w:val="auto"/>
                <w:w w:val="85"/>
              </w:rPr>
              <w:t>thousands, except per share data)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151,977</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122,811</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294,911</w:t>
            </w:r>
          </w:p>
        </w:tc>
        <w:tc>
          <w:tcPr>
            <w:tcW w:w="24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24,452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163,810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319,363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5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88,118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169,960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94,778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183,557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69,032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56,739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135,806</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14,920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24,641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51,372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46,428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99,158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17,660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(2,585)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(8,298)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15,194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28,350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(4,990)</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10,204</w:t>
            </w:r>
          </w:p>
        </w:tc>
        <w:tc>
          <w:tcPr>
            <w:tcW w:w="2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9,313</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25,415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26,360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26,216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3"/>
        </w:trPr>
        <w:tc>
          <w:tcPr>
            <w:tcW w:w="8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2005</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5"/>
                <w:szCs w:val="15"/>
                <w:b w:val="1"/>
                <w:bCs w:val="1"/>
                <w:color w:val="auto"/>
                <w:w w:val="74"/>
              </w:rPr>
              <w:t>thousands)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8780" w:type="dxa"/>
            <w:vAlign w:val="bottom"/>
          </w:tcPr>
          <w:p>
            <w:pPr>
              <w:ind w:left="396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46,587</w:t>
            </w: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89,046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104,428</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59,979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22"/>
        </w:trPr>
        <w:tc>
          <w:tcPr>
            <w:tcW w:w="8780" w:type="dxa"/>
            <w:vAlign w:val="bottom"/>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23"/>
        </w:trPr>
        <w:tc>
          <w:tcPr>
            <w:tcW w:w="878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239,837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221,657</w:t>
            </w:r>
          </w:p>
        </w:tc>
        <w:tc>
          <w:tcPr>
            <w:tcW w:w="0" w:type="dxa"/>
            <w:vAlign w:val="bottom"/>
          </w:tcPr>
          <w:p>
            <w:pPr>
              <w:spacing w:after="0"/>
              <w:rPr>
                <w:sz w:val="1"/>
                <w:szCs w:val="1"/>
                <w:color w:val="auto"/>
              </w:rPr>
            </w:pP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75,475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118,161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123,293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119,504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52,330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48,955</w:t>
            </w:r>
          </w:p>
        </w:tc>
        <w:tc>
          <w:tcPr>
            <w:tcW w:w="0" w:type="dxa"/>
            <w:vAlign w:val="bottom"/>
          </w:tcPr>
          <w:p>
            <w:pPr>
              <w:spacing w:after="0"/>
              <w:rPr>
                <w:sz w:val="1"/>
                <w:szCs w:val="1"/>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23"/>
        </w:trPr>
        <w:tc>
          <w:tcPr>
            <w:tcW w:w="87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613,971</w:t>
            </w: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49,418</w:t>
            </w: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2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2"/>
        </w:trPr>
        <w:tc>
          <w:tcPr>
            <w:tcW w:w="878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23"/>
        </w:trPr>
        <w:tc>
          <w:tcPr>
            <w:tcW w:w="878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103,779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105,578</w:t>
            </w:r>
          </w:p>
        </w:tc>
        <w:tc>
          <w:tcPr>
            <w:tcW w:w="0" w:type="dxa"/>
            <w:vAlign w:val="bottom"/>
          </w:tcPr>
          <w:p>
            <w:pPr>
              <w:spacing w:after="0"/>
              <w:rPr>
                <w:sz w:val="1"/>
                <w:szCs w:val="1"/>
                <w:color w:val="auto"/>
              </w:rPr>
            </w:pP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124,274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160,186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Project financing debt</w:t>
            </w:r>
          </w:p>
        </w:tc>
        <w:tc>
          <w:tcPr>
            <w:tcW w:w="2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Contingent purchase price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Other obligations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3"/>
        </w:trPr>
        <w:tc>
          <w:tcPr>
            <w:tcW w:w="878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250,889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281,350</w:t>
            </w:r>
          </w:p>
        </w:tc>
        <w:tc>
          <w:tcPr>
            <w:tcW w:w="0" w:type="dxa"/>
            <w:vAlign w:val="bottom"/>
          </w:tcPr>
          <w:p>
            <w:pPr>
              <w:spacing w:after="0"/>
              <w:rPr>
                <w:sz w:val="1"/>
                <w:szCs w:val="1"/>
                <w:color w:val="auto"/>
              </w:rPr>
            </w:pP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339,640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312,046</w:t>
            </w:r>
          </w:p>
        </w:tc>
        <w:tc>
          <w:tcPr>
            <w:tcW w:w="0" w:type="dxa"/>
            <w:vAlign w:val="bottom"/>
          </w:tcPr>
          <w:p>
            <w:pPr>
              <w:spacing w:after="0"/>
              <w:rPr>
                <w:sz w:val="1"/>
                <w:szCs w:val="1"/>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878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23"/>
        </w:trPr>
        <w:tc>
          <w:tcPr>
            <w:tcW w:w="878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363,082</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317,534</w:t>
            </w:r>
          </w:p>
        </w:tc>
        <w:tc>
          <w:tcPr>
            <w:tcW w:w="0" w:type="dxa"/>
            <w:vAlign w:val="bottom"/>
          </w:tcPr>
          <w:p>
            <w:pPr>
              <w:spacing w:after="0"/>
              <w:rPr>
                <w:sz w:val="1"/>
                <w:szCs w:val="1"/>
                <w:color w:val="auto"/>
              </w:rPr>
            </w:pPr>
          </w:p>
        </w:tc>
      </w:tr>
      <w:tr>
        <w:trPr>
          <w:trHeight w:val="224"/>
        </w:trPr>
        <w:tc>
          <w:tcPr>
            <w:tcW w:w="878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613,971</w:t>
            </w:r>
          </w:p>
        </w:tc>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11"/>
        </w:trPr>
        <w:tc>
          <w:tcPr>
            <w:tcW w:w="90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44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w w:val="80"/>
              </w:rPr>
              <w:t>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902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Employee stock plans income tax benefits</w:t>
            </w:r>
          </w:p>
        </w:tc>
        <w:tc>
          <w:tcPr>
            <w:tcW w:w="1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11,686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Excess tax benefits from stock-based compensation</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(8,371)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Amortization of prepaid debt fees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(9,575)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Wages and benefits payable</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(3,623)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Unearned revenue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Warranty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Other long-term obligations</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(4,550)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3"/>
        </w:trPr>
        <w:tc>
          <w:tcPr>
            <w:tcW w:w="9020" w:type="dxa"/>
            <w:vAlign w:val="bottom"/>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Proceeds from the sale of property, plant and equipment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Acquisitions of property, plant and equipment</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(14,420)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Proceeds from the sale of an investment in affiliate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Business acquisitions, net of cash and cash equivalents acquired</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(7,778)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(20,754)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Payments on debt</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(42,703)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(108,178)</w:t>
            </w: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11,326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Excess tax benefits from stock-based compensation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Prepaid debt fees</w:t>
            </w:r>
          </w:p>
        </w:tc>
        <w:tc>
          <w:tcPr>
            <w:tcW w:w="12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9"/>
                <w:szCs w:val="19"/>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(23,068)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46,587</w:t>
            </w:r>
          </w:p>
        </w:tc>
        <w:tc>
          <w:tcPr>
            <w:tcW w:w="24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Property, plant and equipment purchased but not yet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3,103</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Non-cash affects of acquisitions (Note 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88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300"/>
              <w:spacing w:after="0"/>
              <w:rPr>
                <w:sz w:val="20"/>
                <w:szCs w:val="20"/>
                <w:color w:val="auto"/>
              </w:rPr>
            </w:pPr>
            <w:r>
              <w:rPr>
                <w:rFonts w:ascii="Arial" w:cs="Arial" w:eastAsia="Arial" w:hAnsi="Arial"/>
                <w:sz w:val="18"/>
                <w:szCs w:val="18"/>
                <w:color w:val="auto"/>
              </w:rPr>
              <w:t>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13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Condensed Consolidated Statements of Operations for the three and six months ended June 30, 2006 and 2005, Condensed Consolidated Balance Sheets as of June 30, 2006 and December 31, 2005 and Condensed Consolidated Statements of Cash Flows for the six months ended June 30, 2006 and 2005, of Itron and our consolidated subsidiaries. All entries required for the fair presentation of the financial statements are of a normal recurring nature. Intercompany transactions and balances are eliminated upon consolidation.</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April 1, 2006, we completed the acquisition of Quantum Consulting, Inc., which is reported within our Software Solutions segment. On June 1, 2006, we completed the acquisition of ELO Sistemas e Tecnologia Ltda., located in Brazil, which is reported within our Electricity Metering segment. The operating results of these acquisitions are included in our condensed consolidated financial statements commencing on the date of each acquisition (see Note 4).</w:t>
      </w:r>
    </w:p>
    <w:p>
      <w:pPr>
        <w:spacing w:after="0" w:line="10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accounting principles generally accepted in the United States of America (GAAP) have been condensed or omitted pursuant to the rules and regulations of the Securities and Exchange Commission (SEC) regarding interim results. These condensed consolidated financial statements should be read in conjunction with the 2005 audited financial statements and notes included in our Annual Report on Form 10-K, as filed with the SEC on February 24, 2006. The results of operations for the three and six months ended June 30, 2006 are not necessarily indicative of the results expected for the full fiscal year or for any other fiscal period.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Unbilled receivables are recorded when revenues are recognized upon product shipment or service delivery and invoicing occurs at a later date. The allowance for doubtful accounts is based on our historical experience of bad debts. Accounts receivable are written-off against the allowance when we believe an account, or a portion thereof, is no longer collectible.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 xml:space="preserve">Inventories are stated at the lower of cost or market using the first-in, first-out method. Cost includes raw materials and labor, plus applied direct and indirect costs, including those costs required under Statement of Financial Accounting Standards 151, </w:t>
      </w:r>
      <w:r>
        <w:rPr>
          <w:rFonts w:ascii="Arial" w:cs="Arial" w:eastAsia="Arial" w:hAnsi="Arial"/>
          <w:sz w:val="15"/>
          <w:szCs w:val="15"/>
          <w:i w:val="1"/>
          <w:iCs w:val="1"/>
          <w:color w:val="auto"/>
        </w:rPr>
        <w:t>Inventory Costs—an amendment of ARB 43, Chapter 4</w:t>
      </w:r>
      <w:r>
        <w:rPr>
          <w:rFonts w:ascii="Arial" w:cs="Arial" w:eastAsia="Arial" w:hAnsi="Arial"/>
          <w:sz w:val="15"/>
          <w:szCs w:val="15"/>
          <w:color w:val="auto"/>
        </w:rPr>
        <w:t>, (SFAS</w:t>
      </w:r>
    </w:p>
    <w:p>
      <w:pPr>
        <w:spacing w:after="0" w:line="253" w:lineRule="auto"/>
        <w:rPr>
          <w:sz w:val="20"/>
          <w:szCs w:val="20"/>
          <w:color w:val="auto"/>
        </w:rPr>
      </w:pPr>
      <w:r>
        <w:rPr>
          <w:rFonts w:ascii="Arial" w:cs="Arial" w:eastAsia="Arial" w:hAnsi="Arial"/>
          <w:sz w:val="18"/>
          <w:szCs w:val="18"/>
          <w:color w:val="auto"/>
        </w:rPr>
        <w:t>151), which was effective for inventory costs incurred on or after January 1, 2006. SFAS 151 did not have a material effect on our financial statements. Service inventories consist primarily of subassemblies and components necessary to support post-sale maintenance. A large portion of our low-volume manufacturing and all of our repair services for domestic handheld meter reading units are provided by an outside vendor, Servatron. At December 31, 2005, we had a 30% equity interest in Servatron, which we sold back to Servatron in the first quarter of 2006 (see Note 11). Consigned inventory held by Servatron totaled $3.8 million at June 30, 2006 and $2.9 million at December 31, 2005.</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over the term of the applicable lease, including renewable periods if reasonably assured, or over the useful lives, whichever is shorter. Project management costs incurred in connection with installation and equipment used in outsourcing contracts are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Arial" w:cs="Arial" w:eastAsia="Arial" w:hAnsi="Arial"/>
          <w:sz w:val="16"/>
          <w:szCs w:val="16"/>
          <w:i w:val="1"/>
          <w:iCs w:val="1"/>
          <w:color w:val="auto"/>
        </w:rPr>
        <w:t>Accounting for Costs of Computer Software Developed or Obtained for Internal Use</w:t>
      </w:r>
      <w:r>
        <w:rPr>
          <w:rFonts w:ascii="Arial" w:cs="Arial" w:eastAsia="Arial" w:hAnsi="Arial"/>
          <w:sz w:val="16"/>
          <w:szCs w:val="16"/>
          <w:color w:val="auto"/>
        </w:rPr>
        <w:t>. Repair and maintenance costs are expensed as incurred. We have no major planned maintenance activities.</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second quarter of 2006, we capitalized approximately $400,000 of interest costs related to qualified expenditures for improvements to our new corporate headquarters facility, which will be substantially complete as of September 30, 2006. The amount capitalized is based on interest rates in place during the construction period.</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may not be recoverable. There were no significant impairments in the three and six months ended June 30, 2006 and 2005, respectively. If there was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 Assets held for sale are classified within other current assets in the Condensed Consolidated Balance Sheets and are reported at the lower of the carrying amount or fair value less costs to sell, and are no longer depreciated.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w:t>
      </w:r>
    </w:p>
    <w:p>
      <w:pPr>
        <w:spacing w:after="0" w:line="17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Prepaid debt fees represent direct costs incurred related to the issuance of long-term debt and are recorded in other noncurrent assets. These costs are amortized to interest expense over the lives of the respective borrowings using the effective interest method. When debt is repaid early, the portion of unamortized prepaid debt fees related to the early principal repayment is written-off and included in interest expense in the Condensed Consolidated Statements of Operations.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accordance with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utilize the purchase method of accounting for business combinations.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Negative goodwill resulting from contingent consideration is recorded as a liability. If the contingent payments are made, they are applied against the liability. Amounts allocated to in-process research and development (IPR&amp;D) are expensed in the period of acquisition.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Goodwill is tested for impairment as of October 1 of each year, or more frequently, if a significant event occurs under the guidance of SFAS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 Intangible assets with a finite life are amortized based on estimated discounted cash flows over estimated useful lives and tested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offer industry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balance includes estimated warranty claims beyond one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right"/>
              <w:ind w:right="458"/>
              <w:spacing w:after="0"/>
              <w:rPr>
                <w:sz w:val="20"/>
                <w:szCs w:val="20"/>
                <w:color w:val="auto"/>
              </w:rPr>
            </w:pPr>
            <w:r>
              <w:rPr>
                <w:rFonts w:ascii="Arial" w:cs="Arial" w:eastAsia="Arial" w:hAnsi="Arial"/>
                <w:sz w:val="18"/>
                <w:szCs w:val="18"/>
                <w:b w:val="1"/>
                <w:bCs w:val="1"/>
                <w:color w:val="auto"/>
                <w:w w:val="89"/>
              </w:rPr>
              <w:t>Three Months Ended June 30,</w:t>
            </w:r>
          </w:p>
        </w:tc>
        <w:tc>
          <w:tcPr>
            <w:tcW w:w="120" w:type="dxa"/>
            <w:vAlign w:val="bottom"/>
          </w:tcPr>
          <w:p>
            <w:pPr>
              <w:spacing w:after="0"/>
              <w:rPr>
                <w:sz w:val="24"/>
                <w:szCs w:val="24"/>
                <w:color w:val="auto"/>
              </w:rPr>
            </w:pPr>
          </w:p>
        </w:tc>
        <w:tc>
          <w:tcPr>
            <w:tcW w:w="23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12"/>
        </w:trPr>
        <w:tc>
          <w:tcPr>
            <w:tcW w:w="6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w w:val="71"/>
              </w:rPr>
              <w:t>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6040" w:type="dxa"/>
            <w:vAlign w:val="bottom"/>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15,111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18"/>
              <w:spacing w:after="0"/>
              <w:rPr>
                <w:sz w:val="20"/>
                <w:szCs w:val="20"/>
                <w:color w:val="auto"/>
              </w:rPr>
            </w:pPr>
            <w:r>
              <w:rPr>
                <w:rFonts w:ascii="Arial" w:cs="Arial" w:eastAsia="Arial" w:hAnsi="Arial"/>
                <w:sz w:val="18"/>
                <w:szCs w:val="18"/>
                <w:color w:val="auto"/>
              </w:rPr>
              <w:t>11,287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15,276</w:t>
            </w:r>
          </w:p>
        </w:tc>
        <w:tc>
          <w:tcPr>
            <w:tcW w:w="4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13,574</w:t>
            </w:r>
          </w:p>
        </w:tc>
        <w:tc>
          <w:tcPr>
            <w:tcW w:w="60" w:type="dxa"/>
            <w:vAlign w:val="bottom"/>
          </w:tcPr>
          <w:p>
            <w:pPr>
              <w:spacing w:after="0"/>
              <w:rPr>
                <w:sz w:val="24"/>
                <w:szCs w:val="24"/>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Electricity Metering acquisition adjustments</w:t>
            </w:r>
          </w:p>
        </w:tc>
        <w:tc>
          <w:tcPr>
            <w:tcW w:w="12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product warranties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18"/>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18"/>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Claims activity</w:t>
            </w:r>
          </w:p>
        </w:tc>
        <w:tc>
          <w:tcPr>
            <w:tcW w:w="12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9"/>
                <w:szCs w:val="19"/>
                <w:color w:val="auto"/>
              </w:rPr>
            </w:pP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(4,153)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(3,139)</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Ending balance, June 30</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16,954</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60" w:type="dxa"/>
            <w:vAlign w:val="bottom"/>
          </w:tcPr>
          <w:p>
            <w:pPr>
              <w:spacing w:after="0"/>
              <w:rPr>
                <w:sz w:val="19"/>
                <w:szCs w:val="19"/>
                <w:color w:val="auto"/>
              </w:rPr>
            </w:pPr>
          </w:p>
        </w:tc>
      </w:tr>
      <w:tr>
        <w:trPr>
          <w:trHeight w:val="325"/>
        </w:trPr>
        <w:tc>
          <w:tcPr>
            <w:tcW w:w="604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1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(7,927)</w:t>
            </w:r>
          </w:p>
        </w:tc>
        <w:tc>
          <w:tcPr>
            <w:tcW w:w="220" w:type="dxa"/>
            <w:vAlign w:val="bottom"/>
          </w:tcPr>
          <w:p>
            <w:pPr>
              <w:spacing w:after="0"/>
              <w:rPr>
                <w:sz w:val="24"/>
                <w:szCs w:val="24"/>
                <w:color w:val="auto"/>
              </w:rPr>
            </w:pP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(6,148)</w:t>
            </w:r>
          </w:p>
        </w:tc>
      </w:tr>
      <w:tr>
        <w:trPr>
          <w:trHeight w:val="331"/>
        </w:trPr>
        <w:tc>
          <w:tcPr>
            <w:tcW w:w="6040" w:type="dxa"/>
            <w:vAlign w:val="bottom"/>
          </w:tcPr>
          <w:p>
            <w:pPr>
              <w:spacing w:after="0"/>
              <w:rPr>
                <w:sz w:val="20"/>
                <w:szCs w:val="20"/>
                <w:color w:val="auto"/>
              </w:rPr>
            </w:pPr>
            <w:r>
              <w:rPr>
                <w:rFonts w:ascii="Arial" w:cs="Arial" w:eastAsia="Arial" w:hAnsi="Arial"/>
                <w:sz w:val="18"/>
                <w:szCs w:val="18"/>
                <w:color w:val="auto"/>
              </w:rPr>
              <w:t>Long-term warranty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46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4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60" w:type="dxa"/>
            <w:vAlign w:val="bottom"/>
          </w:tcPr>
          <w:p>
            <w:pPr>
              <w:spacing w:after="0"/>
              <w:rPr>
                <w:sz w:val="24"/>
                <w:szCs w:val="24"/>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$3.9 million and $1.7 million for the three months ended June 30, 2006 and 2005 and approximately $5.8 million and $3.0 million for the six months ended June 30, 2006 and 2005, respectively. Warranty expense is classified within cost of sales.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self insured for a substantial portion of the cost of employee group health insurance. We purchase insurance from a third party, which provides individual and aggregate stop loss protection for these costs. Each reporting period, we record the costs of our health insurance plan including paid claims, the change in the estimate of incurred but not reported (IBNR) claims, taxes and administrative fees (collectively the plan costs). Plan costs were approximately $4.8 million and $3.7 million for the three months ended June 30, 2006 and 2005 and approximately $7.1 million and $7.9 million for the six months ended June 30, 2006 and 2005, respectively. The IBNR accrual, which is included in wages and benefits payable, was $2.0 million and $2.1 million at June 30, 2006 and December 31, 2005, respectively. Fluctuations in the IBNR accrual are the result of claims activity.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the portion of the deferred tax asset when we believe it is more likely than not that the deferred tax asset will not be utilized. Deferred tax liabilities have been recorded on undistributed earnings of foreign subsidiaries.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condensed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net of tax, in accumulated other comprehensive income (loss) in shareholders’ equity. Gains and losses that arise from exchange rate fluctuations for balances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that are not denominated in the local currency are included in the Condensed Consolidated Statements of Operations unless those balances arose from intercompany transactions deemed to be long-term in nature. Currency gains and losses for this exception are included, net of tax, in accumulated other comprehensive income (loss) in shareholders’ equity.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Sales consist of hardware, software license fees, custom software development, field and project management service and engineering, consulting, implementation, installation and professional service revenues.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12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 of completion methodology if project costs can be estimated or the completed contract methodology if project costs cannot be reliably estimated. Hardware and software post-sale maintenance support fees are recognized ratably over the life of the related service contract. Under outsourcing arrangements, revenue is recognized as services are provided. Certain consulting services are recognized as services are performed.</w:t>
      </w:r>
    </w:p>
    <w:p>
      <w:pPr>
        <w:spacing w:after="0" w:line="120"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Expenses</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Product and software development expenses primarily include payroll and third party contracting fees. For software we develop to be marketed or sold, financial accounting standards require the capitalization of development costs after technological feasibility is established. Due to the relatively short period of time between technological feasibility and the completion of product development, and the immaterial nature of these costs, we do not capitalize software development. Product and software development costs are generally expensed when incurred.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right="40"/>
        <w:spacing w:after="0" w:line="302" w:lineRule="auto"/>
        <w:rPr>
          <w:sz w:val="20"/>
          <w:szCs w:val="20"/>
          <w:color w:val="auto"/>
        </w:rPr>
      </w:pPr>
      <w:r>
        <w:rPr>
          <w:rFonts w:ascii="Arial" w:cs="Arial" w:eastAsia="Arial" w:hAnsi="Arial"/>
          <w:sz w:val="15"/>
          <w:szCs w:val="15"/>
          <w:color w:val="auto"/>
        </w:rPr>
        <w:t>Basic earnings per share (EPS) is calculated using net income (loss) divided by the weighted average common shares outstanding during the period. Diluted EPS is similar to basic EPS except that the weighted average common shares outstanding are increased to include the number of additional common shares that would have been outstanding if dilutive stock-based awards had been exercised. Diluted EPS assumes that common shares were issued upon the exercise of stock-based awards for which the market price exceeded the exercise price, less shares that could have been repurchased with the related proceeds (treasury stock method).</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Related proceeds include the amount the employee must pay upon exercise, future compensation cost associated with the stock award and the amount of excess tax benefits. Shares that are contingently issuable are included in the dilutive EPS calculation as of the beginning of the period when all necessary conditions have been satisfied. In periods when we report a net loss, diluted net loss per share is the same as basic net loss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On January 1, 2006, we adopted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the measurement and recognition of compensation expense for all stock-based awards made to employees and directors based on estimated fair values. SFAS 123(R) supersedes Accounting Principles Board (APB) Opinion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March 2005, the Securities and Exchange Commission issued Staff Accounting Bulletin 107 (SAB 107) relating to SFAS 123(R). We have applied the provisions of SAB 107 in our adoption of SFAS 123(R).</w:t>
      </w:r>
    </w:p>
    <w:p>
      <w:pPr>
        <w:spacing w:after="0" w:line="13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adopted SFAS 123(R) using the modified prospective transition method, which requires the application of the accounting standard as of January 1, 2006, the first day of our fiscal year 2006. Our condensed consolidated financial statements, as of and for the three and six months ended June 30, 2006, reflect the impact of SFAS 123(R). In accordance with the modified prospective transition method, our condensed consolidated financial statements for prior periods have not been restated to reflect, and do not include the impact of, SFAS 123(R).</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Stock-based compensation expense recognized under SFAS 123(R) for the three and six months ended June 30, 2006 was $2.0 million and $4.1 million, respectively, before income taxes, which includes awards of stock options, Employee Stock Purchase Plan (ESPP) and restricted and unrestricted stock. The related total tax benefit was $277,000 and $549,000, respectively, for the three and six months ended June 30, 2006. There was no stock-based compensation capitalized at June 30, 2006. Stock-based compensation expense of $71,000 and $220,000 for the three and six months ended June 30, 2005 was related to stock grants and employee stock purchases that we had been recognizing under previous accounting standards. There was no stock-based compensation expense related to employee stock options recognized during the three and six months ended June 30, 2005. We expense stock-based compensation using the straight-line method.</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adoption of SFAS 123(R) resulted in incremental stock-based compensation expense and a corresponding decrease to pre-tax income of $1.9 million and $3.8 million for the three and six month periods ended June 30, 2006. A substantial portion of our stock-based compensation cannot be expensed for tax purposes. This resulted in a decrease to income after tax of $1.7 million, or $0.07 per basic and $0.06 per diluted share for the quarter and $3.4 million, or $0.13 per basic and diluted share year to date. Prior to the adoption of SFAS 123(R), we presented all tax benefits resulting from the exercise of stock options as operating cash inflows. Under SFAS 123(R), the benefits of tax deductions in excess of the compensation cost recognized are classified as financing cash inflows rather than operating cash inflows, on a prospective basis. Cash provided by operating activities decreased and cash provided by financing activities increased by $8.4 million, respectively, related to excess tax benefits from stock awards exercised during the six month period ended June 30, 2006.</w:t>
      </w:r>
    </w:p>
    <w:p>
      <w:pPr>
        <w:spacing w:after="0" w:line="118"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 xml:space="preserve">The following table shows the effect on net earnings and earnings per share, for the three and six months ended June 30, 2005, had compensation cost been recognized based upon the estimated fair value on the grant date of stock options and ESPP in accordance with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as amended by SFAS 148,</w:t>
      </w:r>
      <w:r>
        <w:rPr>
          <w:rFonts w:ascii="Arial" w:cs="Arial" w:eastAsia="Arial" w:hAnsi="Arial"/>
          <w:sz w:val="16"/>
          <w:szCs w:val="16"/>
          <w:i w:val="1"/>
          <w:iCs w:val="1"/>
          <w:color w:val="auto"/>
        </w:rPr>
        <w:t xml:space="preserve"> Accounting for Stock-Based Compensation – Transition and Disclosure</w:t>
      </w:r>
      <w:r>
        <w:rPr>
          <w:rFonts w:ascii="Arial" w:cs="Arial" w:eastAsia="Arial" w:hAnsi="Arial"/>
          <w:sz w:val="16"/>
          <w:szCs w:val="16"/>
          <w:color w:val="auto"/>
        </w:rPr>
        <w:t>. Disclosures for the three and six 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ended June 30, 2006 are not presented because the amounts are recognized in the condensed consolidated financial statements.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June 30, 2005</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June 30, 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254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w w:val="95"/>
              </w:rPr>
              <w:t>except per share data)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2080" w:type="dxa"/>
            <w:vAlign w:val="bottom"/>
            <w:gridSpan w:val="3"/>
          </w:tcPr>
          <w:p>
            <w:pPr>
              <w:ind w:left="18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9,313</w:t>
            </w:r>
          </w:p>
        </w:tc>
        <w:tc>
          <w:tcPr>
            <w:tcW w:w="600" w:type="dxa"/>
            <w:vAlign w:val="bottom"/>
          </w:tcPr>
          <w:p>
            <w:pPr>
              <w:spacing w:after="0"/>
              <w:rPr>
                <w:sz w:val="18"/>
                <w:szCs w:val="18"/>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Deduct: stock-based compensation, net of tax</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452"/>
              <w:spacing w:after="0"/>
              <w:rPr>
                <w:sz w:val="20"/>
                <w:szCs w:val="20"/>
                <w:color w:val="auto"/>
              </w:rPr>
            </w:pPr>
            <w:r>
              <w:rPr>
                <w:rFonts w:ascii="Arial" w:cs="Arial" w:eastAsia="Arial" w:hAnsi="Arial"/>
                <w:sz w:val="18"/>
                <w:szCs w:val="18"/>
                <w:color w:val="auto"/>
              </w:rPr>
              <w:t>(1,938)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Pro forma net income</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080" w:type="dxa"/>
            <w:vAlign w:val="bottom"/>
            <w:gridSpan w:val="3"/>
          </w:tcPr>
          <w:p>
            <w:pPr>
              <w:ind w:left="18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7,375</w:t>
            </w:r>
          </w:p>
        </w:tc>
        <w:tc>
          <w:tcPr>
            <w:tcW w:w="600" w:type="dxa"/>
            <w:vAlign w:val="bottom"/>
          </w:tcPr>
          <w:p>
            <w:pPr>
              <w:spacing w:after="0"/>
              <w:rPr>
                <w:sz w:val="19"/>
                <w:szCs w:val="19"/>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4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88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Pro forma</w:t>
            </w:r>
          </w:p>
        </w:tc>
        <w:tc>
          <w:tcPr>
            <w:tcW w:w="19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080" w:type="dxa"/>
            <w:vAlign w:val="bottom"/>
            <w:gridSpan w:val="3"/>
          </w:tcPr>
          <w:p>
            <w:pPr>
              <w:ind w:left="18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0.32</w:t>
            </w:r>
          </w:p>
        </w:tc>
        <w:tc>
          <w:tcPr>
            <w:tcW w:w="600" w:type="dxa"/>
            <w:vAlign w:val="bottom"/>
          </w:tcPr>
          <w:p>
            <w:pPr>
              <w:spacing w:after="0"/>
              <w:rPr>
                <w:sz w:val="18"/>
                <w:szCs w:val="18"/>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4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88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Pro forma</w:t>
            </w:r>
          </w:p>
        </w:tc>
        <w:tc>
          <w:tcPr>
            <w:tcW w:w="19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080" w:type="dxa"/>
            <w:vAlign w:val="bottom"/>
            <w:gridSpan w:val="3"/>
          </w:tcPr>
          <w:p>
            <w:pPr>
              <w:ind w:left="18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600" w:type="dxa"/>
            <w:vAlign w:val="bottom"/>
          </w:tcPr>
          <w:p>
            <w:pPr>
              <w:spacing w:after="0"/>
              <w:rPr>
                <w:sz w:val="18"/>
                <w:szCs w:val="18"/>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80" w:type="dxa"/>
            <w:vAlign w:val="bottom"/>
            <w:vMerge w:val="restart"/>
          </w:tcPr>
          <w:p>
            <w:pPr>
              <w:jc w:val="right"/>
              <w:ind w:right="912"/>
              <w:spacing w:after="0"/>
              <w:rPr>
                <w:sz w:val="20"/>
                <w:szCs w:val="20"/>
                <w:color w:val="auto"/>
              </w:rPr>
            </w:pPr>
            <w:r>
              <w:rPr>
                <w:rFonts w:ascii="Arial" w:cs="Arial" w:eastAsia="Arial" w:hAnsi="Arial"/>
                <w:sz w:val="18"/>
                <w:szCs w:val="18"/>
                <w:color w:val="auto"/>
              </w:rPr>
              <w:t>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fair value of stock options and ESPP awards issued during the three and six month periods ended June 30, 2006 and 2005 were estimated at the date of grant using the Black-Scholes option-pricing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8"/>
                <w:szCs w:val="18"/>
                <w:b w:val="1"/>
                <w:bCs w:val="1"/>
                <w:color w:val="auto"/>
                <w:w w:val="86"/>
              </w:rPr>
              <w:t>Employee Stock Options</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5000" w:type="dxa"/>
            <w:vAlign w:val="bottom"/>
          </w:tcPr>
          <w:p>
            <w:pPr>
              <w:spacing w:after="0"/>
              <w:rPr>
                <w:sz w:val="18"/>
                <w:szCs w:val="18"/>
                <w:color w:val="auto"/>
              </w:rPr>
            </w:pPr>
          </w:p>
        </w:tc>
        <w:tc>
          <w:tcPr>
            <w:tcW w:w="29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740" w:type="dxa"/>
            <w:vAlign w:val="bottom"/>
          </w:tcPr>
          <w:p>
            <w:pPr>
              <w:spacing w:after="0"/>
              <w:rPr>
                <w:sz w:val="18"/>
                <w:szCs w:val="18"/>
                <w:color w:val="auto"/>
              </w:rPr>
            </w:pPr>
          </w:p>
        </w:tc>
        <w:tc>
          <w:tcPr>
            <w:tcW w:w="272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Dividend yield</w:t>
            </w:r>
          </w:p>
        </w:tc>
        <w:tc>
          <w:tcPr>
            <w:tcW w:w="9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14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9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41.6%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41.6%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Expected life (years)</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4.37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4.37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r>
        <w:trPr>
          <w:trHeight w:val="432"/>
        </w:trPr>
        <w:tc>
          <w:tcPr>
            <w:tcW w:w="5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center"/>
              <w:ind w:right="1980"/>
              <w:spacing w:after="0"/>
              <w:rPr>
                <w:sz w:val="20"/>
                <w:szCs w:val="20"/>
                <w:color w:val="auto"/>
              </w:rPr>
            </w:pPr>
            <w:r>
              <w:rPr>
                <w:rFonts w:ascii="Arial" w:cs="Arial" w:eastAsia="Arial" w:hAnsi="Arial"/>
                <w:sz w:val="18"/>
                <w:szCs w:val="18"/>
                <w:b w:val="1"/>
                <w:bCs w:val="1"/>
                <w:color w:val="auto"/>
                <w:w w:val="87"/>
              </w:rPr>
              <w:t>ESPP</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5000" w:type="dxa"/>
            <w:vAlign w:val="bottom"/>
          </w:tcPr>
          <w:p>
            <w:pPr>
              <w:spacing w:after="0"/>
              <w:rPr>
                <w:sz w:val="18"/>
                <w:szCs w:val="18"/>
                <w:color w:val="auto"/>
              </w:rPr>
            </w:pPr>
          </w:p>
        </w:tc>
        <w:tc>
          <w:tcPr>
            <w:tcW w:w="29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740" w:type="dxa"/>
            <w:vAlign w:val="bottom"/>
          </w:tcPr>
          <w:p>
            <w:pPr>
              <w:spacing w:after="0"/>
              <w:rPr>
                <w:sz w:val="18"/>
                <w:szCs w:val="18"/>
                <w:color w:val="auto"/>
              </w:rPr>
            </w:pPr>
          </w:p>
        </w:tc>
        <w:tc>
          <w:tcPr>
            <w:tcW w:w="272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8"/>
                <w:szCs w:val="18"/>
                <w:color w:val="auto"/>
              </w:rPr>
            </w:pPr>
          </w:p>
        </w:tc>
      </w:tr>
      <w:tr>
        <w:trPr>
          <w:trHeight w:val="223"/>
        </w:trPr>
        <w:tc>
          <w:tcPr>
            <w:tcW w:w="500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92"/>
              <w:spacing w:after="0" w:line="223" w:lineRule="exact"/>
              <w:rPr>
                <w:sz w:val="20"/>
                <w:szCs w:val="20"/>
                <w:color w:val="auto"/>
              </w:rPr>
            </w:pPr>
            <w:r>
              <w:rPr>
                <w:rFonts w:ascii="Arial" w:cs="Arial" w:eastAsia="Arial" w:hAnsi="Arial"/>
                <w:sz w:val="18"/>
                <w:szCs w:val="18"/>
                <w:b w:val="1"/>
                <w:bCs w:val="1"/>
                <w:color w:val="auto"/>
              </w:rPr>
              <w:t xml:space="preserve">2005 </w:t>
            </w:r>
            <w:r>
              <w:rPr>
                <w:rFonts w:ascii="Arial" w:cs="Arial" w:eastAsia="Arial" w:hAnsi="Arial"/>
                <w:sz w:val="22"/>
                <w:szCs w:val="22"/>
                <w:b w:val="1"/>
                <w:bCs w:val="1"/>
                <w:color w:val="auto"/>
                <w:vertAlign w:val="subscript"/>
              </w:rPr>
              <w:t>(1)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Dividend yield</w:t>
            </w:r>
          </w:p>
        </w:tc>
        <w:tc>
          <w:tcPr>
            <w:tcW w:w="9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140" w:type="dxa"/>
            <w:vAlign w:val="bottom"/>
          </w:tcPr>
          <w:p>
            <w:pPr>
              <w:jc w:val="right"/>
              <w:ind w:right="92"/>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9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54.0%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48.2%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Expected life (years)</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0.25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0.25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bl>
    <w:p>
      <w:pPr>
        <w:spacing w:after="0" w:line="4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There was no ESPP activity for the three month period ended June 30, 2005.</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2006, expected price volatility is based on a combination of historical volatility of the Company’s stock and the implied volatility of its traded options, for the related vesting period. Prior to the adoption of SFAS 123(R), expected stock price volatility was estimated using only historical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are historical experience of similar awards, giving consideration to the contractual terms, vesting schedules and expectations of future employee behavior. We have not paid dividends in the past and do not plan to pay any dividends in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restricted and unrestricted stock, the fair value is the market close price of the stock on the grant date.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171"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 xml:space="preserve">In February of 2006, the Financial Accounting Standards Board (FASB) issued SFAS 155, </w:t>
      </w:r>
      <w:r>
        <w:rPr>
          <w:rFonts w:ascii="Arial" w:cs="Arial" w:eastAsia="Arial" w:hAnsi="Arial"/>
          <w:sz w:val="16"/>
          <w:szCs w:val="16"/>
          <w:i w:val="1"/>
          <w:iCs w:val="1"/>
          <w:color w:val="auto"/>
        </w:rPr>
        <w:t>Accounting for Certain Hybrid Instruments—An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133 and 140 </w:t>
      </w:r>
      <w:r>
        <w:rPr>
          <w:rFonts w:ascii="Arial" w:cs="Arial" w:eastAsia="Arial" w:hAnsi="Arial"/>
          <w:sz w:val="16"/>
          <w:szCs w:val="16"/>
          <w:color w:val="auto"/>
        </w:rPr>
        <w:t>(SFAS 155). SFAS 155 amends SFAS 133 to allow financial instruments that have embedded derivatives to be accounted for as a whole,</w:t>
      </w:r>
      <w:r>
        <w:rPr>
          <w:rFonts w:ascii="Arial" w:cs="Arial" w:eastAsia="Arial" w:hAnsi="Arial"/>
          <w:sz w:val="16"/>
          <w:szCs w:val="16"/>
          <w:i w:val="1"/>
          <w:iCs w:val="1"/>
          <w:color w:val="auto"/>
        </w:rPr>
        <w:t xml:space="preserve"> </w:t>
      </w:r>
      <w:r>
        <w:rPr>
          <w:rFonts w:ascii="Arial" w:cs="Arial" w:eastAsia="Arial" w:hAnsi="Arial"/>
          <w:sz w:val="16"/>
          <w:szCs w:val="16"/>
          <w:color w:val="auto"/>
        </w:rPr>
        <w:t>if the holder elects to account for the whole instrument on a fair value basis, and provides additional guidance on the applicability of SFAS 133 and SFAS 140 to certain financial instruments and subordinated concentrations of credit risk. SFAS 155 is effective for all hybrid financial instruments acquired or issued by us on or after January 1, 2007. The adoption of SFAS 155 is not expected to have a material impact on our financial position or results of operations.</w:t>
      </w:r>
    </w:p>
    <w:p>
      <w:pPr>
        <w:spacing w:after="0" w:line="1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In July 2006, the FASB issued Financial Interpretation 48 (FIN 48), </w:t>
      </w:r>
      <w:r>
        <w:rPr>
          <w:rFonts w:ascii="Arial" w:cs="Arial" w:eastAsia="Arial" w:hAnsi="Arial"/>
          <w:sz w:val="16"/>
          <w:szCs w:val="16"/>
          <w:i w:val="1"/>
          <w:iCs w:val="1"/>
          <w:color w:val="auto"/>
        </w:rPr>
        <w:t>Accounting for Uncertainty in Income Taxes – an interpretation of FASB 109</w:t>
      </w:r>
      <w:r>
        <w:rPr>
          <w:rFonts w:ascii="Arial" w:cs="Arial" w:eastAsia="Arial" w:hAnsi="Arial"/>
          <w:sz w:val="16"/>
          <w:szCs w:val="16"/>
          <w:color w:val="auto"/>
        </w:rPr>
        <w:t>, which clarifies the accounting for uncertainty in income taxes recognized in a company’s financial statements and is effective for fiscal years beginning after December 15, 2006. We have not yet determined the impact of the adoption of FIN 48 on our results of operations or financial condition.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20"/>
                <w:szCs w:val="20"/>
                <w:color w:val="auto"/>
              </w:rPr>
            </w:pPr>
            <w:r>
              <w:rPr>
                <w:rFonts w:ascii="Arial" w:cs="Arial" w:eastAsia="Arial" w:hAnsi="Arial"/>
                <w:sz w:val="18"/>
                <w:szCs w:val="18"/>
                <w:b w:val="1"/>
                <w:bCs w:val="1"/>
                <w:color w:val="auto"/>
              </w:rPr>
              <w:t>Note 2:  Earnings Per Share and Capital Structure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8"/>
                <w:szCs w:val="18"/>
                <w:color w:val="auto"/>
              </w:rPr>
              <w:t>The following table sets forth the computation of basic and diluted EPS: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88"/>
              </w:rPr>
              <w:t>Three Months Ended 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ind w:left="180"/>
              <w:spacing w:after="0"/>
              <w:rPr>
                <w:sz w:val="20"/>
                <w:szCs w:val="20"/>
                <w:color w:val="auto"/>
              </w:rPr>
            </w:pPr>
            <w:r>
              <w:rPr>
                <w:rFonts w:ascii="Arial" w:cs="Arial" w:eastAsia="Arial" w:hAnsi="Arial"/>
                <w:sz w:val="18"/>
                <w:szCs w:val="18"/>
                <w:b w:val="1"/>
                <w:bCs w:val="1"/>
                <w:color w:val="auto"/>
                <w:w w:val="81"/>
              </w:rPr>
              <w:t>(in</w:t>
            </w:r>
          </w:p>
        </w:tc>
        <w:tc>
          <w:tcPr>
            <w:tcW w:w="278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thousands, except per share data)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62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10,204</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9,313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17,273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25,415</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0.40</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10,204</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9,313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17,273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25,415</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22,811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60"/>
              <w:spacing w:after="0" w:line="204" w:lineRule="exact"/>
              <w:rPr>
                <w:sz w:val="20"/>
                <w:szCs w:val="20"/>
                <w:color w:val="auto"/>
              </w:rPr>
            </w:pPr>
            <w:r>
              <w:rPr>
                <w:rFonts w:ascii="Arial" w:cs="Arial" w:eastAsia="Arial" w:hAnsi="Arial"/>
                <w:sz w:val="18"/>
                <w:szCs w:val="18"/>
                <w:color w:val="auto"/>
              </w:rPr>
              <w:t>25,237</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22,135</w:t>
            </w: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Effect of dilutive securities: stock-based awards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Adjusted weighted average number of shares outstanding</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26,360</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0.66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June 30, 2006 and 2005, we had stock-based awards outstanding of approximately 1.8 million and 3.2 million at average option exercise prices of $22.99 and $19.76, respectively. Approximately 27,000 and 10,000 stock-based awards were excluded from the calculation of diluted EPS for the three months ended June 30, 2006 and 2005, respectively, because they were anti-dilutive. Approximately 41,000 and 201,000 stock-based awards were excluded from the calculation of diluted EPS for the six months ended June 30, 2006 and 2005, respectively, because they were anti-dilutive. These stock-based awards could be dilutive in future periods.</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authorized 10.0 million shares of preferred stock with no par value. In the event of a liquidation, dissolution or winding up of the affairs of the corporation, whether voluntary or involuntary, the holders of any preferred stock at the time outstanding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June 30, 2006 and 2005.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280" w:type="dxa"/>
            <w:vAlign w:val="bottom"/>
          </w:tcPr>
          <w:p>
            <w:pPr>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w w:val="93"/>
              </w:rPr>
              <w:t>At June 30, 2006</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4"/>
              </w:rPr>
              <w:t>At December 31, 2005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(in</w:t>
            </w:r>
          </w:p>
        </w:tc>
        <w:tc>
          <w:tcPr>
            <w:tcW w:w="8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71"/>
              </w:rPr>
              <w:t>thousands)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280" w:type="dxa"/>
            <w:vAlign w:val="bottom"/>
          </w:tcPr>
          <w:p>
            <w:pPr>
              <w:ind w:left="460"/>
              <w:spacing w:after="0"/>
              <w:rPr>
                <w:sz w:val="20"/>
                <w:szCs w:val="20"/>
                <w:color w:val="auto"/>
              </w:rPr>
            </w:pPr>
            <w:r>
              <w:rPr>
                <w:rFonts w:ascii="Arial" w:cs="Arial" w:eastAsia="Arial" w:hAnsi="Arial"/>
                <w:sz w:val="18"/>
                <w:szCs w:val="18"/>
                <w:color w:val="auto"/>
                <w:w w:val="93"/>
              </w:rPr>
              <w:t>Trade (net of allowance for doubtful accounts of $469 and $598)</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80,923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96,106</w:t>
            </w:r>
          </w:p>
        </w:tc>
        <w:tc>
          <w:tcPr>
            <w:tcW w:w="0" w:type="dxa"/>
            <w:vAlign w:val="bottom"/>
          </w:tcPr>
          <w:p>
            <w:pPr>
              <w:spacing w:after="0"/>
              <w:rPr>
                <w:sz w:val="1"/>
                <w:szCs w:val="1"/>
                <w:color w:val="auto"/>
              </w:rPr>
            </w:pPr>
          </w:p>
        </w:tc>
      </w:tr>
      <w:tr>
        <w:trPr>
          <w:trHeight w:val="223"/>
        </w:trPr>
        <w:tc>
          <w:tcPr>
            <w:tcW w:w="5280" w:type="dxa"/>
            <w:vAlign w:val="bottom"/>
          </w:tcPr>
          <w:p>
            <w:pPr>
              <w:ind w:left="460"/>
              <w:spacing w:after="0"/>
              <w:rPr>
                <w:sz w:val="20"/>
                <w:szCs w:val="20"/>
                <w:color w:val="auto"/>
              </w:rPr>
            </w:pPr>
            <w:r>
              <w:rPr>
                <w:rFonts w:ascii="Arial" w:cs="Arial" w:eastAsia="Arial" w:hAnsi="Arial"/>
                <w:sz w:val="18"/>
                <w:szCs w:val="18"/>
                <w:color w:val="auto"/>
              </w:rPr>
              <w:t>Unbilled revenue</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8,123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330"/>
        </w:trPr>
        <w:tc>
          <w:tcPr>
            <w:tcW w:w="5280" w:type="dxa"/>
            <w:vAlign w:val="bottom"/>
          </w:tcPr>
          <w:p>
            <w:pPr>
              <w:ind w:left="900"/>
              <w:spacing w:after="0"/>
              <w:rPr>
                <w:sz w:val="20"/>
                <w:szCs w:val="20"/>
                <w:color w:val="auto"/>
              </w:rPr>
            </w:pPr>
            <w:r>
              <w:rPr>
                <w:rFonts w:ascii="Arial" w:cs="Arial" w:eastAsia="Arial" w:hAnsi="Arial"/>
                <w:sz w:val="18"/>
                <w:szCs w:val="18"/>
                <w:color w:val="auto"/>
              </w:rPr>
              <w:t>Total accounts receivable, net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89,046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104,428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w w:val="93"/>
              </w:rPr>
              <w:t>A summary of the allowance for doubtful accounts activity is as follows:</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8"/>
          </w:tcPr>
          <w:p>
            <w:pPr>
              <w:jc w:val="right"/>
              <w:ind w:right="152"/>
              <w:spacing w:after="0"/>
              <w:rPr>
                <w:sz w:val="20"/>
                <w:szCs w:val="20"/>
                <w:color w:val="auto"/>
              </w:rPr>
            </w:pPr>
            <w:r>
              <w:rPr>
                <w:rFonts w:ascii="Arial" w:cs="Arial" w:eastAsia="Arial" w:hAnsi="Arial"/>
                <w:sz w:val="18"/>
                <w:szCs w:val="18"/>
                <w:b w:val="1"/>
                <w:bCs w:val="1"/>
                <w:color w:val="auto"/>
                <w:w w:val="94"/>
              </w:rPr>
              <w:t>Three Months Ended June 30,</w:t>
            </w:r>
          </w:p>
        </w:tc>
        <w:tc>
          <w:tcPr>
            <w:tcW w:w="400" w:type="dxa"/>
            <w:vAlign w:val="bottom"/>
          </w:tcPr>
          <w:p>
            <w:pPr>
              <w:spacing w:after="0"/>
              <w:rPr>
                <w:sz w:val="24"/>
                <w:szCs w:val="24"/>
                <w:color w:val="auto"/>
              </w:rPr>
            </w:pPr>
          </w:p>
        </w:tc>
        <w:tc>
          <w:tcPr>
            <w:tcW w:w="2460" w:type="dxa"/>
            <w:vAlign w:val="bottom"/>
            <w:gridSpan w:val="10"/>
          </w:tcPr>
          <w:p>
            <w:pPr>
              <w:jc w:val="right"/>
              <w:ind w:right="24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280" w:type="dxa"/>
            <w:vAlign w:val="bottom"/>
          </w:tcPr>
          <w:p>
            <w:pPr>
              <w:ind w:left="460"/>
              <w:spacing w:after="0"/>
              <w:rPr>
                <w:sz w:val="20"/>
                <w:szCs w:val="20"/>
                <w:color w:val="auto"/>
              </w:rPr>
            </w:pPr>
            <w:r>
              <w:rPr>
                <w:rFonts w:ascii="Arial" w:cs="Arial" w:eastAsia="Arial" w:hAnsi="Arial"/>
                <w:sz w:val="18"/>
                <w:szCs w:val="18"/>
                <w:color w:val="auto"/>
              </w:rPr>
              <w:t>Beginning balance</w:t>
            </w:r>
          </w:p>
        </w:tc>
        <w:tc>
          <w:tcPr>
            <w:tcW w:w="8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379</w:t>
            </w:r>
          </w:p>
        </w:tc>
        <w:tc>
          <w:tcPr>
            <w:tcW w:w="340" w:type="dxa"/>
            <w:vAlign w:val="bottom"/>
          </w:tcPr>
          <w:p>
            <w:pPr>
              <w:spacing w:after="0"/>
              <w:rPr>
                <w:sz w:val="24"/>
                <w:szCs w:val="24"/>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4"/>
                <w:szCs w:val="24"/>
                <w:color w:val="auto"/>
              </w:rPr>
            </w:pP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598</w:t>
            </w:r>
          </w:p>
        </w:tc>
        <w:tc>
          <w:tcPr>
            <w:tcW w:w="26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60"/>
              <w:spacing w:after="0"/>
              <w:rPr>
                <w:sz w:val="20"/>
                <w:szCs w:val="20"/>
                <w:color w:val="auto"/>
              </w:rPr>
            </w:pPr>
            <w:r>
              <w:rPr>
                <w:rFonts w:ascii="Arial" w:cs="Arial" w:eastAsia="Arial" w:hAnsi="Arial"/>
                <w:sz w:val="18"/>
                <w:szCs w:val="18"/>
                <w:color w:val="auto"/>
              </w:rPr>
              <w:t>Provision (benefit) for doubtful accounts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(105)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280" w:type="dxa"/>
            <w:vAlign w:val="bottom"/>
          </w:tcPr>
          <w:p>
            <w:pPr>
              <w:ind w:left="4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60"/>
              <w:spacing w:after="0"/>
              <w:rPr>
                <w:sz w:val="20"/>
                <w:szCs w:val="20"/>
                <w:color w:val="auto"/>
              </w:rPr>
            </w:pPr>
            <w:r>
              <w:rPr>
                <w:rFonts w:ascii="Arial" w:cs="Arial" w:eastAsia="Arial" w:hAnsi="Arial"/>
                <w:sz w:val="18"/>
                <w:szCs w:val="18"/>
                <w:color w:val="auto"/>
              </w:rPr>
              <w:t>Accounts charged off</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80" w:type="dxa"/>
            <w:vAlign w:val="bottom"/>
          </w:tcPr>
          <w:p>
            <w:pPr>
              <w:ind w:left="460"/>
              <w:spacing w:after="0"/>
              <w:rPr>
                <w:sz w:val="20"/>
                <w:szCs w:val="20"/>
                <w:color w:val="auto"/>
              </w:rPr>
            </w:pPr>
            <w:r>
              <w:rPr>
                <w:rFonts w:ascii="Arial" w:cs="Arial" w:eastAsia="Arial" w:hAnsi="Arial"/>
                <w:sz w:val="18"/>
                <w:szCs w:val="18"/>
                <w:color w:val="auto"/>
              </w:rPr>
              <w:t>Ending balance, June 30</w:t>
            </w:r>
          </w:p>
        </w:tc>
        <w:tc>
          <w:tcPr>
            <w:tcW w:w="140" w:type="dxa"/>
            <w:vAlign w:val="bottom"/>
          </w:tcPr>
          <w:p>
            <w:pPr>
              <w:spacing w:after="0"/>
              <w:rPr>
                <w:sz w:val="24"/>
                <w:szCs w:val="24"/>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469</w:t>
            </w:r>
          </w:p>
        </w:tc>
        <w:tc>
          <w:tcPr>
            <w:tcW w:w="340" w:type="dxa"/>
            <w:vAlign w:val="bottom"/>
          </w:tcPr>
          <w:p>
            <w:pPr>
              <w:spacing w:after="0"/>
              <w:rPr>
                <w:sz w:val="24"/>
                <w:szCs w:val="24"/>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24"/>
                <w:szCs w:val="24"/>
                <w:color w:val="auto"/>
              </w:rPr>
            </w:pP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469</w:t>
            </w:r>
          </w:p>
        </w:tc>
        <w:tc>
          <w:tcPr>
            <w:tcW w:w="26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Inventories</w:t>
            </w: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80" w:type="dxa"/>
            <w:vAlign w:val="bottom"/>
          </w:tcPr>
          <w:p>
            <w:pPr>
              <w:spacing w:after="0"/>
              <w:rPr>
                <w:sz w:val="20"/>
                <w:szCs w:val="20"/>
                <w:color w:val="auto"/>
              </w:rPr>
            </w:pPr>
            <w:r>
              <w:rPr>
                <w:rFonts w:ascii="Arial" w:cs="Arial" w:eastAsia="Arial" w:hAnsi="Arial"/>
                <w:sz w:val="18"/>
                <w:szCs w:val="18"/>
                <w:color w:val="auto"/>
              </w:rPr>
              <w:t>A summary of the inventory balances is as follows: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w w:val="87"/>
              </w:rPr>
              <w:t>At June 30, 2006</w:t>
            </w: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7"/>
              </w:rPr>
              <w:t>At December 31, 2005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280" w:type="dxa"/>
            <w:vAlign w:val="bottom"/>
          </w:tcPr>
          <w:p>
            <w:pPr>
              <w:ind w:left="460"/>
              <w:spacing w:after="0"/>
              <w:rPr>
                <w:sz w:val="20"/>
                <w:szCs w:val="20"/>
                <w:color w:val="auto"/>
              </w:rPr>
            </w:pPr>
            <w:r>
              <w:rPr>
                <w:rFonts w:ascii="Arial" w:cs="Arial" w:eastAsia="Arial" w:hAnsi="Arial"/>
                <w:sz w:val="18"/>
                <w:szCs w:val="18"/>
                <w:color w:val="auto"/>
              </w:rPr>
              <w:t>Materials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25,034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528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4,394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22"/>
        </w:trPr>
        <w:tc>
          <w:tcPr>
            <w:tcW w:w="5280" w:type="dxa"/>
            <w:vAlign w:val="bottom"/>
          </w:tcPr>
          <w:p>
            <w:pPr>
              <w:ind w:left="46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29,063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7"/>
        </w:trPr>
        <w:tc>
          <w:tcPr>
            <w:tcW w:w="5280" w:type="dxa"/>
            <w:vAlign w:val="bottom"/>
          </w:tcPr>
          <w:p>
            <w:pPr>
              <w:ind w:left="900"/>
              <w:spacing w:after="0"/>
              <w:rPr>
                <w:sz w:val="20"/>
                <w:szCs w:val="20"/>
                <w:color w:val="auto"/>
              </w:rPr>
            </w:pPr>
            <w:r>
              <w:rPr>
                <w:rFonts w:ascii="Arial" w:cs="Arial" w:eastAsia="Arial" w:hAnsi="Arial"/>
                <w:sz w:val="18"/>
                <w:szCs w:val="18"/>
                <w:color w:val="auto"/>
              </w:rPr>
              <w:t>Total manufacturing inventories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58,491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47,817</w:t>
            </w:r>
          </w:p>
        </w:tc>
        <w:tc>
          <w:tcPr>
            <w:tcW w:w="0" w:type="dxa"/>
            <w:vAlign w:val="bottom"/>
          </w:tcPr>
          <w:p>
            <w:pPr>
              <w:spacing w:after="0"/>
              <w:rPr>
                <w:sz w:val="1"/>
                <w:szCs w:val="1"/>
                <w:color w:val="auto"/>
              </w:rPr>
            </w:pPr>
          </w:p>
        </w:tc>
      </w:tr>
      <w:tr>
        <w:trPr>
          <w:trHeight w:val="223"/>
        </w:trPr>
        <w:tc>
          <w:tcPr>
            <w:tcW w:w="5280" w:type="dxa"/>
            <w:vAlign w:val="bottom"/>
          </w:tcPr>
          <w:p>
            <w:pPr>
              <w:ind w:left="900"/>
              <w:spacing w:after="0"/>
              <w:rPr>
                <w:sz w:val="20"/>
                <w:szCs w:val="20"/>
                <w:color w:val="auto"/>
              </w:rPr>
            </w:pPr>
            <w:r>
              <w:rPr>
                <w:rFonts w:ascii="Arial" w:cs="Arial" w:eastAsia="Arial" w:hAnsi="Arial"/>
                <w:sz w:val="18"/>
                <w:szCs w:val="18"/>
                <w:color w:val="auto"/>
              </w:rPr>
              <w:t>Service inventories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1,488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331"/>
        </w:trPr>
        <w:tc>
          <w:tcPr>
            <w:tcW w:w="5280" w:type="dxa"/>
            <w:vAlign w:val="bottom"/>
          </w:tcPr>
          <w:p>
            <w:pPr>
              <w:ind w:left="1340"/>
              <w:spacing w:after="0"/>
              <w:rPr>
                <w:sz w:val="20"/>
                <w:szCs w:val="20"/>
                <w:color w:val="auto"/>
              </w:rPr>
            </w:pPr>
            <w:r>
              <w:rPr>
                <w:rFonts w:ascii="Arial" w:cs="Arial" w:eastAsia="Arial" w:hAnsi="Arial"/>
                <w:sz w:val="18"/>
                <w:szCs w:val="18"/>
                <w:color w:val="auto"/>
              </w:rPr>
              <w:t>Total inventories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59,979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Assets held for sale are classified within other current assets and are reported at the lower of the carrying amount or fair value less costs to sell, and are no longer depreciated. As of March 31, 2006, our headquarters building in Spokane Valley was listed for sale. As a result, the net carrying value of the Spokane Valley facility of approximately $8.5 million was transferred from property, plant and equipment to other current assets.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0"/>
              </w:rPr>
              <w:t>At June 30, 2006</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At December 31, 2005</w:t>
            </w:r>
          </w:p>
        </w:tc>
        <w:tc>
          <w:tcPr>
            <w:tcW w:w="60" w:type="dxa"/>
            <w:vAlign w:val="bottom"/>
          </w:tcPr>
          <w:p>
            <w:pPr>
              <w:spacing w:after="0"/>
              <w:rPr>
                <w:sz w:val="20"/>
                <w:szCs w:val="20"/>
                <w:color w:val="auto"/>
              </w:rPr>
            </w:pPr>
          </w:p>
        </w:tc>
      </w:tr>
      <w:tr>
        <w:trPr>
          <w:trHeight w:val="201"/>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4"/>
          </w:tcPr>
          <w:p>
            <w:pPr>
              <w:ind w:left="1440"/>
              <w:spacing w:after="0" w:line="201"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53,452</w:t>
            </w:r>
          </w:p>
        </w:tc>
        <w:tc>
          <w:tcPr>
            <w:tcW w:w="50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47,709</w:t>
            </w:r>
          </w:p>
        </w:tc>
        <w:tc>
          <w:tcPr>
            <w:tcW w:w="6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Equipment used in outsourcing</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16,042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16,086</w:t>
            </w:r>
          </w:p>
        </w:tc>
        <w:tc>
          <w:tcPr>
            <w:tcW w:w="6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35,452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34,736</w:t>
            </w:r>
          </w:p>
        </w:tc>
        <w:tc>
          <w:tcPr>
            <w:tcW w:w="6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 furniture and improvements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39,046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45,611</w:t>
            </w:r>
          </w:p>
        </w:tc>
        <w:tc>
          <w:tcPr>
            <w:tcW w:w="60" w:type="dxa"/>
            <w:vAlign w:val="bottom"/>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60" w:type="dxa"/>
            <w:vAlign w:val="bottom"/>
          </w:tcPr>
          <w:p>
            <w:pPr>
              <w:spacing w:after="0"/>
              <w:rPr>
                <w:sz w:val="19"/>
                <w:szCs w:val="19"/>
                <w:color w:val="auto"/>
              </w:rPr>
            </w:pPr>
          </w:p>
        </w:tc>
      </w:tr>
      <w:tr>
        <w:trPr>
          <w:trHeight w:val="217"/>
        </w:trPr>
        <w:tc>
          <w:tcPr>
            <w:tcW w:w="6200" w:type="dxa"/>
            <w:vAlign w:val="bottom"/>
          </w:tcPr>
          <w:p>
            <w:pPr>
              <w:ind w:left="440"/>
              <w:spacing w:after="0"/>
              <w:rPr>
                <w:sz w:val="20"/>
                <w:szCs w:val="20"/>
                <w:color w:val="auto"/>
              </w:rPr>
            </w:pPr>
            <w:r>
              <w:rPr>
                <w:rFonts w:ascii="Arial" w:cs="Arial" w:eastAsia="Arial" w:hAnsi="Arial"/>
                <w:sz w:val="18"/>
                <w:szCs w:val="18"/>
                <w:color w:val="auto"/>
              </w:rPr>
              <w:t>Total cost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146,474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148,359</w:t>
            </w:r>
          </w:p>
        </w:tc>
        <w:tc>
          <w:tcPr>
            <w:tcW w:w="60" w:type="dxa"/>
            <w:vAlign w:val="bottom"/>
          </w:tcPr>
          <w:p>
            <w:pPr>
              <w:spacing w:after="0"/>
              <w:rPr>
                <w:sz w:val="18"/>
                <w:szCs w:val="18"/>
                <w:color w:val="auto"/>
              </w:rPr>
            </w:pPr>
          </w:p>
        </w:tc>
      </w:tr>
      <w:tr>
        <w:trPr>
          <w:trHeight w:val="223"/>
        </w:trPr>
        <w:tc>
          <w:tcPr>
            <w:tcW w:w="6200" w:type="dxa"/>
            <w:vAlign w:val="bottom"/>
          </w:tcPr>
          <w:p>
            <w:pPr>
              <w:ind w:left="4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(70,999)</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(70,736)</w:t>
            </w:r>
          </w:p>
        </w:tc>
      </w:tr>
      <w:tr>
        <w:trPr>
          <w:trHeight w:val="331"/>
        </w:trPr>
        <w:tc>
          <w:tcPr>
            <w:tcW w:w="620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75,475</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77,623</w:t>
            </w:r>
          </w:p>
        </w:tc>
        <w:tc>
          <w:tcPr>
            <w:tcW w:w="60" w:type="dxa"/>
            <w:vAlign w:val="bottom"/>
          </w:tcPr>
          <w:p>
            <w:pPr>
              <w:spacing w:after="0"/>
              <w:rPr>
                <w:sz w:val="24"/>
                <w:szCs w:val="24"/>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expense was $3.8 million and $3.4 million for the three months ended June 30, 2006 and 2005, respectively. Depreciation expense was $7.4 million and $6.7 million for the six months ended June 30, 2006 and 2005, respectively.</w:t>
      </w:r>
    </w:p>
    <w:p>
      <w:pPr>
        <w:sectPr>
          <w:pgSz w:w="11900" w:h="16838" w:orient="portrait"/>
          <w:cols w:equalWidth="0" w:num="1">
            <w:col w:w="11340"/>
          </w:cols>
          <w:pgMar w:left="240" w:top="459" w:right="319" w:bottom="1440" w:gutter="0" w:footer="0" w:header="0"/>
        </w:sectPr>
      </w:pP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40"/>
          </w:cols>
          <w:pgMar w:left="240" w:top="459" w:right="3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December 30, 2005, we completed the purchase of a building in Liberty Lake, Washington, which will become our corporate headquarters in the third quarter of 2006. We expect to invest approximately $11 million in capital improvements, of which $4.3 million had been incurred through June 30, 2006. For the three months ended June 30, 2006, we capitalized interest costs of approximately $400,000 relating to improvements to our new corporate headquarters.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Quantum Consulting, Inc.</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April 1, 2006, we completed the acquisition of Quantum Consulting, Inc. (Quantum), an energy consulting firm. The acquisition expands our consulting services related to energy efficiency, planning design and market research in our Software Solutions segment. The preliminary purchase price, net of cash acquired of $81,000, is summarized as follows (in thousands):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3,919</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24"/>
        </w:trPr>
        <w:tc>
          <w:tcPr>
            <w:tcW w:w="582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Of the purchase price consideration, $800,000 was retained in an escrow account for working capital adjustments and indemnifications made by Quantum. The amounts in escrow will be released at predetermined intervals through April 2008. Additional contingent consideration of up to $1.0 million will be paid to Quantum shareholders if certain defined financial targets are achieved in 2006, 2007 and 2008. These additional payments will increase the purchase price and goodwill at the time the financial targets are achieved. An additional payment will also be made to Quantum shareholders, of up to $1.0 million, if certain key individuals remain employees through March 2009. A substantial portion of the payment will be recognized as compensation expense over the retention period.</w:t>
      </w:r>
    </w:p>
    <w:p>
      <w:pPr>
        <w:spacing w:after="0" w:line="1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following financial information reflects a preliminary allocation of the purchase price based on estimated fair values of assets and liabilities as of the date of acquisition. We are reviewing fixed assets, deferred taxes and intangible assets and expect to finalize the fair value adjustments by the end of 2006. The excess of the purchase price over the fair value of net assets acquired has been recorded as goodwill.</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Useful Life</w:t>
            </w:r>
          </w:p>
        </w:tc>
      </w:tr>
      <w:tr>
        <w:trPr>
          <w:trHeight w:val="224"/>
        </w:trPr>
        <w:tc>
          <w:tcPr>
            <w:tcW w:w="6860" w:type="dxa"/>
            <w:vAlign w:val="bottom"/>
          </w:tcPr>
          <w:p>
            <w:pPr>
              <w:spacing w:after="0"/>
              <w:rPr>
                <w:sz w:val="19"/>
                <w:szCs w:val="19"/>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months)</w:t>
            </w:r>
          </w:p>
        </w:tc>
      </w:tr>
      <w:tr>
        <w:trPr>
          <w:trHeight w:val="303"/>
        </w:trPr>
        <w:tc>
          <w:tcPr>
            <w:tcW w:w="6860" w:type="dxa"/>
            <w:vAlign w:val="bottom"/>
          </w:tcPr>
          <w:p>
            <w:pPr>
              <w:spacing w:after="0"/>
              <w:rPr>
                <w:sz w:val="20"/>
                <w:szCs w:val="20"/>
                <w:color w:val="auto"/>
              </w:rPr>
            </w:pPr>
            <w:r>
              <w:rPr>
                <w:rFonts w:ascii="Arial" w:cs="Arial" w:eastAsia="Arial" w:hAnsi="Arial"/>
                <w:sz w:val="18"/>
                <w:szCs w:val="18"/>
                <w:color w:val="auto"/>
              </w:rPr>
              <w:t>Fair value of net assets assumed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7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7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2,934</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686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4,410</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Software Solutions segment in accordance with SFAS 142.</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ELO Sistemas e Tecnologia Ltda.</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 2006, we completed the acquisition of ELO Sistemas e Tecnologia Ltda. (ELO) for an initial cash payment of approximately $1.9 million, subject to a working capital adjustment. Cash consideration also included the settlement of a $637,000 payable from ELO to us for inventory purchased by ELO prior to the acquisition. Additional contingent consideration will be payable if certain financial targets are achieved over the next five years. Operations will reside in Campinas, Brazil, located near São Paulo, and include sales, manufacturing, service and maintenance, consulting and administrative functions related to meters, automatic meter reading (AMR) technology and related systems in South America. The preliminary purchase price, which includes direct transaction costs, net of cash acquired of $7,000, is summarized as follows (in thousands):</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w w:val="93"/>
              </w:rPr>
              <w:t>Cash consideration, net of cash acquired</w:t>
            </w:r>
          </w:p>
        </w:tc>
        <w:tc>
          <w:tcPr>
            <w:tcW w:w="3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2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308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3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740" w:type="dxa"/>
            <w:vAlign w:val="bottom"/>
            <w:vMerge w:val="restart"/>
          </w:tcPr>
          <w:p>
            <w:pPr>
              <w:jc w:val="right"/>
              <w:ind w:right="2232"/>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purchase price was allocated to the tangible and intangible assets acquired and liabilities assumed based on their estimated fair values as of the date of acquisition. The estimated fair value of the net assets acquired and liabilities assumed exceeded the initial cash consideration paid by approximately $5.8 million, resulting in negative goodwill. In a business combination with contingent consideration, the lesser of the maximum amount of contingent consideration or the total amount of negative goodwill should be recorded as a liability. As the purchase agreement does not limit the maximum contingent consideration payable, the full amount of the negative goodwill was recorded as a long-term liability. If contingent payments are made, we will apply the payments against the contingent liability. Payments in excess of the contingent liability balance, if any, will be recorded as goodwill.</w:t>
      </w:r>
    </w:p>
    <w:p>
      <w:pPr>
        <w:spacing w:after="0" w:line="12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following financial information reflects a preliminary allocation of the purchase price based on estimated fair values of assets and liabilities as of the date of acquisition. There may be contingent liabilities we have not yet identified. We are performing a review of the assets acquired and liabilities assumed, including intangible assets and the associated lives, and expect to finalize a majority of the fair value adjustments by the end of 2006.</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w w:val="92"/>
              </w:rPr>
              <w:t>Fair Value</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w w:val="89"/>
              </w:rPr>
              <w:t>Useful Life</w:t>
            </w:r>
          </w:p>
        </w:tc>
      </w:tr>
      <w:tr>
        <w:trPr>
          <w:trHeight w:val="224"/>
        </w:trPr>
        <w:tc>
          <w:tcPr>
            <w:tcW w:w="6720" w:type="dxa"/>
            <w:vAlign w:val="bottom"/>
          </w:tcPr>
          <w:p>
            <w:pPr>
              <w:spacing w:after="0"/>
              <w:rPr>
                <w:sz w:val="19"/>
                <w:szCs w:val="19"/>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5"/>
              </w:rPr>
              <w:t>(in months)</w:t>
            </w:r>
          </w:p>
        </w:tc>
      </w:tr>
      <w:tr>
        <w:trPr>
          <w:trHeight w:val="303"/>
        </w:trPr>
        <w:tc>
          <w:tcPr>
            <w:tcW w:w="6720" w:type="dxa"/>
            <w:vAlign w:val="bottom"/>
          </w:tcPr>
          <w:p>
            <w:pPr>
              <w:spacing w:after="0"/>
              <w:rPr>
                <w:sz w:val="20"/>
                <w:szCs w:val="20"/>
                <w:color w:val="auto"/>
              </w:rPr>
            </w:pPr>
            <w:r>
              <w:rPr>
                <w:rFonts w:ascii="Arial" w:cs="Arial" w:eastAsia="Arial" w:hAnsi="Arial"/>
                <w:sz w:val="18"/>
                <w:szCs w:val="18"/>
                <w:color w:val="auto"/>
              </w:rPr>
              <w:t>Fair value of net assets assumed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Customer relationships/contracts</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6,697</w:t>
            </w:r>
          </w:p>
        </w:tc>
        <w:tc>
          <w:tcPr>
            <w:tcW w:w="90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180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Contract backlog</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1,903</w:t>
            </w:r>
          </w:p>
        </w:tc>
        <w:tc>
          <w:tcPr>
            <w:tcW w:w="90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Contingent purchase price liability</w:t>
            </w:r>
          </w:p>
        </w:tc>
        <w:tc>
          <w:tcPr>
            <w:tcW w:w="120" w:type="dxa"/>
            <w:vAlign w:val="bottom"/>
          </w:tcPr>
          <w:p>
            <w:pPr>
              <w:spacing w:after="0"/>
              <w:rPr>
                <w:sz w:val="19"/>
                <w:szCs w:val="19"/>
                <w:color w:val="auto"/>
              </w:rPr>
            </w:pPr>
          </w:p>
        </w:tc>
        <w:tc>
          <w:tcPr>
            <w:tcW w:w="1880" w:type="dxa"/>
            <w:vAlign w:val="bottom"/>
            <w:gridSpan w:val="3"/>
          </w:tcPr>
          <w:p>
            <w:pPr>
              <w:jc w:val="right"/>
              <w:ind w:right="860"/>
              <w:spacing w:after="0"/>
              <w:rPr>
                <w:sz w:val="20"/>
                <w:szCs w:val="20"/>
                <w:color w:val="auto"/>
              </w:rPr>
            </w:pPr>
            <w:r>
              <w:rPr>
                <w:rFonts w:ascii="Arial" w:cs="Arial" w:eastAsia="Arial" w:hAnsi="Arial"/>
                <w:sz w:val="18"/>
                <w:szCs w:val="18"/>
                <w:color w:val="auto"/>
              </w:rPr>
              <w:t>(5,774)</w:t>
            </w:r>
          </w:p>
        </w:tc>
        <w:tc>
          <w:tcPr>
            <w:tcW w:w="860" w:type="dxa"/>
            <w:vAlign w:val="bottom"/>
          </w:tcPr>
          <w:p>
            <w:pPr>
              <w:spacing w:after="0"/>
              <w:rPr>
                <w:sz w:val="19"/>
                <w:szCs w:val="19"/>
                <w:color w:val="auto"/>
              </w:rPr>
            </w:pPr>
          </w:p>
        </w:tc>
      </w:tr>
      <w:tr>
        <w:trPr>
          <w:trHeight w:val="224"/>
        </w:trPr>
        <w:tc>
          <w:tcPr>
            <w:tcW w:w="6720" w:type="dxa"/>
            <w:vAlign w:val="bottom"/>
          </w:tcPr>
          <w:p>
            <w:pPr>
              <w:ind w:left="440"/>
              <w:spacing w:after="0"/>
              <w:rPr>
                <w:sz w:val="20"/>
                <w:szCs w:val="20"/>
                <w:color w:val="auto"/>
              </w:rPr>
            </w:pPr>
            <w:r>
              <w:rPr>
                <w:rFonts w:ascii="Arial" w:cs="Arial" w:eastAsia="Arial" w:hAnsi="Arial"/>
                <w:sz w:val="18"/>
                <w:szCs w:val="18"/>
                <w:color w:val="auto"/>
              </w:rPr>
              <w:t>Total net assets acquired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3,559</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Electricity Metering segment in accordance with SFAS 142. Due to changes in foreign currency exchange rates, the contingent purchase price liability can increase or decrease, with a corresponding change in accumulated other comprehensive income (loss). The contingent purchase price liability was approximately $5.9 million at June 30, 2006.</w:t>
      </w:r>
    </w:p>
    <w:p>
      <w:pPr>
        <w:spacing w:after="0" w:line="10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 forma results are not presented for the acquisitions of Quantum and ELO because neither acquisition had a material effect on our financial position or results of operations.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Identified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6"/>
              </w:rPr>
              <w:t>At June 30, 2006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8"/>
                <w:szCs w:val="18"/>
                <w:b w:val="1"/>
                <w:bCs w:val="1"/>
                <w:color w:val="auto"/>
              </w:rPr>
              <w:t>At December 31, 2005</w:t>
            </w:r>
          </w:p>
        </w:tc>
        <w:tc>
          <w:tcPr>
            <w:tcW w:w="800" w:type="dxa"/>
            <w:vAlign w:val="bottom"/>
            <w:tcBorders>
              <w:bottom w:val="single" w:sz="8" w:color="auto"/>
            </w:tcBorders>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40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Gross Assets</w:t>
            </w:r>
          </w:p>
        </w:tc>
        <w:tc>
          <w:tcPr>
            <w:tcW w:w="2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2"/>
              </w:rPr>
              <w:t>Gross Assets</w:t>
            </w:r>
          </w:p>
        </w:tc>
        <w:tc>
          <w:tcPr>
            <w:tcW w:w="12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rPr>
              <w:t>Net</w:t>
            </w:r>
          </w:p>
        </w:tc>
      </w:tr>
      <w:tr>
        <w:trPr>
          <w:trHeight w:val="20"/>
        </w:trPr>
        <w:tc>
          <w:tcPr>
            <w:tcW w:w="4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23"/>
        </w:trPr>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03"/>
        </w:trPr>
        <w:tc>
          <w:tcPr>
            <w:tcW w:w="4080" w:type="dxa"/>
            <w:vAlign w:val="bottom"/>
          </w:tcPr>
          <w:p>
            <w:pPr>
              <w:spacing w:after="0"/>
              <w:rPr>
                <w:sz w:val="20"/>
                <w:szCs w:val="20"/>
                <w:color w:val="auto"/>
              </w:rPr>
            </w:pPr>
            <w:r>
              <w:rPr>
                <w:rFonts w:ascii="Arial" w:cs="Arial" w:eastAsia="Arial" w:hAnsi="Arial"/>
                <w:sz w:val="18"/>
                <w:szCs w:val="18"/>
                <w:color w:val="auto"/>
              </w:rPr>
              <w:t>Core-developed technology</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154,330</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(65,793)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88,537</w:t>
            </w:r>
          </w:p>
        </w:tc>
        <w:tc>
          <w:tcPr>
            <w:tcW w:w="220" w:type="dxa"/>
            <w:vAlign w:val="bottom"/>
          </w:tcPr>
          <w:p>
            <w:pPr>
              <w:spacing w:after="0"/>
              <w:rPr>
                <w:sz w:val="24"/>
                <w:szCs w:val="24"/>
                <w:color w:val="auto"/>
              </w:rPr>
            </w:pPr>
          </w:p>
        </w:tc>
        <w:tc>
          <w:tcPr>
            <w:tcW w:w="440" w:type="dxa"/>
            <w:vAlign w:val="bottom"/>
          </w:tcPr>
          <w:p>
            <w:pPr>
              <w:jc w:val="right"/>
              <w:ind w:right="28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154,330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(54,064)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100,266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(4,690)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Capitalized software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Customer contracts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(7,028)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(7,634)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18,076</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(6,334)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331"/>
        </w:trPr>
        <w:tc>
          <w:tcPr>
            <w:tcW w:w="4080" w:type="dxa"/>
            <w:vAlign w:val="bottom"/>
          </w:tcPr>
          <w:p>
            <w:pPr>
              <w:ind w:left="440"/>
              <w:spacing w:after="0"/>
              <w:rPr>
                <w:sz w:val="20"/>
                <w:szCs w:val="20"/>
                <w:color w:val="auto"/>
              </w:rPr>
            </w:pPr>
            <w:r>
              <w:rPr>
                <w:rFonts w:ascii="Arial" w:cs="Arial" w:eastAsia="Arial" w:hAnsi="Arial"/>
                <w:sz w:val="18"/>
                <w:szCs w:val="18"/>
                <w:color w:val="auto"/>
              </w:rPr>
              <w:t>Total identified intangible assets</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221,121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(102,960)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8"/>
              <w:spacing w:after="0"/>
              <w:rPr>
                <w:sz w:val="20"/>
                <w:szCs w:val="20"/>
                <w:color w:val="auto"/>
              </w:rPr>
            </w:pPr>
            <w:r>
              <w:rPr>
                <w:rFonts w:ascii="Arial" w:cs="Arial" w:eastAsia="Arial" w:hAnsi="Arial"/>
                <w:sz w:val="18"/>
                <w:szCs w:val="18"/>
                <w:color w:val="auto"/>
              </w:rPr>
              <w:t>118,161</w:t>
            </w:r>
          </w:p>
        </w:tc>
        <w:tc>
          <w:tcPr>
            <w:tcW w:w="440" w:type="dxa"/>
            <w:vAlign w:val="bottom"/>
          </w:tcPr>
          <w:p>
            <w:pPr>
              <w:jc w:val="right"/>
              <w:ind w:right="28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211,328</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(88,035)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123,293</w:t>
            </w:r>
          </w:p>
        </w:tc>
      </w:tr>
      <w:tr>
        <w:trPr>
          <w:trHeight w:val="20"/>
        </w:trPr>
        <w:tc>
          <w:tcPr>
            <w:tcW w:w="4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Identified intangible assets increased during the second quarter of 2006 as a result of the Quantum and ELO acquisitions. The carrying amount of intangible assets can also increase or decrease, with a corresponding change in accumulated other comprehensive income (loss), due to changes in foreign currency exchange rates for those intangible assets owned by our foreign subsidiaries. At June 30, 2006, the intangible assets purchased in the ELO acquisition increased approximately $163,000 as a result of a change in foreign currency rates. Intangible asset amortization expense was approximately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$7.6 million and $9.7 million for the three months ended June 30, 2006 and 2005, respectively. Intangible asset amortization expense was approximately $14.9 million and $19.4 million for the six months ended June 30, 2006 and 2005,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Estimated annual amortization expense is as follows: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6"/>
        </w:trPr>
        <w:tc>
          <w:tcPr>
            <w:tcW w:w="778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89"/>
              </w:rPr>
              <w:t>Estimated Annual</w:t>
            </w:r>
          </w:p>
        </w:tc>
      </w:tr>
      <w:tr>
        <w:trPr>
          <w:trHeight w:val="228"/>
        </w:trPr>
        <w:tc>
          <w:tcPr>
            <w:tcW w:w="7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r>
      <w:tr>
        <w:trPr>
          <w:trHeight w:val="224"/>
        </w:trPr>
        <w:tc>
          <w:tcPr>
            <w:tcW w:w="7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9"/>
                <w:szCs w:val="19"/>
                <w:color w:val="auto"/>
              </w:rPr>
            </w:pPr>
          </w:p>
        </w:tc>
      </w:tr>
      <w:tr>
        <w:trPr>
          <w:trHeight w:val="303"/>
        </w:trPr>
        <w:tc>
          <w:tcPr>
            <w:tcW w:w="7780" w:type="dxa"/>
            <w:vAlign w:val="bottom"/>
          </w:tcPr>
          <w:p>
            <w:pPr>
              <w:ind w:left="230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15,981</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25,530</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22,139</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18,678</w:t>
            </w:r>
          </w:p>
        </w:tc>
      </w:tr>
      <w:tr>
        <w:trPr>
          <w:trHeight w:val="216"/>
        </w:trPr>
        <w:tc>
          <w:tcPr>
            <w:tcW w:w="7780" w:type="dxa"/>
            <w:vAlign w:val="bottom"/>
          </w:tcPr>
          <w:p>
            <w:pPr>
              <w:ind w:left="230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13,012</w:t>
            </w:r>
          </w:p>
        </w:tc>
      </w:tr>
      <w:tr>
        <w:trPr>
          <w:trHeight w:val="223"/>
        </w:trPr>
        <w:tc>
          <w:tcPr>
            <w:tcW w:w="7780" w:type="dxa"/>
            <w:vAlign w:val="bottom"/>
          </w:tcPr>
          <w:p>
            <w:pPr>
              <w:ind w:left="2300"/>
              <w:spacing w:after="0"/>
              <w:rPr>
                <w:sz w:val="20"/>
                <w:szCs w:val="20"/>
                <w:color w:val="auto"/>
              </w:rPr>
            </w:pPr>
            <w:r>
              <w:rPr>
                <w:rFonts w:ascii="Arial" w:cs="Arial" w:eastAsia="Arial" w:hAnsi="Arial"/>
                <w:sz w:val="18"/>
                <w:szCs w:val="18"/>
                <w:color w:val="auto"/>
              </w:rPr>
              <w:t>Beyond 2010</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22,821</w:t>
            </w:r>
          </w:p>
        </w:tc>
      </w:tr>
      <w:tr>
        <w:trPr>
          <w:trHeight w:val="331"/>
        </w:trPr>
        <w:tc>
          <w:tcPr>
            <w:tcW w:w="7780" w:type="dxa"/>
            <w:vAlign w:val="bottom"/>
          </w:tcPr>
          <w:p>
            <w:pPr>
              <w:ind w:left="2720"/>
              <w:spacing w:after="0"/>
              <w:rPr>
                <w:sz w:val="20"/>
                <w:szCs w:val="20"/>
                <w:color w:val="auto"/>
              </w:rPr>
            </w:pPr>
            <w:r>
              <w:rPr>
                <w:rFonts w:ascii="Arial" w:cs="Arial" w:eastAsia="Arial" w:hAnsi="Arial"/>
                <w:sz w:val="18"/>
                <w:szCs w:val="18"/>
                <w:color w:val="auto"/>
              </w:rPr>
              <w:t>Total identified intangible assets, net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118,161</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Goodwill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2006, we completed the acquisition of Quantum and recorded a preliminary allocation of the purchase price, resulting in</w:t>
      </w:r>
    </w:p>
    <w:p>
      <w:pPr>
        <w:spacing w:after="0" w:line="38"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$2.9 million of estimated goodwill. On July 1, 2004, we completed the acquisition of our Electricity Metering business and continued to make adjustments to the purchase price through June 2005 as the valuation of assets and liabilities were finalized. Goodwill decreased $1.7 million in the first half of 2005 primarily due to a $2.1 million adjustment related to the warranty accrual associated with the Electricity Metering acquisition. Goodwill balances can also increase or decrease, with a corresponding change in accumulated other comprehensive income (loss), due to changes in foreign currency exchange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during the first six months of 2006 and 2005,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5"/>
          </w:tcPr>
          <w:p>
            <w:pPr>
              <w:jc w:val="right"/>
              <w:ind w:right="692"/>
              <w:spacing w:after="0"/>
              <w:rPr>
                <w:sz w:val="20"/>
                <w:szCs w:val="20"/>
                <w:color w:val="auto"/>
              </w:rPr>
            </w:pPr>
            <w:r>
              <w:rPr>
                <w:rFonts w:ascii="Arial" w:cs="Arial" w:eastAsia="Arial" w:hAnsi="Arial"/>
                <w:sz w:val="18"/>
                <w:szCs w:val="18"/>
                <w:b w:val="1"/>
                <w:bCs w:val="1"/>
                <w:color w:val="auto"/>
              </w:rPr>
              <w:t>Hardware Solutions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4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60"/>
              <w:spacing w:after="0" w:line="197" w:lineRule="exact"/>
              <w:rPr>
                <w:sz w:val="20"/>
                <w:szCs w:val="20"/>
                <w:color w:val="auto"/>
              </w:rPr>
            </w:pPr>
            <w:r>
              <w:rPr>
                <w:rFonts w:ascii="Arial" w:cs="Arial" w:eastAsia="Arial" w:hAnsi="Arial"/>
                <w:sz w:val="18"/>
                <w:szCs w:val="18"/>
                <w:b w:val="1"/>
                <w:bCs w:val="1"/>
                <w:color w:val="auto"/>
                <w:w w:val="93"/>
              </w:rPr>
              <w:t>Meter Data</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2"/>
              <w:spacing w:after="0" w:line="197" w:lineRule="exact"/>
              <w:rPr>
                <w:sz w:val="20"/>
                <w:szCs w:val="20"/>
                <w:color w:val="auto"/>
              </w:rPr>
            </w:pPr>
            <w:r>
              <w:rPr>
                <w:rFonts w:ascii="Arial" w:cs="Arial" w:eastAsia="Arial" w:hAnsi="Arial"/>
                <w:sz w:val="18"/>
                <w:szCs w:val="18"/>
                <w:b w:val="1"/>
                <w:bCs w:val="1"/>
                <w:color w:val="auto"/>
                <w:w w:val="97"/>
              </w:rPr>
              <w:t>Electricity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40"/>
              <w:spacing w:after="0" w:line="197" w:lineRule="exact"/>
              <w:rPr>
                <w:sz w:val="20"/>
                <w:szCs w:val="20"/>
                <w:color w:val="auto"/>
              </w:rPr>
            </w:pPr>
            <w:r>
              <w:rPr>
                <w:rFonts w:ascii="Arial" w:cs="Arial" w:eastAsia="Arial" w:hAnsi="Arial"/>
                <w:sz w:val="18"/>
                <w:szCs w:val="18"/>
                <w:b w:val="1"/>
                <w:bCs w:val="1"/>
                <w:color w:val="auto"/>
                <w:w w:val="97"/>
              </w:rPr>
              <w:t>Software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4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Collection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Metering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Solutions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Total Company</w:t>
            </w:r>
          </w:p>
        </w:tc>
        <w:tc>
          <w:tcPr>
            <w:tcW w:w="60" w:type="dxa"/>
            <w:vAlign w:val="bottom"/>
          </w:tcPr>
          <w:p>
            <w:pPr>
              <w:spacing w:after="0"/>
              <w:rPr>
                <w:sz w:val="19"/>
                <w:szCs w:val="19"/>
                <w:color w:val="auto"/>
              </w:rPr>
            </w:pPr>
          </w:p>
        </w:tc>
      </w:tr>
      <w:tr>
        <w:trPr>
          <w:trHeight w:val="224"/>
        </w:trPr>
        <w:tc>
          <w:tcPr>
            <w:tcW w:w="4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4"/>
          </w:tcPr>
          <w:p>
            <w:pPr>
              <w:jc w:val="center"/>
              <w:ind w:right="712"/>
              <w:spacing w:after="0"/>
              <w:rPr>
                <w:sz w:val="20"/>
                <w:szCs w:val="20"/>
                <w:color w:val="auto"/>
              </w:rPr>
            </w:pPr>
            <w:r>
              <w:rPr>
                <w:rFonts w:ascii="Arial" w:cs="Arial" w:eastAsia="Arial" w:hAnsi="Arial"/>
                <w:sz w:val="18"/>
                <w:szCs w:val="18"/>
                <w:b w:val="1"/>
                <w:bCs w:val="1"/>
                <w:color w:val="auto"/>
                <w:w w:val="70"/>
              </w:rPr>
              <w:t>thousands)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4240" w:type="dxa"/>
            <w:vAlign w:val="bottom"/>
          </w:tcPr>
          <w:p>
            <w:pPr>
              <w:spacing w:after="0"/>
              <w:rPr>
                <w:sz w:val="20"/>
                <w:szCs w:val="20"/>
                <w:color w:val="auto"/>
              </w:rPr>
            </w:pPr>
            <w:r>
              <w:rPr>
                <w:rFonts w:ascii="Arial" w:cs="Arial" w:eastAsia="Arial" w:hAnsi="Arial"/>
                <w:sz w:val="18"/>
                <w:szCs w:val="18"/>
                <w:color w:val="auto"/>
              </w:rPr>
              <w:t>Goodwill balance, January 1, 2005</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73,337</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26,236</w:t>
            </w:r>
          </w:p>
        </w:tc>
        <w:tc>
          <w:tcPr>
            <w:tcW w:w="18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17,898</w:t>
            </w:r>
          </w:p>
        </w:tc>
        <w:tc>
          <w:tcPr>
            <w:tcW w:w="18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117,471</w:t>
            </w: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Goodwill adjustments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(1,758)</w:t>
            </w:r>
          </w:p>
        </w:tc>
      </w:tr>
      <w:tr>
        <w:trPr>
          <w:trHeight w:val="223"/>
        </w:trPr>
        <w:tc>
          <w:tcPr>
            <w:tcW w:w="424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240" w:type="dxa"/>
            <w:vAlign w:val="bottom"/>
          </w:tcPr>
          <w:p>
            <w:pPr>
              <w:spacing w:after="0"/>
              <w:rPr>
                <w:sz w:val="20"/>
                <w:szCs w:val="20"/>
                <w:color w:val="auto"/>
              </w:rPr>
            </w:pPr>
            <w:r>
              <w:rPr>
                <w:rFonts w:ascii="Arial" w:cs="Arial" w:eastAsia="Arial" w:hAnsi="Arial"/>
                <w:sz w:val="18"/>
                <w:szCs w:val="18"/>
                <w:color w:val="auto"/>
              </w:rPr>
              <w:t>Goodwill balance, June 30, 2005</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73,215</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24,429</w:t>
            </w:r>
          </w:p>
        </w:tc>
        <w:tc>
          <w:tcPr>
            <w:tcW w:w="18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17,868</w:t>
            </w:r>
          </w:p>
        </w:tc>
        <w:tc>
          <w:tcPr>
            <w:tcW w:w="18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115,512</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4240" w:type="dxa"/>
            <w:vAlign w:val="bottom"/>
          </w:tcPr>
          <w:p>
            <w:pPr>
              <w:spacing w:after="0"/>
              <w:rPr>
                <w:sz w:val="20"/>
                <w:szCs w:val="20"/>
                <w:color w:val="auto"/>
              </w:rPr>
            </w:pPr>
            <w:r>
              <w:rPr>
                <w:rFonts w:ascii="Arial" w:cs="Arial" w:eastAsia="Arial" w:hAnsi="Arial"/>
                <w:sz w:val="18"/>
                <w:szCs w:val="18"/>
                <w:color w:val="auto"/>
              </w:rPr>
              <w:t>Goodwill balance, January 1, 2006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73,532</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24,555</w:t>
            </w:r>
          </w:p>
        </w:tc>
        <w:tc>
          <w:tcPr>
            <w:tcW w:w="18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17,945</w:t>
            </w:r>
          </w:p>
        </w:tc>
        <w:tc>
          <w:tcPr>
            <w:tcW w:w="18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116,032</w:t>
            </w: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Goodwill acquired</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r>
      <w:tr>
        <w:trPr>
          <w:trHeight w:val="223"/>
        </w:trPr>
        <w:tc>
          <w:tcPr>
            <w:tcW w:w="4240" w:type="dxa"/>
            <w:vAlign w:val="bottom"/>
          </w:tcPr>
          <w:p>
            <w:pPr>
              <w:ind w:left="440"/>
              <w:spacing w:after="0"/>
              <w:rPr>
                <w:sz w:val="20"/>
                <w:szCs w:val="20"/>
                <w:color w:val="auto"/>
              </w:rPr>
            </w:pPr>
            <w:r>
              <w:rPr>
                <w:rFonts w:ascii="Arial" w:cs="Arial" w:eastAsia="Arial" w:hAnsi="Arial"/>
                <w:sz w:val="18"/>
                <w:szCs w:val="18"/>
                <w:color w:val="auto"/>
              </w:rPr>
              <w:t>Effect of change in exchange rates</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9"/>
                <w:szCs w:val="19"/>
                <w:color w:val="auto"/>
              </w:rPr>
            </w:pPr>
          </w:p>
        </w:tc>
      </w:tr>
      <w:tr>
        <w:trPr>
          <w:trHeight w:val="331"/>
        </w:trPr>
        <w:tc>
          <w:tcPr>
            <w:tcW w:w="4240" w:type="dxa"/>
            <w:vAlign w:val="bottom"/>
          </w:tcPr>
          <w:p>
            <w:pPr>
              <w:spacing w:after="0"/>
              <w:rPr>
                <w:sz w:val="20"/>
                <w:szCs w:val="20"/>
                <w:color w:val="auto"/>
              </w:rPr>
            </w:pPr>
            <w:r>
              <w:rPr>
                <w:rFonts w:ascii="Arial" w:cs="Arial" w:eastAsia="Arial" w:hAnsi="Arial"/>
                <w:sz w:val="18"/>
                <w:szCs w:val="18"/>
                <w:color w:val="auto"/>
              </w:rPr>
              <w:t>Goodwill balance, June 30, 2006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73,814</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24,742</w:t>
            </w:r>
          </w:p>
        </w:tc>
        <w:tc>
          <w:tcPr>
            <w:tcW w:w="18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20,948</w:t>
            </w:r>
          </w:p>
        </w:tc>
        <w:tc>
          <w:tcPr>
            <w:tcW w:w="18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119,504</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20"/>
                <w:szCs w:val="20"/>
                <w:color w:val="auto"/>
              </w:rPr>
            </w:pPr>
            <w:r>
              <w:rPr>
                <w:rFonts w:ascii="Arial" w:cs="Arial" w:eastAsia="Arial" w:hAnsi="Arial"/>
                <w:sz w:val="18"/>
                <w:szCs w:val="18"/>
                <w:b w:val="1"/>
                <w:bCs w:val="1"/>
                <w:color w:val="auto"/>
              </w:rPr>
              <w:t>Note 7:  Debt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0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At June 30,</w:t>
            </w:r>
          </w:p>
        </w:tc>
        <w:tc>
          <w:tcPr>
            <w:tcW w:w="4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vMerge w:val="restart"/>
          </w:tcPr>
          <w:p>
            <w:pPr>
              <w:ind w:left="460"/>
              <w:spacing w:after="0"/>
              <w:rPr>
                <w:sz w:val="20"/>
                <w:szCs w:val="20"/>
                <w:color w:val="auto"/>
              </w:rPr>
            </w:pPr>
            <w:r>
              <w:rPr>
                <w:rFonts w:ascii="Arial" w:cs="Arial" w:eastAsia="Arial" w:hAnsi="Arial"/>
                <w:sz w:val="18"/>
                <w:szCs w:val="18"/>
                <w:color w:val="auto"/>
              </w:rPr>
              <w:t>Senior Secured Credit Facility</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2"/>
              </w:rPr>
              <w:t>thousands)</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80"/>
              <w:spacing w:after="0"/>
              <w:rPr>
                <w:sz w:val="20"/>
                <w:szCs w:val="20"/>
                <w:color w:val="auto"/>
              </w:rPr>
            </w:pPr>
            <w:r>
              <w:rPr>
                <w:rFonts w:ascii="Arial" w:cs="Arial" w:eastAsia="Arial" w:hAnsi="Arial"/>
                <w:sz w:val="18"/>
                <w:szCs w:val="18"/>
                <w:color w:val="auto"/>
              </w:rPr>
              <w:t>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80"/>
              <w:spacing w:after="0"/>
              <w:rPr>
                <w:sz w:val="20"/>
                <w:szCs w:val="20"/>
                <w:color w:val="auto"/>
              </w:rPr>
            </w:pPr>
            <w:r>
              <w:rPr>
                <w:rFonts w:ascii="Arial" w:cs="Arial" w:eastAsia="Arial" w:hAnsi="Arial"/>
                <w:sz w:val="18"/>
                <w:szCs w:val="18"/>
                <w:color w:val="auto"/>
              </w:rPr>
              <w:t>Revolving Credit Line</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60"/>
              <w:spacing w:after="0"/>
              <w:rPr>
                <w:sz w:val="20"/>
                <w:szCs w:val="20"/>
                <w:color w:val="auto"/>
              </w:rPr>
            </w:pPr>
            <w:r>
              <w:rPr>
                <w:rFonts w:ascii="Arial" w:cs="Arial" w:eastAsia="Arial" w:hAnsi="Arial"/>
                <w:sz w:val="18"/>
                <w:szCs w:val="18"/>
                <w:color w:val="auto"/>
              </w:rPr>
              <w:t>Real Estate Term Note</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60"/>
              <w:spacing w:after="0"/>
              <w:rPr>
                <w:sz w:val="20"/>
                <w:szCs w:val="20"/>
                <w:color w:val="auto"/>
              </w:rPr>
            </w:pPr>
            <w:r>
              <w:rPr>
                <w:rFonts w:ascii="Arial" w:cs="Arial" w:eastAsia="Arial" w:hAnsi="Arial"/>
                <w:sz w:val="18"/>
                <w:szCs w:val="18"/>
                <w:color w:val="auto"/>
              </w:rPr>
              <w:t>Senior Subordinated Notes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124,274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460"/>
              <w:spacing w:after="0"/>
              <w:rPr>
                <w:sz w:val="20"/>
                <w:szCs w:val="20"/>
                <w:color w:val="auto"/>
              </w:rPr>
            </w:pPr>
            <w:r>
              <w:rPr>
                <w:rFonts w:ascii="Arial" w:cs="Arial" w:eastAsia="Arial" w:hAnsi="Arial"/>
                <w:sz w:val="18"/>
                <w:szCs w:val="18"/>
                <w:color w:val="auto"/>
              </w:rPr>
              <w:t>Project Financing Debt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124,274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460"/>
              <w:spacing w:after="0"/>
              <w:rPr>
                <w:sz w:val="20"/>
                <w:szCs w:val="20"/>
                <w:color w:val="auto"/>
              </w:rPr>
            </w:pPr>
            <w:r>
              <w:rPr>
                <w:rFonts w:ascii="Arial" w:cs="Arial" w:eastAsia="Arial" w:hAnsi="Arial"/>
                <w:sz w:val="18"/>
                <w:szCs w:val="18"/>
                <w:color w:val="auto"/>
              </w:rPr>
              <w:t>Current Portion of Debt</w:t>
            </w:r>
          </w:p>
        </w:tc>
        <w:tc>
          <w:tcPr>
            <w:tcW w:w="1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0" w:type="dxa"/>
            <w:vAlign w:val="bottom"/>
          </w:tcPr>
          <w:p>
            <w:pPr>
              <w:ind w:left="46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124,274</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162,553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and an outsourcing project finance subsidiary, all of which are wholly owned.</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June 30, 2006, there were no borrowings outstanding under the revolver and $22.5 million was utilized by outstanding standby letters of credit resulting in $32.5 million available for additional borrowings. Revolver borrowings can be made at any time through June 2009, at which time any borrowings outstanding must be repaid. We were in compliance with all of our debt covenants at June 30, 2006 and December 31, 2005. Our debt covenants require us to maintain certain consolidated leverage and coverage ratios on a quarterly basis, as well as customary covenants that place restrictions on the incurrence of debt, the payment of dividends, certain investments and mergers.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the revolver vary depending on our consolidated leverage ratio and are based on the London InterBank Offering Rate (LIBOR) plus 2.0% to</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3.0%, or Prime plus 1.0% to 2.0%,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Prepaid debt fees for all our outstanding borrowings are amortized over the respective terms using the effective interest method. Total unamortized prepaid debt fees were approximately $5.8 million and $8.9 million at June 30, 2006 and December 31, 2005,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Estate Term Note</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December 30, 2005, we signed a real estate term note (real estate note) for $14.8 million, secured by real property, with principal payments of $740,000, plus interest, payable quarterly, commencing April 1, 2006 and continuing through January 1, 2011. During the first quarter of 2006, we made an optional prepayment of $10.0 million on the real estate note. During April 2006, we completed the repayment of the real estate note.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senior subordinated notes consist of $125 million aggregate principal amount of 7.75% notes, issued in May 2004 and due in 2012. The notes were discounted to a price of 99.265 to yield 7.875%, with a balance of $124.3 million at June 30, 2006. The notes are registered with the SEC and are generally transferable. The discount on the notes is accreted and the prepaid debt fees are amortized over the life of the notes. Fixed interest payments of approximately $4.8 million are required every six months, in May and November. The notes are subordinated to our credit facility and are guaranteed by all of our operating subsidiaries, except for our foreign subsidiaries and an outsourcing project finance subsidiary, all of which are wholly owned. The notes contain covenants, which place restrictions on the incurrence of debt, the payment of dividends,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certain investments and mergers. Some or all of the notes may be redeemed at our option at any time on or after May 15, 2008, at their principal amount plus a specified premium. At any time prior to May 15, 2007, we may, at our option, redeem up to 35% of the notes, at 107.75%, with the proceeds of certain sales of our common stock.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17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In May 1998, in conjunction with project financing for one of our outsourcing contracts, we issued a note secured by the assets of the project with monthly interest payments at an annual interest rate of 7.6%, maturing May 31, 2009. During April 2006, we repaid the balance of the project financing loan, which included $107,000 in prepayment fees.</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Restructurings</w:t>
      </w:r>
    </w:p>
    <w:p>
      <w:pPr>
        <w:spacing w:after="0" w:line="1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2004, we incurred restructuring costs associated with the implementation of a new internal organizational structure, which resulted in staffing reductions and other restructuring expenses. These accrued costs were fully paid to employees by December 31, 2005. We have incurred lease termination costs in prior years. Accrued liabilities and expenses associated with these restructuring efforts for the six months ended June 30, 2005 consisted of the following:</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w w:val="88"/>
              </w:rPr>
              <w:t>Severance and</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7"/>
              </w:rPr>
              <w:t>Lease Termination</w:t>
            </w:r>
          </w:p>
        </w:tc>
      </w:tr>
      <w:tr>
        <w:trPr>
          <w:trHeight w:val="229"/>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Related Costs</w:t>
            </w:r>
          </w:p>
        </w:tc>
        <w:tc>
          <w:tcPr>
            <w:tcW w:w="88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and Related Costs</w:t>
            </w:r>
          </w:p>
        </w:tc>
        <w:tc>
          <w:tcPr>
            <w:tcW w:w="60" w:type="dxa"/>
            <w:vAlign w:val="bottom"/>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5800" w:type="dxa"/>
            <w:vAlign w:val="bottom"/>
          </w:tcPr>
          <w:p>
            <w:pPr>
              <w:spacing w:after="0"/>
              <w:rPr>
                <w:sz w:val="20"/>
                <w:szCs w:val="20"/>
                <w:color w:val="auto"/>
              </w:rPr>
            </w:pPr>
            <w:r>
              <w:rPr>
                <w:rFonts w:ascii="Arial" w:cs="Arial" w:eastAsia="Arial" w:hAnsi="Arial"/>
                <w:sz w:val="18"/>
                <w:szCs w:val="18"/>
                <w:color w:val="auto"/>
              </w:rPr>
              <w:t>Accrual balance at December 31, 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2,317</w:t>
            </w:r>
          </w:p>
        </w:tc>
        <w:tc>
          <w:tcPr>
            <w:tcW w:w="880" w:type="dxa"/>
            <w:vAlign w:val="bottom"/>
          </w:tcPr>
          <w:p>
            <w:pPr>
              <w:spacing w:after="0"/>
              <w:rPr>
                <w:sz w:val="24"/>
                <w:szCs w:val="24"/>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4"/>
                <w:szCs w:val="24"/>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Addition/adjustments to accruals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5800" w:type="dxa"/>
            <w:vAlign w:val="bottom"/>
          </w:tcPr>
          <w:p>
            <w:pPr>
              <w:ind w:left="44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2180" w:type="dxa"/>
            <w:vAlign w:val="bottom"/>
            <w:gridSpan w:val="2"/>
          </w:tcPr>
          <w:p>
            <w:pPr>
              <w:jc w:val="right"/>
              <w:ind w:right="820"/>
              <w:spacing w:after="0"/>
              <w:rPr>
                <w:sz w:val="20"/>
                <w:szCs w:val="20"/>
                <w:color w:val="auto"/>
              </w:rPr>
            </w:pPr>
            <w:r>
              <w:rPr>
                <w:rFonts w:ascii="Arial" w:cs="Arial" w:eastAsia="Arial" w:hAnsi="Arial"/>
                <w:sz w:val="18"/>
                <w:szCs w:val="18"/>
                <w:color w:val="auto"/>
              </w:rPr>
              <w:t>(2,668)</w:t>
            </w:r>
          </w:p>
        </w:tc>
        <w:tc>
          <w:tcPr>
            <w:tcW w:w="6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31"/>
        </w:trPr>
        <w:tc>
          <w:tcPr>
            <w:tcW w:w="5800" w:type="dxa"/>
            <w:vAlign w:val="bottom"/>
          </w:tcPr>
          <w:p>
            <w:pPr>
              <w:spacing w:after="0"/>
              <w:rPr>
                <w:sz w:val="20"/>
                <w:szCs w:val="20"/>
                <w:color w:val="auto"/>
              </w:rPr>
            </w:pPr>
            <w:r>
              <w:rPr>
                <w:rFonts w:ascii="Arial" w:cs="Arial" w:eastAsia="Arial" w:hAnsi="Arial"/>
                <w:sz w:val="18"/>
                <w:szCs w:val="18"/>
                <w:color w:val="auto"/>
              </w:rPr>
              <w:t>Accrual balance at June 30, 2005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8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4"/>
                <w:szCs w:val="24"/>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liability for employee severance is recorded within wages and benefits payable and the liability for lease terminations is recorded within accrued expenses. Lease termination and related costs are dependent on our ability to sublease vacant space and are reported as general and administrative expenses. The remaining $39,000 severance related liability at June 30, 2005 was paid as of December 31, 2005. There was no restructuring activity during the three and six months ended June 30, 2006. The accrued liability for lease termination and related costs was $50,000 at June 30, 2006.</w:t>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Income Taxes</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effective income tax rates differ from the federal statutory rate of 35%, and can vary from period to period, due to fluctuations in operating results, new or revised tax legislation and accounting pronouncements, research credits and state income taxes.</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estimate that our 2006 annual effective income tax rate will be approximately 42%. Our effective income tax rate was 33% and 39%, respectively, for the three and six months ended June 30, 2006. The rate for the three and six months ended June 30, 2006 is lower than the estimated annual rate due to tax benefits for certain state and Canadian credits and the realization of deferred tax assets related to a foreign subsidiary. Both the six month and estimated 2006 annual effective income tax rates are higher than the statutory rate due to state income taxes and the implementation of SFAS 123(R).</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2005 annual effective income tax rate of 34% was lower than the statutory tax rate due to the benefit of research credits. In the second quarter of 2005, we completed a research credit study for the years 1997 – 2004, recognizing a $5.9 million net tax credit as an offset to the provision for income taxes. Due primarily to this credit, we had a net tax benefit for the three and six months ended June 30, 2005.</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estimated 2006 annual effective income tax rate does not include a federal research credit, as the credit expired on December 31, 2005. Congress is currently discussing extension and/or revision of the research credit. As of June 30, 2006, the research credit had not been extended or reinstated by Congress. If the research credit is reinstated by Congress, our effective annual income tax rate for 2006 is expected to be lower than the current estimated rate of 42%.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171"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At June 30, 2006, we had three stock-based compensation plans in effect, only one of which we are currently granting options under. Stock options to purchase the Company’s common stock are granted at the fair market value of the stock on the date of grant upon approval by our Board of Directors. Options generally become exercisable in three or four equal installments beginning a year from the date of grant and generally expire 10 years from the date of grant.</w:t>
      </w:r>
    </w:p>
    <w:p>
      <w:pPr>
        <w:spacing w:after="0" w:line="8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fair value of each stock option granted is estimated on the date of grant using the Black-Scholes option-pricing model. The assumptions used to calculate the fair value of options granted are evaluated regularly to reflect market conditions and actual trends. Compensation expense is recognized only for those options expected to vest, with forfeitures estimated at the date of grant based on our historical experience and future expectations. Prior to the adoption of SFAS 123(R), the effect of forfeitures on the pro forma expense amounts was recognized as the forfeitures occurred.</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expense related to stock options recognized under SFAS 123(R) for the three and six months ended June 30, 2006 was $1.8 million and $3.6 million, respectively. For the three and six months ended June 30, 2006, we issued 30,000 shares with a weighted average fair value of $25.82. A summary of our stock option activity during the six months ended June 30, 2006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9"/>
              </w:rPr>
              <w:t>Weighted Average</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Weighted Average</w:t>
            </w: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5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Subject to</w:t>
            </w:r>
          </w:p>
        </w:tc>
        <w:tc>
          <w:tcPr>
            <w:tcW w:w="2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9"/>
              </w:rPr>
              <w:t>Exercise Price per</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Remaining</w:t>
            </w: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Intrinsic</w:t>
            </w:r>
          </w:p>
        </w:tc>
      </w:tr>
      <w:tr>
        <w:trPr>
          <w:trHeight w:val="228"/>
        </w:trPr>
        <w:tc>
          <w:tcPr>
            <w:tcW w:w="58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 Life</w:t>
            </w:r>
          </w:p>
        </w:tc>
        <w:tc>
          <w:tcPr>
            <w:tcW w:w="12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03"/>
        </w:trPr>
        <w:tc>
          <w:tcPr>
            <w:tcW w:w="586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Outstanding, January 1, 2006</w:t>
            </w:r>
          </w:p>
        </w:tc>
        <w:tc>
          <w:tcPr>
            <w:tcW w:w="1080" w:type="dxa"/>
            <w:vAlign w:val="bottom"/>
          </w:tcPr>
          <w:p>
            <w:pPr>
              <w:jc w:val="right"/>
              <w:spacing w:after="0"/>
              <w:rPr>
                <w:sz w:val="20"/>
                <w:szCs w:val="20"/>
                <w:color w:val="auto"/>
              </w:rPr>
            </w:pPr>
            <w:r>
              <w:rPr>
                <w:rFonts w:ascii="Arial" w:cs="Arial" w:eastAsia="Arial" w:hAnsi="Arial"/>
                <w:sz w:val="18"/>
                <w:szCs w:val="18"/>
                <w:color w:val="auto"/>
              </w:rPr>
              <w:t>2,443</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21.24</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63.56</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17.12</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32.04</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5860" w:type="dxa"/>
            <w:vAlign w:val="bottom"/>
          </w:tcPr>
          <w:p>
            <w:pPr>
              <w:spacing w:after="0"/>
              <w:rPr>
                <w:sz w:val="20"/>
                <w:szCs w:val="20"/>
                <w:color w:val="auto"/>
              </w:rPr>
            </w:pPr>
            <w:r>
              <w:rPr>
                <w:rFonts w:ascii="Arial" w:cs="Arial" w:eastAsia="Arial" w:hAnsi="Arial"/>
                <w:sz w:val="18"/>
                <w:szCs w:val="18"/>
                <w:color w:val="auto"/>
              </w:rPr>
              <w:t>Outstanding, June 30, 2006</w:t>
            </w:r>
          </w:p>
        </w:tc>
        <w:tc>
          <w:tcPr>
            <w:tcW w:w="1080" w:type="dxa"/>
            <w:vAlign w:val="bottom"/>
          </w:tcPr>
          <w:p>
            <w:pPr>
              <w:jc w:val="right"/>
              <w:spacing w:after="0"/>
              <w:rPr>
                <w:sz w:val="20"/>
                <w:szCs w:val="20"/>
                <w:color w:val="auto"/>
              </w:rPr>
            </w:pPr>
            <w:r>
              <w:rPr>
                <w:rFonts w:ascii="Arial" w:cs="Arial" w:eastAsia="Arial" w:hAnsi="Arial"/>
                <w:sz w:val="18"/>
                <w:szCs w:val="18"/>
                <w:color w:val="auto"/>
              </w:rPr>
              <w:t>1,836</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22.99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66,741</w:t>
            </w:r>
          </w:p>
        </w:tc>
      </w:tr>
      <w:tr>
        <w:trPr>
          <w:trHeight w:val="20"/>
        </w:trPr>
        <w:tc>
          <w:tcPr>
            <w:tcW w:w="5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860" w:type="dxa"/>
            <w:vAlign w:val="bottom"/>
          </w:tcPr>
          <w:p>
            <w:pPr>
              <w:spacing w:after="0"/>
              <w:rPr>
                <w:sz w:val="20"/>
                <w:szCs w:val="20"/>
                <w:color w:val="auto"/>
              </w:rPr>
            </w:pPr>
            <w:r>
              <w:rPr>
                <w:rFonts w:ascii="Arial" w:cs="Arial" w:eastAsia="Arial" w:hAnsi="Arial"/>
                <w:sz w:val="18"/>
                <w:szCs w:val="18"/>
                <w:color w:val="auto"/>
              </w:rPr>
              <w:t>Exercisable and expected to vest, June 30, 2006</w:t>
            </w:r>
          </w:p>
        </w:tc>
        <w:tc>
          <w:tcPr>
            <w:tcW w:w="1080" w:type="dxa"/>
            <w:vAlign w:val="bottom"/>
          </w:tcPr>
          <w:p>
            <w:pPr>
              <w:jc w:val="right"/>
              <w:spacing w:after="0"/>
              <w:rPr>
                <w:sz w:val="20"/>
                <w:szCs w:val="20"/>
                <w:color w:val="auto"/>
              </w:rPr>
            </w:pPr>
            <w:r>
              <w:rPr>
                <w:rFonts w:ascii="Arial" w:cs="Arial" w:eastAsia="Arial" w:hAnsi="Arial"/>
                <w:sz w:val="18"/>
                <w:szCs w:val="18"/>
                <w:color w:val="auto"/>
              </w:rPr>
              <w:t>1,747</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22.48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64,375</w:t>
            </w:r>
          </w:p>
        </w:tc>
      </w:tr>
      <w:tr>
        <w:trPr>
          <w:trHeight w:val="20"/>
        </w:trPr>
        <w:tc>
          <w:tcPr>
            <w:tcW w:w="5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860" w:type="dxa"/>
            <w:vAlign w:val="bottom"/>
          </w:tcPr>
          <w:p>
            <w:pPr>
              <w:spacing w:after="0"/>
              <w:rPr>
                <w:sz w:val="20"/>
                <w:szCs w:val="20"/>
                <w:color w:val="auto"/>
              </w:rPr>
            </w:pPr>
            <w:r>
              <w:rPr>
                <w:rFonts w:ascii="Arial" w:cs="Arial" w:eastAsia="Arial" w:hAnsi="Arial"/>
                <w:sz w:val="18"/>
                <w:szCs w:val="18"/>
                <w:color w:val="auto"/>
              </w:rPr>
              <w:t>Exercisable, June 30, 2006</w:t>
            </w:r>
          </w:p>
        </w:tc>
        <w:tc>
          <w:tcPr>
            <w:tcW w:w="1080" w:type="dxa"/>
            <w:vAlign w:val="bottom"/>
          </w:tcPr>
          <w:p>
            <w:pPr>
              <w:jc w:val="right"/>
              <w:spacing w:after="0"/>
              <w:rPr>
                <w:sz w:val="20"/>
                <w:szCs w:val="20"/>
                <w:color w:val="auto"/>
              </w:rPr>
            </w:pPr>
            <w:r>
              <w:rPr>
                <w:rFonts w:ascii="Arial" w:cs="Arial" w:eastAsia="Arial" w:hAnsi="Arial"/>
                <w:sz w:val="18"/>
                <w:szCs w:val="18"/>
                <w:color w:val="auto"/>
              </w:rPr>
              <w:t>964</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17.26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40,478</w:t>
            </w:r>
          </w:p>
        </w:tc>
      </w:tr>
      <w:tr>
        <w:trPr>
          <w:trHeight w:val="20"/>
        </w:trPr>
        <w:tc>
          <w:tcPr>
            <w:tcW w:w="5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aggregate intrinsic value in the table above is before applicable income taxes, based on our closing stock price of $59.26 as of the last business day of the period ended June 30, 2006, which represents amounts that would have been received by the optionees had all options been exercised on that date. As of June 30, 2006, total unrecognized stock-based compensation expense related to nonvested stock options was approximately $9.8 million, which is expected to be recognized over a weighted average period of approximately 19 months. During the six months ended June 30, 2006, the total intrinsic value of stock options exercised was $24.7 million and the total fair value of options vested was $23.6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of June 30, 2006, there were 1,024,944 shares of common stock available for issuance pursuant to stock-based awards. Additional information regarding options outstanding as of June 30, 2006, is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8"/>
              </w:rPr>
              <w:t>Exercisable Options</w:t>
            </w:r>
          </w:p>
        </w:tc>
      </w:tr>
      <w:tr>
        <w:trPr>
          <w:trHeight w:val="197"/>
        </w:trPr>
        <w:tc>
          <w:tcPr>
            <w:tcW w:w="18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w w:val="86"/>
              </w:rPr>
              <w:t>Remaining</w:t>
            </w:r>
          </w:p>
        </w:tc>
        <w:tc>
          <w:tcPr>
            <w:tcW w:w="72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w w:val="86"/>
              </w:rPr>
              <w:t>Weighted</w:t>
            </w:r>
          </w:p>
        </w:tc>
        <w:tc>
          <w:tcPr>
            <w:tcW w:w="5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ind w:left="20"/>
              <w:spacing w:after="0" w:line="197" w:lineRule="exact"/>
              <w:rPr>
                <w:sz w:val="20"/>
                <w:szCs w:val="20"/>
                <w:color w:val="auto"/>
              </w:rPr>
            </w:pPr>
            <w:r>
              <w:rPr>
                <w:rFonts w:ascii="Arial" w:cs="Arial" w:eastAsia="Arial" w:hAnsi="Arial"/>
                <w:sz w:val="18"/>
                <w:szCs w:val="18"/>
                <w:b w:val="1"/>
                <w:bCs w:val="1"/>
                <w:color w:val="auto"/>
                <w:w w:val="86"/>
              </w:rPr>
              <w:t>Weighted</w:t>
            </w:r>
          </w:p>
        </w:tc>
        <w:tc>
          <w:tcPr>
            <w:tcW w:w="20" w:type="dxa"/>
            <w:vAlign w:val="bottom"/>
          </w:tcPr>
          <w:p>
            <w:pPr>
              <w:spacing w:after="0"/>
              <w:rPr>
                <w:sz w:val="17"/>
                <w:szCs w:val="17"/>
                <w:color w:val="auto"/>
              </w:rPr>
            </w:pPr>
          </w:p>
        </w:tc>
      </w:tr>
      <w:tr>
        <w:trPr>
          <w:trHeight w:val="216"/>
        </w:trPr>
        <w:tc>
          <w:tcPr>
            <w:tcW w:w="1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Shares</w:t>
            </w:r>
          </w:p>
        </w:tc>
        <w:tc>
          <w:tcPr>
            <w:tcW w:w="50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Life</w:t>
            </w:r>
          </w:p>
        </w:tc>
        <w:tc>
          <w:tcPr>
            <w:tcW w:w="12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4"/>
              </w:rPr>
              <w:t>Average</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Average</w:t>
            </w:r>
          </w:p>
        </w:tc>
      </w:tr>
      <w:tr>
        <w:trPr>
          <w:trHeight w:val="237"/>
        </w:trPr>
        <w:tc>
          <w:tcPr>
            <w:tcW w:w="18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(in 000’s)</w:t>
            </w:r>
          </w:p>
        </w:tc>
        <w:tc>
          <w:tcPr>
            <w:tcW w:w="50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(years)</w:t>
            </w:r>
          </w:p>
        </w:tc>
        <w:tc>
          <w:tcPr>
            <w:tcW w:w="120" w:type="dxa"/>
            <w:vAlign w:val="bottom"/>
          </w:tcPr>
          <w:p>
            <w:pPr>
              <w:spacing w:after="0"/>
              <w:rPr>
                <w:sz w:val="20"/>
                <w:szCs w:val="20"/>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(in 000’s)</w:t>
            </w: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Price</w:t>
            </w:r>
          </w:p>
        </w:tc>
      </w:tr>
      <w:tr>
        <w:trPr>
          <w:trHeight w:val="28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 Prices</w:t>
            </w: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$ 4.87 - $ 6.75</w:t>
            </w:r>
          </w:p>
        </w:tc>
        <w:tc>
          <w:tcPr>
            <w:tcW w:w="2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6.41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$ 7.00 - $ 8.34</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7.21</w:t>
            </w: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$13.60 - $20.00</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16.03</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$20.03 - $26.65</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21.23</w:t>
            </w: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20.74</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$30.32 - $37.40</w:t>
            </w:r>
          </w:p>
        </w:tc>
        <w:tc>
          <w:tcPr>
            <w:tcW w:w="2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37.38</w:t>
            </w: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37.32</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$42.62 - $70.99</w:t>
            </w:r>
          </w:p>
        </w:tc>
        <w:tc>
          <w:tcPr>
            <w:tcW w:w="29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331"/>
        </w:trPr>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22.99</w:t>
            </w: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5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17.26</w:t>
            </w:r>
          </w:p>
        </w:tc>
      </w:tr>
      <w:tr>
        <w:trPr>
          <w:trHeight w:val="20"/>
        </w:trPr>
        <w:tc>
          <w:tcPr>
            <w:tcW w:w="1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We had no unrecognized compensation cost associated with the second quarter 2006 offering of stock under this plan. Under the ESPP, we sold 23,460 and 15,589 shares to employees in the six months ended June 30, 2006 and 2005, respectively. The expense related to ESPP recognized under SFAS 123(R) for the three and six months ended June 30, 2006 was approximately $112,000 and $192,000,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Performance Plan</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 Long-Term Performance Plan (LTPP) for senior management with restricted stock awards contingent on the attainment of yearly goals payable in the Company’s common stock with a three-year cliff vesting period. Restricted stock awards are granted in the year following attainment, as approved by our Board of Directors. The value of an award is based on a percentage of the participant’s base salary and is dependent on performance objectives for the period. We currently have two active plans, one for 2005 and another for 2006.</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award for 2005 was $1.8 million, with 30,542 shares issued on February 15, 2006, at a weighted average grant-date fair value of $59.16. For the three and six months ended June 30, 2006 approximately $84,000 and $79,000 were recognized as expense. As of June 30, 2006, total unrecognized stock-based compensation expense related to the 2005 LTPP was approximately $832,000, which will be recognized through December 31, 2008. For the 2006 yearly goals and associated award, approximately $53,000 and $95,000 were recognized as expense for the three and six months ended June 30, 2006. A summary of the restricted stock activity during the six months ended June 30, 2006 is as follows: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Restricted Shares</w:t>
            </w:r>
          </w:p>
        </w:tc>
      </w:tr>
      <w:tr>
        <w:trPr>
          <w:trHeight w:val="224"/>
        </w:trPr>
        <w:tc>
          <w:tcPr>
            <w:tcW w:w="5440" w:type="dxa"/>
            <w:vAlign w:val="bottom"/>
          </w:tcPr>
          <w:p>
            <w:pPr>
              <w:spacing w:after="0"/>
              <w:rPr>
                <w:sz w:val="19"/>
                <w:szCs w:val="19"/>
                <w:color w:val="auto"/>
              </w:rPr>
            </w:pP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(in thousands)</w:t>
            </w:r>
          </w:p>
        </w:tc>
        <w:tc>
          <w:tcPr>
            <w:tcW w:w="40" w:type="dxa"/>
            <w:vAlign w:val="bottom"/>
          </w:tcPr>
          <w:p>
            <w:pPr>
              <w:spacing w:after="0"/>
              <w:rPr>
                <w:sz w:val="19"/>
                <w:szCs w:val="19"/>
                <w:color w:val="auto"/>
              </w:rPr>
            </w:pPr>
          </w:p>
        </w:tc>
      </w:tr>
      <w:tr>
        <w:trPr>
          <w:trHeight w:val="303"/>
        </w:trPr>
        <w:tc>
          <w:tcPr>
            <w:tcW w:w="5440" w:type="dxa"/>
            <w:vAlign w:val="bottom"/>
          </w:tcPr>
          <w:p>
            <w:pPr>
              <w:spacing w:after="0"/>
              <w:rPr>
                <w:sz w:val="20"/>
                <w:szCs w:val="20"/>
                <w:color w:val="auto"/>
              </w:rPr>
            </w:pPr>
            <w:r>
              <w:rPr>
                <w:rFonts w:ascii="Arial" w:cs="Arial" w:eastAsia="Arial" w:hAnsi="Arial"/>
                <w:sz w:val="18"/>
                <w:szCs w:val="18"/>
                <w:color w:val="auto"/>
              </w:rPr>
              <w:t>Nonvested, January 1, 2006</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30,542</w:t>
            </w:r>
          </w:p>
        </w:tc>
        <w:tc>
          <w:tcPr>
            <w:tcW w:w="40" w:type="dxa"/>
            <w:vAlign w:val="bottom"/>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(806)</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(6,937)</w:t>
            </w: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Nonvested, June 30, 2006</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4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Board of Directors’ Compensation</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issue unrestricted stock awards to our Board of Directors as part of the Board of Directors’ compensation. During the three and six months ended June 30, 2006, we issued 420 and 3,396 of unrestricted stock awards to our Board of Directors, with a weighted average grant-date fair value of $70.99 and $44.09, respectively. The expense related to these awards for the three and six months ended June 30, 2006 was $30,000 and $150,000, respectively. All awards were fully vested and expensed when granted.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Related Party Transactions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2005, we had a 30% equity interest in Servatron, a company that serves both as a contract manufacturer for our low volume products and as our handheld service repair depot. During February 2006, we received a dividend of $193,000, which was recorded as a return on investment. During March 2006, we sold our equity interest back to Servatron for $1.0 million, recognizing a loss of $242,000. At March 31, 2006, we had no ownership in Servatron. Our Chief Executive Officer continues to serve as a board member of Servatron. We sublease a portion of our Spokane Valley facility, which is currently held for sale (Note 3), to Servatron.</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first quarter of 2006, our Chief Financial Officer became a board member of a financial institution, which is a 3.6% participant in our $55 million revolver.</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Under FASB Interpretation 45,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we record a liability for certain types of guarantees and indemnifications for agreements entered into or amended subsequent to December 31, 2002. No liabilities were required to be recorded for agreements entered into as of June 30, 2006 and December 31, 2005.</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$2.7 million and $3.0 million at June 30, 2006 and December 31, 2005,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$22.5 million and $22.6 million at June 30, 2006 and December 31, 2005,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2005, we guaranteed lease payments for certain equipment leased by Servatron, which had a maximum future lease obligation of approximately $83,000. The lease and our guarantee terminated in the second quarter of 2006.</w:t>
      </w:r>
    </w:p>
    <w:p>
      <w:pPr>
        <w:spacing w:after="0" w:line="132"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We generally provide within our sales contracts an indemnification related to the infringement of any patent, copyright, trademark or other intellectual property right on software or equipment,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June 30, 2006, there were no material contingencies requiring accrual or disclosure.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Segment Information</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operating groups (Hardware Solutions and Software Solutions) and three segments. Software Solutions is a single segment and Hardware Solutions is comprised of two segments, Meter Data Collection and Electricity Metering. For these three segments, management has three primary measures of segment performance: revenue, gross profit (margin) and operating income. Revenues for each segment are reported according to product lines. There are no inter-segment revenues. Within Hardware Solutions, cost of sales includes materials, direct labor, warranty expense and an overhead allocation. Software cost of sales include distribution and documentation costs for applications sold, along with other labor and operating costs for custom software development, project management, consulting and systems support. Hardware and software cost of services include materials, labor and overhead. Operating expenses directly associated with each segment may include sales, marketing, product development or administrative expenses.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Corporate operating expenses, interest income, interest expense, other income (expense), amortization expense and income tax expense (benefit) are not allocated to the segments, nor included in the measure of segment profit or loss. We do not allocate assets and liabilities to our segments. Prior to January 1, 2006, Itron Electricity Metering, Inc., or Electricity Metering, was a wholly owned subsidiary with separately identifiable assets and liabilities. Effective January 1, 2006, Electricity Metering merged with Itron, Inc. Approximately 50% and 65% of depreciation expense was allocated to the segments at June 30, 2006 and 2005, respectively, with the remaining portion unallocated. Unallocated depreciation increased in 2006, compared with 2005, due to the purchase of our new corporate headquarters facility at the end of 2005, which is not allocated to the segments.</w:t>
      </w:r>
    </w:p>
    <w:p>
      <w:pPr>
        <w:spacing w:after="0" w:line="12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$9.2 million and $9.8 million for the three months ended June 30, 2006 and 2005 and $14.4 million and $17.9 million for the six months ended June 30, 2006 and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p>
      <w:pPr>
        <w:spacing w:after="0"/>
        <w:tabs>
          <w:tab w:leader="none" w:pos="6320" w:val="left"/>
        </w:tabs>
        <w:rPr>
          <w:sz w:val="20"/>
          <w:szCs w:val="20"/>
          <w:color w:val="auto"/>
        </w:rPr>
      </w:pPr>
      <w:r>
        <w:rPr>
          <w:rFonts w:ascii="Arial" w:cs="Arial" w:eastAsia="Arial" w:hAnsi="Arial"/>
          <w:sz w:val="14"/>
          <w:szCs w:val="14"/>
          <w:b w:val="1"/>
          <w:bCs w:val="1"/>
          <w:color w:val="auto"/>
        </w:rPr>
        <w:t>Segment</w:t>
      </w:r>
      <w:r>
        <w:rPr>
          <w:sz w:val="20"/>
          <w:szCs w:val="20"/>
          <w:color w:val="auto"/>
        </w:rPr>
        <w:tab/>
      </w:r>
      <w:r>
        <w:rPr>
          <w:rFonts w:ascii="Arial" w:cs="Arial" w:eastAsia="Arial" w:hAnsi="Arial"/>
          <w:sz w:val="14"/>
          <w:szCs w:val="14"/>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220" w:right="680" w:hanging="215"/>
        <w:spacing w:after="0" w:line="254" w:lineRule="auto"/>
        <w:rPr>
          <w:sz w:val="20"/>
          <w:szCs w:val="20"/>
          <w:color w:val="auto"/>
        </w:rPr>
      </w:pPr>
      <w:r>
        <w:rPr>
          <w:rFonts w:ascii="Arial" w:cs="Arial" w:eastAsia="Arial" w:hAnsi="Arial"/>
          <w:sz w:val="18"/>
          <w:szCs w:val="18"/>
          <w:i w:val="1"/>
          <w:iCs w:val="1"/>
          <w:color w:val="auto"/>
        </w:rPr>
        <w:t>Hardware Solutions—</w:t>
      </w:r>
      <w:r>
        <w:rPr>
          <w:sz w:val="20"/>
          <w:szCs w:val="20"/>
          <w:color w:val="auto"/>
        </w:rPr>
        <w:t xml:space="preserve"> </w:t>
      </w:r>
      <w:r>
        <w:rPr>
          <w:rFonts w:ascii="Arial" w:cs="Arial" w:eastAsia="Arial" w:hAnsi="Arial"/>
          <w:sz w:val="18"/>
          <w:szCs w:val="18"/>
          <w:color w:val="auto"/>
        </w:rPr>
        <w:t xml:space="preserve">Residential and commercial AMR standalone modules, OEM (original equipment manufacturer) equipment, contract </w:t>
      </w:r>
      <w:r>
        <w:rPr>
          <w:rFonts w:ascii="Arial" w:cs="Arial" w:eastAsia="Arial" w:hAnsi="Arial"/>
          <w:sz w:val="18"/>
          <w:szCs w:val="18"/>
          <w:i w:val="1"/>
          <w:iCs w:val="1"/>
          <w:color w:val="auto"/>
        </w:rPr>
        <w:t xml:space="preserve">Meter Data Collection: </w:t>
      </w:r>
      <w:r>
        <w:rPr>
          <w:rFonts w:ascii="Arial" w:cs="Arial" w:eastAsia="Arial" w:hAnsi="Arial"/>
          <w:sz w:val="18"/>
          <w:szCs w:val="18"/>
          <w:color w:val="auto"/>
        </w:rPr>
        <w:t>manufacturing and royalties for our AMR technology in other vendors’ electricity meters, mobile and network AMR data</w:t>
      </w:r>
    </w:p>
    <w:p>
      <w:pPr>
        <w:ind w:left="2180" w:right="260"/>
        <w:spacing w:after="0" w:line="261" w:lineRule="auto"/>
        <w:rPr>
          <w:sz w:val="20"/>
          <w:szCs w:val="20"/>
          <w:color w:val="auto"/>
        </w:rPr>
      </w:pPr>
      <w:r>
        <w:rPr>
          <w:rFonts w:ascii="Arial" w:cs="Arial" w:eastAsia="Arial" w:hAnsi="Arial"/>
          <w:sz w:val="18"/>
          <w:szCs w:val="18"/>
          <w:color w:val="auto"/>
        </w:rPr>
        <w:t>collection technologies, handheld computers for meter data collection or mobile workforce applications and related installation, implementation and maintenance support services.</w:t>
      </w:r>
    </w:p>
    <w:p>
      <w:pPr>
        <w:spacing w:after="0" w:line="84"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i w:val="1"/>
          <w:iCs w:val="1"/>
          <w:color w:val="auto"/>
        </w:rPr>
        <w:t>HardwareSolutions—</w:t>
      </w:r>
      <w:r>
        <w:rPr>
          <w:sz w:val="20"/>
          <w:szCs w:val="20"/>
          <w:color w:val="auto"/>
        </w:rPr>
        <w:tab/>
      </w:r>
      <w:r>
        <w:rPr>
          <w:rFonts w:ascii="Arial" w:cs="Arial" w:eastAsia="Arial" w:hAnsi="Arial"/>
          <w:sz w:val="16"/>
          <w:szCs w:val="16"/>
          <w:color w:val="auto"/>
        </w:rPr>
        <w:t>Residential, commercial and industrial (C&amp;I) and generation, transmission and distribution (GT&amp;D) electricity meters and related</w:t>
      </w:r>
    </w:p>
    <w:p>
      <w:pPr>
        <w:spacing w:after="0" w:line="38"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18"/>
          <w:szCs w:val="18"/>
          <w:i w:val="1"/>
          <w:iCs w:val="1"/>
          <w:color w:val="auto"/>
        </w:rPr>
        <w:t>Electricity Metering:</w:t>
      </w:r>
      <w:r>
        <w:rPr>
          <w:sz w:val="20"/>
          <w:szCs w:val="20"/>
          <w:color w:val="auto"/>
        </w:rPr>
        <w:tab/>
      </w:r>
      <w:r>
        <w:rPr>
          <w:rFonts w:ascii="Arial" w:cs="Arial" w:eastAsia="Arial" w:hAnsi="Arial"/>
          <w:sz w:val="15"/>
          <w:szCs w:val="15"/>
          <w:color w:val="auto"/>
        </w:rPr>
        <w:t>installation, implementation and other services.</w:t>
      </w:r>
    </w:p>
    <w:p>
      <w:pPr>
        <w:spacing w:after="0" w:line="111" w:lineRule="exact"/>
        <w:rPr>
          <w:sz w:val="20"/>
          <w:szCs w:val="20"/>
          <w:color w:val="auto"/>
        </w:rPr>
      </w:pPr>
    </w:p>
    <w:p>
      <w:pPr>
        <w:ind w:left="2180" w:right="60" w:hanging="2173"/>
        <w:spacing w:after="0" w:line="259" w:lineRule="auto"/>
        <w:tabs>
          <w:tab w:leader="none" w:pos="216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8"/>
          <w:szCs w:val="18"/>
          <w:color w:val="auto"/>
        </w:rPr>
        <w:t>Software applications for commercial, industrial and residential meter data collection and management, distribution system design and optimization, energy and water management, asset optimization, mobile workforce solutions, forecasting and related implementation, consulting and maintenance support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20"/>
                <w:szCs w:val="20"/>
                <w:color w:val="auto"/>
              </w:rPr>
            </w:pPr>
            <w:r>
              <w:rPr>
                <w:rFonts w:ascii="Arial" w:cs="Arial" w:eastAsia="Arial" w:hAnsi="Arial"/>
                <w:sz w:val="18"/>
                <w:szCs w:val="18"/>
                <w:b w:val="1"/>
                <w:bCs w:val="1"/>
                <w:color w:val="auto"/>
              </w:rPr>
              <w:t>Segment Information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500" w:type="dxa"/>
            <w:vAlign w:val="bottom"/>
          </w:tcPr>
          <w:p>
            <w:pPr>
              <w:spacing w:after="0"/>
              <w:rPr>
                <w:sz w:val="24"/>
                <w:szCs w:val="24"/>
                <w:color w:val="auto"/>
              </w:rPr>
            </w:pPr>
          </w:p>
        </w:tc>
        <w:tc>
          <w:tcPr>
            <w:tcW w:w="25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2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2"/>
        </w:trPr>
        <w:tc>
          <w:tcPr>
            <w:tcW w:w="6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65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60,110</w:t>
            </w:r>
          </w:p>
        </w:tc>
        <w:tc>
          <w:tcPr>
            <w:tcW w:w="2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62,192</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121,861</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168,845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148,577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290,706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0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163,810</w:t>
            </w:r>
          </w:p>
        </w:tc>
        <w:tc>
          <w:tcPr>
            <w:tcW w:w="2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135,123</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319,363</w:t>
            </w:r>
          </w:p>
        </w:tc>
        <w:tc>
          <w:tcPr>
            <w:tcW w:w="1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251,593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25,464</w:t>
            </w:r>
          </w:p>
        </w:tc>
        <w:tc>
          <w:tcPr>
            <w:tcW w:w="2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27,288</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54,167</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0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69,032</w:t>
            </w:r>
          </w:p>
        </w:tc>
        <w:tc>
          <w:tcPr>
            <w:tcW w:w="2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56,739</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135,806</w:t>
            </w:r>
          </w:p>
        </w:tc>
        <w:tc>
          <w:tcPr>
            <w:tcW w:w="1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Hardware Solutions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Arial" w:cs="Arial" w:eastAsia="Arial" w:hAnsi="Arial"/>
                <w:sz w:val="18"/>
                <w:szCs w:val="18"/>
                <w:color w:val="auto"/>
              </w:rPr>
              <w:t>Meter Data Collection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19,658</w:t>
            </w:r>
          </w:p>
        </w:tc>
        <w:tc>
          <w:tcPr>
            <w:tcW w:w="2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21,917</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42,791</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880"/>
              <w:spacing w:after="0"/>
              <w:rPr>
                <w:sz w:val="20"/>
                <w:szCs w:val="20"/>
                <w:color w:val="auto"/>
              </w:rPr>
            </w:pPr>
            <w:r>
              <w:rPr>
                <w:rFonts w:ascii="Arial" w:cs="Arial" w:eastAsia="Arial" w:hAnsi="Arial"/>
                <w:sz w:val="18"/>
                <w:szCs w:val="18"/>
                <w:color w:val="auto"/>
              </w:rPr>
              <w:t>Electricity Metering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880"/>
              <w:spacing w:after="0"/>
              <w:rPr>
                <w:sz w:val="20"/>
                <w:szCs w:val="20"/>
                <w:color w:val="auto"/>
              </w:rPr>
            </w:pPr>
            <w:r>
              <w:rPr>
                <w:rFonts w:ascii="Arial" w:cs="Arial" w:eastAsia="Arial" w:hAnsi="Arial"/>
                <w:sz w:val="18"/>
                <w:szCs w:val="18"/>
                <w:color w:val="auto"/>
              </w:rPr>
              <w:t>Other unallocated costs</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(9,706)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Hardware Solutions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Corporate unallocated</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(22,156)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(44,408)</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880"/>
              <w:spacing w:after="0"/>
              <w:rPr>
                <w:sz w:val="20"/>
                <w:szCs w:val="20"/>
                <w:color w:val="auto"/>
              </w:rPr>
            </w:pPr>
            <w:r>
              <w:rPr>
                <w:rFonts w:ascii="Arial" w:cs="Arial" w:eastAsia="Arial" w:hAnsi="Arial"/>
                <w:sz w:val="18"/>
                <w:szCs w:val="18"/>
                <w:color w:val="auto"/>
              </w:rPr>
              <w:t>Total Company</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15,194</w:t>
            </w:r>
          </w:p>
        </w:tc>
        <w:tc>
          <w:tcPr>
            <w:tcW w:w="2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4,474</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28,350</w:t>
            </w:r>
          </w:p>
        </w:tc>
        <w:tc>
          <w:tcPr>
            <w:tcW w:w="1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Revenues from AMR related to electricity meters can be reflected in either our Meter Data Collection or Electricity Metering segments. Included in Meter Data Collection are standalone electric AMR modules that can be attached to electromechanical electricity meters in the field or manufactured by others, AMR circuit boards we manufacture that are embedded in other vendors’ electronic electricity meters and royalties for licensing our electric AMR technology. Included in Electricity Metering revenue are sales of our electronic meters with our embedded AMR technology as well as some contract manufacturing for incorporating other vendors’ AMR technology into our electronic meters.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One customer, Progress Energy, accounted for 19% and 21% of total Company revenues, and 36% and 39% of Electricity Metering segment revenues, for the three and six months ended June 30, 2006, respectively.</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One customer, Piedmont Natural Gas, accounted for 16% and 14% of Meter Data Collection segment revenues for the three and six months ended June 30, 2006,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 customers represented more than 10% of Software Solutions segment revenues for the three and six months ended June 30, 2006.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 customers represented more than 10% of total Company revenues or individual segment revenues for the three and six months ended June 30, 2005.</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adjustments are reflected as an increase (decrease) to shareholders’ equity and are not reflected in the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adjusted to reflect other comprehensive income items during the period, net of tax,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spacing w:after="0"/>
              <w:rPr>
                <w:sz w:val="19"/>
                <w:szCs w:val="19"/>
                <w:color w:val="auto"/>
              </w:rPr>
            </w:pPr>
          </w:p>
        </w:tc>
        <w:tc>
          <w:tcPr>
            <w:tcW w:w="26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22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2"/>
        </w:trPr>
        <w:tc>
          <w:tcPr>
            <w:tcW w:w="6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4"/>
              </w:rPr>
              <w:t>2006</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10,204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9,313</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17,273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24"/>
                <w:szCs w:val="24"/>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6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6540" w:type="dxa"/>
            <w:vAlign w:val="bottom"/>
          </w:tcPr>
          <w:p>
            <w:pPr>
              <w:ind w:left="44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9,116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17,954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9,668</w:t>
            </w:r>
          </w:p>
        </w:tc>
        <w:tc>
          <w:tcPr>
            <w:tcW w:w="60" w:type="dxa"/>
            <w:vAlign w:val="bottom"/>
          </w:tcPr>
          <w:p>
            <w:pPr>
              <w:spacing w:after="0"/>
              <w:rPr>
                <w:sz w:val="24"/>
                <w:szCs w:val="24"/>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Accumulated other comprehensive income, net of tax, was approximately $1.6 million and $871,000 at June 30, 2006 and December 31, 2005, respectively, and consisted of the adjustments for foreign currency translation as indicated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Consolidating Financial Information</w:t>
      </w:r>
    </w:p>
    <w:p>
      <w:pPr>
        <w:spacing w:after="0" w:line="17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credit facility and the senior subordinated notes are guaranteed by all of our operating subsidiaries, except for our foreign subsidiaries and an outsourcing project finance subsidiary, all of which are wholly owned. The guarantees are joint and several, full, complete and unconditional. There are currently no restrictions on the ability of the subsidiary guarantors to transfer funds to the parent company. The following consolidating financial information has been prepared and presented pursuant to SEC Regulation S-X Rule 3-10, “</w:t>
      </w:r>
      <w:r>
        <w:rPr>
          <w:rFonts w:ascii="Arial" w:cs="Arial" w:eastAsia="Arial" w:hAnsi="Arial"/>
          <w:sz w:val="18"/>
          <w:szCs w:val="18"/>
          <w:i w:val="1"/>
          <w:iCs w:val="1"/>
          <w:color w:val="auto"/>
        </w:rPr>
        <w:t>Financial Statements of Guarantors and Issuers of Guaranteed Securities Registered or</w:t>
      </w:r>
      <w:r>
        <w:rPr>
          <w:rFonts w:ascii="Arial" w:cs="Arial" w:eastAsia="Arial" w:hAnsi="Arial"/>
          <w:sz w:val="18"/>
          <w:szCs w:val="18"/>
          <w:color w:val="auto"/>
        </w:rPr>
        <w:t xml:space="preserve"> </w:t>
      </w:r>
      <w:r>
        <w:rPr>
          <w:rFonts w:ascii="Arial" w:cs="Arial" w:eastAsia="Arial" w:hAnsi="Arial"/>
          <w:sz w:val="18"/>
          <w:szCs w:val="18"/>
          <w:i w:val="1"/>
          <w:iCs w:val="1"/>
          <w:color w:val="auto"/>
        </w:rPr>
        <w:t>Being Registered</w:t>
      </w:r>
      <w:r>
        <w:rPr>
          <w:rFonts w:ascii="Arial" w:cs="Arial" w:eastAsia="Arial" w:hAnsi="Arial"/>
          <w:sz w:val="18"/>
          <w:szCs w:val="18"/>
          <w:color w:val="auto"/>
        </w:rPr>
        <w:t>.”</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second quarter of 2006, we acquired Quantum and ELO, which are reflected within parent and within the non-guarantor subsidiaries, respectively, in the condensed consolidated financial statements commencing on the date of each acquisition (see Note 4).</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Effective January 1, 2006, the legal entity holding the U.S. operations of our Electricity Metering business (a guarantor subsidiary) was merged into the parent company. As a result of this merger, the assets, liabilities and operations of this guarantor subsidiary have been combined with the parent company as of and for the three and six month periods ended June 30, 2006. In addition, as a result of our legal entity merger on January 1, 2006, we have restated the parent and guarantor subsidiary information for the 2005 periods presented to reflect the new legal entity structure.</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we have five wholly owned domestic guarantor subsidiaries, which were established for various business purposes. Two of these subsidiaries have no assets or operations. The other three subsidiaries hold investments totaling $8.4 million and $7.3 million in related non-guarantor subsidiaries at June 30, 2006 and December 31, 2005, respectively. Due to the small nature of these guarantor subsidiaries, we have combined them with the parent company as of January 1, 2006. The net income (loss) from guarantor subsidiaries was ($40,000) and $61,000 for the three months ended June 30, 2006 and 2005, and ($43,000) and $76,000 for the six months ended June 30, 2006 and 2005,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12"/>
              <w:spacing w:after="0"/>
              <w:rPr>
                <w:sz w:val="20"/>
                <w:szCs w:val="20"/>
                <w:color w:val="auto"/>
              </w:rPr>
            </w:pPr>
            <w:r>
              <w:rPr>
                <w:rFonts w:ascii="Arial" w:cs="Arial" w:eastAsia="Arial" w:hAnsi="Arial"/>
                <w:sz w:val="18"/>
                <w:szCs w:val="18"/>
                <w:b w:val="1"/>
                <w:bCs w:val="1"/>
                <w:color w:val="auto"/>
                <w:w w:val="88"/>
              </w:rPr>
              <w:t>Combined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91"/>
              </w:rPr>
              <w:t>Non-guarantor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5"/>
              </w:rPr>
              <w:t>Subsidiaries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Eliminations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5"/>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4"/>
          </w:tcPr>
          <w:p>
            <w:pPr>
              <w:jc w:val="right"/>
              <w:ind w:right="792"/>
              <w:spacing w:after="0"/>
              <w:rPr>
                <w:sz w:val="20"/>
                <w:szCs w:val="20"/>
                <w:color w:val="auto"/>
              </w:rPr>
            </w:pPr>
            <w:r>
              <w:rPr>
                <w:rFonts w:ascii="Arial" w:cs="Arial" w:eastAsia="Arial" w:hAnsi="Arial"/>
                <w:sz w:val="18"/>
                <w:szCs w:val="18"/>
                <w:b w:val="1"/>
                <w:bCs w:val="1"/>
                <w:color w:val="auto"/>
                <w:w w:val="80"/>
              </w:rPr>
              <w:t>thousands)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143,953</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12,267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(4,243)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2,922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158,077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15,189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(9,456)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6,466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(4,120)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5,726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91,908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12,192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(9,322)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66,169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1,548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48,858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2,613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17,311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1380" w:type="dxa"/>
            <w:vAlign w:val="bottom"/>
            <w:gridSpan w:val="2"/>
          </w:tcPr>
          <w:p>
            <w:pPr>
              <w:jc w:val="right"/>
              <w:ind w:right="152"/>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1380" w:type="dxa"/>
            <w:vAlign w:val="bottom"/>
            <w:gridSpan w:val="2"/>
          </w:tcPr>
          <w:p>
            <w:pPr>
              <w:jc w:val="right"/>
              <w:ind w:right="152"/>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14,958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18"/>
                <w:szCs w:val="18"/>
                <w:color w:val="auto"/>
              </w:rPr>
            </w:pP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in earnings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10,204</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2"/>
              <w:spacing w:after="0"/>
              <w:rPr>
                <w:sz w:val="20"/>
                <w:szCs w:val="20"/>
                <w:color w:val="auto"/>
              </w:rPr>
            </w:pPr>
            <w:r>
              <w:rPr>
                <w:rFonts w:ascii="Arial" w:cs="Arial" w:eastAsia="Arial" w:hAnsi="Arial"/>
                <w:sz w:val="18"/>
                <w:szCs w:val="18"/>
                <w:color w:val="auto"/>
              </w:rPr>
              <w:t>840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w w:val="95"/>
              </w:rPr>
              <w:t>Combined</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Parent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52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Eliminations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4"/>
              </w:rPr>
              <w:t>thousands)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118,983</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11,221</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(7,393)</w:t>
            </w:r>
          </w:p>
        </w:tc>
        <w:tc>
          <w:tcPr>
            <w:tcW w:w="5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1,976</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13,197</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9,068</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76,143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10,239</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54,305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2,958</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1,138</w:t>
            </w:r>
          </w:p>
        </w:tc>
        <w:tc>
          <w:tcPr>
            <w:tcW w:w="4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522</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537</w:t>
            </w:r>
          </w:p>
        </w:tc>
        <w:tc>
          <w:tcPr>
            <w:tcW w:w="4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44,750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5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18"/>
                <w:szCs w:val="18"/>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5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Equity in earnings of</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9,313</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520" w:type="dxa"/>
            <w:vAlign w:val="bottom"/>
          </w:tcPr>
          <w:p>
            <w:pPr>
              <w:spacing w:after="0"/>
              <w:rPr>
                <w:sz w:val="19"/>
                <w:szCs w:val="19"/>
                <w:color w:val="auto"/>
              </w:rPr>
            </w:pP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5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612"/>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w w:val="95"/>
              </w:rPr>
              <w:t>Combined</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Parent</w:t>
            </w:r>
          </w:p>
        </w:tc>
        <w:tc>
          <w:tcPr>
            <w:tcW w:w="5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52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Eliminations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4"/>
              </w:rPr>
              <w:t>thousands)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279,921</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24,786</w:t>
            </w: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(9,796)</w:t>
            </w:r>
          </w:p>
        </w:tc>
        <w:tc>
          <w:tcPr>
            <w:tcW w:w="5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29,111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5,331</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(9,990)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309,032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30,117</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(19,786)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40" w:type="dxa"/>
            <w:vAlign w:val="bottom"/>
          </w:tcPr>
          <w:p>
            <w:pPr>
              <w:spacing w:after="0"/>
              <w:rPr>
                <w:sz w:val="20"/>
                <w:szCs w:val="20"/>
                <w:color w:val="auto"/>
              </w:rPr>
            </w:pPr>
            <w:r>
              <w:rPr>
                <w:rFonts w:ascii="Arial" w:cs="Arial" w:eastAsia="Arial" w:hAnsi="Arial"/>
                <w:sz w:val="18"/>
                <w:szCs w:val="18"/>
                <w:color w:val="auto"/>
              </w:rPr>
              <w:t>Cost of revenues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166,232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13,553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Service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12,452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10,927</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178,684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24,480</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(19,607)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130,348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5,637</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135,806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28,915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2,887</w:t>
            </w:r>
          </w:p>
        </w:tc>
        <w:tc>
          <w:tcPr>
            <w:tcW w:w="38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27,880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23,222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1,260</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14,717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94,734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4,603</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35,614</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8"/>
                <w:szCs w:val="18"/>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Total other income (expense)</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(8,068)</w:t>
            </w:r>
          </w:p>
        </w:tc>
        <w:tc>
          <w:tcPr>
            <w:tcW w:w="100" w:type="dxa"/>
            <w:vAlign w:val="bottom"/>
          </w:tcPr>
          <w:p>
            <w:pPr>
              <w:spacing w:after="0"/>
              <w:rPr>
                <w:sz w:val="19"/>
                <w:szCs w:val="19"/>
                <w:color w:val="auto"/>
              </w:rPr>
            </w:pP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27,546</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(11,508)</w:t>
            </w:r>
          </w:p>
        </w:tc>
        <w:tc>
          <w:tcPr>
            <w:tcW w:w="100" w:type="dxa"/>
            <w:vAlign w:val="bottom"/>
          </w:tcPr>
          <w:p>
            <w:pPr>
              <w:spacing w:after="0"/>
              <w:rPr>
                <w:sz w:val="18"/>
                <w:szCs w:val="18"/>
                <w:color w:val="auto"/>
              </w:rPr>
            </w:pP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431</w:t>
            </w:r>
          </w:p>
        </w:tc>
        <w:tc>
          <w:tcPr>
            <w:tcW w:w="38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Equity in earnings of</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1,235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17,273</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1,235</w:t>
            </w:r>
          </w:p>
        </w:tc>
        <w:tc>
          <w:tcPr>
            <w:tcW w:w="520" w:type="dxa"/>
            <w:vAlign w:val="bottom"/>
          </w:tcPr>
          <w:p>
            <w:pPr>
              <w:spacing w:after="0"/>
              <w:rPr>
                <w:sz w:val="19"/>
                <w:szCs w:val="19"/>
                <w:color w:val="auto"/>
              </w:rPr>
            </w:pPr>
          </w:p>
        </w:tc>
        <w:tc>
          <w:tcPr>
            <w:tcW w:w="380" w:type="dxa"/>
            <w:vAlign w:val="bottom"/>
          </w:tcPr>
          <w:p>
            <w:pPr>
              <w:jc w:val="right"/>
              <w:ind w:right="2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5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61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w w:val="95"/>
              </w:rPr>
              <w:t>Combined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Parent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Eliminations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5"/>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4"/>
          </w:tcPr>
          <w:p>
            <w:pPr>
              <w:jc w:val="right"/>
              <w:ind w:right="772"/>
              <w:spacing w:after="0"/>
              <w:rPr>
                <w:sz w:val="20"/>
                <w:szCs w:val="20"/>
                <w:color w:val="auto"/>
              </w:rPr>
            </w:pPr>
            <w:r>
              <w:rPr>
                <w:rFonts w:ascii="Arial" w:cs="Arial" w:eastAsia="Arial" w:hAnsi="Arial"/>
                <w:sz w:val="18"/>
                <w:szCs w:val="18"/>
                <w:b w:val="1"/>
                <w:bCs w:val="1"/>
                <w:color w:val="auto"/>
                <w:w w:val="82"/>
              </w:rPr>
              <w:t>thousands)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Sales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220,707</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20,334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Service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(15,718)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06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16,265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Service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revenues</w:t>
            </w: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6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102,697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Restructurings</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880"/>
              <w:spacing w:after="0"/>
              <w:rPr>
                <w:sz w:val="20"/>
                <w:szCs w:val="20"/>
                <w:color w:val="auto"/>
              </w:rPr>
            </w:pPr>
            <w:r>
              <w:rPr>
                <w:rFonts w:ascii="Arial" w:cs="Arial" w:eastAsia="Arial" w:hAnsi="Arial"/>
                <w:sz w:val="18"/>
                <w:szCs w:val="18"/>
                <w:color w:val="auto"/>
              </w:rPr>
              <w:t>Total other income (expense)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 in earnings of</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60" w:type="dxa"/>
            <w:vAlign w:val="bottom"/>
            <w:vMerge w:val="continue"/>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10,130</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92"/>
              <w:spacing w:after="0"/>
              <w:rPr>
                <w:sz w:val="20"/>
                <w:szCs w:val="20"/>
                <w:color w:val="auto"/>
              </w:rPr>
            </w:pPr>
            <w:r>
              <w:rPr>
                <w:rFonts w:ascii="Arial" w:cs="Arial" w:eastAsia="Arial" w:hAnsi="Arial"/>
                <w:sz w:val="18"/>
                <w:szCs w:val="18"/>
                <w:color w:val="auto"/>
              </w:rPr>
              <w:t>770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5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Combined</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Parent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Subsidiaries</w:t>
            </w:r>
          </w:p>
        </w:tc>
        <w:tc>
          <w:tcPr>
            <w:tcW w:w="2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restart"/>
          </w:tcPr>
          <w:p>
            <w:pPr>
              <w:ind w:left="278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3"/>
          </w:tcPr>
          <w:p>
            <w:pPr>
              <w:ind w:left="54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35,973</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10,614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46,587</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12,833</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89,046</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Intercompany accounts receivable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5,755</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(12,925)</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2,213</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59,979</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20,627</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(6,383)</w:t>
            </w:r>
          </w:p>
        </w:tc>
        <w:tc>
          <w:tcPr>
            <w:tcW w:w="30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221,748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37,397</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(19,308)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239,837</w:t>
            </w:r>
          </w:p>
        </w:tc>
        <w:tc>
          <w:tcPr>
            <w:tcW w:w="0" w:type="dxa"/>
            <w:vAlign w:val="bottom"/>
          </w:tcPr>
          <w:p>
            <w:pPr>
              <w:spacing w:after="0"/>
              <w:rPr>
                <w:sz w:val="1"/>
                <w:szCs w:val="1"/>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71,460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4,015</w:t>
            </w:r>
          </w:p>
        </w:tc>
        <w:tc>
          <w:tcPr>
            <w:tcW w:w="40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75,475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8,615</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118,161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13,265</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119,504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2,185</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52,330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(7,831)</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(29,315)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602,591</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67,834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(56,454)</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613,971</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44,659</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4,759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49,418</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Intercompany accounts payable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7,171</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(12,925)</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1,310</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2,883</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(6,383)</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1,442</w:t>
            </w:r>
          </w:p>
        </w:tc>
        <w:tc>
          <w:tcPr>
            <w:tcW w:w="40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26,376</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18,205</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(19,308)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103,779</w:t>
            </w:r>
          </w:p>
        </w:tc>
        <w:tc>
          <w:tcPr>
            <w:tcW w:w="0" w:type="dxa"/>
            <w:vAlign w:val="bottom"/>
          </w:tcPr>
          <w:p>
            <w:pPr>
              <w:spacing w:after="0"/>
              <w:rPr>
                <w:sz w:val="1"/>
                <w:szCs w:val="1"/>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124,274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124,274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6,533</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(7,831)</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Warranty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Contingent purchase price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Other obligations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7,857</w:t>
            </w:r>
          </w:p>
        </w:tc>
        <w:tc>
          <w:tcPr>
            <w:tcW w:w="40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245,433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32,595</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(27,139)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250,889</w:t>
            </w:r>
          </w:p>
        </w:tc>
        <w:tc>
          <w:tcPr>
            <w:tcW w:w="0" w:type="dxa"/>
            <w:vAlign w:val="bottom"/>
          </w:tcPr>
          <w:p>
            <w:pPr>
              <w:spacing w:after="0"/>
              <w:rPr>
                <w:sz w:val="1"/>
                <w:szCs w:val="1"/>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339,640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29,261</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(29,261)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339,640</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5,924</w:t>
            </w:r>
          </w:p>
        </w:tc>
        <w:tc>
          <w:tcPr>
            <w:tcW w:w="4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shareholders’ equity</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357,158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35,239</w:t>
            </w:r>
          </w:p>
        </w:tc>
        <w:tc>
          <w:tcPr>
            <w:tcW w:w="4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(29,315)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363,082</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602,591</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67,834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(56,454)</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613,971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Combined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Subsidiaries</w:t>
            </w:r>
          </w:p>
        </w:tc>
        <w:tc>
          <w:tcPr>
            <w:tcW w:w="26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restart"/>
          </w:tcPr>
          <w:p>
            <w:pPr>
              <w:ind w:left="27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tcPr>
          <w:p>
            <w:pPr>
              <w:ind w:left="56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28,064</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5,574</w:t>
            </w:r>
          </w:p>
        </w:tc>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104,428</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Intercompany accounts receivable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(12,437)</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49,456</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22"/>
        </w:trPr>
        <w:tc>
          <w:tcPr>
            <w:tcW w:w="530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(3,727)</w:t>
            </w:r>
          </w:p>
        </w:tc>
        <w:tc>
          <w:tcPr>
            <w:tcW w:w="30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206,720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31,101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(16,164)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221,657</w:t>
            </w:r>
          </w:p>
        </w:tc>
        <w:tc>
          <w:tcPr>
            <w:tcW w:w="0" w:type="dxa"/>
            <w:vAlign w:val="bottom"/>
          </w:tcPr>
          <w:p>
            <w:pPr>
              <w:spacing w:after="0"/>
              <w:rPr>
                <w:sz w:val="1"/>
                <w:szCs w:val="1"/>
                <w:color w:val="auto"/>
              </w:rPr>
            </w:pPr>
          </w:p>
        </w:tc>
      </w:tr>
      <w:tr>
        <w:trPr>
          <w:trHeight w:val="318"/>
        </w:trPr>
        <w:tc>
          <w:tcPr>
            <w:tcW w:w="5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74,097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123,293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(1,966)</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(26,924)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595,508</w:t>
            </w:r>
          </w:p>
        </w:tc>
        <w:tc>
          <w:tcPr>
            <w:tcW w:w="1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49,268</w:t>
            </w:r>
          </w:p>
        </w:tc>
        <w:tc>
          <w:tcPr>
            <w:tcW w:w="2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(45,892)</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44,720</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Intercompany accounts payable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(12,437)</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Short-term intercompany advances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(3,727)</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0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23"/>
        </w:trPr>
        <w:tc>
          <w:tcPr>
            <w:tcW w:w="53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(16,164)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105,578</w:t>
            </w:r>
          </w:p>
        </w:tc>
        <w:tc>
          <w:tcPr>
            <w:tcW w:w="0" w:type="dxa"/>
            <w:vAlign w:val="bottom"/>
          </w:tcPr>
          <w:p>
            <w:pPr>
              <w:spacing w:after="0"/>
              <w:rPr>
                <w:sz w:val="1"/>
                <w:szCs w:val="1"/>
                <w:color w:val="auto"/>
              </w:rPr>
            </w:pPr>
          </w:p>
        </w:tc>
      </w:tr>
      <w:tr>
        <w:trPr>
          <w:trHeight w:val="318"/>
        </w:trPr>
        <w:tc>
          <w:tcPr>
            <w:tcW w:w="5300" w:type="dxa"/>
            <w:vAlign w:val="bottom"/>
          </w:tcPr>
          <w:p>
            <w:pPr>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160,186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160,186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Project financing debt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(1,966)</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Warranty</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Other obligations</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3"/>
        </w:trPr>
        <w:tc>
          <w:tcPr>
            <w:tcW w:w="530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282,963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17,355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(18,968)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281,350</w:t>
            </w:r>
          </w:p>
        </w:tc>
        <w:tc>
          <w:tcPr>
            <w:tcW w:w="0" w:type="dxa"/>
            <w:vAlign w:val="bottom"/>
          </w:tcPr>
          <w:p>
            <w:pPr>
              <w:spacing w:after="0"/>
              <w:rPr>
                <w:sz w:val="1"/>
                <w:szCs w:val="1"/>
                <w:color w:val="auto"/>
              </w:rPr>
            </w:pPr>
          </w:p>
        </w:tc>
      </w:tr>
      <w:tr>
        <w:trPr>
          <w:trHeight w:val="318"/>
        </w:trPr>
        <w:tc>
          <w:tcPr>
            <w:tcW w:w="5300" w:type="dxa"/>
            <w:vAlign w:val="bottom"/>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28,132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(28,133)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312,046</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(4,119)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5300" w:type="dxa"/>
            <w:vAlign w:val="bottom"/>
          </w:tcPr>
          <w:p>
            <w:pPr>
              <w:ind w:left="440"/>
              <w:spacing w:after="0"/>
              <w:rPr>
                <w:sz w:val="20"/>
                <w:szCs w:val="20"/>
                <w:color w:val="auto"/>
              </w:rPr>
            </w:pPr>
            <w:r>
              <w:rPr>
                <w:rFonts w:ascii="Arial" w:cs="Arial" w:eastAsia="Arial" w:hAnsi="Arial"/>
                <w:sz w:val="18"/>
                <w:szCs w:val="18"/>
                <w:color w:val="auto"/>
              </w:rPr>
              <w:t>Retained earnings (accumulated deficit)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(1,181)</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880"/>
              <w:spacing w:after="0"/>
              <w:rPr>
                <w:sz w:val="20"/>
                <w:szCs w:val="20"/>
                <w:color w:val="auto"/>
              </w:rPr>
            </w:pPr>
            <w:r>
              <w:rPr>
                <w:rFonts w:ascii="Arial" w:cs="Arial" w:eastAsia="Arial" w:hAnsi="Arial"/>
                <w:sz w:val="18"/>
                <w:szCs w:val="18"/>
                <w:color w:val="auto"/>
              </w:rPr>
              <w:t>Total shareholders’ equity</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312,545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(26,924)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317,534</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595,508</w:t>
            </w:r>
          </w:p>
        </w:tc>
        <w:tc>
          <w:tcPr>
            <w:tcW w:w="1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49,268</w:t>
            </w:r>
          </w:p>
        </w:tc>
        <w:tc>
          <w:tcPr>
            <w:tcW w:w="2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(45,892)</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598,884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w w:val="95"/>
              </w:rPr>
              <w:t>Combined</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Parent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Subsidiaries</w:t>
            </w:r>
          </w:p>
        </w:tc>
        <w:tc>
          <w:tcPr>
            <w:tcW w:w="34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Eliminations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8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70"/>
              </w:rPr>
              <w:t>thousands)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17,273</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1,235</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w w:val="98"/>
              </w:rPr>
              <w:t>Adjustments to reconcile net income to net cash provided by operating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557</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Employee stock plans income tax benefits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(8,371)</w:t>
            </w: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Amortization of prepaid debt fees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(1,665)</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Equity in earnings (losses) of non-guarantor subsidiaries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(4,319)</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1,399</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Long-term note receivable, net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(1,298)</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1,159</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475</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827</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Intercompany transactions, net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6,922</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519</w:t>
            </w:r>
          </w:p>
        </w:tc>
        <w:tc>
          <w:tcPr>
            <w:tcW w:w="5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5,852</w:t>
            </w:r>
          </w:p>
        </w:tc>
        <w:tc>
          <w:tcPr>
            <w:tcW w:w="5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Proceeds from the sale of property, plant and equipment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Acquisitions of property, plant and equipment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Proceeds from the sale of an investment in affiliate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Business acquisitions, net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(2,431)</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transferred to parent</w:t>
            </w: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(946)</w:t>
            </w:r>
          </w:p>
        </w:tc>
        <w:tc>
          <w:tcPr>
            <w:tcW w:w="5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transferred to non-guarantor subsidiaries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Intercompany notes, net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1,705</w:t>
            </w:r>
          </w:p>
        </w:tc>
        <w:tc>
          <w:tcPr>
            <w:tcW w:w="5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(24,115)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(2,252)</w:t>
            </w:r>
          </w:p>
        </w:tc>
        <w:tc>
          <w:tcPr>
            <w:tcW w:w="5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5,613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Payments on debt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2"/>
              <w:spacing w:after="0"/>
              <w:rPr>
                <w:sz w:val="20"/>
                <w:szCs w:val="20"/>
                <w:color w:val="auto"/>
              </w:rPr>
            </w:pPr>
            <w:r>
              <w:rPr>
                <w:rFonts w:ascii="Arial" w:cs="Arial" w:eastAsia="Arial" w:hAnsi="Arial"/>
                <w:sz w:val="18"/>
                <w:szCs w:val="18"/>
                <w:color w:val="auto"/>
              </w:rPr>
              <w:t>(3,227)</w:t>
            </w: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Prepaid debt fees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transferred from parent</w:t>
            </w: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transferred from non-guarantor subsidiaries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Intercompany notes payable</w:t>
            </w:r>
          </w:p>
        </w:tc>
        <w:tc>
          <w:tcPr>
            <w:tcW w:w="1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4,567</w:t>
            </w:r>
          </w:p>
        </w:tc>
        <w:tc>
          <w:tcPr>
            <w:tcW w:w="5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1,440</w:t>
            </w:r>
          </w:p>
        </w:tc>
        <w:tc>
          <w:tcPr>
            <w:tcW w:w="5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(5,613)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5,040</w:t>
            </w:r>
          </w:p>
        </w:tc>
        <w:tc>
          <w:tcPr>
            <w:tcW w:w="5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5,574</w:t>
            </w:r>
          </w:p>
        </w:tc>
        <w:tc>
          <w:tcPr>
            <w:tcW w:w="5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35,973</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10,614</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i w:val="1"/>
                <w:iCs w:val="1"/>
                <w:color w:val="auto"/>
              </w:rPr>
              <w:t>Non-cash operating and financing transactions: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Property, plant and equipment purchased but not yet paid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21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Non-cash affects of acquisitions (Note 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196</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66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Combined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Parent</w:t>
            </w:r>
          </w:p>
        </w:tc>
        <w:tc>
          <w:tcPr>
            <w:tcW w:w="1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Subsidiaries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Eliminations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4"/>
          </w:tcPr>
          <w:p>
            <w:pPr>
              <w:ind w:left="580"/>
              <w:spacing w:after="0"/>
              <w:rPr>
                <w:sz w:val="20"/>
                <w:szCs w:val="20"/>
                <w:color w:val="auto"/>
              </w:rPr>
            </w:pPr>
            <w:r>
              <w:rPr>
                <w:rFonts w:ascii="Arial" w:cs="Arial" w:eastAsia="Arial" w:hAnsi="Arial"/>
                <w:sz w:val="18"/>
                <w:szCs w:val="18"/>
                <w:b w:val="1"/>
                <w:bCs w:val="1"/>
                <w:color w:val="auto"/>
                <w:w w:val="91"/>
              </w:rPr>
              <w:t>(in thousands)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10,130</w:t>
            </w:r>
          </w:p>
        </w:tc>
        <w:tc>
          <w:tcPr>
            <w:tcW w:w="14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w w:val="99"/>
              </w:rPr>
              <w:t>Adjustments to reconcile net income to net cash provided by operating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Employee stock plans income tax benefits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w w:val="94"/>
              </w:rPr>
              <w:t>Equity in earnings (losses) of guarantor and non-guarantor subsidiaries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Other long-term obligations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transactions,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36,144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Proceeds from the sale of property, plant and equipment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Acquisitions of property, plant and equipment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to parent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transferred to non-guarantor subsidiaries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notes,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Payments on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(107,787)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(108,178)</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72,318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Prepaid debt fees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Intercompany notes,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received from non-guarantor subsidiaries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received from parent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(34,156)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318"/>
        </w:trPr>
        <w:tc>
          <w:tcPr>
            <w:tcW w:w="60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4,309</w:t>
            </w:r>
          </w:p>
        </w:tc>
        <w:tc>
          <w:tcPr>
            <w:tcW w:w="14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5,649</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6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040" w:type="dxa"/>
            <w:vAlign w:val="bottom"/>
          </w:tcPr>
          <w:p>
            <w:pPr>
              <w:ind w:left="56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7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24, 2006.</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SEC filings are available free of charge under the Investor Relations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Forward-Looking Statements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estimated stock-based compensation expense, cost reduction programs and other items. These statements reflect our current plans and expectations and are based on information currently available as of the date of this Quarterly Report on Form 10-Q. When included in this discussion, the words “expects,” “intends,” “anticipates,” “believes,” “plans,” “projects,” “estimates,” “future,” “objective,” “may,” “will,” “will continue”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the rate and timing of customer demand for our products, 2) delays, rescheduling or cancellations of current customer orders, 3) changes in estimated liabilities for product warranties, 4) changes in laws and regulations (including Federal Communications Commission (FCC) licensing actions), 5) our dependence on new product development and intellectual property, 6) future acquisitions, including potential disruptions in operations associated with integration activities and performance expectations and 7) other factors. You should not place undue reliance on these forward-looking statements, which apply only as of the date of this Quarterly Report on Form 10-Q.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“Risk Factors” within Item 1A included in our Annual Report on Form 10-K for the fiscal year ended December 31, 2005, which was filed with the SEC on February 24,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derive the majority of our revenues from sales of products and services to utilities. Sales revenues may include hardware, software licenses,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for systems we own as well as those owned by our customers. Hardware cost of sales are based on standard costs, which include materials, direct labor, warranty expense and an overhead allocation, as well as variances from standard costs. Software cost of sales include distribution and documentation costs for applications sold, along with other labor and operating costs for custom software development, project management, consulting and systems support. Hardware and software cost of services include materials, labor and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New orders in the first six months of 2006 were $313 million, 6% higher than the $294 million in new orders in the first six months of 2005, driven primarily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 orders for automatic meter reading (AMR), in particular two large orders for gas AMR and one large order for electricity meters with AMR. Total backlog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$351 million at June 30, 2006, compared with $243 million at June 30, 2005. Backlog shippable over the next twelve months was $225 million, up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$151 million a year ago. Approximately $33 million of shippable and total backlog at June 30, 2006 is related to a contract with one customer, Progress Energy,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which will be recognized as revenue prior to December 31, 2006.</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Operating margins improved during the second quarter and first six months of 2006, compared with the same periods last year as revenue growth was higher than growth in operating expenses, and due to less intangible asset amortization expense in 2006. Operating cash flows were higher in 2006 with the majority of cash flow used to pay down debt. At June 30, 2006, we had $124.3 million of total debt, compared with $170.1 million in total debt at June 30, 2005.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On January 1, 2006, we adopted Statement of Financial Accounting Standards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which requires the measurement and recognition of compensation expense for all stock-based payment awards. We recognized $2.0 million and $4.1 million in stock-based compensation expense for the three and six months ended June 30, 2006, respectively, compared with $71,000 and $220,000 for the same periods in 2005. The primary increase in stock-based compensation expense is due to the expensing of stock awards prospectively.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Revenues and Gross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gross profit and gross margin for the three and six months ended June 30, 2005 and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1"/>
          </w:tcPr>
          <w:p>
            <w:pPr>
              <w:ind w:left="12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13"/>
          </w:tcPr>
          <w:p>
            <w:pPr>
              <w:jc w:val="center"/>
              <w:ind w:right="32"/>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18"/>
                <w:szCs w:val="18"/>
                <w:color w:val="auto"/>
              </w:rPr>
            </w:pPr>
          </w:p>
        </w:tc>
        <w:tc>
          <w:tcPr>
            <w:tcW w:w="8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 Change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2005</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22"/>
        </w:trPr>
        <w:tc>
          <w:tcPr>
            <w:tcW w:w="4540" w:type="dxa"/>
            <w:vAlign w:val="bottom"/>
            <w:vMerge w:val="restart"/>
          </w:tcPr>
          <w:p>
            <w:pPr>
              <w:spacing w:after="0"/>
              <w:rPr>
                <w:sz w:val="20"/>
                <w:szCs w:val="20"/>
                <w:color w:val="auto"/>
              </w:rPr>
            </w:pPr>
            <w:r>
              <w:rPr>
                <w:rFonts w:ascii="Arial" w:cs="Arial" w:eastAsia="Arial" w:hAnsi="Arial"/>
                <w:sz w:val="18"/>
                <w:szCs w:val="18"/>
                <w:i w:val="1"/>
                <w:iCs w:val="1"/>
                <w:color w:val="auto"/>
              </w:rPr>
              <w:t>Revenues</w:t>
            </w:r>
          </w:p>
        </w:tc>
        <w:tc>
          <w:tcPr>
            <w:tcW w:w="160" w:type="dxa"/>
            <w:vAlign w:val="bottom"/>
          </w:tcPr>
          <w:p>
            <w:pPr>
              <w:spacing w:after="0"/>
              <w:rPr>
                <w:sz w:val="19"/>
                <w:szCs w:val="19"/>
                <w:color w:val="auto"/>
              </w:rPr>
            </w:pPr>
          </w:p>
        </w:tc>
        <w:tc>
          <w:tcPr>
            <w:tcW w:w="1140" w:type="dxa"/>
            <w:vAlign w:val="bottom"/>
            <w:gridSpan w:val="5"/>
          </w:tcPr>
          <w:p>
            <w:pPr>
              <w:jc w:val="center"/>
              <w:ind w:left="272"/>
              <w:spacing w:after="0"/>
              <w:rPr>
                <w:sz w:val="20"/>
                <w:szCs w:val="20"/>
                <w:color w:val="auto"/>
              </w:rPr>
            </w:pPr>
            <w:r>
              <w:rPr>
                <w:rFonts w:ascii="Arial" w:cs="Arial" w:eastAsia="Arial" w:hAnsi="Arial"/>
                <w:sz w:val="18"/>
                <w:szCs w:val="18"/>
                <w:b w:val="1"/>
                <w:bCs w:val="1"/>
                <w:color w:val="auto"/>
                <w:w w:val="87"/>
              </w:rPr>
              <w:t>(millions)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7"/>
          </w:tcPr>
          <w:p>
            <w:pPr>
              <w:jc w:val="center"/>
              <w:ind w:right="232"/>
              <w:spacing w:after="0"/>
              <w:rPr>
                <w:sz w:val="20"/>
                <w:szCs w:val="20"/>
                <w:color w:val="auto"/>
              </w:rPr>
            </w:pPr>
            <w:r>
              <w:rPr>
                <w:rFonts w:ascii="Arial" w:cs="Arial" w:eastAsia="Arial" w:hAnsi="Arial"/>
                <w:sz w:val="18"/>
                <w:szCs w:val="18"/>
                <w:b w:val="1"/>
                <w:bCs w:val="1"/>
                <w:color w:val="auto"/>
                <w:w w:val="89"/>
              </w:rPr>
              <w:t>(millions)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294.9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24.5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331"/>
        </w:trPr>
        <w:tc>
          <w:tcPr>
            <w:tcW w:w="454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319.4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3"/>
          </w:tcPr>
          <w:p>
            <w:pPr>
              <w:jc w:val="right"/>
              <w:ind w:right="312"/>
              <w:spacing w:after="0"/>
              <w:rPr>
                <w:sz w:val="20"/>
                <w:szCs w:val="20"/>
                <w:color w:val="auto"/>
              </w:rPr>
            </w:pPr>
            <w:r>
              <w:rPr>
                <w:rFonts w:ascii="Arial" w:cs="Arial" w:eastAsia="Arial" w:hAnsi="Arial"/>
                <w:sz w:val="18"/>
                <w:szCs w:val="18"/>
                <w:b w:val="1"/>
                <w:bCs w:val="1"/>
                <w:color w:val="auto"/>
                <w:w w:val="94"/>
              </w:rPr>
              <w:t>Three Months Ended June 30,</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jc w:val="right"/>
              <w:ind w:right="412"/>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1"/>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01"/>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gridSpan w:val="4"/>
          </w:tcPr>
          <w:p>
            <w:pPr>
              <w:jc w:val="center"/>
              <w:ind w:right="2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60" w:type="dxa"/>
            <w:vAlign w:val="bottom"/>
          </w:tcPr>
          <w:p>
            <w:pPr>
              <w:spacing w:after="0"/>
              <w:rPr>
                <w:sz w:val="17"/>
                <w:szCs w:val="17"/>
                <w:color w:val="auto"/>
              </w:rPr>
            </w:pPr>
          </w:p>
        </w:tc>
        <w:tc>
          <w:tcPr>
            <w:tcW w:w="58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60" w:type="dxa"/>
            <w:vAlign w:val="bottom"/>
          </w:tcPr>
          <w:p>
            <w:pPr>
              <w:spacing w:after="0"/>
              <w:rPr>
                <w:sz w:val="17"/>
                <w:szCs w:val="17"/>
                <w:color w:val="auto"/>
              </w:rPr>
            </w:pPr>
          </w:p>
        </w:tc>
        <w:tc>
          <w:tcPr>
            <w:tcW w:w="700" w:type="dxa"/>
            <w:vAlign w:val="bottom"/>
            <w:gridSpan w:val="3"/>
          </w:tcPr>
          <w:p>
            <w:pPr>
              <w:jc w:val="right"/>
              <w:ind w:right="14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180" w:type="dxa"/>
            <w:vAlign w:val="bottom"/>
          </w:tcPr>
          <w:p>
            <w:pPr>
              <w:spacing w:after="0"/>
              <w:rPr>
                <w:sz w:val="17"/>
                <w:szCs w:val="17"/>
                <w:color w:val="auto"/>
              </w:rPr>
            </w:pPr>
          </w:p>
        </w:tc>
        <w:tc>
          <w:tcPr>
            <w:tcW w:w="5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72"/>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60" w:type="dxa"/>
            <w:vAlign w:val="bottom"/>
          </w:tcPr>
          <w:p>
            <w:pPr>
              <w:spacing w:after="0"/>
              <w:rPr>
                <w:sz w:val="17"/>
                <w:szCs w:val="17"/>
                <w:color w:val="auto"/>
              </w:rPr>
            </w:pPr>
          </w:p>
        </w:tc>
        <w:tc>
          <w:tcPr>
            <w:tcW w:w="560" w:type="dxa"/>
            <w:vAlign w:val="bottom"/>
            <w:gridSpan w:val="4"/>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80" w:type="dxa"/>
            <w:vAlign w:val="bottom"/>
          </w:tcPr>
          <w:p>
            <w:pPr>
              <w:spacing w:after="0"/>
              <w:rPr>
                <w:sz w:val="17"/>
                <w:szCs w:val="17"/>
                <w:color w:val="auto"/>
              </w:rPr>
            </w:pPr>
          </w:p>
        </w:tc>
        <w:tc>
          <w:tcPr>
            <w:tcW w:w="720" w:type="dxa"/>
            <w:vAlign w:val="bottom"/>
            <w:gridSpan w:val="4"/>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60" w:type="dxa"/>
            <w:vAlign w:val="bottom"/>
          </w:tcPr>
          <w:p>
            <w:pPr>
              <w:spacing w:after="0"/>
              <w:rPr>
                <w:sz w:val="17"/>
                <w:szCs w:val="17"/>
                <w:color w:val="auto"/>
              </w:rPr>
            </w:pPr>
          </w:p>
        </w:tc>
        <w:tc>
          <w:tcPr>
            <w:tcW w:w="5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8"/>
                <w:szCs w:val="18"/>
                <w:b w:val="1"/>
                <w:bCs w:val="1"/>
                <w:i w:val="1"/>
                <w:iCs w:val="1"/>
                <w:color w:val="auto"/>
                <w:w w:val="89"/>
              </w:rPr>
              <w:t>Profit</w:t>
            </w:r>
          </w:p>
        </w:tc>
        <w:tc>
          <w:tcPr>
            <w:tcW w:w="160" w:type="dxa"/>
            <w:vAlign w:val="bottom"/>
          </w:tcPr>
          <w:p>
            <w:pPr>
              <w:spacing w:after="0"/>
              <w:rPr>
                <w:sz w:val="20"/>
                <w:szCs w:val="20"/>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i w:val="1"/>
                <w:iCs w:val="1"/>
                <w:color w:val="auto"/>
              </w:rPr>
              <w:t>Profit</w:t>
            </w:r>
          </w:p>
        </w:tc>
        <w:tc>
          <w:tcPr>
            <w:tcW w:w="1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8"/>
                <w:szCs w:val="18"/>
                <w:b w:val="1"/>
                <w:bCs w:val="1"/>
                <w:i w:val="1"/>
                <w:iCs w:val="1"/>
                <w:color w:val="auto"/>
                <w:w w:val="89"/>
              </w:rPr>
              <w:t>Profit</w:t>
            </w:r>
          </w:p>
        </w:tc>
        <w:tc>
          <w:tcPr>
            <w:tcW w:w="160" w:type="dxa"/>
            <w:vAlign w:val="bottom"/>
          </w:tcPr>
          <w:p>
            <w:pPr>
              <w:spacing w:after="0"/>
              <w:rPr>
                <w:sz w:val="20"/>
                <w:szCs w:val="20"/>
                <w:color w:val="auto"/>
              </w:rPr>
            </w:pPr>
          </w:p>
        </w:tc>
        <w:tc>
          <w:tcPr>
            <w:tcW w:w="560" w:type="dxa"/>
            <w:vAlign w:val="bottom"/>
            <w:gridSpan w:val="4"/>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180" w:type="dxa"/>
            <w:vAlign w:val="bottom"/>
          </w:tcPr>
          <w:p>
            <w:pPr>
              <w:spacing w:after="0"/>
              <w:rPr>
                <w:sz w:val="20"/>
                <w:szCs w:val="20"/>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b w:val="1"/>
                <w:bCs w:val="1"/>
                <w:i w:val="1"/>
                <w:iCs w:val="1"/>
                <w:color w:val="auto"/>
                <w:w w:val="89"/>
              </w:rPr>
              <w:t>Profit</w:t>
            </w:r>
          </w:p>
        </w:tc>
        <w:tc>
          <w:tcPr>
            <w:tcW w:w="16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24"/>
        </w:trPr>
        <w:tc>
          <w:tcPr>
            <w:tcW w:w="4540" w:type="dxa"/>
            <w:vAlign w:val="bottom"/>
            <w:vMerge w:val="restart"/>
          </w:tcPr>
          <w:p>
            <w:pPr>
              <w:spacing w:after="0"/>
              <w:rPr>
                <w:sz w:val="20"/>
                <w:szCs w:val="20"/>
                <w:color w:val="auto"/>
              </w:rPr>
            </w:pPr>
            <w:r>
              <w:rPr>
                <w:rFonts w:ascii="Arial" w:cs="Arial" w:eastAsia="Arial" w:hAnsi="Arial"/>
                <w:sz w:val="18"/>
                <w:szCs w:val="18"/>
                <w:i w:val="1"/>
                <w:iCs w:val="1"/>
                <w:color w:val="auto"/>
              </w:rPr>
              <w:t>Gross Profit and Margin</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(millions)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4"/>
              </w:rPr>
              <w:t>(millions)</w:t>
            </w: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(millions)</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(millions)</w:t>
            </w: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8"/>
                <w:szCs w:val="18"/>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63.9</w:t>
            </w:r>
          </w:p>
        </w:tc>
        <w:tc>
          <w:tcPr>
            <w:tcW w:w="72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42%</w:t>
            </w:r>
          </w:p>
        </w:tc>
        <w:tc>
          <w:tcPr>
            <w:tcW w:w="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52.0</w:t>
            </w:r>
          </w:p>
        </w:tc>
        <w:tc>
          <w:tcPr>
            <w:tcW w:w="7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42%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124.9</w:t>
            </w:r>
          </w:p>
        </w:tc>
        <w:tc>
          <w:tcPr>
            <w:tcW w:w="72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42%</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97.0</w:t>
            </w:r>
          </w:p>
        </w:tc>
        <w:tc>
          <w:tcPr>
            <w:tcW w:w="7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w:t>
            </w:r>
          </w:p>
        </w:tc>
        <w:tc>
          <w:tcPr>
            <w:tcW w:w="72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7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38%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10.9</w:t>
            </w:r>
          </w:p>
        </w:tc>
        <w:tc>
          <w:tcPr>
            <w:tcW w:w="72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44%</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331"/>
        </w:trPr>
        <w:tc>
          <w:tcPr>
            <w:tcW w:w="4540" w:type="dxa"/>
            <w:vAlign w:val="bottom"/>
          </w:tcPr>
          <w:p>
            <w:pPr>
              <w:ind w:left="440"/>
              <w:spacing w:after="0"/>
              <w:rPr>
                <w:sz w:val="20"/>
                <w:szCs w:val="20"/>
                <w:color w:val="auto"/>
              </w:rPr>
            </w:pPr>
            <w:r>
              <w:rPr>
                <w:rFonts w:ascii="Arial" w:cs="Arial" w:eastAsia="Arial" w:hAnsi="Arial"/>
                <w:sz w:val="18"/>
                <w:szCs w:val="18"/>
                <w:color w:val="auto"/>
              </w:rPr>
              <w:t>Total gross profit and margin</w:t>
            </w:r>
          </w:p>
        </w:tc>
        <w:tc>
          <w:tcPr>
            <w:tcW w:w="160" w:type="dxa"/>
            <w:vAlign w:val="bottom"/>
          </w:tcPr>
          <w:p>
            <w:pPr>
              <w:spacing w:after="0"/>
              <w:rPr>
                <w:sz w:val="24"/>
                <w:szCs w:val="24"/>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69.0</w:t>
            </w:r>
          </w:p>
        </w:tc>
        <w:tc>
          <w:tcPr>
            <w:tcW w:w="72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42%</w:t>
            </w:r>
          </w:p>
        </w:tc>
        <w:tc>
          <w:tcPr>
            <w:tcW w:w="20" w:type="dxa"/>
            <w:vAlign w:val="bottom"/>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56.7</w:t>
            </w:r>
          </w:p>
        </w:tc>
        <w:tc>
          <w:tcPr>
            <w:tcW w:w="7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42%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135.8</w:t>
            </w:r>
          </w:p>
        </w:tc>
        <w:tc>
          <w:tcPr>
            <w:tcW w:w="72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43%</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107.7</w:t>
            </w:r>
          </w:p>
        </w:tc>
        <w:tc>
          <w:tcPr>
            <w:tcW w:w="7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Sales revenues increased $29.2 million and $67.9 million for the three and six months ended June 30, 2006, compared with the same periods in 2005, as a result of increased hardware sales, including electricity meters, AMR gas modules and installation. Service revenues, consisting primarily of maintenance contracts, remained comparable in 2006 with 2005.</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One customer, Progress Energy, represented 19% and 21% of total revenues for the three and six months ended June 30, 2006, respectively. No customer represented more than 10% of total revenues for the three and six months ended June 30, 2005. The 10 largest customers accounted for approximately 43% and 42% of total revenues during the three and six months ended June 30, 2006. During the same periods in 2005, our 10 largest customers accounted for approximately 23% and 20%,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17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As a percentage of revenue, sales gross margin for the three and six months ended June 30, 2006 remained constant, compared with the same periods in 2005, although we experienced a shift in product mix. Service gross margin increased for the three months ended June 30, 2006, compared with the three months ended June 30, 2005, primarily due to lower outsourcing costs, but remained constant for the six months ended June 30, 2006, compared with the same period in 2005.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 and Margin and Operating Income (Loss)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two operating groups (Hardware Solutions and Software Solutions) and three segments. Software Solutions is a single segment and Hardware Solutions is comprised of two segments, Meter Data Collection and Electricity Metering. For these three segments, management has three primary measures of segment performance: revenue, gross profit (margin) and operating income. Revenues for each segment are reported according to product lines. There are no inter-segment revenues. Within Hardware Solutions, cost of sales includes materials, direct labor, warranty expense and an overhead allocation. Software Solutions cost of sales include distribution and documentation costs for applications sold, along with other labor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operating costs for custom software development, project management, consulting and systems support. Hardware and software cost of services include materials, labor and overhead. Operating expenses directly associated with each segment may include sales, marketing, product development or administrative expenses.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Corporate operating expenses, interest income, interest expense, other income (expense), amortization expense and income tax expense (benefit) are not allocated to the segments, nor included in the measure of segment profit or loss. We do not allocate assets and liabilities to our segments. Prior to January 1, 2006, Itron Electricity Metering, Inc., or Electricity Metering, was a wholly owned subsidiary with separately identifiable assets and liabilities. Effective January 1, 2006, Electricity Metering merged with Itron, Inc. Approximately 50% and 65% of depreciation expense was allocated to the segments at June 30, 2006 and 2005, respectively, with the remaining portion unallocated. Unallocated depreciation increased in 2006, compared with 2005, due to the purchase of our new corporate headquarters facility at the end of 2005, which is not allocated to the segments.</w:t>
      </w:r>
    </w:p>
    <w:p>
      <w:pPr>
        <w:spacing w:after="0" w:line="12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classify sales in the United States and Canada as domestic revenues. International revenues were $9.2 million and $9.8 million for the three months ended June 30, 2006 and 2005 and $14.4 million and $17.9 million for the six months ended June 30, 2006 and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3" w:lineRule="exact"/>
        <w:rPr>
          <w:sz w:val="20"/>
          <w:szCs w:val="20"/>
          <w:color w:val="auto"/>
        </w:rPr>
      </w:pPr>
    </w:p>
    <w:p>
      <w:pPr>
        <w:spacing w:after="0"/>
        <w:tabs>
          <w:tab w:leader="none" w:pos="6320" w:val="left"/>
        </w:tabs>
        <w:rPr>
          <w:sz w:val="20"/>
          <w:szCs w:val="20"/>
          <w:color w:val="auto"/>
        </w:rPr>
      </w:pPr>
      <w:r>
        <w:rPr>
          <w:rFonts w:ascii="Arial" w:cs="Arial" w:eastAsia="Arial" w:hAnsi="Arial"/>
          <w:sz w:val="14"/>
          <w:szCs w:val="14"/>
          <w:b w:val="1"/>
          <w:bCs w:val="1"/>
          <w:color w:val="auto"/>
        </w:rPr>
        <w:t>Segment</w:t>
      </w:r>
      <w:r>
        <w:rPr>
          <w:sz w:val="20"/>
          <w:szCs w:val="20"/>
          <w:color w:val="auto"/>
        </w:rPr>
        <w:tab/>
      </w:r>
      <w:r>
        <w:rPr>
          <w:rFonts w:ascii="Arial" w:cs="Arial" w:eastAsia="Arial" w:hAnsi="Arial"/>
          <w:sz w:val="14"/>
          <w:szCs w:val="14"/>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7" w:lineRule="exact"/>
        <w:rPr>
          <w:sz w:val="20"/>
          <w:szCs w:val="20"/>
          <w:color w:val="auto"/>
        </w:rPr>
      </w:pPr>
    </w:p>
    <w:p>
      <w:pPr>
        <w:ind w:left="220" w:right="660" w:hanging="215"/>
        <w:spacing w:after="0" w:line="254" w:lineRule="auto"/>
        <w:rPr>
          <w:sz w:val="20"/>
          <w:szCs w:val="20"/>
          <w:color w:val="auto"/>
        </w:rPr>
      </w:pPr>
      <w:r>
        <w:rPr>
          <w:rFonts w:ascii="Arial" w:cs="Arial" w:eastAsia="Arial" w:hAnsi="Arial"/>
          <w:sz w:val="18"/>
          <w:szCs w:val="18"/>
          <w:i w:val="1"/>
          <w:iCs w:val="1"/>
          <w:color w:val="auto"/>
        </w:rPr>
        <w:t>HardwareSolutions—</w:t>
      </w:r>
      <w:r>
        <w:rPr>
          <w:sz w:val="20"/>
          <w:szCs w:val="20"/>
          <w:color w:val="auto"/>
        </w:rPr>
        <w:t xml:space="preserve"> </w:t>
      </w:r>
      <w:r>
        <w:rPr>
          <w:rFonts w:ascii="Arial" w:cs="Arial" w:eastAsia="Arial" w:hAnsi="Arial"/>
          <w:sz w:val="18"/>
          <w:szCs w:val="18"/>
          <w:color w:val="auto"/>
        </w:rPr>
        <w:t xml:space="preserve">Residential and commercial AMR standalone modules, OEM (original equipment manufacturer) equipment, contract </w:t>
      </w:r>
      <w:r>
        <w:rPr>
          <w:rFonts w:ascii="Arial" w:cs="Arial" w:eastAsia="Arial" w:hAnsi="Arial"/>
          <w:sz w:val="18"/>
          <w:szCs w:val="18"/>
          <w:i w:val="1"/>
          <w:iCs w:val="1"/>
          <w:color w:val="auto"/>
        </w:rPr>
        <w:t xml:space="preserve">Meter Data Collection: </w:t>
      </w:r>
      <w:r>
        <w:rPr>
          <w:rFonts w:ascii="Arial" w:cs="Arial" w:eastAsia="Arial" w:hAnsi="Arial"/>
          <w:sz w:val="18"/>
          <w:szCs w:val="18"/>
          <w:color w:val="auto"/>
        </w:rPr>
        <w:t>manufacturing and royalties for our AMR technology in other vendors’ electricity meters, mobile and network AMR data</w:t>
      </w:r>
    </w:p>
    <w:p>
      <w:pPr>
        <w:ind w:left="2180" w:right="240"/>
        <w:spacing w:after="0" w:line="261" w:lineRule="auto"/>
        <w:rPr>
          <w:sz w:val="20"/>
          <w:szCs w:val="20"/>
          <w:color w:val="auto"/>
        </w:rPr>
      </w:pPr>
      <w:r>
        <w:rPr>
          <w:rFonts w:ascii="Arial" w:cs="Arial" w:eastAsia="Arial" w:hAnsi="Arial"/>
          <w:sz w:val="18"/>
          <w:szCs w:val="18"/>
          <w:color w:val="auto"/>
        </w:rPr>
        <w:t>collection technologies, handheld computers for meter data collection or mobile workforce applications and related installation, implementation and maintenance support services.</w:t>
      </w:r>
    </w:p>
    <w:p>
      <w:pPr>
        <w:spacing w:after="0" w:line="84"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6"/>
          <w:szCs w:val="16"/>
          <w:color w:val="auto"/>
        </w:rPr>
        <w:t>Residential, commercial and industrial (C&amp;I) and generation, transmission and distribution (GT&amp;D) electricity meters and related</w:t>
      </w:r>
    </w:p>
    <w:p>
      <w:pPr>
        <w:spacing w:after="0" w:line="15"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18"/>
          <w:szCs w:val="18"/>
          <w:i w:val="1"/>
          <w:iCs w:val="1"/>
          <w:color w:val="auto"/>
        </w:rPr>
        <w:t>Electricity Metering:</w:t>
      </w:r>
      <w:r>
        <w:rPr>
          <w:sz w:val="20"/>
          <w:szCs w:val="20"/>
          <w:color w:val="auto"/>
        </w:rPr>
        <w:tab/>
      </w:r>
      <w:r>
        <w:rPr>
          <w:rFonts w:ascii="Arial" w:cs="Arial" w:eastAsia="Arial" w:hAnsi="Arial"/>
          <w:sz w:val="15"/>
          <w:szCs w:val="15"/>
          <w:color w:val="auto"/>
        </w:rPr>
        <w:t>installation, implementation and other services.</w:t>
      </w:r>
    </w:p>
    <w:p>
      <w:pPr>
        <w:spacing w:after="0" w:line="111" w:lineRule="exact"/>
        <w:rPr>
          <w:sz w:val="20"/>
          <w:szCs w:val="20"/>
          <w:color w:val="auto"/>
        </w:rPr>
      </w:pPr>
    </w:p>
    <w:p>
      <w:pPr>
        <w:ind w:left="2180" w:right="40" w:hanging="2173"/>
        <w:spacing w:after="0" w:line="259" w:lineRule="auto"/>
        <w:tabs>
          <w:tab w:leader="none" w:pos="216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8"/>
          <w:szCs w:val="18"/>
          <w:color w:val="auto"/>
        </w:rPr>
        <w:t>Software applications for commercial, industrial and residential meter data collection and management, distribution system design and optimization, energy and water management, asset optimization, mobile workforce solutions, forecasting and related implementation, consulting and maintenance support services.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Revenues from AMR related to electricity meters can be reflected in either our Meter Data Collection or Electricity Metering segments. Included in Meter Data Collection are standalone electric AMR modules that can be attached to electromechanical electricity meters in the field or manufactured by others, AMR circuit boards we manufacture that are embedded in other vendors’ electronic electricity meters and royalties for licensing our electric AMR technology. Included in Electricity Metering revenues are sales of our electronic meters with our embedded AMR technology as well as some contract manufacturing for incorporating other vendors’ AMR technology into our electronic meters.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gridSpan w:val="20"/>
          </w:tcPr>
          <w:p>
            <w:pPr>
              <w:spacing w:after="0"/>
              <w:rPr>
                <w:sz w:val="20"/>
                <w:szCs w:val="20"/>
                <w:color w:val="auto"/>
              </w:rPr>
            </w:pPr>
            <w:r>
              <w:rPr>
                <w:rFonts w:ascii="Arial" w:cs="Arial" w:eastAsia="Arial" w:hAnsi="Arial"/>
                <w:sz w:val="18"/>
                <w:szCs w:val="18"/>
                <w:color w:val="auto"/>
                <w:w w:val="88"/>
              </w:rPr>
              <w:t>The following tables and discussion highlight significant changes in trends or components of each segment.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3"/>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right"/>
              <w:ind w:right="332"/>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bottom w:val="single" w:sz="8" w:color="auto"/>
            </w:tcBorders>
            <w:gridSpan w:val="5"/>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2005</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Change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2006</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2"/>
        </w:trPr>
        <w:tc>
          <w:tcPr>
            <w:tcW w:w="3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6"/>
          </w:tcPr>
          <w:p>
            <w:pPr>
              <w:jc w:val="right"/>
              <w:ind w:right="312"/>
              <w:spacing w:after="0"/>
              <w:rPr>
                <w:sz w:val="20"/>
                <w:szCs w:val="20"/>
                <w:color w:val="auto"/>
              </w:rPr>
            </w:pPr>
            <w:r>
              <w:rPr>
                <w:rFonts w:ascii="Arial" w:cs="Arial" w:eastAsia="Arial" w:hAnsi="Arial"/>
                <w:sz w:val="18"/>
                <w:szCs w:val="18"/>
                <w:b w:val="1"/>
                <w:bCs w:val="1"/>
                <w:color w:val="auto"/>
              </w:rPr>
              <w:t>(millions)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(millions)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2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right="132"/>
              <w:spacing w:after="0"/>
              <w:rPr>
                <w:sz w:val="20"/>
                <w:szCs w:val="20"/>
                <w:color w:val="auto"/>
              </w:rPr>
            </w:pPr>
            <w:r>
              <w:rPr>
                <w:rFonts w:ascii="Arial" w:cs="Arial" w:eastAsia="Arial" w:hAnsi="Arial"/>
                <w:sz w:val="18"/>
                <w:szCs w:val="18"/>
                <w:color w:val="auto"/>
                <w:w w:val="87"/>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8"/>
                <w:szCs w:val="18"/>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2"/>
        </w:trPr>
        <w:tc>
          <w:tcPr>
            <w:tcW w:w="322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center"/>
              <w:ind w:right="132"/>
              <w:spacing w:after="0"/>
              <w:rPr>
                <w:sz w:val="20"/>
                <w:szCs w:val="20"/>
                <w:color w:val="auto"/>
              </w:rPr>
            </w:pPr>
            <w:r>
              <w:rPr>
                <w:rFonts w:ascii="Arial" w:cs="Arial" w:eastAsia="Arial" w:hAnsi="Arial"/>
                <w:sz w:val="18"/>
                <w:szCs w:val="18"/>
                <w:color w:val="auto"/>
                <w:w w:val="88"/>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47%</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40"/>
              <w:spacing w:after="0"/>
              <w:rPr>
                <w:sz w:val="20"/>
                <w:szCs w:val="20"/>
                <w:color w:val="auto"/>
              </w:rPr>
            </w:pPr>
            <w:r>
              <w:rPr>
                <w:rFonts w:ascii="Arial" w:cs="Arial" w:eastAsia="Arial" w:hAnsi="Arial"/>
                <w:sz w:val="18"/>
                <w:szCs w:val="18"/>
                <w:color w:val="auto"/>
              </w:rPr>
              <w:t>Total Hardware Solutions</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vMerge w:val="restart"/>
          </w:tcPr>
          <w:p>
            <w:pPr>
              <w:jc w:val="center"/>
              <w:ind w:right="132"/>
              <w:spacing w:after="0"/>
              <w:rPr>
                <w:sz w:val="20"/>
                <w:szCs w:val="20"/>
                <w:color w:val="auto"/>
              </w:rPr>
            </w:pPr>
            <w:r>
              <w:rPr>
                <w:rFonts w:ascii="Arial" w:cs="Arial" w:eastAsia="Arial" w:hAnsi="Arial"/>
                <w:sz w:val="18"/>
                <w:szCs w:val="18"/>
                <w:color w:val="auto"/>
                <w:w w:val="88"/>
              </w:rPr>
              <w:t>21%</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line="20" w:lineRule="exact"/>
              <w:rPr>
                <w:sz w:val="1"/>
                <w:szCs w:val="1"/>
                <w:color w:val="auto"/>
              </w:rPr>
            </w:pPr>
          </w:p>
        </w:tc>
      </w:tr>
      <w:tr>
        <w:trPr>
          <w:trHeight w:val="217"/>
        </w:trPr>
        <w:tc>
          <w:tcPr>
            <w:tcW w:w="32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148.5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center"/>
              <w:ind w:right="132"/>
              <w:spacing w:after="0"/>
              <w:rPr>
                <w:sz w:val="20"/>
                <w:szCs w:val="20"/>
                <w:color w:val="auto"/>
              </w:rPr>
            </w:pPr>
            <w:r>
              <w:rPr>
                <w:rFonts w:ascii="Arial" w:cs="Arial" w:eastAsia="Arial" w:hAnsi="Arial"/>
                <w:sz w:val="18"/>
                <w:szCs w:val="18"/>
                <w:color w:val="auto"/>
                <w:w w:val="88"/>
              </w:rPr>
              <w:t>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2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260"/>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ind w:right="132"/>
              <w:spacing w:after="0"/>
              <w:rPr>
                <w:sz w:val="20"/>
                <w:szCs w:val="20"/>
                <w:color w:val="auto"/>
              </w:rPr>
            </w:pPr>
            <w:r>
              <w:rPr>
                <w:rFonts w:ascii="Arial" w:cs="Arial" w:eastAsia="Arial" w:hAnsi="Arial"/>
                <w:sz w:val="18"/>
                <w:szCs w:val="18"/>
                <w:color w:val="auto"/>
                <w:w w:val="88"/>
              </w:rPr>
              <w:t>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319.4</w:t>
            </w:r>
          </w:p>
        </w:tc>
        <w:tc>
          <w:tcPr>
            <w:tcW w:w="40" w:type="dxa"/>
            <w:vAlign w:val="bottom"/>
          </w:tcPr>
          <w:p>
            <w:pPr>
              <w:spacing w:after="0"/>
              <w:rPr>
                <w:sz w:val="24"/>
                <w:szCs w:val="24"/>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251.6</w:t>
            </w:r>
          </w:p>
        </w:tc>
        <w:tc>
          <w:tcPr>
            <w:tcW w:w="1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6"/>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88"/>
              </w:rPr>
              <w:t>Six Months Ended June 30,</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01"/>
        </w:trPr>
        <w:tc>
          <w:tcPr>
            <w:tcW w:w="3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center"/>
              <w:ind w:right="18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20" w:type="dxa"/>
            <w:vAlign w:val="bottom"/>
          </w:tcPr>
          <w:p>
            <w:pPr>
              <w:spacing w:after="0"/>
              <w:rPr>
                <w:sz w:val="17"/>
                <w:szCs w:val="17"/>
                <w:color w:val="auto"/>
              </w:rPr>
            </w:pPr>
          </w:p>
        </w:tc>
        <w:tc>
          <w:tcPr>
            <w:tcW w:w="620" w:type="dxa"/>
            <w:vAlign w:val="bottom"/>
            <w:gridSpan w:val="3"/>
          </w:tcPr>
          <w:p>
            <w:pPr>
              <w:jc w:val="center"/>
              <w:ind w:left="72"/>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5"/>
          </w:tcPr>
          <w:p>
            <w:pPr>
              <w:jc w:val="center"/>
              <w:ind w:right="20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76"/>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32"/>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820" w:type="dxa"/>
            <w:vAlign w:val="bottom"/>
            <w:gridSpan w:val="3"/>
          </w:tcPr>
          <w:p>
            <w:pPr>
              <w:jc w:val="center"/>
              <w:ind w:right="4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28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2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8"/>
                <w:szCs w:val="18"/>
                <w:b w:val="1"/>
                <w:bCs w:val="1"/>
                <w:i w:val="1"/>
                <w:iCs w:val="1"/>
                <w:color w:val="auto"/>
                <w:w w:val="89"/>
              </w:rPr>
              <w:t>Profit</w:t>
            </w:r>
          </w:p>
        </w:tc>
        <w:tc>
          <w:tcPr>
            <w:tcW w:w="120" w:type="dxa"/>
            <w:vAlign w:val="bottom"/>
          </w:tcPr>
          <w:p>
            <w:pPr>
              <w:spacing w:after="0"/>
              <w:rPr>
                <w:sz w:val="20"/>
                <w:szCs w:val="20"/>
                <w:color w:val="auto"/>
              </w:rPr>
            </w:pP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140" w:type="dxa"/>
            <w:vAlign w:val="bottom"/>
          </w:tcPr>
          <w:p>
            <w:pPr>
              <w:spacing w:after="0"/>
              <w:rPr>
                <w:sz w:val="20"/>
                <w:szCs w:val="20"/>
                <w:color w:val="auto"/>
              </w:rPr>
            </w:pPr>
          </w:p>
        </w:tc>
        <w:tc>
          <w:tcPr>
            <w:tcW w:w="980" w:type="dxa"/>
            <w:vAlign w:val="bottom"/>
            <w:gridSpan w:val="5"/>
          </w:tcPr>
          <w:p>
            <w:pPr>
              <w:jc w:val="center"/>
              <w:ind w:right="200"/>
              <w:spacing w:after="0"/>
              <w:rPr>
                <w:sz w:val="20"/>
                <w:szCs w:val="20"/>
                <w:color w:val="auto"/>
              </w:rPr>
            </w:pPr>
            <w:r>
              <w:rPr>
                <w:rFonts w:ascii="Arial" w:cs="Arial" w:eastAsia="Arial" w:hAnsi="Arial"/>
                <w:sz w:val="18"/>
                <w:szCs w:val="18"/>
                <w:b w:val="1"/>
                <w:bCs w:val="1"/>
                <w:i w:val="1"/>
                <w:iCs w:val="1"/>
                <w:color w:val="auto"/>
                <w:w w:val="89"/>
              </w:rPr>
              <w:t>Profit</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32"/>
              <w:spacing w:after="0"/>
              <w:rPr>
                <w:sz w:val="20"/>
                <w:szCs w:val="20"/>
                <w:color w:val="auto"/>
              </w:rPr>
            </w:pPr>
            <w:r>
              <w:rPr>
                <w:rFonts w:ascii="Arial" w:cs="Arial" w:eastAsia="Arial" w:hAnsi="Arial"/>
                <w:sz w:val="18"/>
                <w:szCs w:val="18"/>
                <w:b w:val="1"/>
                <w:bCs w:val="1"/>
                <w:i w:val="1"/>
                <w:iCs w:val="1"/>
                <w:color w:val="auto"/>
                <w:w w:val="89"/>
              </w:rPr>
              <w:t>Profit</w:t>
            </w:r>
          </w:p>
        </w:tc>
        <w:tc>
          <w:tcPr>
            <w:tcW w:w="820" w:type="dxa"/>
            <w:vAlign w:val="bottom"/>
            <w:gridSpan w:val="3"/>
          </w:tcPr>
          <w:p>
            <w:pPr>
              <w:jc w:val="center"/>
              <w:ind w:right="40"/>
              <w:spacing w:after="0"/>
              <w:rPr>
                <w:sz w:val="20"/>
                <w:szCs w:val="20"/>
                <w:color w:val="auto"/>
              </w:rPr>
            </w:pPr>
            <w:r>
              <w:rPr>
                <w:rFonts w:ascii="Arial" w:cs="Arial" w:eastAsia="Arial" w:hAnsi="Arial"/>
                <w:sz w:val="18"/>
                <w:szCs w:val="18"/>
                <w:b w:val="1"/>
                <w:bCs w:val="1"/>
                <w:i w:val="1"/>
                <w:iCs w:val="1"/>
                <w:color w:val="auto"/>
                <w:w w:val="91"/>
              </w:rPr>
              <w:t>Margin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8"/>
                <w:szCs w:val="18"/>
                <w:b w:val="1"/>
                <w:bCs w:val="1"/>
                <w:i w:val="1"/>
                <w:iCs w:val="1"/>
                <w:color w:val="auto"/>
                <w:w w:val="89"/>
              </w:rPr>
              <w:t>Profit</w:t>
            </w:r>
          </w:p>
        </w:tc>
        <w:tc>
          <w:tcPr>
            <w:tcW w:w="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Margin</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Arial" w:cs="Arial" w:eastAsia="Arial" w:hAnsi="Arial"/>
                <w:sz w:val="18"/>
                <w:szCs w:val="18"/>
                <w:b w:val="1"/>
                <w:bCs w:val="1"/>
                <w:i w:val="1"/>
                <w:iCs w:val="1"/>
                <w:color w:val="auto"/>
              </w:rPr>
              <w:t>Segment Gross Profit and Margin</w:t>
            </w:r>
          </w:p>
        </w:tc>
        <w:tc>
          <w:tcPr>
            <w:tcW w:w="720" w:type="dxa"/>
            <w:vAlign w:val="bottom"/>
          </w:tcPr>
          <w:p>
            <w:pPr>
              <w:spacing w:after="0"/>
              <w:rPr>
                <w:sz w:val="17"/>
                <w:szCs w:val="17"/>
                <w:color w:val="auto"/>
              </w:rPr>
            </w:pPr>
          </w:p>
        </w:tc>
        <w:tc>
          <w:tcPr>
            <w:tcW w:w="780" w:type="dxa"/>
            <w:vAlign w:val="bottom"/>
            <w:tcBorders>
              <w:top w:val="single" w:sz="8" w:color="auto"/>
            </w:tcBorders>
            <w:gridSpan w:val="3"/>
          </w:tcPr>
          <w:p>
            <w:pPr>
              <w:jc w:val="center"/>
              <w:spacing w:after="0" w:line="203" w:lineRule="exact"/>
              <w:rPr>
                <w:sz w:val="20"/>
                <w:szCs w:val="20"/>
                <w:color w:val="auto"/>
              </w:rPr>
            </w:pPr>
            <w:r>
              <w:rPr>
                <w:rFonts w:ascii="Arial" w:cs="Arial" w:eastAsia="Arial" w:hAnsi="Arial"/>
                <w:sz w:val="18"/>
                <w:szCs w:val="18"/>
                <w:b w:val="1"/>
                <w:bCs w:val="1"/>
                <w:color w:val="auto"/>
                <w:w w:val="87"/>
              </w:rPr>
              <w:t>(millions)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4"/>
          </w:tcPr>
          <w:p>
            <w:pPr>
              <w:jc w:val="center"/>
              <w:spacing w:after="0" w:line="203" w:lineRule="exact"/>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2"/>
          </w:tcPr>
          <w:p>
            <w:pPr>
              <w:jc w:val="center"/>
              <w:spacing w:after="0" w:line="203" w:lineRule="exact"/>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gridSpan w:val="3"/>
          </w:tcPr>
          <w:p>
            <w:pPr>
              <w:jc w:val="center"/>
              <w:ind w:right="20"/>
              <w:spacing w:after="0" w:line="203" w:lineRule="exact"/>
              <w:rPr>
                <w:sz w:val="20"/>
                <w:szCs w:val="20"/>
                <w:color w:val="auto"/>
              </w:rPr>
            </w:pPr>
            <w:r>
              <w:rPr>
                <w:rFonts w:ascii="Arial" w:cs="Arial" w:eastAsia="Arial" w:hAnsi="Arial"/>
                <w:sz w:val="18"/>
                <w:szCs w:val="18"/>
                <w:b w:val="1"/>
                <w:bCs w:val="1"/>
                <w:color w:val="auto"/>
                <w:w w:val="89"/>
              </w:rPr>
              <w:t>(millions)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42%</w:t>
            </w:r>
          </w:p>
        </w:tc>
        <w:tc>
          <w:tcPr>
            <w:tcW w:w="16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44%</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22"/>
        </w:trPr>
        <w:tc>
          <w:tcPr>
            <w:tcW w:w="322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9"/>
                <w:szCs w:val="19"/>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9"/>
                <w:szCs w:val="19"/>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41%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17"/>
        </w:trPr>
        <w:tc>
          <w:tcPr>
            <w:tcW w:w="3220" w:type="dxa"/>
            <w:vAlign w:val="bottom"/>
          </w:tcPr>
          <w:p>
            <w:pPr>
              <w:ind w:left="440"/>
              <w:spacing w:after="0"/>
              <w:rPr>
                <w:sz w:val="20"/>
                <w:szCs w:val="20"/>
                <w:color w:val="auto"/>
              </w:rPr>
            </w:pPr>
            <w:r>
              <w:rPr>
                <w:rFonts w:ascii="Arial" w:cs="Arial" w:eastAsia="Arial" w:hAnsi="Arial"/>
                <w:sz w:val="18"/>
                <w:szCs w:val="18"/>
                <w:color w:val="auto"/>
              </w:rPr>
              <w:t>Total Hardware Solutions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44%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42%</w:t>
            </w:r>
          </w:p>
        </w:tc>
        <w:tc>
          <w:tcPr>
            <w:tcW w:w="0" w:type="dxa"/>
            <w:vAlign w:val="bottom"/>
          </w:tcPr>
          <w:p>
            <w:pPr>
              <w:spacing w:after="0"/>
              <w:rPr>
                <w:sz w:val="1"/>
                <w:szCs w:val="1"/>
                <w:color w:val="auto"/>
              </w:rPr>
            </w:pPr>
          </w:p>
        </w:tc>
      </w:tr>
      <w:tr>
        <w:trPr>
          <w:trHeight w:val="331"/>
        </w:trPr>
        <w:tc>
          <w:tcPr>
            <w:tcW w:w="322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69.0</w:t>
            </w:r>
          </w:p>
        </w:tc>
        <w:tc>
          <w:tcPr>
            <w:tcW w:w="60" w:type="dxa"/>
            <w:vAlign w:val="bottom"/>
          </w:tcPr>
          <w:p>
            <w:pPr>
              <w:spacing w:after="0"/>
              <w:rPr>
                <w:sz w:val="24"/>
                <w:szCs w:val="24"/>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42%</w:t>
            </w:r>
          </w:p>
        </w:tc>
        <w:tc>
          <w:tcPr>
            <w:tcW w:w="160" w:type="dxa"/>
            <w:vAlign w:val="bottom"/>
          </w:tcPr>
          <w:p>
            <w:pPr>
              <w:spacing w:after="0"/>
              <w:rPr>
                <w:sz w:val="24"/>
                <w:szCs w:val="24"/>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4"/>
                <w:szCs w:val="24"/>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42%</w:t>
            </w:r>
          </w:p>
        </w:tc>
        <w:tc>
          <w:tcPr>
            <w:tcW w:w="2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24"/>
                <w:szCs w:val="24"/>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43%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6"/>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88"/>
              </w:rPr>
              <w:t>Six Months Ended June 30,</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gridSpan w:val="5"/>
          </w:tcPr>
          <w:p>
            <w:pPr>
              <w:jc w:val="center"/>
              <w:ind w:right="80"/>
              <w:spacing w:after="0" w:line="195" w:lineRule="exact"/>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6"/>
                <w:szCs w:val="16"/>
                <w:color w:val="auto"/>
              </w:rPr>
            </w:pPr>
          </w:p>
        </w:tc>
        <w:tc>
          <w:tcPr>
            <w:tcW w:w="78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89"/>
              </w:rPr>
              <w:t>Operating</w:t>
            </w:r>
          </w:p>
        </w:tc>
        <w:tc>
          <w:tcPr>
            <w:tcW w:w="140" w:type="dxa"/>
            <w:vAlign w:val="bottom"/>
          </w:tcPr>
          <w:p>
            <w:pPr>
              <w:spacing w:after="0"/>
              <w:rPr>
                <w:sz w:val="16"/>
                <w:szCs w:val="16"/>
                <w:color w:val="auto"/>
              </w:rPr>
            </w:pPr>
          </w:p>
        </w:tc>
        <w:tc>
          <w:tcPr>
            <w:tcW w:w="980" w:type="dxa"/>
            <w:vAlign w:val="bottom"/>
            <w:gridSpan w:val="5"/>
          </w:tcPr>
          <w:p>
            <w:pPr>
              <w:jc w:val="center"/>
              <w:ind w:right="200"/>
              <w:spacing w:after="0" w:line="195" w:lineRule="exact"/>
              <w:rPr>
                <w:sz w:val="20"/>
                <w:szCs w:val="20"/>
                <w:color w:val="auto"/>
              </w:rPr>
            </w:pPr>
            <w:r>
              <w:rPr>
                <w:rFonts w:ascii="Arial" w:cs="Arial" w:eastAsia="Arial" w:hAnsi="Arial"/>
                <w:sz w:val="18"/>
                <w:szCs w:val="18"/>
                <w:b w:val="1"/>
                <w:bCs w:val="1"/>
                <w:color w:val="auto"/>
                <w:w w:val="91"/>
              </w:rPr>
              <w:t>Operating</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89"/>
              </w:rPr>
              <w:t>Operating</w:t>
            </w:r>
          </w:p>
        </w:tc>
        <w:tc>
          <w:tcPr>
            <w:tcW w:w="120" w:type="dxa"/>
            <w:vAlign w:val="bottom"/>
          </w:tcPr>
          <w:p>
            <w:pPr>
              <w:spacing w:after="0"/>
              <w:rPr>
                <w:sz w:val="16"/>
                <w:szCs w:val="16"/>
                <w:color w:val="auto"/>
              </w:rPr>
            </w:pPr>
          </w:p>
        </w:tc>
        <w:tc>
          <w:tcPr>
            <w:tcW w:w="1000" w:type="dxa"/>
            <w:vAlign w:val="bottom"/>
            <w:gridSpan w:val="3"/>
          </w:tcPr>
          <w:p>
            <w:pPr>
              <w:jc w:val="center"/>
              <w:ind w:right="112"/>
              <w:spacing w:after="0" w:line="195" w:lineRule="exact"/>
              <w:rPr>
                <w:sz w:val="20"/>
                <w:szCs w:val="20"/>
                <w:color w:val="auto"/>
              </w:rPr>
            </w:pPr>
            <w:r>
              <w:rPr>
                <w:rFonts w:ascii="Arial" w:cs="Arial" w:eastAsia="Arial" w:hAnsi="Arial"/>
                <w:sz w:val="18"/>
                <w:szCs w:val="18"/>
                <w:b w:val="1"/>
                <w:bCs w:val="1"/>
                <w:color w:val="auto"/>
                <w:w w:val="89"/>
              </w:rPr>
              <w:t>Operating</w:t>
            </w:r>
          </w:p>
        </w:tc>
        <w:tc>
          <w:tcPr>
            <w:tcW w:w="780" w:type="dxa"/>
            <w:vAlign w:val="bottom"/>
            <w:gridSpan w:val="2"/>
          </w:tcPr>
          <w:p>
            <w:pPr>
              <w:jc w:val="center"/>
              <w:ind w:right="20"/>
              <w:spacing w:after="0" w:line="195" w:lineRule="exact"/>
              <w:rPr>
                <w:sz w:val="20"/>
                <w:szCs w:val="20"/>
                <w:color w:val="auto"/>
              </w:rPr>
            </w:pPr>
            <w:r>
              <w:rPr>
                <w:rFonts w:ascii="Arial" w:cs="Arial" w:eastAsia="Arial" w:hAnsi="Arial"/>
                <w:sz w:val="18"/>
                <w:szCs w:val="18"/>
                <w:b w:val="1"/>
                <w:bCs w:val="1"/>
                <w:color w:val="auto"/>
                <w:w w:val="89"/>
              </w:rPr>
              <w:t>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200"/>
              <w:spacing w:after="0" w:line="195" w:lineRule="exact"/>
              <w:rPr>
                <w:sz w:val="20"/>
                <w:szCs w:val="20"/>
                <w:color w:val="auto"/>
              </w:rPr>
            </w:pPr>
            <w:r>
              <w:rPr>
                <w:rFonts w:ascii="Arial" w:cs="Arial" w:eastAsia="Arial" w:hAnsi="Arial"/>
                <w:sz w:val="18"/>
                <w:szCs w:val="18"/>
                <w:b w:val="1"/>
                <w:bCs w:val="1"/>
                <w:color w:val="auto"/>
                <w:w w:val="89"/>
              </w:rPr>
              <w:t>Operating</w:t>
            </w:r>
          </w:p>
        </w:tc>
        <w:tc>
          <w:tcPr>
            <w:tcW w:w="2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5"/>
              </w:rPr>
              <w:t>Income</w:t>
            </w:r>
          </w:p>
        </w:tc>
        <w:tc>
          <w:tcPr>
            <w:tcW w:w="12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Margin</w:t>
            </w:r>
          </w:p>
        </w:tc>
        <w:tc>
          <w:tcPr>
            <w:tcW w:w="140" w:type="dxa"/>
            <w:vAlign w:val="bottom"/>
          </w:tcPr>
          <w:p>
            <w:pPr>
              <w:spacing w:after="0"/>
              <w:rPr>
                <w:sz w:val="19"/>
                <w:szCs w:val="19"/>
                <w:color w:val="auto"/>
              </w:rPr>
            </w:pPr>
          </w:p>
        </w:tc>
        <w:tc>
          <w:tcPr>
            <w:tcW w:w="9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Income</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Margin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8"/>
              </w:rPr>
              <w:t>Income</w:t>
            </w: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Margin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Income</w:t>
            </w:r>
          </w:p>
        </w:tc>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Margin</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Arial" w:cs="Arial" w:eastAsia="Arial" w:hAnsi="Arial"/>
                <w:sz w:val="18"/>
                <w:szCs w:val="18"/>
                <w:b w:val="1"/>
                <w:bCs w:val="1"/>
                <w:i w:val="1"/>
                <w:iCs w:val="1"/>
                <w:color w:val="auto"/>
              </w:rPr>
              <w:t>Segment Operating Income (Loss)</w:t>
            </w:r>
          </w:p>
        </w:tc>
        <w:tc>
          <w:tcPr>
            <w:tcW w:w="720" w:type="dxa"/>
            <w:vAlign w:val="bottom"/>
          </w:tcPr>
          <w:p>
            <w:pPr>
              <w:spacing w:after="0"/>
              <w:rPr>
                <w:sz w:val="17"/>
                <w:szCs w:val="17"/>
                <w:color w:val="auto"/>
              </w:rPr>
            </w:pPr>
          </w:p>
        </w:tc>
        <w:tc>
          <w:tcPr>
            <w:tcW w:w="780" w:type="dxa"/>
            <w:vAlign w:val="bottom"/>
            <w:tcBorders>
              <w:top w:val="single" w:sz="8" w:color="auto"/>
            </w:tcBorders>
            <w:gridSpan w:val="3"/>
          </w:tcPr>
          <w:p>
            <w:pPr>
              <w:jc w:val="center"/>
              <w:spacing w:after="0" w:line="203" w:lineRule="exact"/>
              <w:rPr>
                <w:sz w:val="20"/>
                <w:szCs w:val="20"/>
                <w:color w:val="auto"/>
              </w:rPr>
            </w:pPr>
            <w:r>
              <w:rPr>
                <w:rFonts w:ascii="Arial" w:cs="Arial" w:eastAsia="Arial" w:hAnsi="Arial"/>
                <w:sz w:val="18"/>
                <w:szCs w:val="18"/>
                <w:b w:val="1"/>
                <w:bCs w:val="1"/>
                <w:color w:val="auto"/>
                <w:w w:val="87"/>
              </w:rPr>
              <w:t>(millions)</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4"/>
          </w:tcPr>
          <w:p>
            <w:pPr>
              <w:jc w:val="center"/>
              <w:spacing w:after="0" w:line="203" w:lineRule="exact"/>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2"/>
          </w:tcPr>
          <w:p>
            <w:pPr>
              <w:jc w:val="center"/>
              <w:spacing w:after="0" w:line="203" w:lineRule="exact"/>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gridSpan w:val="3"/>
          </w:tcPr>
          <w:p>
            <w:pPr>
              <w:jc w:val="center"/>
              <w:ind w:right="20"/>
              <w:spacing w:after="0" w:line="203" w:lineRule="exact"/>
              <w:rPr>
                <w:sz w:val="20"/>
                <w:szCs w:val="20"/>
                <w:color w:val="auto"/>
              </w:rPr>
            </w:pPr>
            <w:r>
              <w:rPr>
                <w:rFonts w:ascii="Arial" w:cs="Arial" w:eastAsia="Arial" w:hAnsi="Arial"/>
                <w:sz w:val="18"/>
                <w:szCs w:val="18"/>
                <w:b w:val="1"/>
                <w:bCs w:val="1"/>
                <w:color w:val="auto"/>
                <w:w w:val="89"/>
              </w:rPr>
              <w:t>(millions)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and Operating Margin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Hardware Solutions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440"/>
              <w:spacing w:after="0"/>
              <w:rPr>
                <w:sz w:val="20"/>
                <w:szCs w:val="20"/>
                <w:color w:val="auto"/>
              </w:rPr>
            </w:pPr>
            <w:r>
              <w:rPr>
                <w:rFonts w:ascii="Arial" w:cs="Arial" w:eastAsia="Arial" w:hAnsi="Arial"/>
                <w:sz w:val="18"/>
                <w:szCs w:val="18"/>
                <w:color w:val="auto"/>
              </w:rPr>
              <w:t>Meter Data Collection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33%</w:t>
            </w:r>
          </w:p>
        </w:tc>
        <w:tc>
          <w:tcPr>
            <w:tcW w:w="16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35%</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35%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16"/>
        </w:trPr>
        <w:tc>
          <w:tcPr>
            <w:tcW w:w="3220" w:type="dxa"/>
            <w:vAlign w:val="bottom"/>
          </w:tcPr>
          <w:p>
            <w:pPr>
              <w:ind w:left="440"/>
              <w:spacing w:after="0"/>
              <w:rPr>
                <w:sz w:val="20"/>
                <w:szCs w:val="20"/>
                <w:color w:val="auto"/>
              </w:rPr>
            </w:pPr>
            <w:r>
              <w:rPr>
                <w:rFonts w:ascii="Arial" w:cs="Arial" w:eastAsia="Arial" w:hAnsi="Arial"/>
                <w:sz w:val="18"/>
                <w:szCs w:val="18"/>
                <w:color w:val="auto"/>
              </w:rPr>
              <w:t>Electricity Metering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22"/>
        </w:trPr>
        <w:tc>
          <w:tcPr>
            <w:tcW w:w="3220" w:type="dxa"/>
            <w:vAlign w:val="bottom"/>
          </w:tcPr>
          <w:p>
            <w:pPr>
              <w:ind w:left="440"/>
              <w:spacing w:after="0"/>
              <w:rPr>
                <w:sz w:val="20"/>
                <w:szCs w:val="20"/>
                <w:color w:val="auto"/>
              </w:rPr>
            </w:pPr>
            <w:r>
              <w:rPr>
                <w:rFonts w:ascii="Arial" w:cs="Arial" w:eastAsia="Arial" w:hAnsi="Arial"/>
                <w:sz w:val="18"/>
                <w:szCs w:val="18"/>
                <w:color w:val="auto"/>
              </w:rPr>
              <w:t>Other unallocated costs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440"/>
              <w:spacing w:after="0"/>
              <w:rPr>
                <w:sz w:val="20"/>
                <w:szCs w:val="20"/>
                <w:color w:val="auto"/>
              </w:rPr>
            </w:pPr>
            <w:r>
              <w:rPr>
                <w:rFonts w:ascii="Arial" w:cs="Arial" w:eastAsia="Arial" w:hAnsi="Arial"/>
                <w:sz w:val="18"/>
                <w:szCs w:val="18"/>
                <w:color w:val="auto"/>
              </w:rPr>
              <w:t>Total Hardware Solutions</w:t>
            </w: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88"/>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Software Solutions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c>
          <w:tcPr>
            <w:tcW w:w="740" w:type="dxa"/>
            <w:vAlign w:val="bottom"/>
            <w:gridSpan w:val="4"/>
          </w:tcPr>
          <w:p>
            <w:pPr>
              <w:jc w:val="center"/>
              <w:ind w:left="192"/>
              <w:spacing w:after="0"/>
              <w:rPr>
                <w:sz w:val="20"/>
                <w:szCs w:val="20"/>
                <w:color w:val="auto"/>
              </w:rPr>
            </w:pPr>
            <w:r>
              <w:rPr>
                <w:rFonts w:ascii="Arial" w:cs="Arial" w:eastAsia="Arial" w:hAnsi="Arial"/>
                <w:sz w:val="18"/>
                <w:szCs w:val="18"/>
                <w:color w:val="auto"/>
                <w:w w:val="90"/>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(5.8)</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-22%</w:t>
            </w:r>
          </w:p>
        </w:tc>
        <w:tc>
          <w:tcPr>
            <w:tcW w:w="0" w:type="dxa"/>
            <w:vAlign w:val="bottom"/>
          </w:tcPr>
          <w:p>
            <w:pPr>
              <w:spacing w:after="0"/>
              <w:rPr>
                <w:sz w:val="1"/>
                <w:szCs w:val="1"/>
                <w:color w:val="auto"/>
              </w:rPr>
            </w:pPr>
          </w:p>
        </w:tc>
      </w:tr>
      <w:tr>
        <w:trPr>
          <w:trHeight w:val="223"/>
        </w:trPr>
        <w:tc>
          <w:tcPr>
            <w:tcW w:w="3220" w:type="dxa"/>
            <w:vAlign w:val="bottom"/>
          </w:tcPr>
          <w:p>
            <w:pPr>
              <w:ind w:left="440"/>
              <w:spacing w:after="0"/>
              <w:rPr>
                <w:sz w:val="20"/>
                <w:szCs w:val="20"/>
                <w:color w:val="auto"/>
              </w:rPr>
            </w:pPr>
            <w:r>
              <w:rPr>
                <w:rFonts w:ascii="Arial" w:cs="Arial" w:eastAsia="Arial" w:hAnsi="Arial"/>
                <w:sz w:val="18"/>
                <w:szCs w:val="18"/>
                <w:color w:val="auto"/>
              </w:rPr>
              <w:t>Corporate unallocated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rPr>
              <w:t>(22.9)</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22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4"/>
                <w:szCs w:val="24"/>
                <w:color w:val="auto"/>
              </w:rPr>
            </w:pPr>
          </w:p>
        </w:tc>
        <w:tc>
          <w:tcPr>
            <w:tcW w:w="74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11%</w:t>
            </w:r>
          </w:p>
        </w:tc>
        <w:tc>
          <w:tcPr>
            <w:tcW w:w="160" w:type="dxa"/>
            <w:vAlign w:val="bottom"/>
          </w:tcPr>
          <w:p>
            <w:pPr>
              <w:spacing w:after="0"/>
              <w:rPr>
                <w:sz w:val="24"/>
                <w:szCs w:val="24"/>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580" w:type="dxa"/>
            <w:vAlign w:val="bottom"/>
          </w:tcPr>
          <w:p>
            <w:pPr>
              <w:jc w:val="center"/>
              <w:ind w:left="132"/>
              <w:spacing w:after="0"/>
              <w:rPr>
                <w:sz w:val="20"/>
                <w:szCs w:val="20"/>
                <w:color w:val="auto"/>
              </w:rPr>
            </w:pPr>
            <w:r>
              <w:rPr>
                <w:rFonts w:ascii="Arial" w:cs="Arial" w:eastAsia="Arial" w:hAnsi="Arial"/>
                <w:sz w:val="18"/>
                <w:szCs w:val="18"/>
                <w:color w:val="auto"/>
                <w:w w:val="92"/>
              </w:rPr>
              <w:t>8%</w:t>
            </w:r>
          </w:p>
        </w:tc>
        <w:tc>
          <w:tcPr>
            <w:tcW w:w="2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4"/>
                <w:szCs w:val="24"/>
                <w:color w:val="auto"/>
              </w:rPr>
            </w:pPr>
          </w:p>
        </w:tc>
        <w:tc>
          <w:tcPr>
            <w:tcW w:w="580" w:type="dxa"/>
            <w:vAlign w:val="bottom"/>
          </w:tcPr>
          <w:p>
            <w:pPr>
              <w:jc w:val="center"/>
              <w:ind w:left="92"/>
              <w:spacing w:after="0"/>
              <w:rPr>
                <w:sz w:val="20"/>
                <w:szCs w:val="20"/>
                <w:color w:val="auto"/>
              </w:rPr>
            </w:pPr>
            <w:r>
              <w:rPr>
                <w:rFonts w:ascii="Arial" w:cs="Arial" w:eastAsia="Arial" w:hAnsi="Arial"/>
                <w:sz w:val="18"/>
                <w:szCs w:val="18"/>
                <w:color w:val="auto"/>
                <w:w w:val="88"/>
              </w:rPr>
              <w:t>11%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4"/>
              </w:rPr>
              <w:t>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278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4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12"/>
        </w:trPr>
        <w:tc>
          <w:tcPr>
            <w:tcW w:w="6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01"/>
        </w:trPr>
        <w:tc>
          <w:tcPr>
            <w:tcW w:w="62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Unit Shipments by Segment</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12"/>
              <w:spacing w:after="0" w:line="201"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w w:val="74"/>
              </w:rPr>
              <w:t>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Meter Data Collection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AMR standalone modules</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1,125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2,075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Licensed AMR (other vendors’ meters)</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125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Electricity Metering</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Total meters</w:t>
            </w:r>
          </w:p>
        </w:tc>
        <w:tc>
          <w:tcPr>
            <w:tcW w:w="1080" w:type="dxa"/>
            <w:vAlign w:val="bottom"/>
          </w:tcPr>
          <w:p>
            <w:pPr>
              <w:jc w:val="right"/>
              <w:spacing w:after="0"/>
              <w:rPr>
                <w:sz w:val="20"/>
                <w:szCs w:val="20"/>
                <w:color w:val="auto"/>
              </w:rPr>
            </w:pPr>
            <w:r>
              <w:rPr>
                <w:rFonts w:ascii="Arial" w:cs="Arial" w:eastAsia="Arial" w:hAnsi="Arial"/>
                <w:sz w:val="18"/>
                <w:szCs w:val="18"/>
                <w:color w:val="auto"/>
              </w:rPr>
              <w:t>1,850</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1,125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3,575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With Itron AMR</w:t>
            </w: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With other AMR</w:t>
            </w: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225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r>
      <w:tr>
        <w:trPr>
          <w:trHeight w:val="400"/>
        </w:trPr>
        <w:tc>
          <w:tcPr>
            <w:tcW w:w="6220" w:type="dxa"/>
            <w:vAlign w:val="bottom"/>
          </w:tcPr>
          <w:p>
            <w:pPr>
              <w:ind w:left="440"/>
              <w:spacing w:after="0"/>
              <w:rPr>
                <w:sz w:val="20"/>
                <w:szCs w:val="20"/>
                <w:color w:val="auto"/>
              </w:rPr>
            </w:pPr>
            <w:r>
              <w:rPr>
                <w:rFonts w:ascii="Arial" w:cs="Arial" w:eastAsia="Arial" w:hAnsi="Arial"/>
                <w:sz w:val="18"/>
                <w:szCs w:val="18"/>
                <w:color w:val="auto"/>
              </w:rPr>
              <w:t xml:space="preserve">Total units with Itron AMR </w:t>
            </w:r>
            <w:r>
              <w:rPr>
                <w:rFonts w:ascii="Arial" w:cs="Arial" w:eastAsia="Arial" w:hAnsi="Arial"/>
                <w:sz w:val="22"/>
                <w:szCs w:val="22"/>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2,350</w:t>
            </w:r>
          </w:p>
        </w:tc>
        <w:tc>
          <w:tcPr>
            <w:tcW w:w="1700" w:type="dxa"/>
            <w:vAlign w:val="bottom"/>
            <w:gridSpan w:val="3"/>
          </w:tcPr>
          <w:p>
            <w:pPr>
              <w:jc w:val="right"/>
              <w:ind w:right="218"/>
              <w:spacing w:after="0"/>
              <w:rPr>
                <w:sz w:val="20"/>
                <w:szCs w:val="20"/>
                <w:color w:val="auto"/>
              </w:rPr>
            </w:pPr>
            <w:r>
              <w:rPr>
                <w:rFonts w:ascii="Arial" w:cs="Arial" w:eastAsia="Arial" w:hAnsi="Arial"/>
                <w:sz w:val="18"/>
                <w:szCs w:val="18"/>
                <w:color w:val="auto"/>
              </w:rPr>
              <w:t>1,675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4,750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409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Itron AMR standalone modules, Itron meters with Itron AMR and other vendors’ electronic electricity meters with Itron AMR.</w:t>
      </w:r>
    </w:p>
    <w:p>
      <w:pPr>
        <w:spacing w:after="0" w:line="15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w:t>
      </w:r>
      <w:r>
        <w:rPr>
          <w:rFonts w:ascii="Arial" w:cs="Arial" w:eastAsia="Arial" w:hAnsi="Arial"/>
          <w:sz w:val="16"/>
          <w:szCs w:val="16"/>
          <w:i w:val="1"/>
          <w:iCs w:val="1"/>
          <w:color w:val="auto"/>
        </w:rPr>
        <w:t xml:space="preserve">Meter Data Collection: </w:t>
      </w:r>
      <w:r>
        <w:rPr>
          <w:rFonts w:ascii="Arial" w:cs="Arial" w:eastAsia="Arial" w:hAnsi="Arial"/>
          <w:sz w:val="16"/>
          <w:szCs w:val="16"/>
          <w:color w:val="auto"/>
        </w:rPr>
        <w:t>Meter Data Collection revenues decreased $2.1 million, or 3%, in the second quarter of 2006, compared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2005. Shipments of standalone gas AMR modules increased, offset primarily by lower shipments of standalone electric AMR modules. Meter Data Collection revenues increased $10.0 million, or 9%, for the six months ended June 30, 2006, compared with the same period in 2005, due to increased shipments of standalone gas AMR modules, offset primarily by fewer shipments of standalone electric AMR modules. Standalone electric AMR module shipments have declined in 2006 due to increasing sales of electricity meters with embedded AMR.</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margins decreased two percentage points in the second quarter of 2006, compared with the second quarter of 2005, but increased one percentage point on a year-to-date basis in 2006. Gross margins can fluctuate from period to period primarily due to changes in the mix of product sold, manufacturing volumes and provisions for product warranties.</w:t>
      </w:r>
    </w:p>
    <w:p>
      <w:pPr>
        <w:spacing w:after="0" w:line="14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One customer, Piedmont Natural Gas, accounted for 16% and 14% of Meter Data Collection segment revenues for the three and six months ended June 30, 2006, respectively. There were no customers that represented more than 10% of Meter Data Collection revenues for the three and six months ended June 30, 2005.</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Hardware Solutions</w:t>
      </w:r>
      <w:r>
        <w:rPr>
          <w:rFonts w:ascii="Arial" w:cs="Arial" w:eastAsia="Arial" w:hAnsi="Arial"/>
          <w:sz w:val="18"/>
          <w:szCs w:val="18"/>
          <w:color w:val="auto"/>
        </w:rPr>
        <w:t>—</w:t>
      </w:r>
      <w:r>
        <w:rPr>
          <w:rFonts w:ascii="Arial" w:cs="Arial" w:eastAsia="Arial" w:hAnsi="Arial"/>
          <w:sz w:val="18"/>
          <w:szCs w:val="18"/>
          <w:i w:val="1"/>
          <w:iCs w:val="1"/>
          <w:color w:val="auto"/>
        </w:rPr>
        <w:t>Electricity Metering</w:t>
      </w:r>
      <w:r>
        <w:rPr>
          <w:rFonts w:ascii="Arial" w:cs="Arial" w:eastAsia="Arial" w:hAnsi="Arial"/>
          <w:sz w:val="18"/>
          <w:szCs w:val="18"/>
          <w:color w:val="auto"/>
        </w:rPr>
        <w:t>: Electricity Metering revenues increased $27.8 million and $54.1 million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compared with the same periods in 2005, due to a 64 % and 63% increase in the number of meters shipped in each period, respectively. The growth in meter shipments in 2006 was primarily related to shipments under a contract with Progress Energy for 2.7 million residential meters with AMR, which was signed in the third quarter of 2005. Approximately 70% of meters shipped in each period in 2006 were equipped with our AMR technology compared with 38% and 36%, respectively, for the three and six month periods in 2005.</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Electricity Metering gross margin was 42% for the second quarter of 2006, compared with 41% in 2005. Year-to-date, Electricity Metering gross margin was 41% in 2006 compared with 43% in 2005. Gross margin fluctuations from period to period reflect changes in the mix of meters sold, such as residential vs. C&amp;I, AMR meters vs. non-AMR meters, changes in manufacturing volumes and changes in the amount of installation and other related services. In particular, for the six months ended 2006, lower gross margin reflects a higher proportion of installation revenues compared with meter sales.</w:t>
      </w:r>
    </w:p>
    <w:p>
      <w:pPr>
        <w:spacing w:after="0" w:line="1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Progress Energy represented 36% and 39% of Electricity Metering revenues for the three and six month periods ended June 30, 2006. There were no customers that represented more than 10% of Electricity Metering revenues in the three and six months ended June 30, 2005.</w:t>
      </w:r>
    </w:p>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Hardware Solutions—Total operating expenses: </w:t>
      </w:r>
      <w:r>
        <w:rPr>
          <w:rFonts w:ascii="Arial" w:cs="Arial" w:eastAsia="Arial" w:hAnsi="Arial"/>
          <w:sz w:val="16"/>
          <w:szCs w:val="16"/>
          <w:color w:val="auto"/>
        </w:rPr>
        <w:t>Total Hardware Solutions operating expenses were $19.4 million and $37.0 million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2006, compared with $15.8 million and $31.2 million for the same periods in 2005. In the 2006 periods, these costs were 13% of total Hardware Solutions revenues compared with 13% and 14% of total Hardware Solutions revenues in the three and six month periods in 2005.</w:t>
      </w:r>
    </w:p>
    <w:p>
      <w:pPr>
        <w:spacing w:after="0" w:line="10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Revenues increased $3.0 million and $3.7 million for the three and six months ended June 30, 2006, compared with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due to increases in software license sales for a broad mix of products. Gross margins for the three and six months ended June 30, 2006 increased four and two percentage points, respectively, compared with the same periods in 2005, due to a proportionately higher content of revenues from software licenses. Software licenses were 28% and 27% of segment revenues for the three and six months ended June 30, 2006, respectively, compared with 21% in each of the same periods in 2005.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customers that represented more than 10% of Software Solutions revenues for the three and six months ended June 30, 2006 and 2005.</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Gross profit for Software Solutions is not yet sufficient to cover current operating expenses due primarily to significant investments in product development. In 2006, operating expenses include approximately $800,000 in expenses related to the relocation of operations from Vancouver, B.C. to our headquarters in Spokane and approximately $600,000 associated with stock-based compensation. Stock-based compensation was approximately $1.2 million for the six months ended June 30, 2006. There was no stock-based compensation expense in 2005.</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 segment are classified as “Corporate unallocated.” The largest single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is amortization of intangible assets, which was $7.6 million and $14.9 million in the three and six months ended June 30, 2006 compared with $9.7 million and $19.4 million for the same periods in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Order Bookings and Backlog</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Bookings for a reported period represent contracts and purchase orders received during the specified period. Total backlog represents committed but undelivered contracts and purchase orders at period end. Twelve-month backlog represents the portion of total backlog that we estimate will be earned over the next twelve months. Bookings and backlog exclude maintenance-related activity. Backlog is not a complete measure of our future business as we have a significant portion of our business that is book-and-ship. Bookings and backlog can fluctuate significantly due to the timing of large project awards. In addition, annual or multi-year contracts are subject to rescheduling and cancellation by customers due to the long-term nature of the contracts. Beginning total backlog, plus bookings, less sales revenues will not always equal ending total backlog due to miscellaneous contract adjustments and other factors.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on new orders during the quarter and backlog at quarter-end is summarized as follows: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Quarter Ended</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89"/>
              </w:rPr>
              <w:t>12-Month</w:t>
            </w:r>
          </w:p>
        </w:tc>
        <w:tc>
          <w:tcPr>
            <w:tcW w:w="0" w:type="dxa"/>
            <w:vAlign w:val="bottom"/>
          </w:tcPr>
          <w:p>
            <w:pPr>
              <w:spacing w:after="0"/>
              <w:rPr>
                <w:sz w:val="1"/>
                <w:szCs w:val="1"/>
                <w:color w:val="auto"/>
              </w:rPr>
            </w:pPr>
          </w:p>
        </w:tc>
      </w:tr>
      <w:tr>
        <w:trPr>
          <w:trHeight w:val="224"/>
        </w:trPr>
        <w:tc>
          <w:tcPr>
            <w:tcW w:w="3060" w:type="dxa"/>
            <w:vAlign w:val="bottom"/>
            <w:tcBorders>
              <w:bottom w:val="single" w:sz="8" w:color="auto"/>
            </w:tcBorders>
            <w:vMerge w:val="continue"/>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Bookings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Backlog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Backlog</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June 30, 2006</w:t>
            </w:r>
          </w:p>
        </w:tc>
        <w:tc>
          <w:tcPr>
            <w:tcW w:w="3300" w:type="dxa"/>
            <w:vAlign w:val="bottom"/>
            <w:gridSpan w:val="3"/>
          </w:tcPr>
          <w:p>
            <w:pPr>
              <w:ind w:left="3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March 31, 2006</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December 31, 2005</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September 30, 2005</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June 30, 2005</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March 31, 2005</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December 31, 2004</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September 30, 2004</w:t>
            </w:r>
          </w:p>
        </w:tc>
        <w:tc>
          <w:tcPr>
            <w:tcW w:w="2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65"/>
        </w:trPr>
        <w:tc>
          <w:tcPr>
            <w:tcW w:w="3060" w:type="dxa"/>
            <w:vAlign w:val="bottom"/>
          </w:tcPr>
          <w:p>
            <w:pPr>
              <w:spacing w:after="0"/>
              <w:rPr>
                <w:sz w:val="24"/>
                <w:szCs w:val="24"/>
                <w:color w:val="auto"/>
              </w:rPr>
            </w:pPr>
          </w:p>
        </w:tc>
        <w:tc>
          <w:tcPr>
            <w:tcW w:w="2580" w:type="dxa"/>
            <w:vAlign w:val="bottom"/>
          </w:tcPr>
          <w:p>
            <w:pPr>
              <w:jc w:val="right"/>
              <w:ind w:right="672"/>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9"/>
          </w:tcPr>
          <w:p>
            <w:pPr>
              <w:jc w:val="right"/>
              <w:ind w:right="392"/>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center"/>
              <w:ind w:right="60"/>
              <w:spacing w:after="0" w:line="197" w:lineRule="exact"/>
              <w:rPr>
                <w:sz w:val="20"/>
                <w:szCs w:val="20"/>
                <w:color w:val="auto"/>
              </w:rPr>
            </w:pPr>
            <w:r>
              <w:rPr>
                <w:rFonts w:ascii="Arial" w:cs="Arial" w:eastAsia="Arial" w:hAnsi="Arial"/>
                <w:sz w:val="18"/>
                <w:szCs w:val="18"/>
                <w:b w:val="1"/>
                <w:bCs w:val="1"/>
                <w:color w:val="auto"/>
                <w:w w:val="94"/>
              </w:rPr>
              <w:t>% of</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72"/>
              <w:spacing w:after="0" w:line="197"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72"/>
              <w:spacing w:after="0" w:line="197" w:lineRule="exact"/>
              <w:rPr>
                <w:sz w:val="20"/>
                <w:szCs w:val="20"/>
                <w:color w:val="auto"/>
              </w:rPr>
            </w:pPr>
            <w:r>
              <w:rPr>
                <w:rFonts w:ascii="Arial" w:cs="Arial" w:eastAsia="Arial" w:hAnsi="Arial"/>
                <w:sz w:val="18"/>
                <w:szCs w:val="18"/>
                <w:b w:val="1"/>
                <w:bCs w:val="1"/>
                <w:color w:val="auto"/>
              </w:rPr>
              <w:t>% of</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72"/>
              <w:spacing w:after="0" w:line="197" w:lineRule="exact"/>
              <w:rPr>
                <w:sz w:val="20"/>
                <w:szCs w:val="20"/>
                <w:color w:val="auto"/>
              </w:rPr>
            </w:pPr>
            <w:r>
              <w:rPr>
                <w:rFonts w:ascii="Arial" w:cs="Arial" w:eastAsia="Arial" w:hAnsi="Arial"/>
                <w:sz w:val="18"/>
                <w:szCs w:val="18"/>
                <w:b w:val="1"/>
                <w:bCs w:val="1"/>
                <w:color w:val="auto"/>
              </w:rPr>
              <w: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Revenue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5"/>
              </w:rPr>
              <w:t>Revenue</w:t>
            </w:r>
          </w:p>
        </w:tc>
        <w:tc>
          <w:tcPr>
            <w:tcW w:w="0" w:type="dxa"/>
            <w:vAlign w:val="bottom"/>
          </w:tcPr>
          <w:p>
            <w:pPr>
              <w:spacing w:after="0"/>
              <w:rPr>
                <w:sz w:val="1"/>
                <w:szCs w:val="1"/>
                <w:color w:val="auto"/>
              </w:rPr>
            </w:pPr>
          </w:p>
        </w:tc>
      </w:tr>
      <w:tr>
        <w:trPr>
          <w:trHeight w:val="224"/>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Operating Expenses</w:t>
            </w: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(millions)</w:t>
            </w: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(millions)</w:t>
            </w: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(millions)</w:t>
            </w: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(millions)</w:t>
            </w: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Amortization of intangibles assets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Restructurings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91.7</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and six months ended June 30, 2006, operating expenses included approximately $1.8 million and $3.6 million associated with our January 1, 2006 adoption of SFAS 123(R), which requires expensing of stock-based compensation. While total operating expenses increased, they decreased as a percentage of revenue due to higher sales volumes.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8"/>
        </w:trPr>
        <w:tc>
          <w:tcPr>
            <w:tcW w:w="5960" w:type="dxa"/>
            <w:vAlign w:val="bottom"/>
          </w:tcPr>
          <w:p>
            <w:pPr>
              <w:ind w:left="20"/>
              <w:spacing w:after="0"/>
              <w:rPr>
                <w:sz w:val="20"/>
                <w:szCs w:val="20"/>
                <w:color w:val="auto"/>
              </w:rPr>
            </w:pPr>
            <w:r>
              <w:rPr>
                <w:rFonts w:ascii="Arial" w:cs="Arial" w:eastAsia="Arial" w:hAnsi="Arial"/>
                <w:sz w:val="18"/>
                <w:szCs w:val="18"/>
                <w:color w:val="auto"/>
              </w:rPr>
              <w:t>The following table shows the components of other income (expense).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right"/>
              <w:ind w:right="318"/>
              <w:spacing w:after="0"/>
              <w:rPr>
                <w:sz w:val="20"/>
                <w:szCs w:val="20"/>
                <w:color w:val="auto"/>
              </w:rPr>
            </w:pPr>
            <w:r>
              <w:rPr>
                <w:rFonts w:ascii="Arial" w:cs="Arial" w:eastAsia="Arial" w:hAnsi="Arial"/>
                <w:sz w:val="18"/>
                <w:szCs w:val="18"/>
                <w:b w:val="1"/>
                <w:bCs w:val="1"/>
                <w:color w:val="auto"/>
                <w:w w:val="89"/>
              </w:rPr>
              <w:t>Three Months Ended June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12"/>
        </w:trPr>
        <w:tc>
          <w:tcPr>
            <w:tcW w:w="59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01"/>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12"/>
              <w:spacing w:after="0" w:line="201" w:lineRule="exact"/>
              <w:rPr>
                <w:sz w:val="20"/>
                <w:szCs w:val="20"/>
                <w:color w:val="auto"/>
              </w:rPr>
            </w:pPr>
            <w:r>
              <w:rPr>
                <w:rFonts w:ascii="Arial" w:cs="Arial" w:eastAsia="Arial" w:hAnsi="Arial"/>
                <w:sz w:val="18"/>
                <w:szCs w:val="18"/>
                <w:b w:val="1"/>
                <w:bCs w:val="1"/>
                <w:color w:val="auto"/>
              </w:rPr>
              <w:t>(in</w:t>
            </w:r>
          </w:p>
        </w:tc>
        <w:tc>
          <w:tcPr>
            <w:tcW w:w="14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w w:val="76"/>
              </w:rPr>
              <w:t>thousands)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18"/>
              <w:spacing w:after="0"/>
              <w:rPr>
                <w:sz w:val="20"/>
                <w:szCs w:val="20"/>
                <w:color w:val="auto"/>
              </w:rPr>
            </w:pPr>
            <w:r>
              <w:rPr>
                <w:rFonts w:ascii="Arial" w:cs="Arial" w:eastAsia="Arial" w:hAnsi="Arial"/>
                <w:sz w:val="18"/>
                <w:szCs w:val="18"/>
                <w:color w:val="auto"/>
              </w:rPr>
              <w:t>(4,047)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Amortization of prepaid debt fees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18"/>
              <w:spacing w:after="0"/>
              <w:rPr>
                <w:sz w:val="20"/>
                <w:szCs w:val="20"/>
                <w:color w:val="auto"/>
              </w:rPr>
            </w:pPr>
            <w:r>
              <w:rPr>
                <w:rFonts w:ascii="Arial" w:cs="Arial" w:eastAsia="Arial" w:hAnsi="Arial"/>
                <w:sz w:val="18"/>
                <w:szCs w:val="18"/>
                <w:color w:val="auto"/>
              </w:rPr>
              <w:t>(2,338)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(3,048)</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5960" w:type="dxa"/>
            <w:vAlign w:val="bottom"/>
          </w:tcPr>
          <w:p>
            <w:pPr>
              <w:ind w:left="44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18"/>
              <w:spacing w:after="0"/>
              <w:rPr>
                <w:sz w:val="20"/>
                <w:szCs w:val="20"/>
                <w:color w:val="auto"/>
              </w:rPr>
            </w:pPr>
            <w:r>
              <w:rPr>
                <w:rFonts w:ascii="Arial" w:cs="Arial" w:eastAsia="Arial" w:hAnsi="Arial"/>
                <w:sz w:val="18"/>
                <w:szCs w:val="18"/>
                <w:color w:val="auto"/>
              </w:rPr>
              <w:t>(5,837)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(8,298)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(10,299)</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Interest income consists primarily of interest earned from operating cash balances. Our average operating cash balances were $38.9 million and $41.8 million for the three and six months ended June 30, 2006 compared with $15.7 million and $14.9 million for the same periods in 2005, respectively.</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reduction in interest expense is the result of lower outstanding borrowings and capitalized interest. Average outstanding borrowings were $124.6 million and $139.6 million for the three and six months ended June 30, 2006, compared with $217.2 million and $243.3 million for the same period in 2005, respectively. In the second quarter of 2006, we capitalized approximately $400,000 of interest costs related to qualified expenditures for improvements to our new corporate headquarters facility, which will be substantially complete as of September 30, 2006. The amount capitalized is based on interest rates in place during the construction period and we expect to capitalize a similar amount in the third quarter. Amortization of prepaid debt fees has fluctuated as a result of voluntary prepayments of our senior secured term loan.</w:t>
      </w:r>
    </w:p>
    <w:p>
      <w:pPr>
        <w:spacing w:after="0" w:line="14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Other income (expense) consists primarily of foreign currency gains and losses, which can vary from period to period, as well as other non-operating events or transactions. During the six months ended June 30, 2006, other income (expense) also included a $242,000 loss on the sale of our investment in Servatron, which was recorded in the first quarter. During the second quarter of 2005, other income (expense) included a state tax refund of $500,000.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effective income tax rates differ from the federal statutory rate of 35%, and can vary from period to period, due to fluctuations in operating results, new or revised tax legislation and accounting pronouncements, research credits and state income taxes.</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estimate that our 2006 annual effective income tax rate will be approximately 42%. Our effective income tax rate was 33% and 39%, respectively, for the three and six months ended June 30, 2006. The rate for the three and six months ended June 30, 2006 is lower than the estimated annual rate due to tax benefits for certain state and Canadian credits and the realization of deferred tax assets related to a foreign subsidiary. Both the six month and estimated 2006 annual effective income tax rates are higher than the statutory rate due to state income taxes and the implementation of SFAS 123(R).</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2005 annual effective income tax rate of 34% was lower than the statutory tax rate due to the benefit of research credits. In the second quarter of 2005, we completed a research credit study for the years 1997 – 2004, recognizing a $5.9 million net tax credit as an offset to the provision for income taxes. Due primarily to this credit, we had a net tax benefit for the three and six months ended June 30, 2005.</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estimated 2006 annual effective income tax rate does not include a federal research credit, as the credit expired on December 31, 2005. Congress is currently discussing extension and/or revision of the research credit. As of June 30, 2006, the research credit had not been extended or reinstated by Congress. If the research credit is reinstated by Congress, our effective annual income tax rate for 2006 is expected to be lower than the current estimated rate of 42%.</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matter of course, we are subject to audit by various taxing authorities. From time to time, these audits may result in proposed assessments where the ultimate resolution may result in additional taxes. We regularly assess our position with regard to individual tax exposures and we believe that our tax positions comply with applicable tax law and that we have adequately provided for these matters.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8"/>
        </w:trPr>
        <w:tc>
          <w:tcPr>
            <w:tcW w:w="7740" w:type="dxa"/>
            <w:vAlign w:val="bottom"/>
          </w:tcPr>
          <w:p>
            <w:pPr>
              <w:spacing w:after="0"/>
              <w:rPr>
                <w:sz w:val="20"/>
                <w:szCs w:val="20"/>
                <w:color w:val="auto"/>
              </w:rPr>
            </w:pPr>
            <w:r>
              <w:rPr>
                <w:rFonts w:ascii="Arial" w:cs="Arial" w:eastAsia="Arial" w:hAnsi="Arial"/>
                <w:sz w:val="18"/>
                <w:szCs w:val="18"/>
                <w:i w:val="1"/>
                <w:iCs w:val="1"/>
                <w:color w:val="auto"/>
              </w:rPr>
              <w:t>Cash Flow Information: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0"/>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1"/>
        </w:trPr>
        <w:tc>
          <w:tcPr>
            <w:tcW w:w="77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8"/>
                <w:szCs w:val="18"/>
                <w:color w:val="auto"/>
              </w:rPr>
            </w:pPr>
          </w:p>
        </w:tc>
      </w:tr>
      <w:tr>
        <w:trPr>
          <w:trHeight w:val="20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(in millions)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17"/>
        </w:trPr>
        <w:tc>
          <w:tcPr>
            <w:tcW w:w="7740" w:type="dxa"/>
            <w:vAlign w:val="bottom"/>
          </w:tcPr>
          <w:p>
            <w:pPr>
              <w:ind w:left="9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8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4"/>
                <w:szCs w:val="24"/>
                <w:color w:val="auto"/>
              </w:rPr>
            </w:pPr>
          </w:p>
        </w:tc>
      </w:tr>
      <w:tr>
        <w:trPr>
          <w:trHeight w:val="216"/>
        </w:trPr>
        <w:tc>
          <w:tcPr>
            <w:tcW w:w="7740" w:type="dxa"/>
            <w:vAlign w:val="bottom"/>
          </w:tcPr>
          <w:p>
            <w:pPr>
              <w:ind w:left="92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740" w:type="dxa"/>
            <w:vAlign w:val="bottom"/>
          </w:tcPr>
          <w:p>
            <w:pPr>
              <w:ind w:left="9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7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7740" w:type="dxa"/>
            <w:vAlign w:val="bottom"/>
          </w:tcPr>
          <w:p>
            <w:pPr>
              <w:ind w:left="920"/>
              <w:spacing w:after="0"/>
              <w:rPr>
                <w:sz w:val="20"/>
                <w:szCs w:val="20"/>
                <w:color w:val="auto"/>
              </w:rPr>
            </w:pPr>
            <w:r>
              <w:rPr>
                <w:rFonts w:ascii="Arial" w:cs="Arial" w:eastAsia="Arial" w:hAnsi="Arial"/>
                <w:sz w:val="18"/>
                <w:szCs w:val="18"/>
                <w:color w:val="auto"/>
              </w:rPr>
              <w:t>Increase in cash and cash equivalents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8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$20.2 million in the first half of 2006, compared with the same period in 2005.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generated an additional $89.8 million in cash, which was offset by an increase of $64.8 million in cash paid to suppliers and employees. In addition, we paid $3.6 million less in net interest and taxes. In 2006 excess tax benefits from stock-based compensation associated with our January 1, 2006 adoption of SFAS 123(R) are reflected in financing activities.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 the first half of 2006, property, plant and equipment purchases were $14.4 million, compared with $5.3 million in the first half of 2005.</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2006 is primarily related to capital improvements to our new corporate headquarters and an ERP (Enterprise Resource Planning) system upgrade. Also, in 2005, proceeds of $2.6 million were received from the sale of our manufacturing facility in Quebec, Canada. Investing activities in the first half of 2006 also included $7.8 million used for the Quantum Consulting, Inc. (Quantum) and ELO Sistemas e Tecnologia Ltda. (ELO) acquisitions with no similar activity in the first half of 2005.</w:t>
      </w:r>
    </w:p>
    <w:p>
      <w:pPr>
        <w:spacing w:after="0" w:line="14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i w:val="1"/>
          <w:iCs w:val="1"/>
          <w:color w:val="auto"/>
        </w:rPr>
        <w:t>Financing activities:</w:t>
      </w:r>
      <w:r>
        <w:rPr>
          <w:sz w:val="20"/>
          <w:szCs w:val="20"/>
          <w:color w:val="auto"/>
        </w:rPr>
        <w:tab/>
      </w:r>
      <w:r>
        <w:rPr>
          <w:rFonts w:ascii="Arial" w:cs="Arial" w:eastAsia="Arial" w:hAnsi="Arial"/>
          <w:sz w:val="16"/>
          <w:szCs w:val="16"/>
          <w:color w:val="auto"/>
        </w:rPr>
        <w:t>During the first half of 2006, we paid off various debt balances from December 31, 2005, including $24.7 million on our term loan, $14.8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million on our real estate term note and $3.2 million of project financing debt. In the first half of 2005 we made $107.8 million in payments on the term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$59.8 million of which were from net proceeds from an equity offering in May 2005. Cash generated from the exercise of stock-based awards was $11.3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2006, compared with $12.5 million for the same period in 2005. Financing activities in the first half of 2006 included $8.4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excess tax benefits from stock-based compensation associated with our January 1, 2006 adoption of SFAS 123(R).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June 30, 2006 and December 31, 2005, except for operating lease commitments.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our stock. At June 30, 2006, we had $46.6 million in cash and cash equivalents. Cash equivalents are invested in investments rated A or better by Standard &amp; Poor’s or Moody’s. We are exposed to changes in interest rates on cash equivalents.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and an outsourcing project finance subsidiary, all of which are wholly owned.</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June 30, 2006, there were no borrowings outstanding under the revolver and $22.5 million was utilized by outstanding standby letters of credit resulting in $32.5 million available for additional borrowings. Revolver borrowings can be made at any time through June 2009, at which time any borrowings outstanding must be repaid. We were in compliance with all of our debt covenants at June 30, 2006 and December 31, 2005. Our debt covenants require us to maintain certain consolidated leverage and coverage ratios on a quarterly basis, as well as customary covenants that place restrictions on the incurrence of debt, the payment of dividends, certain investments and mergers.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the revolver vary depending on our consolidated leverage ratio and are based on the London InterBank Offering Rate (LIBOR) plus 2.0% to</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3.0%, or Prime plus 1.0% to 2.0%,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Prepaid debt fees for all our outstanding borrowings are amortized over the respective terms using the effective interest method. Unamortized prepaid debt fees were approximately $5.8 million and $8.9 million at June 30, 2006 and December 31, 2005, respectively.</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senior subordinated notes consist of $125 million aggregate principal amount of 7.75% notes, issued in May 2004 and due in 2012. The notes were discounted to a price of 99.265 to yield 7.875%, with a balance of $124.3 million at June 30, 2006. The notes are registered with the SEC and are generally transferable. The discount on the notes is accreted and the prepaid debt fees are amortized over the life of the notes. Fixed interest payments of approximately $4.8 million are required every six months, in May and November. The notes are subordinated to our credit facility and are guaranteed by all of our operating subsidiaries, except for our foreign subsidiaries and an outsourcing project finance subsidiary, all of which are wholly owned. The notes contain covenants, which place restrictions on the incurrence of debt, the payment of dividends, certain investments and mergers. Some or all of the notes may be redeemed at our option at any time on or after May 15, 2008, at their principal amount plus a specified premium. At any time prior to May 15, 2007, we may, at our option, redeem up to 35% of the notes, at 107.75%, with the proceeds of certain sales of our common stock.</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real estate term note we signed on December 31, 2005 for $14.8 million was repaid in April 2006. The project financing note, which had a balance of $3.2 million at December 31, 2005, was repaid in April 2006.</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$2.7 million and $3.0 million at June 30, 2006 and December 31, 2005,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employee bonus and profit sharing plans, based on performance and financial targets. Actual award amounts are determined at the end of the year if the targets are met. As the bonuses are being earned during the year, we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 We accrued approximately $2.5 million and $2.2 million under these plans for the three months ended June 30, 2006 and 2005, and $5.0 million and $3.5 million for the six months ended June 30, 2006 and 2005,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net deferred tax assets consist of accumulated net operating losses and tax credits, some of which are limited by Internal Revenue Code Sections 382 and 383 (Section 382 and Section 383). The limited deferred tax assets resulted primarily from acquisitions. We expect to utilize tax loss carryforwards and available tax credits to offset taxes otherwise due on regular taxable income in upcoming years. During 2006, we expect to pay approximately $2.7 million in cash for federal alternative minimum tax, international taxes and various state tax obligations.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Working capital at June 30, 2006 was $136.1 million compared with $116.1 million at December 31, 2005. A portion of the increase of $20.0 million in working capital resulted from an $8.5 million reclassification of our Spokane Valley headquarters’ facility to assets held for sale within other current assets at June 30, 2006.</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to Part 1 of our Annual Report on Form 10-K for the fiscal year ended December 31, 2005, which was filed with the SEC on February 24, 2006, as well as in our “Quantitative and Qualitative Disclosures About Market Risk” within Item 3 of Part 1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June 30, 2006, there were no material contingencies requiring accrual or disclosure.</w:t>
      </w:r>
    </w:p>
    <w:p>
      <w:pPr>
        <w:spacing w:after="0" w:line="144"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We generally provide within our sales contracts an indemnification related to the infringement of any patent, copyright, trademark or other intellectual property right on software or equipment,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 of 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w:t>
      </w:r>
    </w:p>
    <w:p>
      <w:pPr>
        <w:spacing w:after="0" w:line="12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In the absence of fair value of a delivered element, we allocate revenue first to the fair value of the undelivered elements and the residual revenue to the delivered elements.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Under outsourcing arrangements, revenue is recognized as services are provided. Hardware and software post-sale maintenance support fees are recognized ratably over the performance period. Certain consulting services are recognized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services are performed. Revenue can vary significantly from period to period based on the timing of orders and the application of revenue recognition criteria. Use of the percentage of 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have not been met. The majority of unearned revenue relates to annual billing terms for post-sale maintenance and support agreements.</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industry standard warranties on our hardware products and large application software products. Standard warranty accruals represent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cost of projected warranty claims and are based on historical and projected product performance trends, business volume assumptions, supplier information and other business and economic projections. Thorough testing of new products in the development stage helps identify and correct potential warranty issues prior to manufacturing. Continuing quality control efforts during manufacturing limit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Items are removed from inventory using the first-in, first-out method. Inventories include raw materials, sub-assemblies and finished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result from our acquisitions. We use estimates in determining the value of goodwill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forecast discounted future cash flows at the reporting unit level, which consists of our segments,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financial condition and cash flows. Intangible assets with a finite life are amortized based on estimated discounted cash flows over estimated useful lives and are tested for impairment when events or changes in circumstances indicate the carrying value may not be recoverable.</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As of January 1, 2006, we adopted SFAS 123(R), which requires us to measure compensation cost for stock-based awards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recognize compensation over the service period for awards expected to vest. The estimation of stock awards that will ultimately vest requires us to approximate the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 We use the Black-Scholes option-pricing model, which requires the input of assumptions, including the estimated length of time employees will retain their vested stock options before exercising them (expected term) and the estimated volatility of the Company’s common stock price over the expected term.</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We estimate the expected realizable value of deferred tax assets. As of June 30, 2006, we have a valuation allowance of $1.1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our deferred tax assets relating to certain net operating losses and federal tax credits as we believe it is more likely than not that these assets will not be realized. We do not have a valuation allowance on any other deferred tax asset because we believe that the assets are more likely than not to be realized. While we have considered future taxable income and ongoing prudent and feasible tax planning strategies in assessing the appropriateness of a valuation allowance, in the event we were to determine that we would have a change in the realization of the net deferred tax asset in the future, an adjustment to the deferred tax asset or valuation allowance would be made.</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We have compensation plans that offer a range of award amounts for the achievement of various annual performance and financial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award amounts will be determined at the end of the year if the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and financial targets are met. As the bonuses are being earned during the year, we must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color w:val="auto"/>
        </w:rPr>
        <w:t xml:space="preserve">Legal Contingencies: </w:t>
      </w:r>
      <w:r>
        <w:rPr>
          <w:rFonts w:ascii="Arial" w:cs="Arial" w:eastAsia="Arial" w:hAnsi="Arial"/>
          <w:sz w:val="16"/>
          <w:szCs w:val="16"/>
          <w:color w:val="auto"/>
        </w:rPr>
        <w:t>We are subject to various legal proceedings and claims of which the outcomes are subject to significant uncertainty. Our policy is to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less than probable.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 xml:space="preserve">In February of 2006, the Financial Accounting Standards Board (FASB) issued SFAS 155, </w:t>
      </w:r>
      <w:r>
        <w:rPr>
          <w:rFonts w:ascii="Arial" w:cs="Arial" w:eastAsia="Arial" w:hAnsi="Arial"/>
          <w:sz w:val="15"/>
          <w:szCs w:val="15"/>
          <w:i w:val="1"/>
          <w:iCs w:val="1"/>
          <w:color w:val="auto"/>
        </w:rPr>
        <w:t>Accounting for Certain Hybrid Instruments—An Amendment of FASB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Statements 133 and 140 </w:t>
      </w:r>
      <w:r>
        <w:rPr>
          <w:rFonts w:ascii="Arial" w:cs="Arial" w:eastAsia="Arial" w:hAnsi="Arial"/>
          <w:sz w:val="15"/>
          <w:szCs w:val="15"/>
          <w:color w:val="auto"/>
        </w:rPr>
        <w:t>(SFAS 155). SFAS 155 amends SFAS 133 to allow financial instruments that have embedded derivatives to be accounted for as a whole,</w:t>
      </w:r>
      <w:r>
        <w:rPr>
          <w:rFonts w:ascii="Arial" w:cs="Arial" w:eastAsia="Arial" w:hAnsi="Arial"/>
          <w:sz w:val="15"/>
          <w:szCs w:val="15"/>
          <w:i w:val="1"/>
          <w:iCs w:val="1"/>
          <w:color w:val="auto"/>
        </w:rPr>
        <w:t xml:space="preserve"> </w:t>
      </w:r>
      <w:r>
        <w:rPr>
          <w:rFonts w:ascii="Arial" w:cs="Arial" w:eastAsia="Arial" w:hAnsi="Arial"/>
          <w:sz w:val="15"/>
          <w:szCs w:val="15"/>
          <w:color w:val="auto"/>
        </w:rPr>
        <w:t>if the holder elects to account for the whole instrument on a fair value basis, and provides additional guidance on the applicability of SFAS 133 and SFAS 140 to certain financial instruments and subordinated concentrations of credit risk. SFAS 155 is effective for all hybrid financial instruments acquired or issued by the company on or after January 1, 2007. The adoption of SFAS 155 is not expected to have a material impact on our financial position or results of operations.</w:t>
      </w:r>
    </w:p>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July 2006, the FASB issued Financial Interpretation 48 (FIN 48), </w:t>
      </w:r>
      <w:r>
        <w:rPr>
          <w:rFonts w:ascii="Arial" w:cs="Arial" w:eastAsia="Arial" w:hAnsi="Arial"/>
          <w:sz w:val="16"/>
          <w:szCs w:val="16"/>
          <w:i w:val="1"/>
          <w:iCs w:val="1"/>
          <w:color w:val="auto"/>
        </w:rPr>
        <w:t>Accounting for Uncertainty in Income Taxes – an interpretation of FASB 109</w:t>
      </w:r>
      <w:r>
        <w:rPr>
          <w:rFonts w:ascii="Arial" w:cs="Arial" w:eastAsia="Arial" w:hAnsi="Arial"/>
          <w:sz w:val="16"/>
          <w:szCs w:val="16"/>
          <w:color w:val="auto"/>
        </w:rPr>
        <w:t>, which clarifies the accounting for uncertainty in income taxes recognized in a company’s financial statements and is effective for fiscal years beginning after December 15, 2006. We have not yet determined the impact of the adoption of FIN 48 on our results of operations or financial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i w:val="1"/>
          <w:iCs w:val="1"/>
          <w:color w:val="auto"/>
        </w:rPr>
        <w:t>Interest Rate Risk:</w:t>
      </w:r>
      <w:r>
        <w:rPr>
          <w:sz w:val="20"/>
          <w:szCs w:val="20"/>
          <w:color w:val="auto"/>
        </w:rPr>
        <w:tab/>
      </w:r>
      <w:r>
        <w:rPr>
          <w:rFonts w:ascii="Arial" w:cs="Arial" w:eastAsia="Arial" w:hAnsi="Arial"/>
          <w:sz w:val="15"/>
          <w:szCs w:val="15"/>
          <w:color w:val="auto"/>
        </w:rPr>
        <w:t>We had no outstanding debt subject to variable interest rates at June 30, 2006. We held no derivative instruments at June 30, 2006.</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revenues were 6% and 5% of total revenues for the three and six months ended June 30, 2006, respectively. Since we have not used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effect on our financial results.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foreign subsidiary operations. This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In some cases where sales from the United States are not denominated in U.S. dollars, we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20"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affect current earnings, while intercompany notes may be revalued and result in unrealized translation gains or losses that are reported in accumulated other comprehensive income (loss).</w:t>
      </w:r>
    </w:p>
    <w:p>
      <w:pPr>
        <w:spacing w:after="0" w:line="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June 30, 2006,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six months ended June 30, 2006. We may, in the future, experience greater fluctuations in U.S. dollar earnings from fluctuations in foreign currency exchange rates. We will continue to monitor and assess the effect of currency fluctuations and may institute hedging alternatives.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8" w:lineRule="exact"/>
        <w:rPr>
          <w:sz w:val="20"/>
          <w:szCs w:val="20"/>
          <w:color w:val="auto"/>
        </w:rPr>
      </w:pPr>
    </w:p>
    <w:p>
      <w:pPr>
        <w:ind w:left="460" w:hanging="452"/>
        <w:spacing w:after="0" w:line="29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June 30, 2006, the end of the period covered by this report.</w:t>
      </w:r>
    </w:p>
    <w:p>
      <w:pPr>
        <w:spacing w:after="0" w:line="156" w:lineRule="exact"/>
        <w:rPr>
          <w:rFonts w:ascii="Arial" w:cs="Arial" w:eastAsia="Arial" w:hAnsi="Arial"/>
          <w:sz w:val="16"/>
          <w:szCs w:val="16"/>
          <w:color w:val="auto"/>
        </w:rPr>
      </w:pPr>
    </w:p>
    <w:p>
      <w:pPr>
        <w:ind w:left="460" w:right="4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internal control</w:t>
      </w:r>
      <w:r>
        <w:rPr>
          <w:rFonts w:ascii="Arial" w:cs="Arial" w:eastAsia="Arial" w:hAnsi="Arial"/>
          <w:sz w:val="18"/>
          <w:szCs w:val="18"/>
          <w:color w:val="auto"/>
        </w:rPr>
        <w:t>. There have been no changes in internal control over financial reporting during the quarter ended June 30, 2006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accordance with SFAS 5, a liability is recorded when we determine that a loss is probable and the amount can be reasonably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we disclose contingencies for which a material loss is reasonably possible, but less than probable. At June 30, 2006, there were no material contingencies requiring accrual or disclosure.</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material changes during the second quarter of 2006 from risk factors as previously disclosed in Item 1A included in our Annual Report on Form 10-K for the fiscal year ended December 31, 2005, which was filed with the SEC on February 24, 2006.</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Itron held its annual meeting of shareholders on May 9, 2006. One director, Charles H. Gaylord, Jr., was elected for a term of two years and three directors, Michael B. Bracy, Thomas S. Foley and Graham M. Wilson were elected for a term of three years. Ted C. DeMerritt, Jon E. Eliassen, Thomas S. Glanville, Sharon L. Nelson and LeRoy D. Nosbaum continued their terms as directors and Mary Ann Peters retired from the board. The following summarizes all matters voted on at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Matter 1: The vote for the nominated directors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NOMINEE</w:t>
            </w:r>
          </w:p>
        </w:tc>
        <w:tc>
          <w:tcPr>
            <w:tcW w:w="32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IN FAVOR</w:t>
            </w:r>
          </w:p>
        </w:tc>
        <w:tc>
          <w:tcPr>
            <w:tcW w:w="3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WITHHELD</w:t>
            </w:r>
          </w:p>
        </w:tc>
      </w:tr>
      <w:tr>
        <w:trPr>
          <w:trHeight w:val="195"/>
        </w:trPr>
        <w:tc>
          <w:tcPr>
            <w:tcW w:w="8080" w:type="dxa"/>
            <w:vAlign w:val="bottom"/>
          </w:tcPr>
          <w:p>
            <w:pPr>
              <w:spacing w:after="0" w:line="195" w:lineRule="exact"/>
              <w:rPr>
                <w:sz w:val="20"/>
                <w:szCs w:val="20"/>
                <w:color w:val="auto"/>
              </w:rPr>
            </w:pPr>
            <w:r>
              <w:rPr>
                <w:rFonts w:ascii="Arial" w:cs="Arial" w:eastAsia="Arial" w:hAnsi="Arial"/>
                <w:sz w:val="18"/>
                <w:szCs w:val="18"/>
                <w:color w:val="auto"/>
              </w:rPr>
              <w:t>Charles H. Gaylord, Jr.</w:t>
            </w:r>
          </w:p>
        </w:tc>
        <w:tc>
          <w:tcPr>
            <w:tcW w:w="320" w:type="dxa"/>
            <w:vAlign w:val="bottom"/>
          </w:tcPr>
          <w:p>
            <w:pPr>
              <w:spacing w:after="0"/>
              <w:rPr>
                <w:sz w:val="16"/>
                <w:szCs w:val="16"/>
                <w:color w:val="auto"/>
              </w:rPr>
            </w:pPr>
          </w:p>
        </w:tc>
        <w:tc>
          <w:tcPr>
            <w:tcW w:w="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86"/>
              </w:rPr>
              <w:t>22,599,492</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508,084</w:t>
            </w:r>
          </w:p>
        </w:tc>
        <w:tc>
          <w:tcPr>
            <w:tcW w:w="20" w:type="dxa"/>
            <w:vAlign w:val="bottom"/>
          </w:tcPr>
          <w:p>
            <w:pPr>
              <w:spacing w:after="0"/>
              <w:rPr>
                <w:sz w:val="16"/>
                <w:szCs w:val="16"/>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Michael B. Bracy</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w w:val="86"/>
              </w:rPr>
              <w:t>21,347,999</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1,759,577</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Thomas S. Foley</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w w:val="86"/>
              </w:rPr>
              <w:t>20,502,077</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2,605,499</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Graham M. Wilson</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w w:val="86"/>
              </w:rPr>
              <w:t>20,296,500</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2,811,076</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Matter 2: Approval of amendment to the Amended and Restated 2000 Stock Incentive Plan to increase the authorized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FAVOR</w:t>
            </w:r>
          </w:p>
        </w:tc>
        <w:tc>
          <w:tcPr>
            <w:tcW w:w="14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1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1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BROKER NON-VOTES</w:t>
            </w:r>
          </w:p>
        </w:tc>
      </w:tr>
      <w:tr>
        <w:trPr>
          <w:trHeight w:val="209"/>
        </w:trPr>
        <w:tc>
          <w:tcPr>
            <w:tcW w:w="2740" w:type="dxa"/>
            <w:vAlign w:val="bottom"/>
          </w:tcPr>
          <w:p>
            <w:pPr>
              <w:jc w:val="right"/>
              <w:ind w:right="882"/>
              <w:spacing w:after="0" w:line="202" w:lineRule="exact"/>
              <w:rPr>
                <w:sz w:val="20"/>
                <w:szCs w:val="20"/>
                <w:color w:val="auto"/>
              </w:rPr>
            </w:pPr>
            <w:r>
              <w:rPr>
                <w:rFonts w:ascii="Arial" w:cs="Arial" w:eastAsia="Arial" w:hAnsi="Arial"/>
                <w:sz w:val="18"/>
                <w:szCs w:val="18"/>
                <w:color w:val="auto"/>
              </w:rPr>
              <w:t>15,270,777</w:t>
            </w:r>
          </w:p>
        </w:tc>
        <w:tc>
          <w:tcPr>
            <w:tcW w:w="140" w:type="dxa"/>
            <w:vAlign w:val="bottom"/>
          </w:tcPr>
          <w:p>
            <w:pPr>
              <w:spacing w:after="0"/>
              <w:rPr>
                <w:sz w:val="18"/>
                <w:szCs w:val="18"/>
                <w:color w:val="auto"/>
              </w:rPr>
            </w:pPr>
          </w:p>
        </w:tc>
        <w:tc>
          <w:tcPr>
            <w:tcW w:w="2740" w:type="dxa"/>
            <w:vAlign w:val="bottom"/>
          </w:tcPr>
          <w:p>
            <w:pPr>
              <w:jc w:val="right"/>
              <w:ind w:right="942"/>
              <w:spacing w:after="0"/>
              <w:rPr>
                <w:sz w:val="20"/>
                <w:szCs w:val="20"/>
                <w:color w:val="auto"/>
              </w:rPr>
            </w:pPr>
            <w:r>
              <w:rPr>
                <w:rFonts w:ascii="Arial" w:cs="Arial" w:eastAsia="Arial" w:hAnsi="Arial"/>
                <w:sz w:val="18"/>
                <w:szCs w:val="18"/>
                <w:color w:val="auto"/>
              </w:rPr>
              <w:t>5,614,325</w:t>
            </w:r>
          </w:p>
        </w:tc>
        <w:tc>
          <w:tcPr>
            <w:tcW w:w="120" w:type="dxa"/>
            <w:vAlign w:val="bottom"/>
          </w:tcPr>
          <w:p>
            <w:pPr>
              <w:spacing w:after="0"/>
              <w:rPr>
                <w:sz w:val="18"/>
                <w:szCs w:val="18"/>
                <w:color w:val="auto"/>
              </w:rPr>
            </w:pPr>
          </w:p>
        </w:tc>
        <w:tc>
          <w:tcPr>
            <w:tcW w:w="2840" w:type="dxa"/>
            <w:vAlign w:val="bottom"/>
          </w:tcPr>
          <w:p>
            <w:pPr>
              <w:jc w:val="right"/>
              <w:ind w:right="1102"/>
              <w:spacing w:after="0"/>
              <w:rPr>
                <w:sz w:val="20"/>
                <w:szCs w:val="20"/>
                <w:color w:val="auto"/>
              </w:rPr>
            </w:pPr>
            <w:r>
              <w:rPr>
                <w:rFonts w:ascii="Arial" w:cs="Arial" w:eastAsia="Arial" w:hAnsi="Arial"/>
                <w:sz w:val="18"/>
                <w:szCs w:val="18"/>
                <w:color w:val="auto"/>
              </w:rPr>
              <w:t>16,411</w:t>
            </w:r>
          </w:p>
        </w:tc>
        <w:tc>
          <w:tcPr>
            <w:tcW w:w="120" w:type="dxa"/>
            <w:vAlign w:val="bottom"/>
          </w:tcPr>
          <w:p>
            <w:pPr>
              <w:spacing w:after="0"/>
              <w:rPr>
                <w:sz w:val="18"/>
                <w:szCs w:val="18"/>
                <w:color w:val="auto"/>
              </w:rPr>
            </w:pPr>
          </w:p>
        </w:tc>
        <w:tc>
          <w:tcPr>
            <w:tcW w:w="2720" w:type="dxa"/>
            <w:vAlign w:val="bottom"/>
          </w:tcPr>
          <w:p>
            <w:pPr>
              <w:jc w:val="right"/>
              <w:ind w:right="942"/>
              <w:spacing w:after="0"/>
              <w:rPr>
                <w:sz w:val="20"/>
                <w:szCs w:val="20"/>
                <w:color w:val="auto"/>
              </w:rPr>
            </w:pPr>
            <w:r>
              <w:rPr>
                <w:rFonts w:ascii="Arial" w:cs="Arial" w:eastAsia="Arial" w:hAnsi="Arial"/>
                <w:sz w:val="18"/>
                <w:szCs w:val="18"/>
                <w:color w:val="auto"/>
              </w:rPr>
              <w:t>2,206,063</w:t>
            </w:r>
          </w:p>
        </w:tc>
      </w:tr>
    </w:tbl>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77"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2006 that was not reported.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1000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10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Amended and Restated Stock Option Grant Program for Non-Employee Directors.</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Valley, State of Washington, on the 26th day of July, 2006.</w:t>
      </w:r>
    </w:p>
    <w:p>
      <w:pPr>
        <w:spacing w:after="0" w:line="126"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Sr. Vice President and Chief Financial Officer</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459" w:right="3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by the board on February 16, 2006 and approved by the shareholders on May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1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purpose of the Itron, Inc. Amended and Restated 2000 Stock Incentive Plan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tab/>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 means any Option, Stock Award or Performance Shares and Performance Units granted pursuant to the provisions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or conviction or confession of a crime punishable by law (except minor violations), in each case as determined by the Plan Administrator, and its determination shall be conclusive and binding.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Transaction” has the meaning set forth in Section 14.3.1.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“Covered Employee” means a “covered employee” as that term is defined in Section 162(m)(3) of the Code or any successor provision.</w:t>
      </w:r>
    </w:p>
    <w:p>
      <w:pPr>
        <w:spacing w:after="0" w:line="17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Date” has the meaning set forth in Section 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“Fair Market Value” shall be as established in good faith by the Plan Administrator or (a) if the Common Stock is listed on The NASDAQ Stock Market, the closing sales price for the Common Stock as reported by The NASDAQ Stock Market for a single trading day or (b) if the Common Stock is listed on the New York Stock Exchange or the American Stock Exchange, the closing sales price for the Common Stock as such price is officially quoted in the composite tape of transactions on such exchange for a single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trading day. If there is no such reported price for the Common Stock for the date in question, then such price on the last preceding date for which such price exists shall be determinative of Fair Market Value.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Term” has the meaning set forth in Section 7.3.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the person to whom an Award is granted.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Share” has the meaning set forth in Section 10.1.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Unit” has the meaning set forth in Section 10.2.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Party Transaction” has the meaning set forth in Section 14.3.1.</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“Retirement,” unless otherwise defined by the Plan Administrator from time to time for purposes of the Plan, means retirement on or after the individual’s normal retirement date under the Company’s 401(k) plan or other similar successor plan applicable to salaried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“Stock Award” means shares of Common Stock or units denominated in Common Stock granted under Section 9, the rights of ownership of which may be subject to restrictions prescribed by the Plan Administrator.</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“Successor Corporation” has the meaning set forth in Section 14.3.2.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Date” has the meaning set forth in Section 7.6.</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“Vesting Base Date” means the Grant Date or such other date selected by the Plan Administrator as the date from which an Option begins to vest for purposes of Section 7.4.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9" w:name="page50"/>
    <w:bookmarkEnd w:id="4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tab/>
        <w:t>ADMINISTRATION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Plan Administrator</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Plan shall be administered by the Board and/or a committee or committees (which term includes subcommittees) appointed by, and consisting of two or more members of, the Board (a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 (a) “outside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Administration and Interpretation by Plan Administrator</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In no event, however, shall the Plan Administrator have the right to (a) without shareholder approval, cancel or amend outstanding Options for the purpose of repricing, replacing or regranting such Options with a purchase price that is less than the purchase price for the original Options, except in connection with adjustments provided in Section 14.1, or (b) issue an Option or amend an outstanding Option to provide for the grant or issuance of a new Option on exercise of the original Option. 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1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STOCK SUBJECT TO THE PLAN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Authorized Number of Shares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adjustment from time to time as provided in Section 14.1, the number of shares of Common Stock that shall be available for issuance under the Plan shall be 4,525,000. Shares issued under the Plan shall be drawn from authorized and unissued shares or shares now held or subsequently acquired by the Company.</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Limitations</w:t>
      </w:r>
    </w:p>
    <w:p>
      <w:pPr>
        <w:spacing w:after="0" w:line="17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Subject to adjustment from time to time as provided in Section 14.1, not more than an aggregate of 300,000 shares shall be available for issuance pursuant to grants of Awards other than Options under the Plan. This Section 4.2(a) is not intended as a limit on the number of Options that may be granted under the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0" w:name="page51"/>
    <w:bookmarkEnd w:id="50"/>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Reuse of Shares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shares of Common Stock that have been made subject to an Award that cease to be subject to the Award (other than by reason of exercise or payment of the Award to the extent it is exercised for or settled in vested and nonforfeitable shares) shall again be available for issuance in connection with future grants of Awards under the Plan; provided, however, that for purposes of Section 4.2, any such shares shall be counted in accordance with the requirements of Section 162(m) of the Code.</w:t>
      </w:r>
    </w:p>
    <w:p>
      <w:pPr>
        <w:spacing w:after="0" w:line="1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tab/>
        <w:t>ELIGIBILITY</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1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Form and Grant of Awards</w:t>
      </w:r>
    </w:p>
    <w:p>
      <w:pPr>
        <w:spacing w:after="0" w:line="177"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The Plan Administrator shall have the authority, in its sole discretion, to determine the type or types of Awards to be made under the Plan. Such Awards may include, but are not limited to, Incentive Stock Options, Nonqualified Stock Options and Stock Awards. Awards may be granted singly or in combination.</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Settlement of Awards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may settle Awards through the delivery of shares of Common Stock,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Acquired Company Awards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AWARDS OF OPTIONS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Grant of Options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51" w:name="page52"/>
    <w:bookmarkEnd w:id="51"/>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w:t>
      </w:r>
      <w:r>
        <w:rPr>
          <w:sz w:val="20"/>
          <w:szCs w:val="20"/>
          <w:color w:val="auto"/>
        </w:rPr>
        <w:tab/>
      </w:r>
      <w:r>
        <w:rPr>
          <w:rFonts w:ascii="Arial" w:cs="Arial" w:eastAsia="Arial" w:hAnsi="Arial"/>
          <w:sz w:val="15"/>
          <w:szCs w:val="15"/>
          <w:b w:val="1"/>
          <w:bCs w:val="1"/>
          <w:color w:val="auto"/>
        </w:rPr>
        <w:t>Option Exercise Price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for shares purchased under an Option shall be as determined by the Plan Administrator, but shall not be less than 100% of the Fair Market Value of the Common Stock on the Grant Date. For Incentive Stock Options granted to a more than 10% shareholder, the Option exercise price shall be as specified in Section 8.2.</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Term of Options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term of each Option (the “Option Term”) shall be as established by the Plan Administrator or, if not so established, shall be ten years from the Grant Date. For Incentive Stock Options, the maximum Option Term shall be as specified in Sections 8.2 and 8.4.</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Exercise of Options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If not so established in the instrument evidencing the Option, the Option shall vest and become exercisable according to the following schedule, which may be waived or modified by the Plan Administrator at any time:</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7"/>
              </w:rPr>
              <w:t>Period of Participant’s Continuous Employment</w:t>
            </w: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49"/>
        </w:trPr>
        <w:tc>
          <w:tcPr>
            <w:tcW w:w="3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Service With the Company or Its Related</w:t>
            </w:r>
          </w:p>
        </w:tc>
        <w:tc>
          <w:tcPr>
            <w:tcW w:w="20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Percent of Total Option</w:t>
            </w:r>
          </w:p>
        </w:tc>
      </w:tr>
      <w:tr>
        <w:trPr>
          <w:trHeight w:val="16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Corporations From the Vesting Base Date</w:t>
            </w:r>
          </w:p>
        </w:tc>
        <w:tc>
          <w:tcPr>
            <w:tcW w:w="204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That Is Vested and Exercisable</w:t>
            </w:r>
          </w:p>
        </w:tc>
      </w:tr>
      <w:tr>
        <w:trPr>
          <w:trHeight w:val="282"/>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After 1 year</w:t>
            </w:r>
          </w:p>
        </w:tc>
        <w:tc>
          <w:tcPr>
            <w:tcW w:w="4200" w:type="dxa"/>
            <w:vAlign w:val="bottom"/>
            <w:gridSpan w:val="2"/>
          </w:tcPr>
          <w:p>
            <w:pPr>
              <w:jc w:val="center"/>
              <w:ind w:left="1952"/>
              <w:spacing w:after="0"/>
              <w:rPr>
                <w:sz w:val="20"/>
                <w:szCs w:val="20"/>
                <w:color w:val="auto"/>
              </w:rPr>
            </w:pPr>
            <w:r>
              <w:rPr>
                <w:rFonts w:ascii="Arial" w:cs="Arial" w:eastAsia="Arial" w:hAnsi="Arial"/>
                <w:sz w:val="18"/>
                <w:szCs w:val="18"/>
                <w:color w:val="auto"/>
                <w:w w:val="88"/>
              </w:rPr>
              <w:t>25%</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After 2 years</w:t>
            </w:r>
          </w:p>
        </w:tc>
        <w:tc>
          <w:tcPr>
            <w:tcW w:w="4200" w:type="dxa"/>
            <w:vAlign w:val="bottom"/>
            <w:gridSpan w:val="2"/>
          </w:tcPr>
          <w:p>
            <w:pPr>
              <w:jc w:val="center"/>
              <w:ind w:left="1952"/>
              <w:spacing w:after="0"/>
              <w:rPr>
                <w:sz w:val="20"/>
                <w:szCs w:val="20"/>
                <w:color w:val="auto"/>
              </w:rPr>
            </w:pPr>
            <w:r>
              <w:rPr>
                <w:rFonts w:ascii="Arial" w:cs="Arial" w:eastAsia="Arial" w:hAnsi="Arial"/>
                <w:sz w:val="18"/>
                <w:szCs w:val="18"/>
                <w:color w:val="auto"/>
                <w:w w:val="88"/>
              </w:rPr>
              <w:t>50%</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After 3 years</w:t>
            </w:r>
          </w:p>
        </w:tc>
        <w:tc>
          <w:tcPr>
            <w:tcW w:w="4200" w:type="dxa"/>
            <w:vAlign w:val="bottom"/>
            <w:gridSpan w:val="2"/>
          </w:tcPr>
          <w:p>
            <w:pPr>
              <w:jc w:val="center"/>
              <w:ind w:left="1952"/>
              <w:spacing w:after="0"/>
              <w:rPr>
                <w:sz w:val="20"/>
                <w:szCs w:val="20"/>
                <w:color w:val="auto"/>
              </w:rPr>
            </w:pPr>
            <w:r>
              <w:rPr>
                <w:rFonts w:ascii="Arial" w:cs="Arial" w:eastAsia="Arial" w:hAnsi="Arial"/>
                <w:sz w:val="18"/>
                <w:szCs w:val="18"/>
                <w:color w:val="auto"/>
                <w:w w:val="88"/>
              </w:rPr>
              <w:t>75%</w:t>
            </w:r>
          </w:p>
        </w:tc>
      </w:tr>
      <w:tr>
        <w:trPr>
          <w:trHeight w:val="222"/>
        </w:trPr>
        <w:tc>
          <w:tcPr>
            <w:tcW w:w="3440" w:type="dxa"/>
            <w:vAlign w:val="bottom"/>
          </w:tcPr>
          <w:p>
            <w:pPr>
              <w:jc w:val="center"/>
              <w:spacing w:after="0"/>
              <w:rPr>
                <w:sz w:val="20"/>
                <w:szCs w:val="20"/>
                <w:color w:val="auto"/>
              </w:rPr>
            </w:pPr>
            <w:r>
              <w:rPr>
                <w:rFonts w:ascii="Arial" w:cs="Arial" w:eastAsia="Arial" w:hAnsi="Arial"/>
                <w:sz w:val="18"/>
                <w:szCs w:val="18"/>
                <w:color w:val="auto"/>
                <w:w w:val="90"/>
              </w:rPr>
              <w:t>After 4 years</w:t>
            </w:r>
          </w:p>
        </w:tc>
        <w:tc>
          <w:tcPr>
            <w:tcW w:w="4200" w:type="dxa"/>
            <w:vAlign w:val="bottom"/>
            <w:gridSpan w:val="2"/>
          </w:tcPr>
          <w:p>
            <w:pPr>
              <w:jc w:val="center"/>
              <w:ind w:left="1972"/>
              <w:spacing w:after="0"/>
              <w:rPr>
                <w:sz w:val="20"/>
                <w:szCs w:val="20"/>
                <w:color w:val="auto"/>
              </w:rPr>
            </w:pPr>
            <w:r>
              <w:rPr>
                <w:rFonts w:ascii="Arial" w:cs="Arial" w:eastAsia="Arial" w:hAnsi="Arial"/>
                <w:sz w:val="18"/>
                <w:szCs w:val="18"/>
                <w:color w:val="auto"/>
                <w:w w:val="91"/>
              </w:rPr>
              <w:t>100%</w:t>
            </w:r>
          </w:p>
        </w:tc>
      </w:tr>
    </w:tbl>
    <w:p>
      <w:pPr>
        <w:spacing w:after="0" w:line="15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Plan Administrator may adjust the vesting schedule of an Option held by a Participant who works less than “full-time” as that term is defined by the Plan Administrator or who takes a Company-approved leave of absence.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An Option may not be exercised for less than a reasonable number of shares at any one time, as determined by the Plan Administrator.</w:t>
      </w:r>
    </w:p>
    <w:p>
      <w:pPr>
        <w:spacing w:after="0" w:line="1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Payment of Exercise Price</w:t>
      </w:r>
    </w:p>
    <w:p>
      <w:pPr>
        <w:spacing w:after="0" w:line="17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07"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71" w:lineRule="exact"/>
        <w:rPr>
          <w:rFonts w:ascii="Arial" w:cs="Arial" w:eastAsia="Arial" w:hAnsi="Arial"/>
          <w:sz w:val="18"/>
          <w:szCs w:val="18"/>
          <w:color w:val="auto"/>
        </w:rPr>
      </w:pPr>
    </w:p>
    <w:p>
      <w:pPr>
        <w:ind w:right="80" w:firstLine="464"/>
        <w:spacing w:after="0" w:line="332"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tendering (either actually or, if and so long as the Common Stock is registered under Section 12(b) or 12(g) of the Exchange Act, by attestation) shares of Common Stock already owned by the Participant for at least six months (or any shorter period necessary to avoid a charge to the Company’s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for financial reporting purposes) having a Fair Market Value on the day prior to the exercise date equal to the aggregate Option exercise price;</w:t>
      </w:r>
    </w:p>
    <w:p>
      <w:pPr>
        <w:spacing w:after="0" w:line="194" w:lineRule="exact"/>
        <w:rPr>
          <w:sz w:val="20"/>
          <w:szCs w:val="20"/>
          <w:color w:val="auto"/>
        </w:rPr>
      </w:pPr>
    </w:p>
    <w:p>
      <w:pPr>
        <w:jc w:val="both"/>
        <w:ind w:right="60" w:firstLine="464"/>
        <w:spacing w:after="0" w:line="298"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or loan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other consideration as the Plan Administrator may permit.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to assist a Participant (including a Participant who is an officer or a director of the Company) in acquiring shares of Common Stock pursuant to an Award granted under the Plan, the Plan Administrator, in its sole discretion, may authorize, either at the Grant Date or at any time before the acquisition of Common Stock pursuant to the Award, (i) the payment by a Participant of a promissory note or (ii) the guarantee by the Company of a loan obtained by the Participant from a third party; provided, however, that any such note or loan must be full-recourse to the extent necessary to avoid charges to the Company’s earnings for financial reporting purposes. Subject to the foregoing, the Plan Administrator shall in its sole discretion specify the terms of any loans or loan guarantees, including the interest rate and terms of and security for repayment.</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Post-Termination Exercises</w:t>
      </w:r>
    </w:p>
    <w:p>
      <w:pPr>
        <w:spacing w:after="0" w:line="17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113" w:lineRule="exact"/>
        <w:rPr>
          <w:sz w:val="20"/>
          <w:szCs w:val="20"/>
          <w:color w:val="auto"/>
        </w:rPr>
      </w:pPr>
    </w:p>
    <w:p>
      <w:pPr>
        <w:ind w:right="48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171" w:lineRule="exact"/>
        <w:rPr>
          <w:rFonts w:ascii="Arial" w:cs="Arial" w:eastAsia="Arial" w:hAnsi="Arial"/>
          <w:sz w:val="18"/>
          <w:szCs w:val="18"/>
          <w:color w:val="auto"/>
        </w:rPr>
      </w:pPr>
    </w:p>
    <w:p>
      <w:pPr>
        <w:ind w:left="1120" w:hanging="217"/>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171" w:lineRule="exact"/>
        <w:rPr>
          <w:rFonts w:ascii="Arial" w:cs="Arial" w:eastAsia="Arial" w:hAnsi="Arial"/>
          <w:sz w:val="18"/>
          <w:szCs w:val="18"/>
          <w:color w:val="auto"/>
        </w:rPr>
      </w:pPr>
    </w:p>
    <w:p>
      <w:pPr>
        <w:ind w:left="460" w:right="260" w:firstLine="443"/>
        <w:spacing w:after="0" w:line="268" w:lineRule="auto"/>
        <w:tabs>
          <w:tab w:leader="none" w:pos="1157"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 Date.</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a Participant’s Termination Date, any Option then held by the Participant may be immediately terminated by the Plan Administrator, in its sole discretion.</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this Section 7. The effect of a Company-approved leave of absence on the terms and conditions of an Option shall be determined by the Plan Administrator, in its sole discretion.</w:t>
      </w:r>
    </w:p>
    <w:p>
      <w:pPr>
        <w:spacing w:after="0" w:line="1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8.</w:t>
        <w:tab/>
        <w:t>INCENTIVE STOCK OPTION LIMITATIONS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required by Section 422 of the Code, Incentive Stock Options shall be subject to the following additional terms and conditions: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Dollar Limitation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More Than 10% Shareholders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Eligible Employees</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Term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Exercisability</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 (b) more than one year after the Termination Date by reason of Disability, or (c) after the Participant has been on leave of absence for more than 90 days, unless the Participant’s reemployment rights are guaranteed by statute or contract.</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Taxation of Incentive Stock Options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order to obtain certain tax benefits afforded to Incentive Stock Options under Section 422 Internal Revenue Code of 1986 (“the Code”), the Participant must hold the shares issued upon the exercise of an Incentive Stock Option for two years after the Grant Date and one year from the date of exercise. A Participant may be subject to the alternative minimum tax at the time of exercise of an Incentive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4" w:name="page55"/>
    <w:bookmarkEnd w:id="5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The Participant shall give the Company prompt notice of any disposition of shares acquired by the exercise of an Incentive Stock Option prior to the expiration of such holding periods.</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Promissory Notes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amount of any promissory note delivered pursuant to Section 7.5 in connection with an Incentive Stock Option shall bear interest at a rate specified by the Plan Administrator, but in no case less than the rate required to avoid imputation of interest (taking into account any exceptions to the imputed interest rules) for federal income tax purposes.</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Code Definitions</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1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STOCK 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Grant of Stock Awards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Administrator is authorized to make Awards of Common Stock or Awards denominated in units of Common Stock on such terms and conditions and subject to such restrictions, if any (which may be based on continuous service with the Company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manner in which shares subject to Stock Awards are held during the periods they are subject to restrictions and the circumstances under which forfeiture of the Stock Award shall occur by reason of termination of the Participant’s employment or service relationship.</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Issuance of Shares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Waiver of Restrictions</w:t>
      </w:r>
    </w:p>
    <w:p>
      <w:pPr>
        <w:spacing w:after="0" w:line="1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9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PERFORMANCE AWARDS</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Performance Shares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5" w:name="page56"/>
    <w:bookmarkEnd w:id="5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Performance Units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1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CODE SECTION 162(m) PROVISIONS</w:t>
      </w:r>
    </w:p>
    <w:p>
      <w:pPr>
        <w:spacing w:after="0" w:line="177" w:lineRule="exact"/>
        <w:rPr>
          <w:sz w:val="20"/>
          <w:szCs w:val="20"/>
          <w:color w:val="auto"/>
        </w:rPr>
      </w:pPr>
    </w:p>
    <w:p>
      <w:pPr>
        <w:ind w:right="20" w:firstLine="464"/>
        <w:spacing w:after="0" w:line="306"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11 is applicable to such Award.</w:t>
      </w:r>
    </w:p>
    <w:p>
      <w:pPr>
        <w:spacing w:after="0" w:line="106" w:lineRule="exact"/>
        <w:rPr>
          <w:rFonts w:ascii="Arial" w:cs="Arial" w:eastAsia="Arial" w:hAnsi="Arial"/>
          <w:sz w:val="16"/>
          <w:szCs w:val="16"/>
          <w:color w:val="auto"/>
        </w:rPr>
      </w:pPr>
    </w:p>
    <w:p>
      <w:pPr>
        <w:ind w:right="60" w:firstLine="464"/>
        <w:spacing w:after="0" w:line="286"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11,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attainment of specified levels of one or any combination of the following business criteria of the Company as a whole or any business unit of the Company, as reported or calculated by the Company: cash flows (including, but not limited to, operating cash flow, free cash flow or cash flow return on capital); working capital; earnings per share; book value per share; operating income (including or excluding depreciation, amortization or other expenses); revenues; operating margins; return on assets; return on equity; debt; debt plus equity; market or economic value added; stock price appreciation; total stockholder return; cost control; strategic initiatives; market share; net income; return on invested capital; improvements in capital structure; or customer satisfaction, employee satisfaction, services performance, subscriber, cash management or asset management metrics. Such performance goals also may be based on the achievement of specified levels of Company performance (or performance of an applicable affiliate or business unit of the Company) under one or more of the measures described above relative to the performance of other corporations. Such performance goals shall be set by the Plan Administrator within the time period prescribed by, and shall otherwise comply with the requirements of, Section 162(m) of the Code, or any successor provision thereto, and the regulations thereunder.</w:t>
      </w:r>
    </w:p>
    <w:p>
      <w:pPr>
        <w:spacing w:after="0" w:line="124" w:lineRule="exact"/>
        <w:rPr>
          <w:rFonts w:ascii="Arial" w:cs="Arial" w:eastAsia="Arial" w:hAnsi="Arial"/>
          <w:sz w:val="16"/>
          <w:szCs w:val="16"/>
          <w:color w:val="auto"/>
        </w:rPr>
      </w:pPr>
    </w:p>
    <w:p>
      <w:pPr>
        <w:ind w:left="700" w:hanging="23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14, with respect to any Stock Award or Performance Award that is subject to this</w:t>
      </w:r>
    </w:p>
    <w:p>
      <w:pPr>
        <w:spacing w:after="0" w:line="38"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Section 11, the Plan Administrator may adjust downwards, but not upwards, the amount payable pursuant to such Award, and the Plan Administrator may not waive the achievement of the applicable performance goals except in the case of the death or disability of the Covered Employee.</w:t>
      </w:r>
    </w:p>
    <w:p>
      <w:pPr>
        <w:spacing w:after="0" w:line="93" w:lineRule="exact"/>
        <w:rPr>
          <w:sz w:val="20"/>
          <w:szCs w:val="20"/>
          <w:color w:val="auto"/>
        </w:rPr>
      </w:pPr>
    </w:p>
    <w:p>
      <w:pPr>
        <w:ind w:right="10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Plan Administrator shall have the power to impose such other restrictions on Awards subject to this Section 11 as it may deem necessary or appropriate to ensure that such Awards satisfy all requirements for “performance-based compensation” within the meaning of Section 162(m)(4)(C) of the Code, or any successor provision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6" w:name="page57"/>
    <w:bookmarkEnd w:id="56"/>
    <w:p>
      <w:pPr>
        <w:ind w:right="140" w:firstLine="464"/>
        <w:spacing w:after="0" w:line="298"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adjustment from time to time as provided in Section 14.1, no Covered Employee may be granted Options, Stock Awards or Performance Shares subject to this Section 11 in any calendar year period with respect to more than 300,000 shares of Common Stock for such Award, except that the Company may make additional one time grants of such Awards for up to 600,000 shares to newly hired individuals, and the maximum dollar value payable with respect to Performance Units subject to this Section 11 granted to any Covered Employee in any one calendar year is $1,000,000.</w:t>
      </w:r>
    </w:p>
    <w:p>
      <w:pPr>
        <w:spacing w:after="0" w:line="1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tab/>
        <w:t>WITHHOLDING</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may require the Participant to pay to the Company the amount of any withholding taxes that the Company is required to withhold with respect to the grant, vesting or exercise of any Award. Subject to the Plan and applicable law, the Plan Administrator may, in its sole discretion, permit the Participant to satisfy withholding obligations, in whole or in part, (a) by paying cash, (b) by electing to have the Company withhold shares of Common Stock (up to the minimum required federal tax withholding rate), or (c) by transferring to the Company shares of Common Stock (already owned by the Participant for the period necessary to avoid a charge to the Company’s earnings for financial reporting purposes), in such amounts as are equivalent to the Fair Market Value of the withholding obligation.</w:t>
      </w:r>
    </w:p>
    <w:p>
      <w:pPr>
        <w:spacing w:after="0" w:line="13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13.</w:t>
        <w:tab/>
        <w:t>ASSIGNABILITY</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a Participant designates a beneficiary on a Company-approved form who may exercise the Award or receive payment under the Award after the Participant’s death. During a Participant’s lifetime, Awards may be exercised only by the Participant. Notwithstanding the foregoing, and to the extent permitted by Section 422 of the Code, the Plan Administrator, in its sole discretion, may permit such assignment or transfer; provided, however, that any Award so assigned or transferred shall be subject to all the same terms and conditions contained in the instrument evidencing the Award.</w:t>
      </w:r>
    </w:p>
    <w:p>
      <w:pPr>
        <w:spacing w:after="0" w:line="11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ADJUSTMENTS</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Adjustment of Shares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as set forth in Section 4.1 and the maximum number and kind of securities that may be made subject to Stock Awards and to Awards to any individual as set forth in Section 4.2, (ii) the number and kind of securities that are subject to any outstanding Award and the per share price of such securities, without any change in the aggregate price to be paid therefor, and (iii) and the number and kind of securities automatically granted pursuant to a formula program established under the Plan. The determination by the Plan Administrator as to the terms of any of the foregoing adjustments shall be conclusive and binding. Notwithstanding the foregoing, a dissolution or liquidation of the Company or a Corporate Transaction shall not be governed by this Section 14.1 but shall be governed by Sections 14.2 and 14.3, respectively.</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Dissolution or Liquidation</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the event of the proposed dissolution or liquidation of the Company, the Plan Administrator shall notify each Participant as soon as practicable prior to the effective date of such proposed transaction. The Plan Administrator in its discretion may permit a Participant to exercise an Option until ten days prior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7" w:name="page58"/>
    <w:bookmarkEnd w:id="5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transaction with respect to all vested and exercisable shares of Common Stock covered thereby and with respect to such number of unvested shares as the Plan Administrator shall determine. In addition, the Plan Administrator may provide that any forfeiture provision or Company repurchase option applicable to any Award shall lapse as to such number of shares as the Plan Administrator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Stock Award has not been waived by the Plan Administrator, the Stock Award shall be forfeited automatically immediately prior to the consummation of the proposed action.</w:t>
      </w:r>
    </w:p>
    <w:p>
      <w:pPr>
        <w:spacing w:after="0" w:line="11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Corporate Transaction</w:t>
      </w:r>
    </w:p>
    <w:p>
      <w:pPr>
        <w:spacing w:after="0" w:line="17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5"/>
          <w:szCs w:val="15"/>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any of the following events:</w:t>
      </w:r>
    </w:p>
    <w:p>
      <w:pPr>
        <w:spacing w:after="0" w:line="171"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Consummation of any merger or consolidation of the Company with or into another corporation;</w:t>
      </w:r>
    </w:p>
    <w:p>
      <w:pPr>
        <w:spacing w:after="0" w:line="171" w:lineRule="exact"/>
        <w:rPr>
          <w:rFonts w:ascii="Arial" w:cs="Arial" w:eastAsia="Arial" w:hAnsi="Arial"/>
          <w:sz w:val="18"/>
          <w:szCs w:val="18"/>
          <w:color w:val="auto"/>
        </w:rPr>
      </w:pPr>
    </w:p>
    <w:p>
      <w:pPr>
        <w:ind w:right="72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Consummation of any sale, lease, exchange or other transfer in one transaction or a series of related transactions of all or substantially all the Company’s outstanding securities or substantially all the Company’s assets other than a transfer of the Company’s assets to a majority-owned subsidiary corporation (as defined in Section 8.8) of the Company; or</w:t>
      </w:r>
    </w:p>
    <w:p>
      <w:pPr>
        <w:spacing w:after="0" w:line="140"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 Transaction</w:t>
      </w:r>
      <w:r>
        <w:rPr>
          <w:rFonts w:ascii="Arial" w:cs="Arial" w:eastAsia="Arial" w:hAnsi="Arial"/>
          <w:sz w:val="18"/>
          <w:szCs w:val="18"/>
          <w:color w:val="auto"/>
        </w:rPr>
        <w:t>” means (i) a merger of the Company in which the holders of shares of Common Stock immediately prior to the merger hold at least a majority of the shares of Common Stock in the surviving corporation or parent thereof immediately after the merger, (ii) a mere reincorporation of the Company, or (iii) a transaction undertaken for the sole purpose of creating a holding company.</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5"/>
          <w:szCs w:val="15"/>
          <w:b w:val="1"/>
          <w:bCs w:val="1"/>
          <w:color w:val="auto"/>
        </w:rPr>
        <w:t>Options</w:t>
      </w:r>
    </w:p>
    <w:p>
      <w:pPr>
        <w:spacing w:after="0" w:line="17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the event of a Corporate Transaction, except as otherwise provided in the instrument evidencing the Award or in written employment or services agreement between a Participant and the Company or a Related Corporation in connection with an Award, each outstanding Option shall be assumed, continued or an equivalent option or right substituted by the surviving corporation, the successor corporation or its parent corporation, as applicable, (the “Successor Corporation”). If the Corporate Transaction is not a Related Party Transaction, upon consummation of the Corporate Transaction the assumed or substituted options shall automatically become fully vested and exercisable whether or not the vesting requirements set forth in the applicable option agreement have been satisfied. If the Corporate Transaction is a Related Party Transaction, the vesting schedule set forth in the instrument evidencing the Option shall continue to apply to the assumed or substituted options.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event that the Successor Corporation refuses to assume or substitute for the Option, the Participant shall fully vest in and have the right to exercise the Option as to all of the shares of Common Stock subject thereto, including shares as to which the Option would not otherwise be vested or exercisable. If an Option will become fully vested and exercisable in lieu of assumption or substitution in the event of a Corporate Transaction, the Plan Administrator shall notify the Participant in writing or electronically that the Option shall be fully vested and exercisable for a specified time period after the date of such notice, and the Option shall terminate upon the expiration of such period, in each case conditioned on the consummation of the Corporate Transaction. For the purposes of this Section 14.3, the Option shall be considered assumed if, following the Corporate Transaction, the option or right confers the right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or receive, for each share of Common Stock subject to the Option, immediately prior to the Corporate Transaction, the consideration (whether stock, cash, or other securities or property) received in the Corporate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Corporate Transaction is not solely common stock of the Successor Corporation, the Plan Administrator may, with the consent of the Successor Corporation, provide for the consideration to be received upon the exercise of the Option, for each share of Common Stock subject thereto, to be solely common stock of the Successor Corporation equal in fair market value to the per share consideration received by holders of Common Stock in the Corporate Transaction. All Options shall terminate and cease to remain outstanding immediately following the consummation of the Corporate Transaction, except to the extent assumed by the Successor Corporation.</w:t>
      </w:r>
    </w:p>
    <w:p>
      <w:pPr>
        <w:spacing w:after="0" w:line="11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14.3.3</w:t>
      </w:r>
      <w:r>
        <w:rPr>
          <w:sz w:val="20"/>
          <w:szCs w:val="20"/>
          <w:color w:val="auto"/>
        </w:rPr>
        <w:tab/>
      </w:r>
      <w:r>
        <w:rPr>
          <w:rFonts w:ascii="Arial" w:cs="Arial" w:eastAsia="Arial" w:hAnsi="Arial"/>
          <w:sz w:val="15"/>
          <w:szCs w:val="15"/>
          <w:b w:val="1"/>
          <w:bCs w:val="1"/>
          <w:color w:val="auto"/>
        </w:rPr>
        <w:t>Stock Awards</w:t>
      </w:r>
    </w:p>
    <w:p>
      <w:pPr>
        <w:spacing w:after="0" w:line="17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the event of a Corporate Transaction, except as otherwise provided in the instrument evidencing the Award or in a written employment or services agreement between a Participant and the Company or a Related Corporation in connection with an Award, the vesting of shares subject to Stock Awards shall accelerate, and the forfeiture provisions to which such shares are subject shall lapse, if and to the same extent that the vesting and exercisability of outstanding Options accelerate in connection with the Corporate Transaction. If unvested Options are to be assumed, continued or substituted by a Successor Corporation without acceleration upon the occurrence of a Corporate Transaction, the forfeiture provisions to which such shares are subject will continue with respect to shares of the Successor Corporation that may be issued in exchange for such shares.</w:t>
      </w:r>
    </w:p>
    <w:p>
      <w:pPr>
        <w:spacing w:after="0" w:line="1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14.3.4</w:t>
      </w:r>
      <w:r>
        <w:rPr>
          <w:sz w:val="20"/>
          <w:szCs w:val="20"/>
          <w:color w:val="auto"/>
        </w:rPr>
        <w:tab/>
      </w:r>
      <w:r>
        <w:rPr>
          <w:rFonts w:ascii="Arial" w:cs="Arial" w:eastAsia="Arial" w:hAnsi="Arial"/>
          <w:sz w:val="15"/>
          <w:szCs w:val="15"/>
          <w:b w:val="1"/>
          <w:bCs w:val="1"/>
          <w:color w:val="auto"/>
        </w:rPr>
        <w:t>Performance Awards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a Corporate Transaction, the vesting and payout of Performance Awards shall be as provided in the instrument evidencing the Award or in a written employment or services agreement between a Participant and the Company or a Related Corporation.</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Further Adjustment of Awards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Sections 14.2 and 14.3,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Plan Administrator may take such actions with respect to all Participants, to certain categories of Participants or only to individual Participants. The Plan Administrator may take such action before or after granting Awards to which the action relates and before or after any public announcement with respect to such sale, merger, consolidation, reorganization, liquidation or change in control that is the reason for such action.</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Limitations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b w:val="1"/>
          <w:bCs w:val="1"/>
          <w:color w:val="auto"/>
        </w:rPr>
        <w:t>Fractional Shares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59" w:name="page60"/>
    <w:bookmarkEnd w:id="59"/>
    <w:p>
      <w:pPr>
        <w:spacing w:after="0"/>
        <w:tabs>
          <w:tab w:leader="none" w:pos="1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w:t>
        <w:tab/>
        <w:t>AMENDMENT AND TERMINATION OF PLAN</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5"/>
          <w:szCs w:val="15"/>
          <w:b w:val="1"/>
          <w:bCs w:val="1"/>
          <w:color w:val="auto"/>
        </w:rPr>
        <w:t>Amendment of Plan</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Suspension or Termination of Plan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5"/>
          <w:szCs w:val="15"/>
          <w:b w:val="1"/>
          <w:bCs w:val="1"/>
          <w:color w:val="auto"/>
        </w:rPr>
        <w:t>Consent of Participant</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14 shall not be subject to these restrictions.</w:t>
      </w:r>
    </w:p>
    <w:p>
      <w:pPr>
        <w:spacing w:after="0" w:line="13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GENERAL</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Evidence of Awards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Awards granted under the Plan shall be evidenced by a written instrument that shall contain such terms, conditions, limitations and restrictions as the Plan Administrator shall deem advisable and that are not inconsistent with the Plan.</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No Individual Rights</w:t>
      </w:r>
    </w:p>
    <w:p>
      <w:pPr>
        <w:spacing w:after="0" w:line="1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Registration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and the applicable requirements of any securities exchange or similar entity.</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60" w:name="page61"/>
    <w:bookmarkEnd w:id="60"/>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0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No Rights as a Shareholder</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Option or Stock Award denominated in units shall entitle the Participant to any cash dividend, voting or other right of a shareholder unless and until the date of issuance under the Plan of the shares that are the subject of such Award.</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Compliance With Laws and Regulations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Participants in Foreign Countries</w:t>
      </w:r>
    </w:p>
    <w:p>
      <w:pPr>
        <w:spacing w:after="0" w:line="1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Plan Administrator shall have the authority to adopt such modifications, procedures and subplans as may be necessary or desirable to comply with provisions of the laws of foreign countries in which the Company or its Related Corporations may operate to ensure the viability of the benefits from Awards granted to Participants employed in such countries and to meet the objectives of the Plan.</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No Trust or Fund</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Severability</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Choice of Law</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principles of conflicts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1" w:name="page62"/>
    <w:bookmarkEnd w:id="61"/>
    <w:p>
      <w:pPr>
        <w:spacing w:after="0"/>
        <w:tabs>
          <w:tab w:leader="none" w:pos="1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w:t>
      </w:r>
      <w:r>
        <w:rPr>
          <w:sz w:val="20"/>
          <w:szCs w:val="20"/>
          <w:color w:val="auto"/>
        </w:rPr>
        <w:tab/>
      </w:r>
      <w:r>
        <w:rPr>
          <w:rFonts w:ascii="Arial" w:cs="Arial" w:eastAsia="Arial" w:hAnsi="Arial"/>
          <w:sz w:val="16"/>
          <w:szCs w:val="16"/>
          <w:b w:val="1"/>
          <w:bCs w:val="1"/>
          <w:color w:val="auto"/>
        </w:rPr>
        <w:t>EFFECTIVE DATE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Effective Date is the date on which the Plan is adopted by the Board, so long as it is approved by the Company’s shareholders at any time within 12 months of such adoption.</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274" w:right="5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87"/>
              </w:rPr>
              <w:t>Exhibit 12.1</w:t>
            </w:r>
          </w:p>
        </w:tc>
      </w:tr>
      <w:tr>
        <w:trPr>
          <w:trHeight w:val="378"/>
        </w:trPr>
        <w:tc>
          <w:tcPr>
            <w:tcW w:w="4180" w:type="dxa"/>
            <w:vAlign w:val="bottom"/>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6"/>
        </w:trPr>
        <w:tc>
          <w:tcPr>
            <w:tcW w:w="418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7"/>
              </w:rPr>
              <w:t>Six Months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480"/>
              <w:spacing w:after="0"/>
              <w:rPr>
                <w:sz w:val="20"/>
                <w:szCs w:val="20"/>
                <w:color w:val="auto"/>
              </w:rPr>
            </w:pPr>
            <w:r>
              <w:rPr>
                <w:rFonts w:ascii="Arial" w:cs="Arial" w:eastAsia="Arial" w:hAnsi="Arial"/>
                <w:sz w:val="18"/>
                <w:szCs w:val="18"/>
                <w:b w:val="1"/>
                <w:bCs w:val="1"/>
                <w:color w:val="auto"/>
                <w:w w:val="87"/>
              </w:rPr>
              <w:t>Year Ended December 31,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June 30, 2006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2002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2001</w:t>
            </w:r>
          </w:p>
        </w:tc>
        <w:tc>
          <w:tcPr>
            <w:tcW w:w="60" w:type="dxa"/>
            <w:vAlign w:val="bottom"/>
          </w:tcPr>
          <w:p>
            <w:pPr>
              <w:spacing w:after="0"/>
              <w:rPr>
                <w:sz w:val="19"/>
                <w:szCs w:val="19"/>
                <w:color w:val="auto"/>
              </w:rPr>
            </w:pPr>
          </w:p>
        </w:tc>
      </w:tr>
      <w:tr>
        <w:trPr>
          <w:trHeight w:val="224"/>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thousands, except</w:t>
            </w:r>
          </w:p>
        </w:tc>
        <w:tc>
          <w:tcPr>
            <w:tcW w:w="1140" w:type="dxa"/>
            <w:vAlign w:val="bottom"/>
            <w:gridSpan w:val="3"/>
          </w:tcPr>
          <w:p>
            <w:pPr>
              <w:jc w:val="center"/>
              <w:ind w:right="372"/>
              <w:spacing w:after="0"/>
              <w:rPr>
                <w:sz w:val="20"/>
                <w:szCs w:val="20"/>
                <w:color w:val="auto"/>
              </w:rPr>
            </w:pPr>
            <w:r>
              <w:rPr>
                <w:rFonts w:ascii="Arial" w:cs="Arial" w:eastAsia="Arial" w:hAnsi="Arial"/>
                <w:sz w:val="18"/>
                <w:szCs w:val="18"/>
                <w:b w:val="1"/>
                <w:bCs w:val="1"/>
                <w:color w:val="auto"/>
                <w:w w:val="87"/>
              </w:rPr>
              <w:t>ratios)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3"/>
        </w:trPr>
        <w:tc>
          <w:tcPr>
            <w:tcW w:w="4180" w:type="dxa"/>
            <w:vAlign w:val="bottom"/>
          </w:tcPr>
          <w:p>
            <w:pPr>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Pre-tax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28,350</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27,528</w:t>
            </w:r>
          </w:p>
        </w:tc>
        <w:tc>
          <w:tcPr>
            <w:tcW w:w="1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(9,406)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17,899</w:t>
            </w:r>
          </w:p>
        </w:tc>
        <w:tc>
          <w:tcPr>
            <w:tcW w:w="24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18,859</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21,366</w:t>
            </w:r>
          </w:p>
        </w:tc>
        <w:tc>
          <w:tcPr>
            <w:tcW w:w="60" w:type="dxa"/>
            <w:vAlign w:val="bottom"/>
          </w:tcPr>
          <w:p>
            <w:pPr>
              <w:spacing w:after="0"/>
              <w:rPr>
                <w:sz w:val="18"/>
                <w:szCs w:val="18"/>
                <w:color w:val="auto"/>
              </w:rPr>
            </w:pPr>
          </w:p>
        </w:tc>
      </w:tr>
      <w:tr>
        <w:trPr>
          <w:trHeight w:val="223"/>
        </w:trPr>
        <w:tc>
          <w:tcPr>
            <w:tcW w:w="4180" w:type="dxa"/>
            <w:vAlign w:val="bottom"/>
          </w:tcPr>
          <w:p>
            <w:pPr>
              <w:ind w:left="440"/>
              <w:spacing w:after="0"/>
              <w:rPr>
                <w:sz w:val="20"/>
                <w:szCs w:val="20"/>
                <w:color w:val="auto"/>
              </w:rPr>
            </w:pPr>
            <w:r>
              <w:rPr>
                <w:rFonts w:ascii="Arial" w:cs="Arial" w:eastAsia="Arial" w:hAnsi="Arial"/>
                <w:sz w:val="18"/>
                <w:szCs w:val="18"/>
                <w:color w:val="auto"/>
              </w:rPr>
              <w:t>Less: equity in affiliates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(9,406)</w:t>
            </w:r>
          </w:p>
        </w:tc>
        <w:tc>
          <w:tcPr>
            <w:tcW w:w="160" w:type="dxa"/>
            <w:vAlign w:val="bottom"/>
          </w:tcPr>
          <w:p>
            <w:pPr>
              <w:spacing w:after="0"/>
              <w:rPr>
                <w:sz w:val="19"/>
                <w:szCs w:val="19"/>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17,820</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18,733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21,982</w:t>
            </w:r>
          </w:p>
        </w:tc>
        <w:tc>
          <w:tcPr>
            <w:tcW w:w="60" w:type="dxa"/>
            <w:vAlign w:val="bottom"/>
          </w:tcPr>
          <w:p>
            <w:pPr>
              <w:spacing w:after="0"/>
              <w:rPr>
                <w:sz w:val="19"/>
                <w:szCs w:val="19"/>
                <w:color w:val="auto"/>
              </w:rPr>
            </w:pPr>
          </w:p>
        </w:tc>
      </w:tr>
      <w:tr>
        <w:trPr>
          <w:trHeight w:val="318"/>
        </w:trPr>
        <w:tc>
          <w:tcPr>
            <w:tcW w:w="4180" w:type="dxa"/>
            <w:vAlign w:val="bottom"/>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8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5,112</w:t>
            </w:r>
          </w:p>
        </w:tc>
        <w:tc>
          <w:tcPr>
            <w:tcW w:w="60" w:type="dxa"/>
            <w:vAlign w:val="bottom"/>
          </w:tcPr>
          <w:p>
            <w:pPr>
              <w:spacing w:after="0"/>
              <w:rPr>
                <w:sz w:val="18"/>
                <w:szCs w:val="18"/>
                <w:color w:val="auto"/>
              </w:rPr>
            </w:pPr>
          </w:p>
        </w:tc>
      </w:tr>
      <w:tr>
        <w:trPr>
          <w:trHeight w:val="223"/>
        </w:trPr>
        <w:tc>
          <w:tcPr>
            <w:tcW w:w="4180" w:type="dxa"/>
            <w:vAlign w:val="bottom"/>
          </w:tcPr>
          <w:p>
            <w:pPr>
              <w:ind w:left="440"/>
              <w:spacing w:after="0"/>
              <w:rPr>
                <w:sz w:val="20"/>
                <w:szCs w:val="20"/>
                <w:color w:val="auto"/>
              </w:rPr>
            </w:pPr>
            <w:r>
              <w:rPr>
                <w:rFonts w:ascii="Arial" w:cs="Arial" w:eastAsia="Arial" w:hAnsi="Arial"/>
                <w:sz w:val="18"/>
                <w:szCs w:val="18"/>
                <w:color w:val="auto"/>
              </w:rPr>
              <w:t>Interest portion of rent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2,661</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c>
          <w:tcPr>
            <w:tcW w:w="6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4180" w:type="dxa"/>
            <w:vAlign w:val="bottom"/>
          </w:tcPr>
          <w:p>
            <w:pPr>
              <w:spacing w:after="0"/>
              <w:rPr>
                <w:sz w:val="20"/>
                <w:szCs w:val="20"/>
                <w:color w:val="auto"/>
              </w:rPr>
            </w:pPr>
            <w:r>
              <w:rPr>
                <w:rFonts w:ascii="Arial" w:cs="Arial" w:eastAsia="Arial" w:hAnsi="Arial"/>
                <w:sz w:val="18"/>
                <w:szCs w:val="18"/>
                <w:color w:val="auto"/>
              </w:rPr>
              <w:t>a) Fixed charges</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9,485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15,841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5,299</w:t>
            </w:r>
          </w:p>
        </w:tc>
        <w:tc>
          <w:tcPr>
            <w:tcW w:w="2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3,963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6,174</w:t>
            </w:r>
          </w:p>
        </w:tc>
        <w:tc>
          <w:tcPr>
            <w:tcW w:w="60" w:type="dxa"/>
            <w:vAlign w:val="bottom"/>
          </w:tcPr>
          <w:p>
            <w:pPr>
              <w:spacing w:after="0"/>
              <w:rPr>
                <w:sz w:val="24"/>
                <w:szCs w:val="24"/>
                <w:color w:val="auto"/>
              </w:rPr>
            </w:pPr>
          </w:p>
        </w:tc>
      </w:tr>
      <w:tr>
        <w:trPr>
          <w:trHeight w:val="400"/>
        </w:trPr>
        <w:tc>
          <w:tcPr>
            <w:tcW w:w="4180" w:type="dxa"/>
            <w:vAlign w:val="bottom"/>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2"/>
                <w:szCs w:val="22"/>
                <w:color w:val="auto"/>
                <w:vertAlign w:val="superscript"/>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37,802</w:t>
            </w:r>
          </w:p>
        </w:tc>
        <w:tc>
          <w:tcPr>
            <w:tcW w:w="1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48,902</w:t>
            </w:r>
          </w:p>
        </w:tc>
        <w:tc>
          <w:tcPr>
            <w:tcW w:w="14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6,435</w:t>
            </w:r>
          </w:p>
        </w:tc>
        <w:tc>
          <w:tcPr>
            <w:tcW w:w="4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23,119</w:t>
            </w:r>
          </w:p>
        </w:tc>
        <w:tc>
          <w:tcPr>
            <w:tcW w:w="24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22,696</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28,156</w:t>
            </w:r>
          </w:p>
        </w:tc>
        <w:tc>
          <w:tcPr>
            <w:tcW w:w="60" w:type="dxa"/>
            <w:vAlign w:val="bottom"/>
          </w:tcPr>
          <w:p>
            <w:pPr>
              <w:spacing w:after="0"/>
              <w:rPr>
                <w:sz w:val="24"/>
                <w:szCs w:val="24"/>
                <w:color w:val="auto"/>
              </w:rPr>
            </w:pPr>
          </w:p>
        </w:tc>
      </w:tr>
      <w:tr>
        <w:trPr>
          <w:trHeight w:val="241"/>
        </w:trPr>
        <w:tc>
          <w:tcPr>
            <w:tcW w:w="4180" w:type="dxa"/>
            <w:vAlign w:val="bottom"/>
          </w:tcPr>
          <w:p>
            <w:pPr>
              <w:spacing w:after="0"/>
              <w:rPr>
                <w:sz w:val="20"/>
                <w:szCs w:val="20"/>
                <w:color w:val="auto"/>
              </w:rPr>
            </w:pPr>
            <w:r>
              <w:rPr>
                <w:rFonts w:ascii="Arial" w:cs="Arial" w:eastAsia="Arial" w:hAnsi="Arial"/>
                <w:sz w:val="18"/>
                <w:szCs w:val="18"/>
                <w:color w:val="auto"/>
              </w:rPr>
              <w:t>Ratios: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9"/>
        </w:trPr>
        <w:tc>
          <w:tcPr>
            <w:tcW w:w="4180" w:type="dxa"/>
            <w:vAlign w:val="bottom"/>
          </w:tcPr>
          <w:p>
            <w:pPr>
              <w:ind w:left="44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2"/>
                <w:szCs w:val="22"/>
                <w:color w:val="auto"/>
                <w:vertAlign w:val="superscript"/>
              </w:rPr>
              <w:t>(b/a)</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(4)</w:t>
            </w:r>
          </w:p>
        </w:tc>
        <w:tc>
          <w:tcPr>
            <w:tcW w:w="160" w:type="dxa"/>
            <w:vAlign w:val="bottom"/>
          </w:tcPr>
          <w:p>
            <w:pPr>
              <w:spacing w:after="0"/>
              <w:rPr>
                <w:sz w:val="24"/>
                <w:szCs w:val="24"/>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r>
      <w:tr>
        <w:trPr>
          <w:trHeight w:val="248"/>
        </w:trPr>
        <w:tc>
          <w:tcPr>
            <w:tcW w:w="418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14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(9,406)</w:t>
            </w:r>
          </w:p>
        </w:tc>
        <w:tc>
          <w:tcPr>
            <w:tcW w:w="160" w:type="dxa"/>
            <w:vAlign w:val="bottom"/>
          </w:tcPr>
          <w:p>
            <w:pPr>
              <w:spacing w:after="0"/>
              <w:rPr>
                <w:sz w:val="21"/>
                <w:szCs w:val="21"/>
                <w:color w:val="auto"/>
              </w:rPr>
            </w:pP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6122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3" w:lineRule="exact"/>
        <w:rPr>
          <w:sz w:val="20"/>
          <w:szCs w:val="20"/>
          <w:color w:val="auto"/>
        </w:rPr>
      </w:pPr>
    </w:p>
    <w:p>
      <w:pPr>
        <w:ind w:left="900" w:right="120" w:hanging="446"/>
        <w:spacing w:after="0" w:line="25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 charges consist of interest on indebtedness and amortization of prepaid debt fees plus that portion of lease rental expense representative of the interest factor.</w:t>
      </w: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gross, includes amortization of prepaid debt fees and discount.</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plus fixed charges.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Due to Itron’s loss in 2004, the ratio coverage was less than 1:1. Additional earnings of $9,406 would have been needed to achieve a coverage of 1:1.</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12" w:lineRule="exact"/>
        <w:rPr>
          <w:sz w:val="20"/>
          <w:szCs w:val="20"/>
          <w:color w:val="auto"/>
        </w:rPr>
      </w:pPr>
    </w:p>
    <w:p>
      <w:pPr>
        <w:ind w:left="880" w:hanging="446"/>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11" w:lineRule="exact"/>
        <w:rPr>
          <w:rFonts w:ascii="Arial" w:cs="Arial" w:eastAsia="Arial" w:hAnsi="Arial"/>
          <w:sz w:val="18"/>
          <w:szCs w:val="18"/>
          <w:color w:val="auto"/>
        </w:rPr>
      </w:pPr>
    </w:p>
    <w:p>
      <w:pPr>
        <w:jc w:val="both"/>
        <w:ind w:left="880" w:right="300" w:hanging="446"/>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880" w:right="280" w:hanging="446"/>
        <w:spacing w:after="0" w:line="33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880" w:right="300" w:hanging="446"/>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1900" w:right="140" w:hanging="440"/>
        <w:spacing w:after="0" w:line="306" w:lineRule="auto"/>
        <w:tabs>
          <w:tab w:leader="none" w:pos="1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00" w:right="200" w:hanging="440"/>
        <w:spacing w:after="0" w:line="306" w:lineRule="auto"/>
        <w:tabs>
          <w:tab w:leader="none" w:pos="1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00" w:hanging="440"/>
        <w:spacing w:after="0" w:line="370" w:lineRule="auto"/>
        <w:tabs>
          <w:tab w:leader="none" w:pos="19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00" w:hanging="440"/>
        <w:spacing w:after="0" w:line="306" w:lineRule="auto"/>
        <w:tabs>
          <w:tab w:leader="none" w:pos="1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880" w:right="200" w:hanging="446"/>
        <w:spacing w:after="0" w:line="33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00" w:right="240" w:hanging="440"/>
        <w:spacing w:after="0" w:line="332" w:lineRule="auto"/>
        <w:tabs>
          <w:tab w:leader="none" w:pos="1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00" w:right="520" w:hanging="440"/>
        <w:spacing w:after="0" w:line="268" w:lineRule="auto"/>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4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2006</w:t>
      </w:r>
    </w:p>
    <w:p>
      <w:pPr>
        <w:sectPr>
          <w:pgSz w:w="11900" w:h="16838" w:orient="portrait"/>
          <w:cols w:equalWidth="0" w:num="1">
            <w:col w:w="11400"/>
          </w:cols>
          <w:pgMar w:left="26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12" w:lineRule="exact"/>
        <w:rPr>
          <w:sz w:val="20"/>
          <w:szCs w:val="20"/>
          <w:color w:val="auto"/>
        </w:rPr>
      </w:pPr>
    </w:p>
    <w:p>
      <w:pPr>
        <w:ind w:left="880" w:hanging="44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11" w:lineRule="exact"/>
        <w:rPr>
          <w:rFonts w:ascii="Arial" w:cs="Arial" w:eastAsia="Arial" w:hAnsi="Arial"/>
          <w:sz w:val="18"/>
          <w:szCs w:val="18"/>
          <w:color w:val="auto"/>
        </w:rPr>
      </w:pPr>
    </w:p>
    <w:p>
      <w:pPr>
        <w:jc w:val="both"/>
        <w:ind w:left="880" w:right="300" w:hanging="446"/>
        <w:spacing w:after="0" w:line="25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880" w:right="280" w:hanging="446"/>
        <w:spacing w:after="0" w:line="33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880" w:right="300" w:hanging="446"/>
        <w:spacing w:after="0" w:line="25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1900" w:right="140" w:hanging="440"/>
        <w:spacing w:after="0" w:line="306" w:lineRule="auto"/>
        <w:tabs>
          <w:tab w:leader="none" w:pos="1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00" w:right="200" w:hanging="440"/>
        <w:spacing w:after="0" w:line="306" w:lineRule="auto"/>
        <w:tabs>
          <w:tab w:leader="none" w:pos="1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00" w:hanging="440"/>
        <w:spacing w:after="0" w:line="370" w:lineRule="auto"/>
        <w:tabs>
          <w:tab w:leader="none" w:pos="19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00" w:hanging="440"/>
        <w:spacing w:after="0" w:line="306" w:lineRule="auto"/>
        <w:tabs>
          <w:tab w:leader="none" w:pos="1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880" w:right="200" w:hanging="446"/>
        <w:spacing w:after="0" w:line="33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00" w:right="240" w:hanging="440"/>
        <w:spacing w:after="0" w:line="332" w:lineRule="auto"/>
        <w:tabs>
          <w:tab w:leader="none" w:pos="1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00" w:right="520" w:hanging="440"/>
        <w:spacing w:after="0" w:line="268" w:lineRule="auto"/>
        <w:tabs>
          <w:tab w:leader="none" w:pos="1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4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2006</w:t>
      </w:r>
    </w:p>
    <w:p>
      <w:pPr>
        <w:sectPr>
          <w:pgSz w:w="11900" w:h="16838" w:orient="portrait"/>
          <w:cols w:equalWidth="0" w:num="1">
            <w:col w:w="11400"/>
          </w:cols>
          <w:pgMar w:left="26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2006 (the Report) for the purpose of complying with Rule 13a-14(b) or Rule 15d-14(b) of the Securities Exchange Act of 1934 and Section 1350 of Chapter 63 of Title 18 of the United States Code.</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July 26, 2006</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color w:val="auto"/>
        </w:rPr>
        <w:t>July 26,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3"/>
    </w:lvl>
  </w:abstractNum>
  <w:abstractNum w:abstractNumId="8">
    <w:nsid w:val="3352255A"/>
    <w:multiLevelType w:val="hybridMultilevel"/>
    <w:lvl w:ilvl="0">
      <w:lvlJc w:val="left"/>
      <w:lvlText w:val="(%1)"/>
      <w:numFmt w:val="lowerLetter"/>
      <w:start w:val="1"/>
    </w:lvl>
    <w:lvl w:ilvl="1">
      <w:lvlJc w:val="left"/>
      <w:lvlText w:val="(%2)"/>
      <w:numFmt w:val="lowerRoman"/>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2019-12-11T20:38:25Z</dcterms:created>
  <dcterms:modified xsi:type="dcterms:W3CDTF">2019-12-11T20:38:25Z</dcterms:modified>
</cp:coreProperties>
</file>